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C34C9" w:rsidRPr="003571DE" w:rsidP="001C34C9">
      <w:pPr>
        <w:keepNext/>
        <w:widowControl/>
        <w:tabs>
          <w:tab w:val="left" w:pos="9360"/>
        </w:tabs>
        <w:contextualSpacing/>
        <w:jc w:val="center"/>
        <w:rPr>
          <w:b/>
          <w:szCs w:val="22"/>
        </w:rPr>
      </w:pPr>
      <w:r w:rsidRPr="003571DE">
        <w:rPr>
          <w:b/>
          <w:kern w:val="0"/>
          <w:szCs w:val="22"/>
        </w:rPr>
        <w:t>Before</w:t>
      </w:r>
      <w:r w:rsidRPr="003571DE">
        <w:rPr>
          <w:b/>
          <w:szCs w:val="22"/>
        </w:rPr>
        <w:t xml:space="preserve"> the</w:t>
      </w:r>
    </w:p>
    <w:p w:rsidR="001C34C9" w:rsidRPr="003571DE" w:rsidP="001C34C9">
      <w:pPr>
        <w:pStyle w:val="StyleBoldCentered"/>
        <w:keepNext/>
        <w:widowControl/>
        <w:contextualSpacing/>
        <w:rPr>
          <w:rFonts w:ascii="Times New Roman" w:hAnsi="Times New Roman"/>
        </w:rPr>
      </w:pPr>
      <w:r w:rsidRPr="003571DE">
        <w:rPr>
          <w:rFonts w:ascii="Times New Roman" w:hAnsi="Times New Roman"/>
        </w:rPr>
        <w:t>F</w:t>
      </w:r>
      <w:r w:rsidRPr="003571DE">
        <w:rPr>
          <w:rFonts w:ascii="Times New Roman" w:hAnsi="Times New Roman"/>
          <w:caps w:val="0"/>
        </w:rPr>
        <w:t>ederal Communications Commission</w:t>
      </w:r>
    </w:p>
    <w:p w:rsidR="001C34C9" w:rsidP="001C34C9">
      <w:pPr>
        <w:pStyle w:val="StyleBoldCentered"/>
        <w:keepNext/>
        <w:widowControl/>
        <w:contextualSpacing/>
        <w:rPr>
          <w:rFonts w:ascii="Times New Roman" w:hAnsi="Times New Roman"/>
          <w:caps w:val="0"/>
        </w:rPr>
      </w:pPr>
      <w:r w:rsidRPr="003571DE">
        <w:rPr>
          <w:rFonts w:ascii="Times New Roman" w:hAnsi="Times New Roman"/>
          <w:caps w:val="0"/>
        </w:rPr>
        <w:t>Washington, D.C. 20554</w:t>
      </w:r>
    </w:p>
    <w:p w:rsidR="001C34C9" w:rsidRPr="003571DE" w:rsidP="001C34C9">
      <w:pPr>
        <w:pStyle w:val="StyleBoldCentered"/>
        <w:keepNext/>
        <w:widowControl/>
        <w:spacing w:before="120"/>
        <w:contextualSpacing/>
        <w:jc w:val="left"/>
        <w:rPr>
          <w:rFonts w:ascii="Times New Roman" w:hAnsi="Times New Roman"/>
        </w:rPr>
      </w:pPr>
    </w:p>
    <w:p w:rsidR="001C34C9" w:rsidP="001C34C9">
      <w:pPr>
        <w:keepNext/>
        <w:widowControl/>
        <w:tabs>
          <w:tab w:val="left" w:pos="4500"/>
        </w:tabs>
        <w:contextualSpacing/>
        <w:rPr>
          <w:szCs w:val="22"/>
        </w:rPr>
      </w:pPr>
      <w:r>
        <w:rPr>
          <w:szCs w:val="22"/>
        </w:rPr>
        <w:t>In the Matter of</w:t>
      </w:r>
      <w:r>
        <w:rPr>
          <w:szCs w:val="22"/>
        </w:rPr>
        <w:tab/>
      </w:r>
      <w:r w:rsidRPr="009B51F7">
        <w:rPr>
          <w:b/>
          <w:szCs w:val="22"/>
        </w:rPr>
        <w:t>)</w:t>
      </w:r>
    </w:p>
    <w:p w:rsidR="001C34C9" w:rsidRPr="009B51F7" w:rsidP="001C34C9">
      <w:pPr>
        <w:keepNext/>
        <w:widowControl/>
        <w:tabs>
          <w:tab w:val="left" w:pos="4500"/>
        </w:tabs>
        <w:contextualSpacing/>
        <w:rPr>
          <w:b/>
          <w:szCs w:val="22"/>
        </w:rPr>
      </w:pPr>
      <w:r>
        <w:rPr>
          <w:szCs w:val="22"/>
        </w:rPr>
        <w:tab/>
      </w:r>
      <w:r w:rsidRPr="009B51F7">
        <w:rPr>
          <w:b/>
          <w:szCs w:val="22"/>
        </w:rPr>
        <w:t>)</w:t>
      </w:r>
    </w:p>
    <w:p w:rsidR="001C34C9" w:rsidP="001C34C9">
      <w:pPr>
        <w:keepNext/>
        <w:widowControl/>
        <w:tabs>
          <w:tab w:val="left" w:pos="4500"/>
        </w:tabs>
        <w:contextualSpacing/>
        <w:rPr>
          <w:szCs w:val="22"/>
        </w:rPr>
      </w:pPr>
      <w:r>
        <w:rPr>
          <w:szCs w:val="22"/>
        </w:rPr>
        <w:t>Jurisdictional Separations and Referral to the</w:t>
      </w:r>
      <w:r>
        <w:rPr>
          <w:szCs w:val="22"/>
        </w:rPr>
        <w:tab/>
      </w:r>
      <w:r w:rsidRPr="009B51F7">
        <w:rPr>
          <w:b/>
          <w:szCs w:val="22"/>
        </w:rPr>
        <w:t>)</w:t>
      </w:r>
      <w:r>
        <w:rPr>
          <w:szCs w:val="22"/>
        </w:rPr>
        <w:tab/>
        <w:t>CC Docket No. 80-286</w:t>
      </w:r>
    </w:p>
    <w:p w:rsidR="001C34C9" w:rsidP="001C34C9">
      <w:pPr>
        <w:keepNext/>
        <w:widowControl/>
        <w:tabs>
          <w:tab w:val="left" w:pos="4500"/>
        </w:tabs>
        <w:contextualSpacing/>
        <w:rPr>
          <w:b/>
          <w:szCs w:val="22"/>
        </w:rPr>
      </w:pPr>
      <w:r>
        <w:rPr>
          <w:szCs w:val="22"/>
        </w:rPr>
        <w:t>Federal-State Joint Board</w:t>
      </w:r>
      <w:r>
        <w:rPr>
          <w:szCs w:val="22"/>
        </w:rPr>
        <w:tab/>
      </w:r>
      <w:r w:rsidRPr="009B51F7">
        <w:rPr>
          <w:b/>
          <w:szCs w:val="22"/>
        </w:rPr>
        <w:t>)</w:t>
      </w:r>
    </w:p>
    <w:p w:rsidR="001C34C9" w:rsidP="001C34C9">
      <w:pPr>
        <w:keepNext/>
        <w:widowControl/>
        <w:tabs>
          <w:tab w:val="left" w:pos="4500"/>
        </w:tabs>
        <w:contextualSpacing/>
        <w:rPr>
          <w:szCs w:val="22"/>
        </w:rPr>
      </w:pPr>
    </w:p>
    <w:p w:rsidR="001C34C9" w:rsidRPr="003571DE" w:rsidP="001C34C9">
      <w:pPr>
        <w:pStyle w:val="StyleBoldCentered"/>
        <w:keepNext/>
        <w:widowControl/>
        <w:spacing w:before="120"/>
        <w:contextualSpacing/>
        <w:rPr>
          <w:rFonts w:ascii="Times New Roman" w:hAnsi="Times New Roman"/>
        </w:rPr>
      </w:pPr>
      <w:r w:rsidRPr="003571DE">
        <w:rPr>
          <w:rFonts w:ascii="Times New Roman" w:hAnsi="Times New Roman"/>
        </w:rPr>
        <w:t>Further Notice of Proposed Rulemaking</w:t>
      </w:r>
      <w:r>
        <w:rPr>
          <w:rFonts w:ascii="Times New Roman" w:hAnsi="Times New Roman"/>
        </w:rPr>
        <w:t xml:space="preserve"> </w:t>
      </w:r>
    </w:p>
    <w:p w:rsidR="001C34C9" w:rsidRPr="003571DE" w:rsidP="001C34C9">
      <w:pPr>
        <w:keepNext/>
        <w:widowControl/>
        <w:tabs>
          <w:tab w:val="left" w:pos="720"/>
          <w:tab w:val="right" w:pos="9360"/>
        </w:tabs>
        <w:suppressAutoHyphens/>
        <w:spacing w:before="120"/>
        <w:contextualSpacing/>
        <w:rPr>
          <w:spacing w:val="-2"/>
          <w:szCs w:val="22"/>
        </w:rPr>
      </w:pPr>
      <w:r>
        <w:rPr>
          <w:b/>
          <w:spacing w:val="-2"/>
          <w:szCs w:val="22"/>
        </w:rPr>
        <w:t xml:space="preserve">Adopted: </w:t>
      </w:r>
      <w:r w:rsidR="00C36E17">
        <w:rPr>
          <w:b/>
          <w:spacing w:val="-2"/>
          <w:szCs w:val="22"/>
        </w:rPr>
        <w:t>July 16</w:t>
      </w:r>
      <w:r>
        <w:rPr>
          <w:b/>
          <w:spacing w:val="-2"/>
          <w:szCs w:val="22"/>
        </w:rPr>
        <w:t>, 2018</w:t>
      </w:r>
      <w:r>
        <w:rPr>
          <w:b/>
          <w:spacing w:val="-2"/>
          <w:szCs w:val="22"/>
        </w:rPr>
        <w:tab/>
      </w:r>
      <w:r w:rsidRPr="003571DE">
        <w:rPr>
          <w:b/>
          <w:spacing w:val="-2"/>
          <w:szCs w:val="22"/>
        </w:rPr>
        <w:t xml:space="preserve">Released:  </w:t>
      </w:r>
      <w:r w:rsidR="007E1EBA">
        <w:rPr>
          <w:b/>
          <w:spacing w:val="-2"/>
          <w:szCs w:val="22"/>
        </w:rPr>
        <w:t>July 18</w:t>
      </w:r>
      <w:r>
        <w:rPr>
          <w:b/>
          <w:spacing w:val="-2"/>
          <w:szCs w:val="22"/>
        </w:rPr>
        <w:t>, 2018</w:t>
      </w:r>
    </w:p>
    <w:p w:rsidR="001C34C9" w:rsidRPr="0013628E" w:rsidP="001C34C9">
      <w:pPr>
        <w:keepNext/>
        <w:widowControl/>
        <w:spacing w:before="120"/>
        <w:contextualSpacing/>
        <w:jc w:val="center"/>
        <w:rPr>
          <w:szCs w:val="22"/>
        </w:rPr>
      </w:pPr>
    </w:p>
    <w:p w:rsidR="001C34C9" w:rsidRPr="00B140A2" w:rsidP="001C34C9">
      <w:pPr>
        <w:keepNext/>
        <w:widowControl/>
        <w:spacing w:before="120"/>
        <w:contextualSpacing/>
        <w:rPr>
          <w:b/>
          <w:szCs w:val="22"/>
        </w:rPr>
      </w:pPr>
      <w:r>
        <w:rPr>
          <w:b/>
          <w:szCs w:val="22"/>
        </w:rPr>
        <w:t>Comment Date:  [30</w:t>
      </w:r>
      <w:r w:rsidRPr="00B140A2">
        <w:rPr>
          <w:b/>
          <w:szCs w:val="22"/>
        </w:rPr>
        <w:t xml:space="preserve"> days after </w:t>
      </w:r>
      <w:r>
        <w:rPr>
          <w:b/>
          <w:szCs w:val="22"/>
        </w:rPr>
        <w:t>date of publication in the Federal Register]</w:t>
      </w:r>
    </w:p>
    <w:p w:rsidR="001C34C9" w:rsidRPr="00B140A2" w:rsidP="001C34C9">
      <w:pPr>
        <w:keepNext/>
        <w:widowControl/>
        <w:spacing w:before="120"/>
        <w:contextualSpacing/>
        <w:rPr>
          <w:b/>
          <w:szCs w:val="22"/>
        </w:rPr>
      </w:pPr>
      <w:r>
        <w:rPr>
          <w:b/>
          <w:szCs w:val="22"/>
        </w:rPr>
        <w:t>Reply Comment Date:  [45</w:t>
      </w:r>
      <w:r w:rsidRPr="00B140A2">
        <w:rPr>
          <w:b/>
          <w:szCs w:val="22"/>
        </w:rPr>
        <w:t xml:space="preserve"> days after </w:t>
      </w:r>
      <w:r>
        <w:rPr>
          <w:b/>
          <w:szCs w:val="22"/>
        </w:rPr>
        <w:t>date of publication in the Federal Register]</w:t>
      </w:r>
    </w:p>
    <w:p w:rsidR="001C34C9" w:rsidRPr="003571DE" w:rsidP="001C34C9">
      <w:pPr>
        <w:keepNext/>
        <w:widowControl/>
        <w:spacing w:before="120"/>
        <w:contextualSpacing/>
        <w:rPr>
          <w:szCs w:val="22"/>
        </w:rPr>
      </w:pPr>
    </w:p>
    <w:p w:rsidR="001C34C9" w:rsidRPr="003571DE" w:rsidP="001C34C9">
      <w:pPr>
        <w:keepNext/>
        <w:widowControl/>
        <w:spacing w:before="120"/>
        <w:contextualSpacing/>
        <w:rPr>
          <w:spacing w:val="-2"/>
          <w:szCs w:val="22"/>
        </w:rPr>
      </w:pPr>
      <w:r w:rsidRPr="003571DE">
        <w:rPr>
          <w:szCs w:val="22"/>
        </w:rPr>
        <w:t xml:space="preserve">By the </w:t>
      </w:r>
      <w:r w:rsidRPr="003571DE">
        <w:rPr>
          <w:spacing w:val="-2"/>
          <w:szCs w:val="22"/>
        </w:rPr>
        <w:t>Commission:</w:t>
      </w:r>
      <w:r w:rsidR="00C36E17">
        <w:rPr>
          <w:spacing w:val="-2"/>
          <w:szCs w:val="22"/>
        </w:rPr>
        <w:t xml:space="preserve">  </w:t>
      </w:r>
    </w:p>
    <w:p w:rsidR="001C34C9" w:rsidP="001C34C9">
      <w:pPr>
        <w:pStyle w:val="TOCTitle"/>
      </w:pPr>
      <w:bookmarkStart w:id="0" w:name="TOChere"/>
      <w:r>
        <w:t>Table of Contents</w:t>
      </w:r>
    </w:p>
    <w:p w:rsidR="001C34C9" w:rsidP="001C34C9">
      <w:pPr>
        <w:pStyle w:val="Paratitle"/>
      </w:pPr>
      <w:r>
        <w:tab/>
        <w:t>Para</w:t>
      </w:r>
      <w:bookmarkStart w:id="1" w:name="start_here"/>
      <w:bookmarkEnd w:id="1"/>
      <w:r w:rsidR="007E1EBA">
        <w:t>.</w:t>
      </w:r>
    </w:p>
    <w:p w:rsidR="001C34C9" w:rsidRPr="001C34C9" w:rsidP="001C34C9">
      <w:pPr>
        <w:pStyle w:val="TOC1"/>
        <w:rPr>
          <w:rFonts w:ascii="Calibri" w:hAnsi="Calibri"/>
          <w:caps w:val="0"/>
          <w:snapToGrid/>
          <w:kern w:val="0"/>
          <w:szCs w:val="22"/>
        </w:rPr>
      </w:pPr>
      <w:r>
        <w:t>I.</w:t>
      </w:r>
      <w:r w:rsidRPr="001C34C9">
        <w:rPr>
          <w:rFonts w:ascii="Calibri" w:hAnsi="Calibri"/>
          <w:caps w:val="0"/>
          <w:snapToGrid/>
          <w:kern w:val="0"/>
          <w:szCs w:val="22"/>
        </w:rPr>
        <w:tab/>
      </w:r>
      <w:r>
        <w:t>Introduction</w:t>
      </w:r>
      <w:r>
        <w:tab/>
        <w:t>1</w:t>
      </w:r>
    </w:p>
    <w:p w:rsidR="001C34C9" w:rsidRPr="001C34C9" w:rsidP="001C34C9">
      <w:pPr>
        <w:pStyle w:val="TOC1"/>
        <w:rPr>
          <w:rFonts w:ascii="Calibri" w:hAnsi="Calibri"/>
          <w:caps w:val="0"/>
          <w:snapToGrid/>
          <w:kern w:val="0"/>
          <w:szCs w:val="22"/>
        </w:rPr>
      </w:pPr>
      <w:r>
        <w:t>II.</w:t>
      </w:r>
      <w:r w:rsidRPr="001C34C9">
        <w:rPr>
          <w:rFonts w:ascii="Calibri" w:hAnsi="Calibri"/>
          <w:caps w:val="0"/>
          <w:snapToGrid/>
          <w:kern w:val="0"/>
          <w:szCs w:val="22"/>
        </w:rPr>
        <w:tab/>
      </w:r>
      <w:r>
        <w:t>Background</w:t>
      </w:r>
      <w:r>
        <w:tab/>
        <w:t>3</w:t>
      </w:r>
    </w:p>
    <w:p w:rsidR="001C34C9" w:rsidRPr="001C34C9" w:rsidP="001C34C9">
      <w:pPr>
        <w:pStyle w:val="TOC2"/>
        <w:tabs>
          <w:tab w:val="left" w:pos="360"/>
        </w:tabs>
        <w:rPr>
          <w:rFonts w:ascii="Calibri" w:hAnsi="Calibri"/>
          <w:snapToGrid/>
          <w:kern w:val="0"/>
          <w:szCs w:val="22"/>
        </w:rPr>
      </w:pPr>
      <w:r>
        <w:t>A.</w:t>
      </w:r>
      <w:r w:rsidRPr="001C34C9">
        <w:rPr>
          <w:rFonts w:ascii="Calibri" w:hAnsi="Calibri"/>
          <w:snapToGrid/>
          <w:kern w:val="0"/>
          <w:szCs w:val="22"/>
        </w:rPr>
        <w:tab/>
      </w:r>
      <w:r>
        <w:t>The Jurisdictional Separations Process</w:t>
      </w:r>
      <w:r>
        <w:tab/>
        <w:t>3</w:t>
      </w:r>
    </w:p>
    <w:p w:rsidR="001C34C9" w:rsidRPr="001C34C9" w:rsidP="001C34C9">
      <w:pPr>
        <w:pStyle w:val="TOC2"/>
        <w:tabs>
          <w:tab w:val="left" w:pos="360"/>
        </w:tabs>
        <w:rPr>
          <w:rFonts w:ascii="Calibri" w:hAnsi="Calibri"/>
          <w:snapToGrid/>
          <w:kern w:val="0"/>
          <w:szCs w:val="22"/>
        </w:rPr>
      </w:pPr>
      <w:r>
        <w:t>B.</w:t>
      </w:r>
      <w:r w:rsidRPr="001C34C9">
        <w:rPr>
          <w:rFonts w:ascii="Calibri" w:hAnsi="Calibri"/>
          <w:snapToGrid/>
          <w:kern w:val="0"/>
          <w:szCs w:val="22"/>
        </w:rPr>
        <w:tab/>
      </w:r>
      <w:r>
        <w:t>Declining Applicability of Jurisdictional Separations Results</w:t>
      </w:r>
      <w:r>
        <w:tab/>
        <w:t>10</w:t>
      </w:r>
    </w:p>
    <w:p w:rsidR="001C34C9" w:rsidRPr="001C34C9" w:rsidP="001C34C9">
      <w:pPr>
        <w:pStyle w:val="TOC2"/>
        <w:tabs>
          <w:tab w:val="left" w:pos="360"/>
        </w:tabs>
        <w:rPr>
          <w:rFonts w:ascii="Calibri" w:hAnsi="Calibri"/>
          <w:snapToGrid/>
          <w:kern w:val="0"/>
          <w:szCs w:val="22"/>
        </w:rPr>
      </w:pPr>
      <w:r>
        <w:t>C.</w:t>
      </w:r>
      <w:r w:rsidRPr="001C34C9">
        <w:rPr>
          <w:rFonts w:ascii="Calibri" w:hAnsi="Calibri"/>
          <w:snapToGrid/>
          <w:kern w:val="0"/>
          <w:szCs w:val="22"/>
        </w:rPr>
        <w:tab/>
      </w:r>
      <w:r>
        <w:t>Procedural History</w:t>
      </w:r>
      <w:r>
        <w:tab/>
        <w:t>13</w:t>
      </w:r>
    </w:p>
    <w:p w:rsidR="001C34C9" w:rsidRPr="001C34C9" w:rsidP="001C34C9">
      <w:pPr>
        <w:pStyle w:val="TOC1"/>
        <w:rPr>
          <w:rFonts w:ascii="Calibri" w:hAnsi="Calibri"/>
          <w:caps w:val="0"/>
          <w:snapToGrid/>
          <w:kern w:val="0"/>
          <w:szCs w:val="22"/>
        </w:rPr>
      </w:pPr>
      <w:r>
        <w:t>III.</w:t>
      </w:r>
      <w:r w:rsidRPr="001C34C9">
        <w:rPr>
          <w:rFonts w:ascii="Calibri" w:hAnsi="Calibri"/>
          <w:caps w:val="0"/>
          <w:snapToGrid/>
          <w:kern w:val="0"/>
          <w:szCs w:val="22"/>
        </w:rPr>
        <w:tab/>
      </w:r>
      <w:r>
        <w:t>Discussion</w:t>
      </w:r>
      <w:r>
        <w:tab/>
        <w:t>16</w:t>
      </w:r>
    </w:p>
    <w:p w:rsidR="001C34C9" w:rsidRPr="001C34C9" w:rsidP="001C34C9">
      <w:pPr>
        <w:pStyle w:val="TOC2"/>
        <w:tabs>
          <w:tab w:val="left" w:pos="360"/>
        </w:tabs>
        <w:rPr>
          <w:rFonts w:ascii="Calibri" w:hAnsi="Calibri"/>
          <w:snapToGrid/>
          <w:kern w:val="0"/>
          <w:szCs w:val="22"/>
        </w:rPr>
      </w:pPr>
      <w:r>
        <w:t>A.</w:t>
      </w:r>
      <w:r w:rsidRPr="001C34C9">
        <w:rPr>
          <w:rFonts w:ascii="Calibri" w:hAnsi="Calibri"/>
          <w:snapToGrid/>
          <w:kern w:val="0"/>
          <w:szCs w:val="22"/>
        </w:rPr>
        <w:tab/>
      </w:r>
      <w:r>
        <w:t>Further Extending the Separations Freeze</w:t>
      </w:r>
      <w:r>
        <w:tab/>
        <w:t>17</w:t>
      </w:r>
    </w:p>
    <w:p w:rsidR="001C34C9" w:rsidRPr="001C34C9" w:rsidP="001C34C9">
      <w:pPr>
        <w:pStyle w:val="TOC2"/>
        <w:tabs>
          <w:tab w:val="left" w:pos="360"/>
        </w:tabs>
        <w:rPr>
          <w:rFonts w:ascii="Calibri" w:hAnsi="Calibri"/>
          <w:snapToGrid/>
          <w:kern w:val="0"/>
          <w:szCs w:val="22"/>
        </w:rPr>
      </w:pPr>
      <w:r>
        <w:t>B.</w:t>
      </w:r>
      <w:r w:rsidRPr="001C34C9">
        <w:rPr>
          <w:rFonts w:ascii="Calibri" w:hAnsi="Calibri"/>
          <w:snapToGrid/>
          <w:kern w:val="0"/>
          <w:szCs w:val="22"/>
        </w:rPr>
        <w:tab/>
      </w:r>
      <w:r w:rsidRPr="0073644F">
        <w:rPr>
          <w:snapToGrid/>
        </w:rPr>
        <w:t>Allowing Carriers that Elected the Category Relationships Freeze</w:t>
      </w:r>
      <w:r>
        <w:t xml:space="preserve"> an Opportunity to Change Their Elections</w:t>
      </w:r>
      <w:r>
        <w:tab/>
        <w:t>23</w:t>
      </w:r>
    </w:p>
    <w:p w:rsidR="001C34C9" w:rsidRPr="001C34C9" w:rsidP="001C34C9">
      <w:pPr>
        <w:pStyle w:val="TOC2"/>
        <w:tabs>
          <w:tab w:val="left" w:pos="360"/>
        </w:tabs>
        <w:rPr>
          <w:rFonts w:ascii="Calibri" w:hAnsi="Calibri"/>
          <w:snapToGrid/>
          <w:kern w:val="0"/>
          <w:szCs w:val="22"/>
        </w:rPr>
      </w:pPr>
      <w:r>
        <w:t>C.</w:t>
      </w:r>
      <w:r w:rsidRPr="001C34C9">
        <w:rPr>
          <w:rFonts w:ascii="Calibri" w:hAnsi="Calibri"/>
          <w:snapToGrid/>
          <w:kern w:val="0"/>
          <w:szCs w:val="22"/>
        </w:rPr>
        <w:tab/>
      </w:r>
      <w:r>
        <w:t>Changes to Other Aspects of the Separations Freeze</w:t>
      </w:r>
      <w:r>
        <w:tab/>
        <w:t>38</w:t>
      </w:r>
    </w:p>
    <w:p w:rsidR="001C34C9" w:rsidRPr="001C34C9" w:rsidP="001C34C9">
      <w:pPr>
        <w:pStyle w:val="TOC2"/>
        <w:tabs>
          <w:tab w:val="left" w:pos="360"/>
        </w:tabs>
        <w:rPr>
          <w:rFonts w:ascii="Calibri" w:hAnsi="Calibri"/>
          <w:snapToGrid/>
          <w:kern w:val="0"/>
          <w:szCs w:val="22"/>
        </w:rPr>
      </w:pPr>
      <w:r>
        <w:t>D.</w:t>
      </w:r>
      <w:r w:rsidRPr="001C34C9">
        <w:rPr>
          <w:rFonts w:ascii="Calibri" w:hAnsi="Calibri"/>
          <w:snapToGrid/>
          <w:kern w:val="0"/>
          <w:szCs w:val="22"/>
        </w:rPr>
        <w:tab/>
      </w:r>
      <w:r>
        <w:t>Effect on Small Entities</w:t>
      </w:r>
      <w:r>
        <w:tab/>
        <w:t>40</w:t>
      </w:r>
    </w:p>
    <w:p w:rsidR="001C34C9" w:rsidRPr="001C34C9" w:rsidP="001C34C9">
      <w:pPr>
        <w:pStyle w:val="TOC1"/>
        <w:rPr>
          <w:rFonts w:ascii="Calibri" w:hAnsi="Calibri"/>
          <w:caps w:val="0"/>
          <w:snapToGrid/>
          <w:kern w:val="0"/>
          <w:szCs w:val="22"/>
        </w:rPr>
      </w:pPr>
      <w:r>
        <w:t>IV.</w:t>
      </w:r>
      <w:r w:rsidRPr="001C34C9">
        <w:rPr>
          <w:rFonts w:ascii="Calibri" w:hAnsi="Calibri"/>
          <w:caps w:val="0"/>
          <w:snapToGrid/>
          <w:kern w:val="0"/>
          <w:szCs w:val="22"/>
        </w:rPr>
        <w:tab/>
      </w:r>
      <w:r>
        <w:t>Procedural Matters</w:t>
      </w:r>
      <w:r>
        <w:tab/>
        <w:t>41</w:t>
      </w:r>
    </w:p>
    <w:p w:rsidR="001C34C9" w:rsidRPr="001C34C9" w:rsidP="001C34C9">
      <w:pPr>
        <w:pStyle w:val="TOC1"/>
        <w:rPr>
          <w:rFonts w:ascii="Calibri" w:hAnsi="Calibri"/>
          <w:caps w:val="0"/>
          <w:snapToGrid/>
          <w:kern w:val="0"/>
          <w:szCs w:val="22"/>
        </w:rPr>
      </w:pPr>
      <w:r>
        <w:t>V.</w:t>
      </w:r>
      <w:r w:rsidRPr="001C34C9">
        <w:rPr>
          <w:rFonts w:ascii="Calibri" w:hAnsi="Calibri"/>
          <w:caps w:val="0"/>
          <w:snapToGrid/>
          <w:kern w:val="0"/>
          <w:szCs w:val="22"/>
        </w:rPr>
        <w:tab/>
      </w:r>
      <w:r>
        <w:t>Ordering Clauses</w:t>
      </w:r>
      <w:r>
        <w:tab/>
        <w:t>46</w:t>
      </w:r>
    </w:p>
    <w:p w:rsidR="001C34C9" w:rsidRPr="001C34C9" w:rsidP="001C34C9">
      <w:pPr>
        <w:pStyle w:val="TOC1"/>
        <w:rPr>
          <w:rFonts w:ascii="Calibri" w:hAnsi="Calibri"/>
          <w:caps w:val="0"/>
          <w:snapToGrid/>
          <w:kern w:val="0"/>
          <w:szCs w:val="22"/>
        </w:rPr>
      </w:pPr>
      <w:r>
        <w:t>APPENDIX A</w:t>
      </w:r>
      <w:r w:rsidRPr="0073644F">
        <w:t xml:space="preserve"> – DRAFT PROPOSED RULES FOR PUBLIC COMMENT</w:t>
      </w:r>
    </w:p>
    <w:p w:rsidR="001C34C9" w:rsidRPr="001C34C9" w:rsidP="001C34C9">
      <w:pPr>
        <w:pStyle w:val="TOC1"/>
        <w:rPr>
          <w:rFonts w:ascii="Calibri" w:hAnsi="Calibri"/>
          <w:caps w:val="0"/>
          <w:snapToGrid/>
          <w:kern w:val="0"/>
          <w:szCs w:val="22"/>
        </w:rPr>
      </w:pPr>
      <w:r>
        <w:t>APPENDIX B – INITIAL REGULATORY FLEXIBILITY ANALYSIS</w:t>
      </w:r>
    </w:p>
    <w:p w:rsidR="001C34C9" w:rsidRPr="003571DE" w:rsidP="001C34C9">
      <w:pPr>
        <w:keepNext/>
        <w:widowControl/>
        <w:spacing w:before="120"/>
        <w:contextualSpacing/>
        <w:rPr>
          <w:szCs w:val="22"/>
        </w:rPr>
      </w:pPr>
      <w:bookmarkEnd w:id="0"/>
    </w:p>
    <w:p w:rsidR="001C34C9" w:rsidRPr="003571DE" w:rsidP="001C34C9">
      <w:pPr>
        <w:pStyle w:val="Heading1"/>
        <w:widowControl/>
      </w:pPr>
      <w:bookmarkStart w:id="2" w:name="_Toc511750836"/>
      <w:bookmarkStart w:id="3" w:name="_Toc512606177"/>
      <w:bookmarkStart w:id="4" w:name="_Toc513476505"/>
      <w:bookmarkStart w:id="5" w:name="_Toc513481741"/>
      <w:bookmarkStart w:id="6" w:name="_Toc513482021"/>
      <w:bookmarkStart w:id="7" w:name="_Toc513645088"/>
      <w:bookmarkStart w:id="8" w:name="_Toc513645692"/>
      <w:bookmarkStart w:id="9" w:name="_Toc513646171"/>
      <w:bookmarkStart w:id="10" w:name="_Toc513741206"/>
      <w:bookmarkStart w:id="11" w:name="_Toc514253285"/>
      <w:bookmarkStart w:id="12" w:name="_Toc514326649"/>
      <w:bookmarkStart w:id="13" w:name="_Toc514928129"/>
      <w:bookmarkStart w:id="14" w:name="_Toc514928278"/>
      <w:bookmarkStart w:id="15" w:name="_Toc514928479"/>
      <w:bookmarkStart w:id="16" w:name="_Toc515456730"/>
      <w:bookmarkStart w:id="17" w:name="_Toc515459220"/>
      <w:r w:rsidRPr="00AB6316">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1C34C9" w:rsidP="001C34C9">
      <w:pPr>
        <w:pStyle w:val="ParaNum"/>
      </w:pPr>
      <w:r>
        <w:t xml:space="preserve">In 1970, when monopoly rate-of-return local exchange carriers (LECs) provided telephone service over circuit-switched, voice networks, the Commission first codified its jurisdictional separations rules to divide the costs of providing service between the interstate and intrastate jurisdictions.  Today, most consumers have access to voice, data, and video services that are increasingly being provided over Internet Protocol-based networks.  As a result of new digital technologies, the lines between interstate and intrastate communications are increasingly blurred, making the jurisdictional separations rules inadequate to accomplish their intended purpose.  Moreover, over the last several decades, the Commission has undertaken initiatives that have incrementally replaced burdensome cost-based regulation with the efficiencies of incentive regulation, further diminishing the relevance of the separations rules. </w:t>
      </w:r>
    </w:p>
    <w:p w:rsidR="001C34C9" w:rsidP="001C34C9">
      <w:pPr>
        <w:pStyle w:val="ParaNum"/>
      </w:pPr>
      <w:r>
        <w:t xml:space="preserve">In the </w:t>
      </w:r>
      <w:r w:rsidRPr="00390398">
        <w:rPr>
          <w:i/>
        </w:rPr>
        <w:t>2001 Separations Freeze Order,</w:t>
      </w:r>
      <w:r>
        <w:t xml:space="preserve"> in light of statutory, technological, and marketplace changes in the provision of telecommunications services, the Commission froze the </w:t>
      </w:r>
      <w:r>
        <w:t>jurisdictional separations rules to allow time for the Federal-State Joint Board on Jurisdictional Separations (Joint Board) to develop recommendations on comprehensive separations reform.</w:t>
      </w:r>
      <w:r>
        <w:rPr>
          <w:rStyle w:val="FootnoteReference"/>
        </w:rPr>
        <w:footnoteReference w:id="3"/>
      </w:r>
      <w:r>
        <w:t xml:space="preserve">  The Commission has repeatedly extended the separations freeze over the past 17 years, and with the current freeze extension set to expire on December 31, 2018, we take up this issue once more.  Because we expect that the benefits of further extending the jurisdictional separations freeze likely outweigh the costs of allowing it to end, in this Further Notice of Proposed Rulemaking (</w:t>
      </w:r>
      <w:r w:rsidRPr="000B5167">
        <w:rPr>
          <w:i/>
        </w:rPr>
        <w:t>Further Notice</w:t>
      </w:r>
      <w:r>
        <w:t xml:space="preserve">), we propose to extend the freeze for 15 years and invite comment on this proposal.  We also seek comment on whether the Commission should alter the scope of its referral to the Joint Board regarding comprehensive separations reform.  Additionally, we propose and seek comment on allowing rate-of-return carriers that elected to freeze their category relationships in 2001 to opt out of that freeze.  </w:t>
      </w:r>
    </w:p>
    <w:p w:rsidR="001C34C9" w:rsidP="001C34C9">
      <w:pPr>
        <w:pStyle w:val="Heading1"/>
        <w:widowControl/>
      </w:pPr>
      <w:bookmarkStart w:id="18" w:name="_Toc512606178"/>
      <w:bookmarkStart w:id="19" w:name="_Toc511750837"/>
      <w:bookmarkStart w:id="20" w:name="_Toc513476506"/>
      <w:bookmarkStart w:id="21" w:name="_Toc513481742"/>
      <w:bookmarkStart w:id="22" w:name="_Toc513482022"/>
      <w:bookmarkStart w:id="23" w:name="_Toc513645089"/>
      <w:bookmarkStart w:id="24" w:name="_Toc513645693"/>
      <w:bookmarkStart w:id="25" w:name="_Toc513646172"/>
      <w:bookmarkStart w:id="26" w:name="_Toc513741207"/>
      <w:bookmarkStart w:id="27" w:name="_Toc514253286"/>
      <w:bookmarkStart w:id="28" w:name="_Toc514326650"/>
      <w:bookmarkStart w:id="29" w:name="_Toc514928130"/>
      <w:bookmarkStart w:id="30" w:name="_Toc514928279"/>
      <w:bookmarkStart w:id="31" w:name="_Toc514928480"/>
      <w:bookmarkStart w:id="32" w:name="_Toc515456731"/>
      <w:bookmarkStart w:id="33" w:name="_Toc515459221"/>
      <w:r w:rsidRPr="003571DE">
        <w:t>Background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C34C9" w:rsidRPr="002F69DD" w:rsidP="001C34C9">
      <w:pPr>
        <w:pStyle w:val="Heading2"/>
      </w:pPr>
      <w:bookmarkStart w:id="34" w:name="_Toc513476507"/>
      <w:bookmarkStart w:id="35" w:name="_Toc513481743"/>
      <w:bookmarkStart w:id="36" w:name="_Toc513482023"/>
      <w:bookmarkStart w:id="37" w:name="_Toc513645090"/>
      <w:bookmarkStart w:id="38" w:name="_Toc513645694"/>
      <w:bookmarkStart w:id="39" w:name="_Toc513646173"/>
      <w:bookmarkStart w:id="40" w:name="_Toc513741208"/>
      <w:bookmarkStart w:id="41" w:name="_Toc514253287"/>
      <w:bookmarkStart w:id="42" w:name="_Toc514326651"/>
      <w:bookmarkStart w:id="43" w:name="_Toc514928131"/>
      <w:bookmarkStart w:id="44" w:name="_Toc514928280"/>
      <w:bookmarkStart w:id="45" w:name="_Toc514928481"/>
      <w:bookmarkStart w:id="46" w:name="_Toc515456732"/>
      <w:bookmarkStart w:id="47" w:name="_Toc515459222"/>
      <w:r>
        <w:t>The Jurisdictional Separations Process</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1C34C9" w:rsidP="001C34C9">
      <w:pPr>
        <w:pStyle w:val="ParaNum"/>
      </w:pPr>
      <w:r>
        <w:t>Rate-of-return incumbent LECs use their networks and other resources to provide both interstate and intrastate services.  To help prevent the recovery of the same costs from both the interstate and intrastate jurisdictions, our rules require that rate-of-return incumbent LECs divide their costs and revenues between the respective jurisdictions.</w:t>
      </w:r>
      <w:r>
        <w:rPr>
          <w:rStyle w:val="FootnoteReference"/>
        </w:rPr>
        <w:footnoteReference w:id="4"/>
      </w:r>
      <w:r>
        <w:t xml:space="preserve">  These “jurisdictional separations” rules were designed to ensure that rate-of-return incumbent LECs apportion the costs of their regulated services between the interstate or intrastate jurisdictions in a manner that reflects the relative use of their networks to provide interstate or intrastate services.</w:t>
      </w:r>
      <w:r>
        <w:rPr>
          <w:rStyle w:val="FootnoteReference"/>
        </w:rPr>
        <w:footnoteReference w:id="5"/>
      </w:r>
    </w:p>
    <w:p w:rsidR="001C34C9" w:rsidP="001C34C9">
      <w:pPr>
        <w:pStyle w:val="ParaNum"/>
      </w:pPr>
      <w:r>
        <w:t>Jurisdictional separations</w:t>
      </w:r>
      <w:r>
        <w:t xml:space="preserve"> </w:t>
      </w:r>
      <w:r>
        <w:t>is the third step in a four-step</w:t>
      </w:r>
      <w:r w:rsidRPr="0039612F">
        <w:t xml:space="preserve"> regulatory process</w:t>
      </w:r>
      <w:r>
        <w:t>.  First, a rate-of-return carrier records</w:t>
      </w:r>
      <w:r w:rsidRPr="0039612F">
        <w:t xml:space="preserve"> </w:t>
      </w:r>
      <w:r>
        <w:t xml:space="preserve">its </w:t>
      </w:r>
      <w:r w:rsidRPr="0039612F">
        <w:t xml:space="preserve">costs </w:t>
      </w:r>
      <w:r>
        <w:t xml:space="preserve">and revenues </w:t>
      </w:r>
      <w:r w:rsidRPr="0039612F">
        <w:t xml:space="preserve">in various accounts </w:t>
      </w:r>
      <w:r>
        <w:t xml:space="preserve">using the </w:t>
      </w:r>
      <w:r w:rsidRPr="0039612F">
        <w:t xml:space="preserve">Uniform System of Accounts </w:t>
      </w:r>
      <w:r>
        <w:t>prescribed by the Commission’s Part 32 rules.</w:t>
      </w:r>
      <w:r>
        <w:rPr>
          <w:rStyle w:val="FootnoteReference"/>
        </w:rPr>
        <w:footnoteReference w:id="6"/>
      </w:r>
      <w:r>
        <w:t xml:space="preserve">  </w:t>
      </w:r>
      <w:r w:rsidRPr="0039612F">
        <w:t xml:space="preserve">Second, </w:t>
      </w:r>
      <w:r>
        <w:t xml:space="preserve">the </w:t>
      </w:r>
      <w:r w:rsidRPr="0039612F">
        <w:t>carrier divide</w:t>
      </w:r>
      <w:r>
        <w:t>s</w:t>
      </w:r>
      <w:r w:rsidRPr="0039612F">
        <w:t xml:space="preserve"> the costs </w:t>
      </w:r>
      <w:r>
        <w:t xml:space="preserve">and revenues </w:t>
      </w:r>
      <w:r w:rsidRPr="0039612F">
        <w:t xml:space="preserve">in these accounts between regulated and nonregulated activities </w:t>
      </w:r>
      <w:r>
        <w:t xml:space="preserve">in accordance with the Commission’s </w:t>
      </w:r>
      <w:r w:rsidRPr="0039612F">
        <w:t>Part 64 rules</w:t>
      </w:r>
      <w:r>
        <w:t xml:space="preserve">, a step that helps ensure </w:t>
      </w:r>
      <w:r w:rsidRPr="0039612F">
        <w:t xml:space="preserve">that the costs of nonregulated activities will not be recovered </w:t>
      </w:r>
      <w:r>
        <w:t xml:space="preserve">through </w:t>
      </w:r>
      <w:r w:rsidRPr="0039612F">
        <w:t>regulated interstate rates.</w:t>
      </w:r>
      <w:r>
        <w:rPr>
          <w:rStyle w:val="FootnoteReference"/>
        </w:rPr>
        <w:footnoteReference w:id="7"/>
      </w:r>
      <w:r w:rsidRPr="0039612F">
        <w:t xml:space="preserve">  Third, </w:t>
      </w:r>
      <w:r>
        <w:t xml:space="preserve">the </w:t>
      </w:r>
      <w:r w:rsidRPr="0039612F">
        <w:t>carrier separate</w:t>
      </w:r>
      <w:r>
        <w:t>s</w:t>
      </w:r>
      <w:r w:rsidRPr="0039612F">
        <w:t xml:space="preserve"> the regulated costs </w:t>
      </w:r>
      <w:r>
        <w:t xml:space="preserve">and revenues between </w:t>
      </w:r>
      <w:r w:rsidRPr="0039612F">
        <w:t>the int</w:t>
      </w:r>
      <w:r>
        <w:t xml:space="preserve">erstate </w:t>
      </w:r>
      <w:r w:rsidRPr="0039612F">
        <w:t>and intr</w:t>
      </w:r>
      <w:r>
        <w:t>a</w:t>
      </w:r>
      <w:r w:rsidRPr="0039612F">
        <w:t>state juri</w:t>
      </w:r>
      <w:r>
        <w:t>sdictions using the Commission’s Part 36</w:t>
      </w:r>
      <w:r w:rsidRPr="0039612F">
        <w:t xml:space="preserve"> </w:t>
      </w:r>
      <w:r>
        <w:t xml:space="preserve">jurisdictional separations </w:t>
      </w:r>
      <w:r w:rsidRPr="0039612F">
        <w:t>rules.</w:t>
      </w:r>
      <w:r>
        <w:rPr>
          <w:rStyle w:val="FootnoteReference"/>
          <w:sz w:val="22"/>
          <w:szCs w:val="22"/>
        </w:rPr>
        <w:footnoteReference w:id="8"/>
      </w:r>
      <w:r>
        <w:t xml:space="preserve">  </w:t>
      </w:r>
      <w:r w:rsidRPr="0039612F">
        <w:t xml:space="preserve">Finally, </w:t>
      </w:r>
      <w:r>
        <w:t xml:space="preserve">the </w:t>
      </w:r>
      <w:r w:rsidRPr="0039612F">
        <w:t>carrier apportion</w:t>
      </w:r>
      <w:r>
        <w:t>s</w:t>
      </w:r>
      <w:r w:rsidRPr="0039612F">
        <w:t xml:space="preserve"> the interstate regulated costs among the interexchange services and </w:t>
      </w:r>
      <w:r>
        <w:t xml:space="preserve">the </w:t>
      </w:r>
      <w:r w:rsidRPr="0039612F">
        <w:t xml:space="preserve">rate elements that form the cost basis for </w:t>
      </w:r>
      <w:r>
        <w:t>its</w:t>
      </w:r>
      <w:r w:rsidRPr="0039612F">
        <w:t xml:space="preserve"> exchange access tariffs.  </w:t>
      </w:r>
      <w:r>
        <w:t>C</w:t>
      </w:r>
      <w:r w:rsidRPr="0039612F">
        <w:t>arriers subject to rate-of-return regulation</w:t>
      </w:r>
      <w:r>
        <w:t xml:space="preserve"> perform </w:t>
      </w:r>
      <w:r w:rsidRPr="0039612F">
        <w:t xml:space="preserve">this apportionment in accordance with </w:t>
      </w:r>
      <w:r>
        <w:t xml:space="preserve">the Commission’s </w:t>
      </w:r>
      <w:r w:rsidRPr="0039612F">
        <w:t>Part 69 rules.</w:t>
      </w:r>
      <w:r>
        <w:rPr>
          <w:rStyle w:val="FootnoteReference"/>
        </w:rPr>
        <w:footnoteReference w:id="9"/>
      </w:r>
    </w:p>
    <w:p w:rsidR="001C34C9" w:rsidP="001C34C9">
      <w:pPr>
        <w:pStyle w:val="ParaNum"/>
      </w:pPr>
      <w:r>
        <w:t>Rate-of-return i</w:t>
      </w:r>
      <w:r w:rsidRPr="004F4ED0">
        <w:t xml:space="preserve">ncumbent LECs </w:t>
      </w:r>
      <w:r>
        <w:t xml:space="preserve">perform annual cost studies that include jurisdictional separations.  The jurisdictional separations analysis begins with the categorization of the incumbent LEC’s </w:t>
      </w:r>
      <w:r w:rsidRPr="004F4ED0">
        <w:t xml:space="preserve">regulated costs </w:t>
      </w:r>
      <w:r>
        <w:t xml:space="preserve">and expenses, requiring the incumbent LEC to assign the regulated costs and revenues recorded in its Part 32 accounts </w:t>
      </w:r>
      <w:r w:rsidRPr="004F4ED0">
        <w:t>to various investment</w:t>
      </w:r>
      <w:r>
        <w:t xml:space="preserve">, </w:t>
      </w:r>
      <w:r w:rsidRPr="004F4ED0">
        <w:t>expense</w:t>
      </w:r>
      <w:r>
        <w:t>, and revenue categories.</w:t>
      </w:r>
      <w:r>
        <w:rPr>
          <w:rStyle w:val="FootnoteReference"/>
        </w:rPr>
        <w:footnoteReference w:id="10"/>
      </w:r>
      <w:r w:rsidRPr="004F4ED0">
        <w:t xml:space="preserve">  </w:t>
      </w:r>
      <w:r w:rsidRPr="00697B1A">
        <w:rPr>
          <w:szCs w:val="22"/>
        </w:rPr>
        <w:t xml:space="preserve">The incumbent LEC then </w:t>
      </w:r>
      <w:r>
        <w:rPr>
          <w:szCs w:val="22"/>
        </w:rPr>
        <w:t>allocates</w:t>
      </w:r>
      <w:r w:rsidRPr="00697B1A">
        <w:rPr>
          <w:szCs w:val="22"/>
        </w:rPr>
        <w:t xml:space="preserve"> the costs </w:t>
      </w:r>
      <w:r>
        <w:rPr>
          <w:szCs w:val="22"/>
        </w:rPr>
        <w:t xml:space="preserve">or revenues </w:t>
      </w:r>
      <w:r w:rsidRPr="00697B1A">
        <w:rPr>
          <w:szCs w:val="22"/>
        </w:rPr>
        <w:t xml:space="preserve">in each category between the interstate </w:t>
      </w:r>
      <w:r>
        <w:rPr>
          <w:szCs w:val="22"/>
        </w:rPr>
        <w:t xml:space="preserve">and intrastate </w:t>
      </w:r>
      <w:r w:rsidRPr="00697B1A">
        <w:rPr>
          <w:szCs w:val="22"/>
        </w:rPr>
        <w:t xml:space="preserve">jurisdictions.  </w:t>
      </w:r>
      <w:r>
        <w:rPr>
          <w:szCs w:val="22"/>
        </w:rPr>
        <w:t xml:space="preserve">Amounts in </w:t>
      </w:r>
      <w:r>
        <w:t>categories that are used exclusively for interstate or intrastate communications are directly assigned to the appropriate jurisdiction.</w:t>
      </w:r>
      <w:r>
        <w:rPr>
          <w:vertAlign w:val="superscript"/>
        </w:rPr>
        <w:footnoteReference w:id="11"/>
      </w:r>
      <w:r>
        <w:t xml:space="preserve">  Amounts in categories that support both interstate and intrastate services are allocated between the jurisdictions using </w:t>
      </w:r>
      <w:r w:rsidRPr="00697B1A">
        <w:rPr>
          <w:szCs w:val="22"/>
        </w:rPr>
        <w:t>relative use factor</w:t>
      </w:r>
      <w:r>
        <w:rPr>
          <w:szCs w:val="22"/>
        </w:rPr>
        <w:t xml:space="preserve">s or </w:t>
      </w:r>
      <w:r w:rsidRPr="00697B1A">
        <w:rPr>
          <w:szCs w:val="22"/>
        </w:rPr>
        <w:t>fixed allocator</w:t>
      </w:r>
      <w:r>
        <w:rPr>
          <w:szCs w:val="22"/>
        </w:rPr>
        <w:t>s</w:t>
      </w:r>
      <w:r w:rsidRPr="00697B1A">
        <w:rPr>
          <w:szCs w:val="22"/>
        </w:rPr>
        <w:t>.</w:t>
      </w:r>
      <w:r>
        <w:rPr>
          <w:rStyle w:val="FootnoteReference"/>
          <w:szCs w:val="22"/>
        </w:rPr>
        <w:footnoteReference w:id="12"/>
      </w:r>
    </w:p>
    <w:p w:rsidR="001C34C9" w:rsidP="001C34C9">
      <w:pPr>
        <w:pStyle w:val="ParaNum"/>
      </w:pPr>
      <w:r w:rsidRPr="0098126D">
        <w:t xml:space="preserve">The vast majority of the jurisdictional separations rules were </w:t>
      </w:r>
      <w:r>
        <w:t xml:space="preserve">last updated </w:t>
      </w:r>
      <w:r w:rsidRPr="0098126D">
        <w:t>more than 30 years ago and reflect the mix of services and the marketplace circumstances of that time.</w:t>
      </w:r>
      <w:r>
        <w:rPr>
          <w:rStyle w:val="FootnoteReference"/>
        </w:rPr>
        <w:footnoteReference w:id="13"/>
      </w:r>
      <w:r>
        <w:t xml:space="preserve">  In 1997, the Commission initiated a proceeding to comprehensively reform those rules to ensure that they reflected the statutory, technological, and marketplace changes that had affected the telecommunications industry.</w:t>
      </w:r>
      <w:r>
        <w:rPr>
          <w:rStyle w:val="FootnoteReference"/>
          <w:szCs w:val="22"/>
        </w:rPr>
        <w:footnoteReference w:id="14"/>
      </w:r>
      <w:r>
        <w:t xml:space="preserve">  In the </w:t>
      </w:r>
      <w:r w:rsidRPr="00C65158">
        <w:rPr>
          <w:i/>
        </w:rPr>
        <w:t>2001 Separations Freeze Order</w:t>
      </w:r>
      <w:r>
        <w:t xml:space="preserve">, the Commission, pursuant to a Joint Board recommendation, froze the Part 36 separations rules </w:t>
      </w:r>
      <w:r w:rsidRPr="003571DE">
        <w:t>for a five-year period beginning July 1, 2001, or until the Commission completed comprehensive separations reform, whichever came first</w:t>
      </w:r>
      <w:r>
        <w:t xml:space="preserve"> (“the separations freeze”).</w:t>
      </w:r>
      <w:r>
        <w:rPr>
          <w:rStyle w:val="FootnoteReference"/>
        </w:rPr>
        <w:footnoteReference w:id="15"/>
      </w:r>
      <w:r>
        <w:t xml:space="preserve">  </w:t>
      </w:r>
    </w:p>
    <w:p w:rsidR="001C34C9" w:rsidP="001C34C9">
      <w:pPr>
        <w:pStyle w:val="ParaNum"/>
      </w:pPr>
      <w:r>
        <w:t>More specifically, the Commission adopted a freeze of all Part 36 category relationships and allocation factors for price cap carriers, and a freeze of all allocation factors for rate-of-return carriers.</w:t>
      </w:r>
      <w:r>
        <w:rPr>
          <w:rStyle w:val="FootnoteReference"/>
        </w:rPr>
        <w:footnoteReference w:id="16"/>
      </w:r>
      <w:r>
        <w:t xml:space="preserve">  It also gave rate-of-return carriers </w:t>
      </w:r>
      <w:r w:rsidRPr="00023FA5">
        <w:t xml:space="preserve">a one-time option to freeze their category relationships, </w:t>
      </w:r>
      <w:r>
        <w:t>enabling each of these carriers to</w:t>
      </w:r>
      <w:r w:rsidRPr="00023FA5">
        <w:t xml:space="preserve"> </w:t>
      </w:r>
      <w:r>
        <w:t xml:space="preserve">determine whether such a freeze would be beneficial </w:t>
      </w:r>
      <w:r w:rsidRPr="00023FA5">
        <w:t>“based on its own circumstances and investment plans.”</w:t>
      </w:r>
      <w:r>
        <w:rPr>
          <w:rStyle w:val="FootnoteReference"/>
          <w:szCs w:val="22"/>
        </w:rPr>
        <w:footnoteReference w:id="17"/>
      </w:r>
      <w:r>
        <w:t xml:space="preserve">  The election deadline to opt into the category relationships freeze was June 30, 2001.</w:t>
      </w:r>
      <w:r>
        <w:rPr>
          <w:rStyle w:val="FootnoteReference"/>
        </w:rPr>
        <w:footnoteReference w:id="18"/>
      </w:r>
      <w:r>
        <w:t xml:space="preserve">  </w:t>
      </w:r>
    </w:p>
    <w:p w:rsidR="001C34C9" w:rsidP="007E1EBA">
      <w:pPr>
        <w:pStyle w:val="ParaNum"/>
        <w:widowControl/>
      </w:pPr>
      <w:r>
        <w:t>In adopting the separations freeze, the Commission concluded that several issues, including the separations treatment of Internet traffic, should be addressed in the context of comprehensive separations reform.</w:t>
      </w:r>
      <w:r>
        <w:rPr>
          <w:rStyle w:val="FootnoteReference"/>
        </w:rPr>
        <w:footnoteReference w:id="19"/>
      </w:r>
      <w:r>
        <w:t xml:space="preserve">  </w:t>
      </w:r>
      <w:r w:rsidRPr="003571DE">
        <w:t xml:space="preserve">The Commission </w:t>
      </w:r>
      <w:r>
        <w:t xml:space="preserve">further </w:t>
      </w:r>
      <w:r w:rsidRPr="003571DE">
        <w:t xml:space="preserve">concluded that the freeze would provide stability and regulatory certainty for </w:t>
      </w:r>
      <w:r>
        <w:t>incumbent LE</w:t>
      </w:r>
      <w:r w:rsidRPr="003571DE">
        <w:t xml:space="preserve">Cs by minimizing any impacts on separations results that might occur due to circumstances not contemplated by the Commission’s Part 36 rules, such as growth in local competition and </w:t>
      </w:r>
      <w:r>
        <w:t xml:space="preserve">the adoption of </w:t>
      </w:r>
      <w:r w:rsidRPr="003571DE">
        <w:t>new technologies.</w:t>
      </w:r>
      <w:r>
        <w:rPr>
          <w:rStyle w:val="FootnoteReference"/>
          <w:szCs w:val="22"/>
        </w:rPr>
        <w:footnoteReference w:id="20"/>
      </w:r>
      <w:r w:rsidRPr="003571DE">
        <w:t xml:space="preserve"> </w:t>
      </w:r>
      <w:r>
        <w:t xml:space="preserve"> T</w:t>
      </w:r>
      <w:r w:rsidRPr="003571DE">
        <w:t xml:space="preserve">he Commission </w:t>
      </w:r>
      <w:r>
        <w:t xml:space="preserve">also </w:t>
      </w:r>
      <w:r w:rsidRPr="003571DE">
        <w:t xml:space="preserve">found that a freeze of the separations process would reduce regulatory burdens on </w:t>
      </w:r>
      <w:r>
        <w:t>incumbent LECs during the</w:t>
      </w:r>
      <w:r w:rsidRPr="003571DE">
        <w:t xml:space="preserve"> transition from a regulated monopoly to a deregulated, competitive environment in the local telecommunications marketplace.</w:t>
      </w:r>
      <w:r>
        <w:rPr>
          <w:rStyle w:val="FootnoteReference"/>
          <w:szCs w:val="22"/>
        </w:rPr>
        <w:footnoteReference w:id="21"/>
      </w:r>
      <w:r>
        <w:t xml:space="preserve"> </w:t>
      </w:r>
    </w:p>
    <w:p w:rsidR="001C34C9" w:rsidP="001C34C9">
      <w:pPr>
        <w:pStyle w:val="ParaNum"/>
      </w:pPr>
      <w:r>
        <w:t>The Commission has since granted price cap carriers forbearance from the Part 36 jurisdictional separations rules.</w:t>
      </w:r>
      <w:r>
        <w:rPr>
          <w:rStyle w:val="FootnoteReference"/>
        </w:rPr>
        <w:footnoteReference w:id="22"/>
      </w:r>
      <w:r w:rsidRPr="003571DE">
        <w:t xml:space="preserve"> </w:t>
      </w:r>
      <w:r>
        <w:t xml:space="preserve"> As a result, the separations freeze applies only to rate-of-return carriers, all of whom have frozen </w:t>
      </w:r>
      <w:r w:rsidRPr="003571DE">
        <w:t>allocation factors</w:t>
      </w:r>
      <w:r>
        <w:t>.  Those rate-of-return carriers that chose to freeze their category relationships in 2001</w:t>
      </w:r>
      <w:r w:rsidRPr="003571DE">
        <w:t xml:space="preserve"> </w:t>
      </w:r>
      <w:r>
        <w:t xml:space="preserve">assign </w:t>
      </w:r>
      <w:r w:rsidRPr="003571DE">
        <w:t xml:space="preserve">investment and expenses within </w:t>
      </w:r>
      <w:r>
        <w:t xml:space="preserve">their </w:t>
      </w:r>
      <w:r w:rsidRPr="003571DE">
        <w:t>Part 32 accounts</w:t>
      </w:r>
      <w:r>
        <w:t xml:space="preserve"> to categories using their separations category relationships from 2000,</w:t>
      </w:r>
      <w:r>
        <w:rPr>
          <w:rStyle w:val="FootnoteReference"/>
        </w:rPr>
        <w:footnoteReference w:id="23"/>
      </w:r>
      <w:r w:rsidRPr="003571DE">
        <w:t xml:space="preserve"> and </w:t>
      </w:r>
      <w:r>
        <w:t>allocate their categorized costs between the interstate and intrastate jurisdictions using their allocation factors from 2000</w:t>
      </w:r>
      <w:r w:rsidRPr="003571DE">
        <w:t>.</w:t>
      </w:r>
      <w:r>
        <w:rPr>
          <w:rStyle w:val="FootnoteReference"/>
        </w:rPr>
        <w:footnoteReference w:id="24"/>
      </w:r>
      <w:r w:rsidRPr="003571DE">
        <w:t xml:space="preserve"> </w:t>
      </w:r>
      <w:r>
        <w:t xml:space="preserve"> </w:t>
      </w:r>
      <w:r w:rsidRPr="003571DE">
        <w:t>Th</w:t>
      </w:r>
      <w:r>
        <w:t xml:space="preserve">is </w:t>
      </w:r>
      <w:r w:rsidRPr="003571DE">
        <w:t xml:space="preserve">use </w:t>
      </w:r>
      <w:r>
        <w:t xml:space="preserve">of </w:t>
      </w:r>
      <w:r w:rsidRPr="003571DE">
        <w:t xml:space="preserve">“frozen” category relationships and allocation factors </w:t>
      </w:r>
      <w:r>
        <w:t>frees carriers</w:t>
      </w:r>
      <w:r w:rsidRPr="003571DE">
        <w:t xml:space="preserve"> </w:t>
      </w:r>
      <w:r>
        <w:t>from</w:t>
      </w:r>
      <w:r w:rsidRPr="003571DE">
        <w:t xml:space="preserve"> conduct</w:t>
      </w:r>
      <w:r>
        <w:t>ing</w:t>
      </w:r>
      <w:r w:rsidRPr="003571DE">
        <w:t xml:space="preserve"> separations studies for the duration of the freeze. </w:t>
      </w:r>
      <w:r>
        <w:t xml:space="preserve"> </w:t>
      </w:r>
    </w:p>
    <w:p w:rsidR="001C34C9" w:rsidP="001C34C9">
      <w:pPr>
        <w:pStyle w:val="Heading2"/>
      </w:pPr>
      <w:bookmarkStart w:id="48" w:name="_Toc513476508"/>
      <w:bookmarkStart w:id="49" w:name="_Toc513481744"/>
      <w:bookmarkStart w:id="50" w:name="_Toc513482024"/>
      <w:bookmarkStart w:id="51" w:name="_Toc513645091"/>
      <w:bookmarkStart w:id="52" w:name="_Toc513645695"/>
      <w:bookmarkStart w:id="53" w:name="_Toc513646174"/>
      <w:bookmarkStart w:id="54" w:name="_Toc513741209"/>
      <w:bookmarkStart w:id="55" w:name="_Toc514253288"/>
      <w:bookmarkStart w:id="56" w:name="_Toc514326652"/>
      <w:bookmarkStart w:id="57" w:name="_Toc514928132"/>
      <w:bookmarkStart w:id="58" w:name="_Toc514928281"/>
      <w:bookmarkStart w:id="59" w:name="_Toc514928482"/>
      <w:bookmarkStart w:id="60" w:name="_Toc515456733"/>
      <w:bookmarkStart w:id="61" w:name="_Toc515459223"/>
      <w:r>
        <w:t>Declining Applicability of Jurisdictional Separations Results</w:t>
      </w:r>
      <w:bookmarkEnd w:id="48"/>
      <w:bookmarkEnd w:id="49"/>
      <w:bookmarkEnd w:id="50"/>
      <w:bookmarkEnd w:id="51"/>
      <w:bookmarkEnd w:id="52"/>
      <w:bookmarkEnd w:id="53"/>
      <w:bookmarkEnd w:id="54"/>
      <w:bookmarkEnd w:id="55"/>
      <w:bookmarkEnd w:id="56"/>
      <w:bookmarkEnd w:id="57"/>
      <w:bookmarkEnd w:id="58"/>
      <w:bookmarkEnd w:id="59"/>
      <w:bookmarkEnd w:id="60"/>
      <w:bookmarkEnd w:id="61"/>
      <w:r>
        <w:t xml:space="preserve"> </w:t>
      </w:r>
    </w:p>
    <w:p w:rsidR="001C34C9" w:rsidP="001C34C9">
      <w:pPr>
        <w:pStyle w:val="ParaNum"/>
      </w:pPr>
      <w:r>
        <w:t xml:space="preserve">Over the years, </w:t>
      </w:r>
      <w:r w:rsidRPr="009B3C62">
        <w:t xml:space="preserve">the Commission has undertaken initiatives that reduce the role a carrier’s costs play in the regulation of rates and </w:t>
      </w:r>
      <w:r>
        <w:t xml:space="preserve">in the </w:t>
      </w:r>
      <w:r w:rsidRPr="004E36B4">
        <w:t xml:space="preserve">distribution of </w:t>
      </w:r>
      <w:r>
        <w:t xml:space="preserve">high-cost </w:t>
      </w:r>
      <w:r w:rsidRPr="009B3C62">
        <w:t>universal service support</w:t>
      </w:r>
      <w:r>
        <w:t xml:space="preserve">.  Consequently, </w:t>
      </w:r>
      <w:r w:rsidRPr="009B3C62">
        <w:t xml:space="preserve">the </w:t>
      </w:r>
      <w:r>
        <w:t xml:space="preserve">significance of </w:t>
      </w:r>
      <w:r w:rsidRPr="009B3C62">
        <w:t xml:space="preserve">jurisdictional separations </w:t>
      </w:r>
      <w:r>
        <w:t>results has declined</w:t>
      </w:r>
      <w:r w:rsidRPr="009B3C62">
        <w:t xml:space="preserve">.  </w:t>
      </w:r>
      <w:r>
        <w:t>The first of these initiatives was the application of price cap regulation to the largest local exchange carriers, a step that eventually severed the link between separations results and interstate rates for those carriers.</w:t>
      </w:r>
      <w:r>
        <w:rPr>
          <w:rStyle w:val="FootnoteReference"/>
        </w:rPr>
        <w:footnoteReference w:id="25"/>
      </w:r>
      <w:r>
        <w:t xml:space="preserve">  Subsequently, as noted above, the Commission forbore from application of the jurisdictional separations rules to price cap incumbent LECs, leaving rate-of-return incumbent LECs as the only carriers required to comply with the separations rules.  More recent Commission reforms have eliminated the need for cost data for large portions of rate-of-return carriers’ operations as well.</w:t>
      </w:r>
      <w:r>
        <w:rPr>
          <w:rStyle w:val="FootnoteReference"/>
        </w:rPr>
        <w:footnoteReference w:id="26"/>
      </w:r>
      <w:r>
        <w:t xml:space="preserve">  Specifically, in 2011, as part of comprehensive reform and modernization of the universal service and intercarrier compensation systems, the Commission adopted rate caps (including a transition to bill-and-keep for certain rate elements) for switched access services for rate-of-return carriers, thereby severing the relationship between cost and switched access rates.</w:t>
      </w:r>
      <w:r>
        <w:rPr>
          <w:rStyle w:val="FootnoteReference"/>
        </w:rPr>
        <w:footnoteReference w:id="27"/>
      </w:r>
      <w:r>
        <w:t xml:space="preserve">  In addition, in 2016, the Commission gave </w:t>
      </w:r>
      <w:r w:rsidRPr="00135126">
        <w:t xml:space="preserve">rate-of-return </w:t>
      </w:r>
      <w:r>
        <w:t>carriers the option of receiving high-cost universal service support based on the Alternative-Connect America Cost Model (A</w:t>
      </w:r>
      <w:r>
        <w:noBreakHyphen/>
        <w:t>CAM).</w:t>
      </w:r>
      <w:r>
        <w:rPr>
          <w:rStyle w:val="FootnoteReference"/>
        </w:rPr>
        <w:footnoteReference w:id="28"/>
      </w:r>
      <w:r>
        <w:t xml:space="preserve">  More than 200 carriers opted to receive A</w:t>
      </w:r>
      <w:r>
        <w:noBreakHyphen/>
        <w:t>CAM support, which eliminated the need for those carriers to perform cost studies that required jurisdictional separations to quantify the amount of high-cost support for their common line offerings.</w:t>
      </w:r>
      <w:r>
        <w:rPr>
          <w:rStyle w:val="FootnoteReference"/>
        </w:rPr>
        <w:footnoteReference w:id="29"/>
      </w:r>
      <w:r>
        <w:t xml:space="preserve">  </w:t>
      </w:r>
    </w:p>
    <w:p w:rsidR="001C34C9" w:rsidP="001C34C9">
      <w:pPr>
        <w:pStyle w:val="ParaNum"/>
      </w:pPr>
      <w:r>
        <w:t>As a result of these reforms, rate-of-return carriers now use separations cost results only for the following limited purposes: (a) establishing their business data services (special access) rates; (b) calculating interstate common line support for those carriers that have not elected A</w:t>
      </w:r>
      <w:r>
        <w:noBreakHyphen/>
        <w:t>CAM support; and (c) calculating subscriber line charge (SLC) levels for the minority of carriers whose SLCs are below the maximum level.</w:t>
      </w:r>
      <w:r>
        <w:rPr>
          <w:rStyle w:val="FootnoteReference"/>
        </w:rPr>
        <w:footnoteReference w:id="30"/>
      </w:r>
      <w:r>
        <w:t xml:space="preserve">  The Universal Service Administrative Company (USAC) uses categorization results for calculating high-cost loop support, but without applying jurisdictional allocations.</w:t>
      </w:r>
      <w:r>
        <w:rPr>
          <w:rStyle w:val="FootnoteReference"/>
        </w:rPr>
        <w:footnoteReference w:id="31"/>
      </w:r>
      <w:r>
        <w:t xml:space="preserve">  States also use separations results to determine the amount of intrastate universal service support and to calculate regulatory fees, and some states perform rate-of-return ratemaking using intrastate costs.</w:t>
      </w:r>
    </w:p>
    <w:p w:rsidR="001C34C9" w:rsidP="001C34C9">
      <w:pPr>
        <w:pStyle w:val="ParaNum"/>
      </w:pPr>
      <w:bookmarkStart w:id="62" w:name="_Hlk514145175"/>
      <w:r>
        <w:t>We expect that the use of jurisdictional separations will continue to decline.  For example, earlier this year, the Commission adopted a Notice of Proposed Rulemaking that seeks comment on migrating additional rate-of-return carriers to model-based support.</w:t>
      </w:r>
      <w:r>
        <w:rPr>
          <w:rStyle w:val="FootnoteReference"/>
        </w:rPr>
        <w:footnoteReference w:id="32"/>
      </w:r>
      <w:r>
        <w:t xml:space="preserve">  In a more recent Notice of Proposed Rulemaking, the Commission proposed to allow A</w:t>
      </w:r>
      <w:r>
        <w:noBreakHyphen/>
        <w:t>CAM carriers to transition their business data services offerings from rate-of-return to incentive-based regulation.</w:t>
      </w:r>
      <w:r>
        <w:rPr>
          <w:rStyle w:val="FootnoteReference"/>
        </w:rPr>
        <w:footnoteReference w:id="33"/>
      </w:r>
    </w:p>
    <w:p w:rsidR="001C34C9" w:rsidP="001C34C9">
      <w:pPr>
        <w:pStyle w:val="Heading2"/>
      </w:pPr>
      <w:bookmarkStart w:id="63" w:name="_Toc514326653"/>
      <w:bookmarkStart w:id="64" w:name="_Toc514928133"/>
      <w:bookmarkStart w:id="65" w:name="_Toc514928282"/>
      <w:bookmarkStart w:id="66" w:name="_Toc514928483"/>
      <w:bookmarkStart w:id="67" w:name="_Toc515456734"/>
      <w:bookmarkStart w:id="68" w:name="_Toc515459224"/>
      <w:r>
        <w:t>Procedural History</w:t>
      </w:r>
      <w:bookmarkEnd w:id="63"/>
      <w:bookmarkEnd w:id="64"/>
      <w:bookmarkEnd w:id="65"/>
      <w:bookmarkEnd w:id="66"/>
      <w:bookmarkEnd w:id="67"/>
      <w:bookmarkEnd w:id="68"/>
    </w:p>
    <w:p w:rsidR="001C34C9" w:rsidP="001C34C9">
      <w:pPr>
        <w:pStyle w:val="ParaNum"/>
      </w:pPr>
      <w:r>
        <w:t>T</w:t>
      </w:r>
      <w:r w:rsidRPr="00A85C71">
        <w:t xml:space="preserve">he Commission has extended the </w:t>
      </w:r>
      <w:r>
        <w:t xml:space="preserve">separations </w:t>
      </w:r>
      <w:r w:rsidRPr="00A85C71">
        <w:t>freeze</w:t>
      </w:r>
      <w:r w:rsidRPr="0087161B">
        <w:t xml:space="preserve"> </w:t>
      </w:r>
      <w:r>
        <w:t>seven</w:t>
      </w:r>
      <w:r w:rsidRPr="0087161B">
        <w:t xml:space="preserve"> </w:t>
      </w:r>
      <w:r>
        <w:t>times</w:t>
      </w:r>
      <w:r w:rsidRPr="00A85C71">
        <w:t xml:space="preserve">, </w:t>
      </w:r>
      <w:r>
        <w:t>with the most recent extension set</w:t>
      </w:r>
      <w:r w:rsidRPr="00A85C71">
        <w:t xml:space="preserve"> to expire on December 31, 2018.</w:t>
      </w:r>
      <w:r>
        <w:rPr>
          <w:vertAlign w:val="superscript"/>
        </w:rPr>
        <w:footnoteReference w:id="34"/>
      </w:r>
      <w:r w:rsidRPr="00A85C71">
        <w:t xml:space="preserve">  In adopting </w:t>
      </w:r>
      <w:r>
        <w:t>and extending the freeze</w:t>
      </w:r>
      <w:r w:rsidRPr="00A85C71">
        <w:t xml:space="preserve">, the </w:t>
      </w:r>
      <w:r>
        <w:t>C</w:t>
      </w:r>
      <w:r w:rsidRPr="00A85C71">
        <w:t xml:space="preserve">ommission </w:t>
      </w:r>
      <w:r>
        <w:t>has reasoned that the freeze would stabilize and simplify the separations process while the Joint Board and the Commission continued to work on separations reform.</w:t>
      </w:r>
      <w:r>
        <w:rPr>
          <w:rStyle w:val="FootnoteReference"/>
        </w:rPr>
        <w:footnoteReference w:id="35"/>
      </w:r>
      <w:r>
        <w:t xml:space="preserve">  In its most recent freeze extension order, the Commission also explained that an extension until December 31, 2018, would provide the Joint Board with sufficient time to consider what </w:t>
      </w:r>
      <w:r w:rsidRPr="00513214">
        <w:t>effect</w:t>
      </w:r>
      <w:r>
        <w:t>s</w:t>
      </w:r>
      <w:r w:rsidRPr="00513214">
        <w:t xml:space="preserve"> the Commission’s </w:t>
      </w:r>
      <w:r>
        <w:t xml:space="preserve">most recent </w:t>
      </w:r>
      <w:r w:rsidRPr="00513214">
        <w:t>reforms to the high-cost universal service program and intercarrier compensation</w:t>
      </w:r>
      <w:r>
        <w:t xml:space="preserve"> should have on the separations rules</w:t>
      </w:r>
      <w:r w:rsidRPr="00513214">
        <w:t>.</w:t>
      </w:r>
      <w:r>
        <w:rPr>
          <w:rStyle w:val="FootnoteReference"/>
        </w:rPr>
        <w:footnoteReference w:id="36"/>
      </w:r>
      <w:r w:rsidRPr="005432C9">
        <w:t xml:space="preserve"> </w:t>
      </w:r>
      <w:r>
        <w:t xml:space="preserve"> </w:t>
      </w:r>
    </w:p>
    <w:p w:rsidR="001C34C9" w:rsidP="001C34C9">
      <w:pPr>
        <w:pStyle w:val="ParaNum"/>
      </w:pPr>
      <w:r w:rsidRPr="001A7E65">
        <w:t>Since the Commission initiated this proceeding in 1997, the Joint Board</w:t>
      </w:r>
      <w:r>
        <w:t>—comprised of both state and federal members—</w:t>
      </w:r>
      <w:r w:rsidRPr="001A7E65">
        <w:t>has been attempting to develop recommendations for comprehensive reform</w:t>
      </w:r>
      <w:r>
        <w:t xml:space="preserve">.  In </w:t>
      </w:r>
      <w:r w:rsidRPr="001A7E65">
        <w:t xml:space="preserve">response to the Commission’s </w:t>
      </w:r>
      <w:r>
        <w:t>initial referral</w:t>
      </w:r>
      <w:r w:rsidRPr="001A7E65">
        <w:t xml:space="preserve">, the State Members </w:t>
      </w:r>
      <w:r>
        <w:t xml:space="preserve">of the Joint Board </w:t>
      </w:r>
      <w:r w:rsidRPr="001A7E65">
        <w:t>filed a report identifying issues they believed should be addressed.</w:t>
      </w:r>
      <w:r>
        <w:rPr>
          <w:rStyle w:val="FootnoteReference"/>
        </w:rPr>
        <w:footnoteReference w:id="37"/>
      </w:r>
      <w:r w:rsidRPr="001A7E65">
        <w:t xml:space="preserve">  Over the years, </w:t>
      </w:r>
      <w:r>
        <w:t xml:space="preserve">the </w:t>
      </w:r>
      <w:r w:rsidRPr="001A7E65">
        <w:t xml:space="preserve">State Members filed policy papers setting out options for reform, the Commission </w:t>
      </w:r>
      <w:r>
        <w:t xml:space="preserve">or the Joint Board </w:t>
      </w:r>
      <w:r w:rsidRPr="001A7E65">
        <w:t>sought commen</w:t>
      </w:r>
      <w:r>
        <w:t>t,</w:t>
      </w:r>
      <w:r w:rsidRPr="001A7E65">
        <w:t xml:space="preserve"> and the Joint Board held hearings and meetings to consider the various proposals.</w:t>
      </w:r>
      <w:r>
        <w:rPr>
          <w:rStyle w:val="FootnoteReference"/>
        </w:rPr>
        <w:footnoteReference w:id="38"/>
      </w:r>
      <w:r w:rsidRPr="001A7E65">
        <w:t xml:space="preserve">  Nevertheless, despite the Commission’s repeated extensions of the separations freeze to provide the Joint Board with additional time to </w:t>
      </w:r>
      <w:r>
        <w:t>issue a Recommended Decision</w:t>
      </w:r>
      <w:r w:rsidRPr="001A7E65">
        <w:t xml:space="preserve">, the Joint Board has </w:t>
      </w:r>
      <w:r>
        <w:t>not recommended comprehensive reforms.</w:t>
      </w:r>
      <w:r>
        <w:rPr>
          <w:rFonts w:eastAsia="Calibri"/>
          <w:snapToGrid/>
          <w:sz w:val="20"/>
          <w:szCs w:val="22"/>
          <w:vertAlign w:val="superscript"/>
        </w:rPr>
        <w:footnoteReference w:id="39"/>
      </w:r>
    </w:p>
    <w:p w:rsidR="001C34C9" w:rsidRPr="007A16E3" w:rsidP="001C34C9">
      <w:pPr>
        <w:pStyle w:val="ParaNum"/>
        <w:rPr>
          <w:szCs w:val="22"/>
        </w:rPr>
      </w:pPr>
      <w:bookmarkStart w:id="69" w:name="_Ref514775502"/>
      <w:r>
        <w:t xml:space="preserve">The Commission has twice waived the category relationships freeze to allow individual carriers to adjust the </w:t>
      </w:r>
      <w:r w:rsidRPr="00264F92">
        <w:t>amounts assigned to separations categories to reflect network upgrades</w:t>
      </w:r>
      <w:r>
        <w:t>.</w:t>
      </w:r>
      <w:r>
        <w:rPr>
          <w:rStyle w:val="FootnoteReference"/>
        </w:rPr>
        <w:footnoteReference w:id="40"/>
      </w:r>
      <w:r w:rsidRPr="003571DE">
        <w:t xml:space="preserve">  </w:t>
      </w:r>
      <w:r>
        <w:t>In 2010, the Commission waived that freeze to allow Gila River Telecommunications, Inc., a tribally owned carrier that had upgraded its local loop plant in order to increase the telephone penetration rate in its extremely high-cost service territory, to increase the high-cost loop support it received from the Universal Service Fund (USF) consistent with prior waivers of other universal service rules for carriers serving tribal lands.</w:t>
      </w:r>
      <w:r>
        <w:rPr>
          <w:rStyle w:val="FootnoteReference"/>
        </w:rPr>
        <w:footnoteReference w:id="41"/>
      </w:r>
      <w:r w:rsidRPr="00924880">
        <w:t xml:space="preserve"> </w:t>
      </w:r>
      <w:r>
        <w:t xml:space="preserve"> In 2012, the Wireline Competition Bureau (</w:t>
      </w:r>
      <w:r w:rsidRPr="00F341A5">
        <w:t>Bureau</w:t>
      </w:r>
      <w:r>
        <w:t>)</w:t>
      </w:r>
      <w:r w:rsidRPr="00F341A5">
        <w:t xml:space="preserve"> </w:t>
      </w:r>
      <w:r>
        <w:t xml:space="preserve">also waived the category relationships freeze to allow Eastex Telephone Cooperative, Inc. (Eastex), a rural cooperative that had upgraded its network with soft switches and fiber to improve its broadband services, to increase its settlements </w:t>
      </w:r>
      <w:r w:rsidRPr="004A5F7C">
        <w:rPr>
          <w:szCs w:val="22"/>
        </w:rPr>
        <w:t xml:space="preserve">from </w:t>
      </w:r>
      <w:r>
        <w:t>the National Exchange Carrier Association, Inc. (NECA) special access pool, reducing Eastex’s reliance on the USF.</w:t>
      </w:r>
      <w:r>
        <w:rPr>
          <w:rStyle w:val="FootnoteReference"/>
        </w:rPr>
        <w:footnoteReference w:id="42"/>
      </w:r>
      <w:bookmarkEnd w:id="69"/>
    </w:p>
    <w:p w:rsidR="001C34C9" w:rsidP="001C34C9">
      <w:pPr>
        <w:pStyle w:val="Heading1"/>
      </w:pPr>
      <w:bookmarkStart w:id="70" w:name="_Toc512606179"/>
      <w:bookmarkStart w:id="71" w:name="_Toc513476509"/>
      <w:bookmarkStart w:id="72" w:name="_Toc513481745"/>
      <w:bookmarkStart w:id="73" w:name="_Toc513482025"/>
      <w:bookmarkStart w:id="74" w:name="_Toc513645092"/>
      <w:bookmarkStart w:id="75" w:name="_Toc513645696"/>
      <w:bookmarkStart w:id="76" w:name="_Toc513646175"/>
      <w:bookmarkStart w:id="77" w:name="_Toc513741210"/>
      <w:bookmarkStart w:id="78" w:name="_Toc514253289"/>
      <w:bookmarkStart w:id="79" w:name="_Toc514326654"/>
      <w:bookmarkStart w:id="80" w:name="_Toc514928134"/>
      <w:bookmarkStart w:id="81" w:name="_Toc514928283"/>
      <w:bookmarkStart w:id="82" w:name="_Toc514928484"/>
      <w:bookmarkStart w:id="83" w:name="_Toc515456735"/>
      <w:bookmarkStart w:id="84" w:name="_Toc515459225"/>
      <w:bookmarkStart w:id="85" w:name="_Toc511750838"/>
      <w:bookmarkEnd w:id="62"/>
      <w:r>
        <w:t>Discussion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1C34C9" w:rsidP="001C34C9">
      <w:pPr>
        <w:pStyle w:val="ParaNum"/>
      </w:pPr>
      <w:r>
        <w:t xml:space="preserve">We view jurisdictional separations reform, and the question of whether to extend the separations freeze, in light of our ongoing efforts to transition from rate-of-return to incentive regulation and to eliminate or avoid imposing any unnecessary burdens on carriers.  After weighing the likely benefits of extending the freeze against the likely costs of allowing it to end on December 31, 2018, we propose to extend the separations freeze for 15 years and to provide a time-limited opportunity for carriers that elected the category relationships freeze to opt out of that freeze.  We invite comment on these proposals and on </w:t>
      </w:r>
      <w:r w:rsidRPr="00A31D48">
        <w:t xml:space="preserve">the proposed rule changes </w:t>
      </w:r>
      <w:r>
        <w:t xml:space="preserve">set forth </w:t>
      </w:r>
      <w:r w:rsidRPr="00A31D48">
        <w:t>in Appendix A</w:t>
      </w:r>
      <w:r>
        <w:t>.  We also invite comment on whether we should modify any other aspects of the separations freeze if we adopt our proposal to extend it.</w:t>
      </w:r>
    </w:p>
    <w:p w:rsidR="001C34C9" w:rsidP="001C34C9">
      <w:pPr>
        <w:pStyle w:val="Heading2"/>
      </w:pPr>
      <w:bookmarkStart w:id="86" w:name="_Toc512606180"/>
      <w:bookmarkStart w:id="87" w:name="_Toc513476510"/>
      <w:bookmarkStart w:id="88" w:name="_Toc513481746"/>
      <w:bookmarkStart w:id="89" w:name="_Toc513482026"/>
      <w:bookmarkStart w:id="90" w:name="_Toc513645093"/>
      <w:bookmarkStart w:id="91" w:name="_Toc513645697"/>
      <w:bookmarkStart w:id="92" w:name="_Toc513646176"/>
      <w:bookmarkStart w:id="93" w:name="_Toc513741211"/>
      <w:bookmarkStart w:id="94" w:name="_Toc514253290"/>
      <w:bookmarkStart w:id="95" w:name="_Toc514326655"/>
      <w:bookmarkStart w:id="96" w:name="_Toc514928135"/>
      <w:bookmarkStart w:id="97" w:name="_Toc514928284"/>
      <w:bookmarkStart w:id="98" w:name="_Toc514928485"/>
      <w:bookmarkStart w:id="99" w:name="_Toc515456736"/>
      <w:bookmarkStart w:id="100" w:name="_Toc515459226"/>
      <w:r>
        <w:t>Further Extending the Separations Freeze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1C34C9" w:rsidRPr="00E9089D" w:rsidP="001C34C9">
      <w:pPr>
        <w:pStyle w:val="ParaNum"/>
      </w:pPr>
      <w:r>
        <w:t>C</w:t>
      </w:r>
      <w:r w:rsidRPr="009E0216">
        <w:t>ompletion of comprehensive separations reform by the expiration of the freeze on December 31, 2018</w:t>
      </w:r>
      <w:r w:rsidRPr="00D46BC0">
        <w:t xml:space="preserve"> is highly unlikely.  Most fundamentally, </w:t>
      </w:r>
      <w:r>
        <w:t xml:space="preserve">we would prefer not to move forward on separations reform without a </w:t>
      </w:r>
      <w:r w:rsidRPr="00D46BC0">
        <w:t xml:space="preserve">Joint Board </w:t>
      </w:r>
      <w:r w:rsidRPr="00E9089D">
        <w:t>recommend</w:t>
      </w:r>
      <w:r>
        <w:t>ation on</w:t>
      </w:r>
      <w:r w:rsidRPr="00E9089D">
        <w:t xml:space="preserve"> an approach to </w:t>
      </w:r>
      <w:r>
        <w:t>such</w:t>
      </w:r>
      <w:r w:rsidRPr="00E9089D">
        <w:t xml:space="preserve"> reform, and the Board is not close to </w:t>
      </w:r>
      <w:r>
        <w:t>reaching a recommendation</w:t>
      </w:r>
      <w:r w:rsidRPr="00E9089D">
        <w:t>.</w:t>
      </w:r>
      <w:r>
        <w:rPr>
          <w:rStyle w:val="FootnoteReference"/>
        </w:rPr>
        <w:footnoteReference w:id="43"/>
      </w:r>
      <w:r w:rsidRPr="00E9089D">
        <w:t xml:space="preserve">  As </w:t>
      </w:r>
      <w:r>
        <w:t>Commissioner</w:t>
      </w:r>
      <w:r w:rsidRPr="00E9089D">
        <w:t xml:space="preserve"> Michael O’Rielly</w:t>
      </w:r>
      <w:r>
        <w:t>, Chairman of the Joint Board,</w:t>
      </w:r>
      <w:r w:rsidRPr="00E9089D">
        <w:t xml:space="preserve"> recently observed, “the viewpoints” within the Joint Board “are so vastly different on this complex issue that finding commonality is not going to [be] possible in the near term.”</w:t>
      </w:r>
      <w:r>
        <w:rPr>
          <w:rStyle w:val="FootnoteReference"/>
        </w:rPr>
        <w:footnoteReference w:id="44"/>
      </w:r>
      <w:r w:rsidRPr="00E9089D">
        <w:t xml:space="preserve">  Moreover, even if the Joint Board</w:t>
      </w:r>
      <w:r>
        <w:t xml:space="preserve"> were to offer a recommendation for our consideration</w:t>
      </w:r>
      <w:r w:rsidRPr="006E4ED9">
        <w:t>, we would then likely seek comment on th</w:t>
      </w:r>
      <w:r>
        <w:t xml:space="preserve">at </w:t>
      </w:r>
      <w:r w:rsidRPr="006E4ED9">
        <w:t>recommendation before issuing an order revising the separations rules</w:t>
      </w:r>
      <w:r w:rsidRPr="009E0216">
        <w:t>.</w:t>
      </w:r>
      <w:r>
        <w:rPr>
          <w:rStyle w:val="FootnoteReference"/>
        </w:rPr>
        <w:footnoteReference w:id="45"/>
      </w:r>
      <w:r w:rsidRPr="00E9089D">
        <w:t xml:space="preserve">  </w:t>
      </w:r>
      <w:r>
        <w:t>Therefore, as a practical matter</w:t>
      </w:r>
      <w:r w:rsidRPr="00E9089D">
        <w:t xml:space="preserve">, we must choose between extending the separations freeze and allowing long-unused separations rules to take effect on January 1, 2019. </w:t>
      </w:r>
    </w:p>
    <w:p w:rsidR="001C34C9" w:rsidP="001C34C9">
      <w:pPr>
        <w:pStyle w:val="ParaNum"/>
      </w:pPr>
      <w:r>
        <w:t>The Commission has previously found that letting the freeze expire and allowing largely outmoded separations rules to be reinstated would impose significant burdens on rate-of-return carriers and create undue instability.</w:t>
      </w:r>
      <w:r>
        <w:rPr>
          <w:rStyle w:val="FootnoteReference"/>
        </w:rPr>
        <w:footnoteReference w:id="46"/>
      </w:r>
      <w:r>
        <w:t xml:space="preserve">  In extending the freeze in 2017, the Commission explained</w:t>
      </w:r>
      <w:r w:rsidRPr="00486A4A">
        <w:rPr>
          <w:szCs w:val="22"/>
        </w:rPr>
        <w:t xml:space="preserve"> that </w:t>
      </w:r>
      <w:r>
        <w:rPr>
          <w:szCs w:val="22"/>
        </w:rPr>
        <w:t xml:space="preserve">reinstating </w:t>
      </w:r>
      <w:r w:rsidRPr="00486A4A">
        <w:rPr>
          <w:szCs w:val="22"/>
        </w:rPr>
        <w:t>the</w:t>
      </w:r>
      <w:r w:rsidRPr="004C1520">
        <w:t xml:space="preserve"> separations rules</w:t>
      </w:r>
      <w:r>
        <w:t xml:space="preserve"> </w:t>
      </w:r>
      <w:r w:rsidRPr="004C1520">
        <w:t xml:space="preserve">would require substantial training and investment by </w:t>
      </w:r>
      <w:r>
        <w:t xml:space="preserve">rural incumbent </w:t>
      </w:r>
      <w:r w:rsidRPr="004C1520">
        <w:t xml:space="preserve">LECs, </w:t>
      </w:r>
      <w:r>
        <w:t xml:space="preserve">and </w:t>
      </w:r>
      <w:r w:rsidRPr="004C1520">
        <w:t>could cause significant disruptions in regulated rates, cost recovery</w:t>
      </w:r>
      <w:r>
        <w:t>,</w:t>
      </w:r>
      <w:r w:rsidRPr="004C1520">
        <w:t xml:space="preserve"> and other operating conditions.</w:t>
      </w:r>
      <w:r>
        <w:rPr>
          <w:rStyle w:val="FootnoteReference"/>
        </w:rPr>
        <w:footnoteReference w:id="47"/>
      </w:r>
      <w:r w:rsidRPr="004C1520">
        <w:t xml:space="preserve"> </w:t>
      </w:r>
      <w:r>
        <w:t xml:space="preserve"> The Commission found that the “clear benefits that will result from granting a further extension” of the freeze outweighed any possible harms.</w:t>
      </w:r>
      <w:r>
        <w:rPr>
          <w:rStyle w:val="FootnoteReference"/>
        </w:rPr>
        <w:footnoteReference w:id="48"/>
      </w:r>
      <w:r>
        <w:t xml:space="preserve">  It concluded that requiring carriers to reinstate their separations systems “would be unduly burdensome when there is a significant likelihood that there would be no lasting benefit to doing so.”</w:t>
      </w:r>
      <w:r>
        <w:rPr>
          <w:rStyle w:val="FootnoteReference"/>
        </w:rPr>
        <w:footnoteReference w:id="49"/>
      </w:r>
      <w:r>
        <w:t xml:space="preserve">  </w:t>
      </w:r>
    </w:p>
    <w:p w:rsidR="001C34C9" w:rsidRPr="00D46BC0" w:rsidP="001C34C9">
      <w:pPr>
        <w:pStyle w:val="ParaNum"/>
      </w:pPr>
      <w:r>
        <w:t>We find the Commission’s prior analysis compelling and, similarly, that the benefits of an additional extension of the freeze likely would far outweigh any potential harms.  We therefore propose to extend the separations freeze and to direct r</w:t>
      </w:r>
      <w:r w:rsidRPr="003571DE">
        <w:t xml:space="preserve">ate-of-return </w:t>
      </w:r>
      <w:r>
        <w:t xml:space="preserve">incumbent </w:t>
      </w:r>
      <w:r w:rsidRPr="003571DE">
        <w:t xml:space="preserve">LECs </w:t>
      </w:r>
      <w:r>
        <w:t xml:space="preserve">to continue to </w:t>
      </w:r>
      <w:r w:rsidRPr="003571DE">
        <w:t>use the same frozen jurisdictional allocation factors</w:t>
      </w:r>
      <w:r>
        <w:t>.  We invite comment on this proposal and on the relative costs and benefits o</w:t>
      </w:r>
      <w:r w:rsidRPr="00D46BC0">
        <w:t>f continuing the separations freeze.</w:t>
      </w:r>
    </w:p>
    <w:p w:rsidR="001C34C9" w:rsidRPr="00D46BC0" w:rsidP="001C34C9">
      <w:pPr>
        <w:pStyle w:val="ParaNum"/>
      </w:pPr>
      <w:r>
        <w:t>In view of these circumstances, w</w:t>
      </w:r>
      <w:r w:rsidRPr="00D46BC0">
        <w:t>e propose to extend the freeze for 15 years</w:t>
      </w:r>
      <w:r>
        <w:t xml:space="preserve"> and invite comment on this proposal.</w:t>
      </w:r>
      <w:r>
        <w:rPr>
          <w:rStyle w:val="FootnoteReference"/>
        </w:rPr>
        <w:footnoteReference w:id="50"/>
      </w:r>
      <w:r>
        <w:t xml:space="preserve">  We </w:t>
      </w:r>
      <w:r w:rsidRPr="00D46BC0">
        <w:t xml:space="preserve">also invite comment </w:t>
      </w:r>
      <w:r>
        <w:t xml:space="preserve">on </w:t>
      </w:r>
      <w:r w:rsidRPr="00D46BC0">
        <w:t>whether a short</w:t>
      </w:r>
      <w:r>
        <w:t>er</w:t>
      </w:r>
      <w:r w:rsidRPr="00D46BC0">
        <w:t xml:space="preserve"> extension would be preferable</w:t>
      </w:r>
      <w:r>
        <w:t>.</w:t>
      </w:r>
      <w:r w:rsidRPr="00D46BC0">
        <w:t xml:space="preserve">  We ask that commenters discuss the advantages and disadvantages of a long or short extension period, and provide specific reasons in support of their recommended timeframes.  </w:t>
      </w:r>
      <w:r w:rsidRPr="00B55D0B">
        <w:t xml:space="preserve">What effect, if any, would particular extension periods have on ratepayers?  Is our choice of an extension period likely to distort rate levels?  </w:t>
      </w:r>
      <w:r w:rsidRPr="00D46BC0">
        <w:t xml:space="preserve">Commenters supporting relatively short extension periods should also take into account the time necessary for the Commission and the industry to implement any separations decisions and rule changes.  </w:t>
      </w:r>
    </w:p>
    <w:p w:rsidR="001C34C9" w:rsidP="001C34C9">
      <w:pPr>
        <w:pStyle w:val="ParaNum"/>
      </w:pPr>
      <w:r>
        <w:t xml:space="preserve">In this regard, we recognize that the issues before the Joint Board are extremely complex, and the Federal and State members of the Joint Board have not issued a Recommended Decision on comprehensive separations reform in the two decades since the Commission originally proposed such reform.  As such, how likely is it that the Joint Board will issue a Recommended Decision on comprehensive separations reform within a relatively short extension period?  If consensus within that timeframe is unlikely, should the Commission adopt a relatively long extension?  </w:t>
      </w:r>
      <w:r w:rsidRPr="00D46BC0">
        <w:t xml:space="preserve">Or should we permanently extend the </w:t>
      </w:r>
      <w:r>
        <w:t xml:space="preserve">separations </w:t>
      </w:r>
      <w:r w:rsidRPr="00D46BC0">
        <w:t>freeze, as USTelecom suggests?</w:t>
      </w:r>
      <w:r>
        <w:rPr>
          <w:rStyle w:val="FootnoteReference"/>
        </w:rPr>
        <w:footnoteReference w:id="51"/>
      </w:r>
      <w:r w:rsidRPr="00D46BC0">
        <w:t xml:space="preserve">  </w:t>
      </w:r>
      <w:r>
        <w:t>Would a relatively long or permanent extension be inconsistent with section 201(b) of the Act’s prohibition on unjust and unreasonable charges?</w:t>
      </w:r>
      <w:r>
        <w:rPr>
          <w:rStyle w:val="FootnoteReference"/>
        </w:rPr>
        <w:footnoteReference w:id="52"/>
      </w:r>
    </w:p>
    <w:p w:rsidR="001C34C9" w:rsidRPr="001021F6" w:rsidP="007E1EBA">
      <w:pPr>
        <w:pStyle w:val="ParaNum"/>
        <w:widowControl/>
      </w:pPr>
      <w:r w:rsidRPr="001021F6">
        <w:t xml:space="preserve">We also </w:t>
      </w:r>
      <w:r>
        <w:t xml:space="preserve">seek comment on </w:t>
      </w:r>
      <w:r w:rsidRPr="001021F6">
        <w:t xml:space="preserve">whether </w:t>
      </w:r>
      <w:r>
        <w:t>the Commission should change the scope of the issues referred to the Joint Board.</w:t>
      </w:r>
      <w:r w:rsidRPr="001021F6">
        <w:t xml:space="preserve">  In April 2017, </w:t>
      </w:r>
      <w:r w:rsidRPr="00016001">
        <w:rPr>
          <w:rFonts w:eastAsia="Calibri"/>
          <w:snapToGrid/>
          <w:kern w:val="0"/>
        </w:rPr>
        <w:t>the Joint Board issued a public notice seeking comment to refresh the record on issues related to comprehensive</w:t>
      </w:r>
      <w:r>
        <w:rPr>
          <w:rFonts w:eastAsia="Calibri"/>
          <w:snapToGrid/>
          <w:kern w:val="0"/>
        </w:rPr>
        <w:t>,</w:t>
      </w:r>
      <w:r w:rsidRPr="00016001">
        <w:rPr>
          <w:rFonts w:eastAsia="Calibri"/>
          <w:snapToGrid/>
          <w:kern w:val="0"/>
        </w:rPr>
        <w:t xml:space="preserve"> permanent separations reform.</w:t>
      </w:r>
      <w:r>
        <w:rPr>
          <w:rFonts w:eastAsia="Calibri"/>
          <w:snapToGrid/>
          <w:kern w:val="0"/>
          <w:vertAlign w:val="superscript"/>
        </w:rPr>
        <w:footnoteReference w:id="53"/>
      </w:r>
      <w:r w:rsidRPr="00016001">
        <w:rPr>
          <w:rFonts w:eastAsia="Calibri"/>
          <w:snapToGrid/>
          <w:kern w:val="0"/>
        </w:rPr>
        <w:t xml:space="preserve">  </w:t>
      </w:r>
      <w:r w:rsidRPr="001021F6">
        <w:t>Several commenters in response to th</w:t>
      </w:r>
      <w:r>
        <w:t>at</w:t>
      </w:r>
      <w:r w:rsidRPr="001021F6">
        <w:t xml:space="preserve"> public notice </w:t>
      </w:r>
      <w:r>
        <w:t xml:space="preserve">recognized the steadily diminishing role of separations results </w:t>
      </w:r>
      <w:r w:rsidRPr="001021F6">
        <w:t xml:space="preserve">in </w:t>
      </w:r>
      <w:r>
        <w:t xml:space="preserve">federal and state regulation, </w:t>
      </w:r>
      <w:r w:rsidRPr="001021F6">
        <w:t xml:space="preserve">and </w:t>
      </w:r>
      <w:r>
        <w:t xml:space="preserve">argued </w:t>
      </w:r>
      <w:r w:rsidRPr="001021F6">
        <w:t>that the Commission should not undertake comprehensive separations reform at the present time because it would be premature, disruptive, and counterproductive.</w:t>
      </w:r>
      <w:r>
        <w:rPr>
          <w:rStyle w:val="FootnoteReference"/>
          <w:sz w:val="22"/>
          <w:szCs w:val="22"/>
        </w:rPr>
        <w:footnoteReference w:id="54"/>
      </w:r>
      <w:r w:rsidRPr="001021F6">
        <w:t xml:space="preserve">  </w:t>
      </w:r>
      <w:r>
        <w:t>In view of that opposition, should we find that any separations reform in the foreseeable future should be narrowly targeted and change the scope of the issues referred to the Joint Board accordingly?  If so, how should we modify the referral to the Joint Board?</w:t>
      </w:r>
    </w:p>
    <w:p w:rsidR="001C34C9" w:rsidP="001C34C9">
      <w:pPr>
        <w:pStyle w:val="Heading2"/>
      </w:pPr>
      <w:bookmarkStart w:id="102" w:name="_Toc513476511"/>
      <w:bookmarkStart w:id="103" w:name="_Toc513481747"/>
      <w:bookmarkStart w:id="104" w:name="_Toc513482027"/>
      <w:bookmarkStart w:id="105" w:name="_Toc513645094"/>
      <w:bookmarkStart w:id="106" w:name="_Toc513645698"/>
      <w:bookmarkStart w:id="107" w:name="_Toc513646177"/>
      <w:bookmarkStart w:id="108" w:name="_Toc513741212"/>
      <w:bookmarkStart w:id="109" w:name="_Toc514253291"/>
      <w:bookmarkStart w:id="110" w:name="_Toc514326656"/>
      <w:bookmarkStart w:id="111" w:name="_Toc514928136"/>
      <w:bookmarkStart w:id="112" w:name="_Toc514928285"/>
      <w:bookmarkStart w:id="113" w:name="_Toc514928486"/>
      <w:bookmarkStart w:id="114" w:name="_Toc515456737"/>
      <w:bookmarkStart w:id="115" w:name="_Toc515459227"/>
      <w:r>
        <w:rPr>
          <w:snapToGrid/>
        </w:rPr>
        <w:t xml:space="preserve">Allowing Carriers that Elected the </w:t>
      </w:r>
      <w:r w:rsidRPr="00907CE8">
        <w:rPr>
          <w:snapToGrid/>
        </w:rPr>
        <w:t>Category Relationship</w:t>
      </w:r>
      <w:r>
        <w:rPr>
          <w:snapToGrid/>
        </w:rPr>
        <w:t>s</w:t>
      </w:r>
      <w:r w:rsidRPr="00907CE8">
        <w:rPr>
          <w:snapToGrid/>
        </w:rPr>
        <w:t xml:space="preserve"> Freez</w:t>
      </w:r>
      <w:r>
        <w:rPr>
          <w:snapToGrid/>
        </w:rPr>
        <w:t>e</w:t>
      </w:r>
      <w:r>
        <w:t xml:space="preserve"> an Opportunity to Change Their Elections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1C34C9" w:rsidP="001C34C9">
      <w:pPr>
        <w:pStyle w:val="ParaNum"/>
      </w:pPr>
      <w:r>
        <w:t xml:space="preserve">We propose to provide a one-time opportunity for carriers that opted to freeze their category relationships in 2001 to opt out of that freeze, so that they can categorize their costs based on </w:t>
      </w:r>
      <w:r w:rsidRPr="008C6F0F">
        <w:rPr>
          <w:szCs w:val="22"/>
        </w:rPr>
        <w:t xml:space="preserve">current circumstances rather than their circumstances in </w:t>
      </w:r>
      <w:r>
        <w:rPr>
          <w:szCs w:val="22"/>
        </w:rPr>
        <w:t>2000.</w:t>
      </w:r>
      <w:r>
        <w:t xml:space="preserve">  Presently, rate-of-return carriers in approximately 45 study areas operate under the category relationships freeze.  </w:t>
      </w:r>
      <w:r w:rsidRPr="007C0A94">
        <w:rPr>
          <w:szCs w:val="22"/>
        </w:rPr>
        <w:t>W</w:t>
      </w:r>
      <w:r>
        <w:t>hen the Commission granted rate-of-return carriers the opportunity to elect the category relationships freeze, it specified that the freeze would be an interim, “transitional measure” lasting no more than five years.</w:t>
      </w:r>
      <w:r>
        <w:rPr>
          <w:rStyle w:val="FootnoteReference"/>
        </w:rPr>
        <w:footnoteReference w:id="55"/>
      </w:r>
      <w:r>
        <w:t xml:space="preserve">  But the freeze has now lasted 17 years, and carriers that elected it are prohibited from withdrawing from their elections.</w:t>
      </w:r>
      <w:r>
        <w:rPr>
          <w:rStyle w:val="FootnoteReference"/>
        </w:rPr>
        <w:footnoteReference w:id="56"/>
      </w:r>
      <w:r>
        <w:t xml:space="preserve">  Many of these carriers have since invested in network upgrades or are considering future upgrades.  As a result of the category relationships freeze, these carriers may be unable to recover the costs of those investments from the ratepayers that will benefit from those upgrades, or from the USF.</w:t>
      </w:r>
      <w:r>
        <w:rPr>
          <w:rStyle w:val="FootnoteReference"/>
        </w:rPr>
        <w:footnoteReference w:id="57"/>
      </w:r>
      <w:r w:rsidRPr="004E36B4">
        <w:t xml:space="preserve"> </w:t>
      </w:r>
      <w:r>
        <w:t xml:space="preserve"> Consequently, these carriers may lack incentives to improve service and deploy advanced technologies like broadband for their customers.  We therefore propose and invite comment on allowing carriers to opt out of the category relationships freeze.  What are the costs and benefits of this proposal?  </w:t>
      </w:r>
    </w:p>
    <w:p w:rsidR="001C34C9" w:rsidP="001C34C9">
      <w:pPr>
        <w:pStyle w:val="ParaNum"/>
      </w:pPr>
      <w:r>
        <w:t>In the past, commenters have urged the Commission to allow carriers that elected the category relationships freeze to unfreeze those relationships.  For example, ITTA points out that the Commission originally allowed rate-of-return carriers the flexibility to decide whether or not to freeze their category relationships because those carriers’ size and investment patterns vary widely.  ITTA argues that the Commission should provide these carriers with the flexibility to unfreeze their category relationships for similar reasons.</w:t>
      </w:r>
      <w:r>
        <w:rPr>
          <w:rStyle w:val="FootnoteReference"/>
        </w:rPr>
        <w:footnoteReference w:id="58"/>
      </w:r>
      <w:r>
        <w:t xml:space="preserve">  ITTA explains that some carriers with frozen category relationships “will embrace the opportunity to more accurately allocate their investment,” while others “will find reinstating their separations systems unduly burdensome.”</w:t>
      </w:r>
      <w:r>
        <w:rPr>
          <w:rStyle w:val="FootnoteReference"/>
        </w:rPr>
        <w:footnoteReference w:id="59"/>
      </w:r>
      <w:r>
        <w:t xml:space="preserve">  Moss Adams, NTCA, WTA, and USTelecom argue that unfreezing category relationships will allow carriers to assign costs in a manner that reflects how they offer services today and will enable carriers to take greater advantage of universal service funds that support broadband deployment.</w:t>
      </w:r>
      <w:r>
        <w:rPr>
          <w:rStyle w:val="FootnoteReference"/>
        </w:rPr>
        <w:footnoteReference w:id="60"/>
      </w:r>
      <w:r>
        <w:t xml:space="preserve">  We invite commenters to elaborate on why the Commission should allow carriers to unfreeze their category relationships.  We also seek input from any commenters that oppose such action.</w:t>
      </w:r>
      <w:r>
        <w:t xml:space="preserve"> </w:t>
      </w:r>
      <w:r>
        <w:t xml:space="preserve"> We seek input on the costs and benefits of permitting carriers to unfreeze their category relationships—both from carriers that believe they may benefit from an unfreeze and from carriers, if applicable, that believe unfreezing category relationships would not be beneficial for them.</w:t>
      </w:r>
    </w:p>
    <w:p w:rsidR="001C34C9" w:rsidP="001C34C9">
      <w:pPr>
        <w:pStyle w:val="ParaNum"/>
      </w:pPr>
      <w:r>
        <w:t>In the years since 2000, m</w:t>
      </w:r>
      <w:r w:rsidRPr="004A5F7C">
        <w:t>any, and perhaps all, carriers subject to the category relationship</w:t>
      </w:r>
      <w:r>
        <w:t>s</w:t>
      </w:r>
      <w:r w:rsidRPr="004A5F7C">
        <w:t xml:space="preserve"> freeze have made substantial investments to modernize their networks and to improve and expand their service offerings.  In at least </w:t>
      </w:r>
      <w:r w:rsidRPr="004E1C5B">
        <w:t>some</w:t>
      </w:r>
      <w:r w:rsidRPr="004A5F7C">
        <w:t xml:space="preserve"> instances, these investments are </w:t>
      </w:r>
      <w:r>
        <w:t xml:space="preserve">more </w:t>
      </w:r>
      <w:r w:rsidRPr="004A5F7C">
        <w:t xml:space="preserve">weighted toward </w:t>
      </w:r>
      <w:r>
        <w:t>business data services,</w:t>
      </w:r>
      <w:r w:rsidRPr="004A5F7C">
        <w:t xml:space="preserve"> and away from switched access and common line categories, than the carriers’ investments </w:t>
      </w:r>
      <w:r>
        <w:t xml:space="preserve">were </w:t>
      </w:r>
      <w:r w:rsidRPr="004A5F7C">
        <w:t>as of 2000.</w:t>
      </w:r>
      <w:r>
        <w:rPr>
          <w:rStyle w:val="FootnoteReference"/>
          <w:szCs w:val="22"/>
        </w:rPr>
        <w:footnoteReference w:id="61"/>
      </w:r>
      <w:r w:rsidRPr="004A5F7C">
        <w:t xml:space="preserve">  </w:t>
      </w:r>
      <w:r>
        <w:t>If that is the case, u</w:t>
      </w:r>
      <w:r w:rsidRPr="004A5F7C">
        <w:t>nder the category relationship</w:t>
      </w:r>
      <w:r>
        <w:t>s</w:t>
      </w:r>
      <w:r w:rsidRPr="004A5F7C">
        <w:t xml:space="preserve"> freeze, disproportionate percentage</w:t>
      </w:r>
      <w:r>
        <w:t>s</w:t>
      </w:r>
      <w:r w:rsidRPr="004A5F7C">
        <w:t xml:space="preserve"> of th</w:t>
      </w:r>
      <w:r>
        <w:t>ose</w:t>
      </w:r>
      <w:r w:rsidRPr="004A5F7C">
        <w:t xml:space="preserve"> carriers’ investment</w:t>
      </w:r>
      <w:r>
        <w:t>s are</w:t>
      </w:r>
      <w:r w:rsidRPr="004A5F7C">
        <w:t xml:space="preserve"> </w:t>
      </w:r>
      <w:r>
        <w:t xml:space="preserve">currently </w:t>
      </w:r>
      <w:r w:rsidRPr="004A5F7C">
        <w:t xml:space="preserve">assigned to the common line and switched access categories.  </w:t>
      </w:r>
      <w:r>
        <w:t>A</w:t>
      </w:r>
      <w:r w:rsidRPr="004A5F7C">
        <w:t xml:space="preserve">re carriers that elected the </w:t>
      </w:r>
      <w:r>
        <w:t xml:space="preserve">category relationships </w:t>
      </w:r>
      <w:r w:rsidRPr="004A5F7C">
        <w:t xml:space="preserve">freeze </w:t>
      </w:r>
      <w:r>
        <w:t>c</w:t>
      </w:r>
      <w:r w:rsidRPr="004A5F7C">
        <w:t>onsequently</w:t>
      </w:r>
      <w:r>
        <w:t xml:space="preserve"> </w:t>
      </w:r>
      <w:r w:rsidRPr="004A5F7C">
        <w:t xml:space="preserve">unable to recover the costs of network upgrades from their </w:t>
      </w:r>
      <w:r>
        <w:t>business data services</w:t>
      </w:r>
      <w:r w:rsidRPr="004A5F7C">
        <w:t xml:space="preserve"> customers and from </w:t>
      </w:r>
      <w:r>
        <w:t>NECA’s special access pool</w:t>
      </w:r>
      <w:r w:rsidRPr="004A5F7C">
        <w:t xml:space="preserve">?  </w:t>
      </w:r>
      <w:r>
        <w:t xml:space="preserve">If so, how does that circumstance impact their switched access rates?  How many carriers subject to the category relationships freeze face these conditions, and how many would benefit from opting out of that freeze?  </w:t>
      </w:r>
    </w:p>
    <w:p w:rsidR="001C34C9" w:rsidP="001C34C9">
      <w:pPr>
        <w:pStyle w:val="ParaNum"/>
      </w:pPr>
      <w:r w:rsidRPr="00643284">
        <w:rPr>
          <w:szCs w:val="22"/>
        </w:rPr>
        <w:t xml:space="preserve">We ask </w:t>
      </w:r>
      <w:r w:rsidRPr="009B77E7">
        <w:t>commenters</w:t>
      </w:r>
      <w:r w:rsidRPr="00643284">
        <w:rPr>
          <w:szCs w:val="22"/>
        </w:rPr>
        <w:t xml:space="preserve"> </w:t>
      </w:r>
      <w:r>
        <w:rPr>
          <w:szCs w:val="22"/>
        </w:rPr>
        <w:t xml:space="preserve">to </w:t>
      </w:r>
      <w:r w:rsidRPr="00643284">
        <w:rPr>
          <w:szCs w:val="22"/>
        </w:rPr>
        <w:t xml:space="preserve">specifically describe their current network investments compared to their investments in 2000 and to specify how their category relationships would change without a freeze. </w:t>
      </w:r>
      <w:r w:rsidRPr="00C56121">
        <w:t xml:space="preserve"> </w:t>
      </w:r>
      <w:r>
        <w:t>W</w:t>
      </w:r>
      <w:r w:rsidRPr="00643284">
        <w:rPr>
          <w:szCs w:val="22"/>
        </w:rPr>
        <w:t xml:space="preserve">e </w:t>
      </w:r>
      <w:r>
        <w:rPr>
          <w:szCs w:val="22"/>
        </w:rPr>
        <w:t xml:space="preserve">invite </w:t>
      </w:r>
      <w:r w:rsidRPr="00643284">
        <w:rPr>
          <w:szCs w:val="22"/>
        </w:rPr>
        <w:t xml:space="preserve">comment on what effect </w:t>
      </w:r>
      <w:r w:rsidRPr="0047413B">
        <w:rPr>
          <w:szCs w:val="22"/>
        </w:rPr>
        <w:t>allowing carriers to opt</w:t>
      </w:r>
      <w:r>
        <w:rPr>
          <w:szCs w:val="22"/>
        </w:rPr>
        <w:t xml:space="preserve"> </w:t>
      </w:r>
      <w:r w:rsidRPr="0047413B">
        <w:rPr>
          <w:szCs w:val="22"/>
        </w:rPr>
        <w:t xml:space="preserve">out of the category </w:t>
      </w:r>
      <w:r>
        <w:t xml:space="preserve">relationships </w:t>
      </w:r>
      <w:r w:rsidRPr="0047413B">
        <w:rPr>
          <w:szCs w:val="22"/>
        </w:rPr>
        <w:t>fre</w:t>
      </w:r>
      <w:r w:rsidRPr="00CC61EF">
        <w:rPr>
          <w:szCs w:val="22"/>
        </w:rPr>
        <w:t>eze would have on future investment</w:t>
      </w:r>
      <w:r w:rsidRPr="00C56121">
        <w:rPr>
          <w:szCs w:val="22"/>
        </w:rPr>
        <w:t>.</w:t>
      </w:r>
      <w:r w:rsidRPr="00CC61EF">
        <w:rPr>
          <w:szCs w:val="22"/>
        </w:rPr>
        <w:t xml:space="preserve">  For example, would lifting the category relationship</w:t>
      </w:r>
      <w:r>
        <w:rPr>
          <w:szCs w:val="22"/>
        </w:rPr>
        <w:t>s</w:t>
      </w:r>
      <w:r w:rsidRPr="00CC61EF">
        <w:rPr>
          <w:szCs w:val="22"/>
        </w:rPr>
        <w:t xml:space="preserve"> freeze promote greater investment in newer technologies and </w:t>
      </w:r>
      <w:r w:rsidRPr="00520336">
        <w:rPr>
          <w:szCs w:val="22"/>
        </w:rPr>
        <w:t xml:space="preserve">increased </w:t>
      </w:r>
      <w:r w:rsidRPr="00643284">
        <w:rPr>
          <w:szCs w:val="22"/>
        </w:rPr>
        <w:t xml:space="preserve">broadband </w:t>
      </w:r>
      <w:r>
        <w:rPr>
          <w:szCs w:val="22"/>
        </w:rPr>
        <w:t>deployment</w:t>
      </w:r>
      <w:r w:rsidRPr="00643284">
        <w:rPr>
          <w:szCs w:val="22"/>
        </w:rPr>
        <w:t xml:space="preserve">, and if so, how? </w:t>
      </w:r>
      <w:r>
        <w:rPr>
          <w:szCs w:val="22"/>
        </w:rPr>
        <w:t xml:space="preserve"> </w:t>
      </w:r>
      <w:r>
        <w:t>We also seek input on what impact unfreezing category relationships would have on how carriers recover their costs.  For example, if carriers are allowed to update their network cost assignments to more accurately reflect the services they provide today, how would the pricing of services—particularly business data services—be affected?  Would carriers seek to better align their rates for specific services with the underlying costs of those services?  Would opting out of the freeze result in more efficient pricing, and how would it affect consumers</w:t>
      </w:r>
      <w:r w:rsidRPr="00FA0C66">
        <w:rPr>
          <w:szCs w:val="22"/>
        </w:rPr>
        <w:t xml:space="preserve"> in terms of service and pricing</w:t>
      </w:r>
      <w:r>
        <w:t>?</w:t>
      </w:r>
    </w:p>
    <w:p w:rsidR="001C34C9" w:rsidP="001C34C9">
      <w:pPr>
        <w:pStyle w:val="ParaNum"/>
      </w:pPr>
      <w:r>
        <w:t xml:space="preserve">Allowing carriers to opt out of </w:t>
      </w:r>
      <w:r w:rsidRPr="009B77E7">
        <w:rPr>
          <w:szCs w:val="22"/>
        </w:rPr>
        <w:t>the</w:t>
      </w:r>
      <w:r>
        <w:t xml:space="preserve"> category relationships freeze will necessarily shift costs between jurisdictions and among access elements, and may affect the universal service funding the carrier receives.  We ask parties to describe the direction of these changes and, where possible, to quantify them.  More specifically, to what extent would unfreezing carriers’ category relationships shift costs from the intrastate jurisdiction to the interstate jurisdiction, and from common line to special access?  In the event of such shifts, what would be the effect on the carriers’</w:t>
      </w:r>
      <w:r w:rsidRPr="00B95CA6">
        <w:t xml:space="preserve"> </w:t>
      </w:r>
      <w:r>
        <w:t xml:space="preserve">receipt of CAF BLS and other </w:t>
      </w:r>
      <w:r w:rsidRPr="00B95CA6">
        <w:t>universal service funding</w:t>
      </w:r>
      <w:r>
        <w:t xml:space="preserve">?  </w:t>
      </w:r>
    </w:p>
    <w:p w:rsidR="001C34C9" w:rsidRPr="00F341A5" w:rsidP="001C34C9">
      <w:pPr>
        <w:pStyle w:val="ParaNum"/>
      </w:pPr>
      <w:bookmarkStart w:id="116" w:name="_Hlk513477091"/>
      <w:r w:rsidRPr="00F341A5">
        <w:t xml:space="preserve">We </w:t>
      </w:r>
      <w:r>
        <w:t>seek comment on</w:t>
      </w:r>
      <w:r w:rsidRPr="00F341A5">
        <w:t xml:space="preserve"> </w:t>
      </w:r>
      <w:r w:rsidRPr="009B77E7">
        <w:rPr>
          <w:szCs w:val="22"/>
        </w:rPr>
        <w:t>whether</w:t>
      </w:r>
      <w:r w:rsidRPr="00F341A5">
        <w:t xml:space="preserve"> we should impose measures to prevent carriers that opt out of the category relationship</w:t>
      </w:r>
      <w:r>
        <w:t>s</w:t>
      </w:r>
      <w:r w:rsidRPr="00F341A5">
        <w:t xml:space="preserve"> freeze from double</w:t>
      </w:r>
      <w:r>
        <w:t>-</w:t>
      </w:r>
      <w:r w:rsidRPr="00F341A5">
        <w:t>recovering costs</w:t>
      </w:r>
      <w:r>
        <w:t xml:space="preserve"> through end-user charges and </w:t>
      </w:r>
      <w:r w:rsidRPr="00F341A5">
        <w:rPr>
          <w:szCs w:val="22"/>
        </w:rPr>
        <w:t xml:space="preserve">Connect America Fund intercarrier compensation </w:t>
      </w:r>
      <w:r>
        <w:rPr>
          <w:szCs w:val="22"/>
        </w:rPr>
        <w:t>(</w:t>
      </w:r>
      <w:r>
        <w:t xml:space="preserve">CAF ICC) support.  If so, </w:t>
      </w:r>
      <w:r w:rsidRPr="00F341A5">
        <w:t xml:space="preserve">what </w:t>
      </w:r>
      <w:r>
        <w:t>specific measures should we adopt?</w:t>
      </w:r>
      <w:r w:rsidRPr="00F341A5">
        <w:t xml:space="preserve">  </w:t>
      </w:r>
      <w:r>
        <w:t>For example, i</w:t>
      </w:r>
      <w:r w:rsidRPr="00F341A5">
        <w:t xml:space="preserve">n the </w:t>
      </w:r>
      <w:r w:rsidRPr="00F341A5">
        <w:rPr>
          <w:i/>
        </w:rPr>
        <w:t>Eastex Waiver Order</w:t>
      </w:r>
      <w:r w:rsidRPr="00F341A5">
        <w:t>, the Bureau addressed the concern that a rate-of-return carrier might receive an inappropriate amount of universal service funding or double-recover its costs when its category relationships were unfrozen.</w:t>
      </w:r>
      <w:r>
        <w:rPr>
          <w:vertAlign w:val="superscript"/>
        </w:rPr>
        <w:footnoteReference w:id="62"/>
      </w:r>
      <w:r w:rsidRPr="00F341A5">
        <w:t xml:space="preserve">  This </w:t>
      </w:r>
      <w:r>
        <w:t xml:space="preserve">situation could occur </w:t>
      </w:r>
      <w:r w:rsidRPr="00F341A5">
        <w:t xml:space="preserve">because, under the </w:t>
      </w:r>
      <w:r w:rsidRPr="00F341A5">
        <w:rPr>
          <w:i/>
        </w:rPr>
        <w:t>USF/ICC Transformation Order</w:t>
      </w:r>
      <w:r w:rsidRPr="00F341A5">
        <w:t xml:space="preserve">, a carrier can in certain situations recover its reduced intercarrier compensation revenue through </w:t>
      </w:r>
      <w:r w:rsidRPr="00F341A5">
        <w:rPr>
          <w:szCs w:val="22"/>
        </w:rPr>
        <w:t>CAF ICC</w:t>
      </w:r>
      <w:r>
        <w:rPr>
          <w:szCs w:val="22"/>
        </w:rPr>
        <w:t xml:space="preserve"> </w:t>
      </w:r>
      <w:r w:rsidRPr="00F341A5">
        <w:t xml:space="preserve">support based on a cost recovery mechanism that </w:t>
      </w:r>
      <w:r>
        <w:t xml:space="preserve">is tied to </w:t>
      </w:r>
      <w:r w:rsidRPr="00F341A5">
        <w:t xml:space="preserve">a carrier’s interstate switched access revenue requirement for </w:t>
      </w:r>
      <w:r w:rsidRPr="00F341A5">
        <w:rPr>
          <w:szCs w:val="22"/>
        </w:rPr>
        <w:t>October 1, 2010 through September 30, 2011 (FY2011)</w:t>
      </w:r>
      <w:r w:rsidRPr="00F341A5">
        <w:t>.</w:t>
      </w:r>
      <w:r>
        <w:rPr>
          <w:vertAlign w:val="superscript"/>
        </w:rPr>
        <w:footnoteReference w:id="63"/>
      </w:r>
      <w:r w:rsidRPr="00F341A5">
        <w:t xml:space="preserve">  Thus, there is a risk that, as a carrier moves costs </w:t>
      </w:r>
      <w:r>
        <w:t>from</w:t>
      </w:r>
      <w:r w:rsidRPr="00F341A5">
        <w:t xml:space="preserve"> the interstate switched access category into different categories, it could double-recover the same costs</w:t>
      </w:r>
      <w:r>
        <w:t>—</w:t>
      </w:r>
      <w:r w:rsidRPr="00F341A5">
        <w:t>once th</w:t>
      </w:r>
      <w:r>
        <w:t>r</w:t>
      </w:r>
      <w:r w:rsidRPr="00F341A5">
        <w:t>ough CAF ICC support and again through special access rates and related NECA settlements.</w:t>
      </w:r>
    </w:p>
    <w:p w:rsidR="001C34C9" w:rsidRPr="00F341A5" w:rsidP="001C34C9">
      <w:pPr>
        <w:pStyle w:val="ParaNum"/>
      </w:pPr>
      <w:r w:rsidRPr="00F341A5">
        <w:t xml:space="preserve">To </w:t>
      </w:r>
      <w:r w:rsidRPr="009B77E7">
        <w:rPr>
          <w:szCs w:val="22"/>
        </w:rPr>
        <w:t>prevent</w:t>
      </w:r>
      <w:r w:rsidRPr="00F341A5">
        <w:t xml:space="preserve"> such a double recovery, </w:t>
      </w:r>
      <w:r>
        <w:t xml:space="preserve">in granting a waiver of the category relationships freeze to </w:t>
      </w:r>
      <w:r w:rsidRPr="00F341A5">
        <w:t>Eastex</w:t>
      </w:r>
      <w:r>
        <w:t xml:space="preserve">, the Bureau required Eastex </w:t>
      </w:r>
      <w:r w:rsidRPr="00F341A5">
        <w:t xml:space="preserve">to recalculate its 2011 Rate-of-Return Carrier Base Period Revenue </w:t>
      </w:r>
      <w:r>
        <w:t xml:space="preserve">(BPR) </w:t>
      </w:r>
      <w:r w:rsidRPr="00F341A5">
        <w:t>using actual, unfrozen categories and to file a revised interstate switched access revenue requirement.</w:t>
      </w:r>
      <w:r>
        <w:rPr>
          <w:vertAlign w:val="superscript"/>
        </w:rPr>
        <w:footnoteReference w:id="64"/>
      </w:r>
      <w:r w:rsidRPr="00F341A5">
        <w:t xml:space="preserve">  Th</w:t>
      </w:r>
      <w:r>
        <w:t xml:space="preserve">e Bureau expected that the recalculation would reduce the </w:t>
      </w:r>
      <w:r w:rsidRPr="00F341A5">
        <w:t xml:space="preserve">interstate switched access revenue requirement included in Eastex’s </w:t>
      </w:r>
      <w:r>
        <w:t>BPR</w:t>
      </w:r>
      <w:r w:rsidRPr="00F341A5">
        <w:t xml:space="preserve"> and shift costs from interstate common line to interstate special access.</w:t>
      </w:r>
      <w:r>
        <w:rPr>
          <w:vertAlign w:val="superscript"/>
        </w:rPr>
        <w:footnoteReference w:id="65"/>
      </w:r>
      <w:r w:rsidRPr="00F341A5">
        <w:t xml:space="preserve">  The Bureau concluded that removing “an amount representative of the FY2011 interstate revenue attributable to the investment being shifted from interstate switched access to other categories” from possible recovery though CAF ICC support would protect consumers and the USF.</w:t>
      </w:r>
      <w:r>
        <w:rPr>
          <w:rStyle w:val="FootnoteReference"/>
        </w:rPr>
        <w:footnoteReference w:id="66"/>
      </w:r>
      <w:r w:rsidRPr="00F341A5">
        <w:t xml:space="preserve">  </w:t>
      </w:r>
    </w:p>
    <w:p w:rsidR="001C34C9" w:rsidP="001C34C9">
      <w:pPr>
        <w:pStyle w:val="ParaNum"/>
      </w:pPr>
      <w:r>
        <w:t xml:space="preserve">Consistent </w:t>
      </w:r>
      <w:r w:rsidRPr="009B77E7">
        <w:rPr>
          <w:szCs w:val="22"/>
        </w:rPr>
        <w:t>with</w:t>
      </w:r>
      <w:r>
        <w:t xml:space="preserve"> this precedent, s</w:t>
      </w:r>
      <w:r w:rsidRPr="00F341A5">
        <w:t>hould we require any carrier that opts out of the categ</w:t>
      </w:r>
      <w:r>
        <w:t xml:space="preserve">ory relationships freeze </w:t>
      </w:r>
      <w:r w:rsidRPr="00F341A5">
        <w:t xml:space="preserve">to recalculate its </w:t>
      </w:r>
      <w:r>
        <w:t>BPR</w:t>
      </w:r>
      <w:r w:rsidRPr="00F341A5">
        <w:t xml:space="preserve"> using unfrozen </w:t>
      </w:r>
      <w:r>
        <w:t xml:space="preserve">category relationships </w:t>
      </w:r>
      <w:r w:rsidRPr="00F341A5">
        <w:t>and to file a revised interstate switched access revenue requirement with the Commission</w:t>
      </w:r>
      <w:r>
        <w:t xml:space="preserve">?  If we require carriers that are allowed to unfreeze their category relationships to recalculate their BPRs, we propose to use 2011 cost study data because those are the most recent data that do not reflect the effects of the </w:t>
      </w:r>
      <w:r>
        <w:rPr>
          <w:i/>
        </w:rPr>
        <w:t xml:space="preserve">USF/ICC </w:t>
      </w:r>
      <w:r w:rsidRPr="00030553">
        <w:rPr>
          <w:i/>
        </w:rPr>
        <w:t xml:space="preserve">Transformation </w:t>
      </w:r>
      <w:r w:rsidRPr="00F65357">
        <w:rPr>
          <w:i/>
        </w:rPr>
        <w:t>Order</w:t>
      </w:r>
      <w:r>
        <w:t xml:space="preserve">.  We invite parties to comment on this approach.  While some carriers may have the necessary data to perform the study, others may not.  For those that do not, we invite parties to propose an alternative means of estimating the BPR adjustment that should be made.  </w:t>
      </w:r>
    </w:p>
    <w:p w:rsidR="001C34C9" w:rsidP="001C34C9">
      <w:pPr>
        <w:pStyle w:val="ParaNum"/>
      </w:pPr>
      <w:r>
        <w:t xml:space="preserve">To the extent that a carrier’s BPR is adjusted by the preceding calculations, should we require that the carrier adjust its interstate switched access rate cap by a percentage amount equal to the adjustment made to the interstate projected revenue requirement component of the BPR?  The carrier would then revise its rates to reflect the transitions mandated by the </w:t>
      </w:r>
      <w:r w:rsidRPr="00095BCB">
        <w:rPr>
          <w:i/>
        </w:rPr>
        <w:t>USF/ICC Transformation Order</w:t>
      </w:r>
      <w:r>
        <w:t xml:space="preserve"> as of the date of the next annual access tariff filing.  We invite parties to comment on this approach and on whether it would provide a reasonable method for eliminating potential double recoveries resulting from unfreezing category relationships.  </w:t>
      </w:r>
    </w:p>
    <w:p w:rsidR="001C34C9" w:rsidP="001C34C9">
      <w:pPr>
        <w:pStyle w:val="ParaNum"/>
      </w:pPr>
      <w:r>
        <w:t>In the interest of simplicity, we propose to allow carriers subject to the category relationships freeze a single opportunity to unfreeze their frozen category relationships.  We seek comment on that approach.  If we provide this one-time opportunity, should we require that carriers electing to unfreeze their category relationships make conforming changes to their tariffs effective on July 1, 2019</w:t>
      </w:r>
      <w:r w:rsidRPr="00385D5B">
        <w:rPr>
          <w:rFonts w:ascii="TimesNewRoman" w:hAnsi="TimesNewRoman" w:cs="TimesNewRoman"/>
          <w:kern w:val="0"/>
        </w:rPr>
        <w:t xml:space="preserve">?  </w:t>
      </w:r>
      <w:r>
        <w:t>If so, should we require that carriers with frozen categories notify the Commission and NECA (if a carrier participates in NECA’s special access pool) by March 1, 2019 of their decisions to opt out of the category relationships freeze?  Would a July 1, 2019 effective date provide carriers with sufficient time to implement any changes needed to update category relationships?</w:t>
      </w:r>
    </w:p>
    <w:p w:rsidR="001C34C9" w:rsidP="001C34C9">
      <w:pPr>
        <w:pStyle w:val="ParaNum"/>
      </w:pPr>
      <w:r>
        <w:t xml:space="preserve">In the alternative, should we allow carriers subject to the category relationships freeze to unfreeze their category relationships at any date they choose in the future?  What would be the benefits and drawbacks of such an approach?  Should we allow </w:t>
      </w:r>
      <w:r w:rsidRPr="005742DF">
        <w:t>a carrier presently subject to the category relationship</w:t>
      </w:r>
      <w:r>
        <w:t>s</w:t>
      </w:r>
      <w:r w:rsidRPr="005742DF">
        <w:t xml:space="preserve"> freeze that opts to unfreeze its category relationships to refreeze those relationships at some future </w:t>
      </w:r>
      <w:r>
        <w:t xml:space="preserve">date?  What would be the costs and benefits of this approach?  </w:t>
      </w:r>
    </w:p>
    <w:p w:rsidR="001C34C9" w:rsidRPr="0060091B" w:rsidP="001C34C9">
      <w:pPr>
        <w:pStyle w:val="ParaNum"/>
      </w:pPr>
      <w:r>
        <w:t xml:space="preserve">Instead of </w:t>
      </w:r>
      <w:r w:rsidRPr="00357B36">
        <w:rPr>
          <w:i/>
        </w:rPr>
        <w:t>allowing</w:t>
      </w:r>
      <w:r>
        <w:t xml:space="preserve"> carriers the option of unfreezing their category relationships, </w:t>
      </w:r>
      <w:r w:rsidRPr="005742DF">
        <w:t xml:space="preserve">should </w:t>
      </w:r>
      <w:r>
        <w:t xml:space="preserve">we </w:t>
      </w:r>
      <w:r w:rsidRPr="00357B36">
        <w:rPr>
          <w:i/>
        </w:rPr>
        <w:t>require</w:t>
      </w:r>
      <w:r w:rsidRPr="005742DF">
        <w:t xml:space="preserve"> all rate-of-return carriers that currently operate under the category relationship</w:t>
      </w:r>
      <w:r>
        <w:t>s</w:t>
      </w:r>
      <w:r w:rsidRPr="005742DF">
        <w:t xml:space="preserve"> freeze to unfreeze their category relationships</w:t>
      </w:r>
      <w:r>
        <w:t>?</w:t>
      </w:r>
      <w:r w:rsidRPr="005742DF">
        <w:t xml:space="preserve">  </w:t>
      </w:r>
      <w:r>
        <w:t>What would be the impact of lifting the category relationships freeze for all carriers that elected th</w:t>
      </w:r>
      <w:r>
        <w:t>e</w:t>
      </w:r>
      <w:r>
        <w:t xml:space="preserve"> relationships freeze in 2001?  Would it </w:t>
      </w:r>
      <w:r w:rsidRPr="005742DF">
        <w:t xml:space="preserve">significantly increase the accuracy of separations results and, if so, would any benefits from that increased accuracy outweigh any </w:t>
      </w:r>
      <w:r>
        <w:t xml:space="preserve">costs </w:t>
      </w:r>
      <w:r w:rsidRPr="005742DF">
        <w:t>that a mandatory unfreeze would impose</w:t>
      </w:r>
      <w:r>
        <w:t xml:space="preserve">?  </w:t>
      </w:r>
    </w:p>
    <w:p w:rsidR="001C34C9" w:rsidP="001C34C9">
      <w:pPr>
        <w:pStyle w:val="ParaNum"/>
      </w:pPr>
      <w:r>
        <w:t>In adopting the separations freeze in 2001, the Commission anticipated that its “waiver process [would] provide a mechanism for relief when special circumstances warrant a deviation from the freeze.”</w:t>
      </w:r>
      <w:r>
        <w:rPr>
          <w:rStyle w:val="FootnoteReference"/>
        </w:rPr>
        <w:footnoteReference w:id="67"/>
      </w:r>
      <w:r>
        <w:t xml:space="preserve">  We previously granted two petitions for waiver to allow carriers to withdraw from the category relationships freeze and have two waiver requests pending.</w:t>
      </w:r>
      <w:r>
        <w:rPr>
          <w:rStyle w:val="FootnoteReference"/>
        </w:rPr>
        <w:footnoteReference w:id="68"/>
      </w:r>
      <w:r>
        <w:t xml:space="preserve">  If we do not allow all affected carriers to unfreeze their category relationships in this rulemaking, would other carriers subject to this relationships freeze feel the need to seek relief of the freeze through the waiver process?  Are there particular facts or circumstances that we should consider in assessing whether a carrier has demonstrated sufficient “good cause” to justify a waiver under our rules that would allow a carrier to unfreeze its category relationships?  </w:t>
      </w:r>
    </w:p>
    <w:p w:rsidR="001C34C9" w:rsidRPr="005742DF" w:rsidP="001C34C9">
      <w:pPr>
        <w:pStyle w:val="ParaNum"/>
      </w:pPr>
      <w:r>
        <w:t xml:space="preserve">We also seek input on whether there is any reason to allow carriers not currently subject to the category relationships freeze to elect to freeze their categories.  </w:t>
      </w:r>
      <w:r w:rsidRPr="005742DF">
        <w:t xml:space="preserve">We ask carriers to provide detailed information about any </w:t>
      </w:r>
      <w:r>
        <w:t xml:space="preserve">costs </w:t>
      </w:r>
      <w:r w:rsidRPr="005742DF">
        <w:t xml:space="preserve">they encounter in categorizing their regulated costs and revenues as well as information on how their category relationships have changed over time.  These carriers should address whether the benefits from eliminating those administrative </w:t>
      </w:r>
      <w:r>
        <w:t xml:space="preserve">costs </w:t>
      </w:r>
      <w:r w:rsidRPr="005742DF">
        <w:t>would outweigh any loss in the accuracy of separations results that would arise from freezing their category relationships.  Further, we seek input on what base period of data carriers should use for their calculations i</w:t>
      </w:r>
      <w:r>
        <w:t>f</w:t>
      </w:r>
      <w:r w:rsidRPr="005742DF">
        <w:t xml:space="preserve"> </w:t>
      </w:r>
      <w:r>
        <w:t>we allow them to</w:t>
      </w:r>
      <w:r w:rsidRPr="005742DF">
        <w:t xml:space="preserve"> elect to freeze their category relationships.  </w:t>
      </w:r>
    </w:p>
    <w:p w:rsidR="001C34C9" w:rsidP="001C34C9">
      <w:pPr>
        <w:pStyle w:val="ParaNum"/>
      </w:pPr>
      <w:r>
        <w:t>If we allow carriers not currently subject to the category</w:t>
      </w:r>
      <w:r w:rsidRPr="00D27362">
        <w:t xml:space="preserve"> </w:t>
      </w:r>
      <w:r>
        <w:t xml:space="preserve">relationships freeze to elect to freeze their categories, what opportunities should we provide for unfreezing them going forward?  </w:t>
      </w:r>
      <w:r w:rsidRPr="005742DF">
        <w:t xml:space="preserve">What procedures should we adopt </w:t>
      </w:r>
      <w:r>
        <w:t xml:space="preserve">if </w:t>
      </w:r>
      <w:r w:rsidRPr="005742DF">
        <w:t>we decide to allow changes in elections?  For instance, should we allow carriers to change their elections on a periodic basis</w:t>
      </w:r>
      <w:r>
        <w:t>—</w:t>
      </w:r>
      <w:r w:rsidRPr="005742DF">
        <w:t xml:space="preserve">for example, every three years?  Finally, we seek comment on whether we should allow carriers </w:t>
      </w:r>
      <w:r>
        <w:t>that opt to unfreeze their category relationships the option to update those category relationships and then refreeze them immediately or at some later date.</w:t>
      </w:r>
      <w:r>
        <w:rPr>
          <w:vertAlign w:val="superscript"/>
        </w:rPr>
        <w:footnoteReference w:id="69"/>
      </w:r>
      <w:r>
        <w:t xml:space="preserve">  What would be the costs and benefits to the carriers and to the public of allowing carriers to unfreeze and then refreeze their category relationships?  </w:t>
      </w:r>
    </w:p>
    <w:p w:rsidR="001C34C9" w:rsidRPr="005742DF" w:rsidP="001C34C9">
      <w:pPr>
        <w:pStyle w:val="Heading2"/>
      </w:pPr>
      <w:bookmarkStart w:id="117" w:name="_Toc511750842"/>
      <w:bookmarkStart w:id="118" w:name="_Toc512606184"/>
      <w:bookmarkStart w:id="119" w:name="_Toc513476514"/>
      <w:bookmarkStart w:id="120" w:name="_Toc513481749"/>
      <w:bookmarkStart w:id="121" w:name="_Toc513482028"/>
      <w:bookmarkStart w:id="122" w:name="_Toc513645095"/>
      <w:bookmarkStart w:id="123" w:name="_Toc513645699"/>
      <w:bookmarkStart w:id="124" w:name="_Toc513646178"/>
      <w:bookmarkStart w:id="125" w:name="_Toc513741213"/>
      <w:bookmarkStart w:id="126" w:name="_Toc514253292"/>
      <w:bookmarkStart w:id="127" w:name="_Toc514326657"/>
      <w:bookmarkStart w:id="128" w:name="_Toc514928137"/>
      <w:bookmarkStart w:id="129" w:name="_Toc514928286"/>
      <w:bookmarkStart w:id="130" w:name="_Toc514928487"/>
      <w:bookmarkStart w:id="131" w:name="_Toc515456738"/>
      <w:bookmarkStart w:id="132" w:name="_Toc515459228"/>
      <w:bookmarkStart w:id="133" w:name="_Toc513476513"/>
      <w:bookmarkEnd w:id="116"/>
      <w:r>
        <w:t>Changes to Other Aspects of the</w:t>
      </w:r>
      <w:bookmarkEnd w:id="117"/>
      <w:bookmarkEnd w:id="118"/>
      <w:r w:rsidRPr="005742DF">
        <w:t xml:space="preserve"> Separations Freeze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1C34C9" w:rsidRPr="005742DF" w:rsidP="001C34C9">
      <w:pPr>
        <w:pStyle w:val="ParaNum"/>
      </w:pPr>
      <w:bookmarkStart w:id="134" w:name="_Toc513645096"/>
      <w:bookmarkStart w:id="135" w:name="_Toc513645700"/>
      <w:bookmarkStart w:id="136" w:name="_Toc513646179"/>
      <w:bookmarkStart w:id="137" w:name="_Toc513741214"/>
      <w:r>
        <w:t xml:space="preserve">If we adopt our proposal to extend the separations freeze, are there </w:t>
      </w:r>
      <w:bookmarkEnd w:id="134"/>
      <w:bookmarkEnd w:id="135"/>
      <w:bookmarkEnd w:id="136"/>
      <w:bookmarkEnd w:id="137"/>
      <w:r w:rsidRPr="005742DF">
        <w:t xml:space="preserve">any other aspects of the freeze </w:t>
      </w:r>
      <w:r>
        <w:t xml:space="preserve">we should modify?  </w:t>
      </w:r>
      <w:r w:rsidRPr="005742DF">
        <w:t xml:space="preserve">We ask commenters </w:t>
      </w:r>
      <w:r>
        <w:t xml:space="preserve">to </w:t>
      </w:r>
      <w:r w:rsidRPr="005742DF">
        <w:t>identify any specific problems with the freeze as well as potential solutions.</w:t>
      </w:r>
    </w:p>
    <w:p w:rsidR="001C34C9" w:rsidP="001C34C9">
      <w:pPr>
        <w:pStyle w:val="ParaNum"/>
      </w:pPr>
      <w:bookmarkEnd w:id="133"/>
      <w:r w:rsidRPr="005742DF">
        <w:t xml:space="preserve">In the </w:t>
      </w:r>
      <w:r w:rsidRPr="009B77E7">
        <w:rPr>
          <w:i/>
        </w:rPr>
        <w:t>2001</w:t>
      </w:r>
      <w:r w:rsidRPr="005742DF">
        <w:rPr>
          <w:i/>
        </w:rPr>
        <w:t xml:space="preserve"> Separations Freeze Order</w:t>
      </w:r>
      <w:r w:rsidRPr="005742DF">
        <w:t xml:space="preserve">, the Commission required that all rate-of-return incumbent LECs apportion their categorized costs using their allocation factors for </w:t>
      </w:r>
      <w:r>
        <w:t xml:space="preserve">the year </w:t>
      </w:r>
      <w:r w:rsidRPr="005742DF">
        <w:t xml:space="preserve">2000.  </w:t>
      </w:r>
      <w:r>
        <w:t>S</w:t>
      </w:r>
      <w:r w:rsidRPr="005742DF">
        <w:t xml:space="preserve">hould </w:t>
      </w:r>
      <w:r>
        <w:t xml:space="preserve">we </w:t>
      </w:r>
      <w:r w:rsidRPr="005742DF">
        <w:t>allow</w:t>
      </w:r>
      <w:r>
        <w:t xml:space="preserve">, </w:t>
      </w:r>
      <w:r w:rsidRPr="005742DF">
        <w:t>or require</w:t>
      </w:r>
      <w:r>
        <w:t xml:space="preserve">, </w:t>
      </w:r>
      <w:r w:rsidRPr="005742DF">
        <w:t>rate-of-return LECs to reset their jurisdictional allocation factors using current data</w:t>
      </w:r>
      <w:r>
        <w:t>?</w:t>
      </w:r>
      <w:r w:rsidRPr="005742DF">
        <w:t xml:space="preserve">  We ask commenters to describe in detail the benefits and </w:t>
      </w:r>
      <w:r>
        <w:t xml:space="preserve">costs </w:t>
      </w:r>
      <w:r w:rsidRPr="005742DF">
        <w:t>of such actions.  We invite comment on whether we should allow</w:t>
      </w:r>
      <w:r>
        <w:t xml:space="preserve">, </w:t>
      </w:r>
      <w:r w:rsidRPr="005742DF">
        <w:t>or require</w:t>
      </w:r>
      <w:r>
        <w:t xml:space="preserve">, </w:t>
      </w:r>
      <w:r w:rsidRPr="005742DF">
        <w:t xml:space="preserve">carriers to refreeze their jurisdictional allocation factors once they are reset.  We also </w:t>
      </w:r>
      <w:r>
        <w:t xml:space="preserve">seek comment on how </w:t>
      </w:r>
      <w:r w:rsidRPr="005742DF">
        <w:t xml:space="preserve">any reset of jurisdictional allocation factors should be implemented, including providing information regarding timeframes, deadlines, period of data to be used, and any other related details.  </w:t>
      </w:r>
    </w:p>
    <w:p w:rsidR="001C34C9" w:rsidP="001C34C9">
      <w:pPr>
        <w:pStyle w:val="Heading2"/>
      </w:pPr>
      <w:bookmarkStart w:id="138" w:name="_Toc513481755"/>
      <w:bookmarkStart w:id="139" w:name="_Toc513482034"/>
      <w:bookmarkStart w:id="140" w:name="_Toc513645101"/>
      <w:bookmarkStart w:id="141" w:name="_Toc513645704"/>
      <w:bookmarkStart w:id="142" w:name="_Toc513646183"/>
      <w:bookmarkStart w:id="143" w:name="_Toc513741216"/>
      <w:bookmarkStart w:id="144" w:name="_Toc514253293"/>
      <w:bookmarkStart w:id="145" w:name="_Toc514326658"/>
      <w:bookmarkStart w:id="146" w:name="_Toc514928138"/>
      <w:bookmarkStart w:id="147" w:name="_Toc514928287"/>
      <w:bookmarkStart w:id="148" w:name="_Toc514928488"/>
      <w:bookmarkStart w:id="149" w:name="_Toc515456739"/>
      <w:bookmarkStart w:id="150" w:name="_Toc515459229"/>
      <w:r>
        <w:t>Effect on Small Entities</w:t>
      </w:r>
      <w:bookmarkEnd w:id="138"/>
      <w:bookmarkEnd w:id="139"/>
      <w:bookmarkEnd w:id="140"/>
      <w:bookmarkEnd w:id="141"/>
      <w:bookmarkEnd w:id="142"/>
      <w:bookmarkEnd w:id="143"/>
      <w:bookmarkEnd w:id="144"/>
      <w:bookmarkEnd w:id="145"/>
      <w:bookmarkEnd w:id="146"/>
      <w:bookmarkEnd w:id="147"/>
      <w:bookmarkEnd w:id="148"/>
      <w:bookmarkEnd w:id="149"/>
      <w:bookmarkEnd w:id="150"/>
    </w:p>
    <w:p w:rsidR="001C34C9" w:rsidP="001C34C9">
      <w:pPr>
        <w:pStyle w:val="ParaNum"/>
      </w:pPr>
      <w:r>
        <w:t>W</w:t>
      </w:r>
      <w:r w:rsidRPr="00573E10">
        <w:rPr>
          <w:szCs w:val="22"/>
        </w:rPr>
        <w:t>e</w:t>
      </w:r>
      <w:r>
        <w:t xml:space="preserve"> seek comment on the effect that our proposals to extend the separations freeze and to allow rate-of-return carriers to opt out of the category relationships freeze would have on small entities, and whether any rules that we adopt should apply differently to small entities.  We seek comment on the costs and burdens of these proposals on small incumbent LECs and whether these proposals would disproportionately affect specific types of carriers or ratepayers.  We also seek input on the effect, if any, on small entities of any other aspects of the separations freeze that we inquire about in this </w:t>
      </w:r>
      <w:r w:rsidRPr="001C44E1">
        <w:rPr>
          <w:i/>
        </w:rPr>
        <w:t>Further Notice</w:t>
      </w:r>
      <w:r>
        <w:t>.</w:t>
      </w:r>
      <w:bookmarkStart w:id="151" w:name="_Toc509329078"/>
    </w:p>
    <w:p w:rsidR="001C34C9" w:rsidRPr="00D01F09" w:rsidP="001C34C9">
      <w:pPr>
        <w:pStyle w:val="Heading1"/>
      </w:pPr>
      <w:bookmarkStart w:id="152" w:name="_Toc515456740"/>
      <w:bookmarkStart w:id="153" w:name="_Toc515459230"/>
      <w:bookmarkStart w:id="154" w:name="_Toc515456741"/>
      <w:bookmarkStart w:id="155" w:name="_Toc515459231"/>
      <w:bookmarkStart w:id="156" w:name="_Toc508797946"/>
      <w:bookmarkStart w:id="157" w:name="_Toc508972572"/>
      <w:bookmarkStart w:id="158" w:name="_Toc508977224"/>
      <w:bookmarkStart w:id="159" w:name="_Toc508977438"/>
      <w:bookmarkStart w:id="160" w:name="_Toc509231961"/>
      <w:bookmarkStart w:id="161" w:name="_Toc509497844"/>
      <w:bookmarkStart w:id="162" w:name="_Toc509498385"/>
      <w:bookmarkStart w:id="163" w:name="_Toc513645103"/>
      <w:bookmarkStart w:id="164" w:name="_Toc513645706"/>
      <w:bookmarkStart w:id="165" w:name="_Toc513646185"/>
      <w:bookmarkStart w:id="166" w:name="_Toc513741218"/>
      <w:bookmarkStart w:id="167" w:name="_Toc514253295"/>
      <w:bookmarkStart w:id="168" w:name="_Toc514326660"/>
      <w:bookmarkStart w:id="169" w:name="_Toc514928140"/>
      <w:bookmarkStart w:id="170" w:name="_Toc514928289"/>
      <w:bookmarkStart w:id="171" w:name="_Toc514928490"/>
      <w:bookmarkStart w:id="172" w:name="_Toc515456742"/>
      <w:bookmarkStart w:id="173" w:name="_Toc515459232"/>
      <w:bookmarkEnd w:id="151"/>
      <w:bookmarkEnd w:id="152"/>
      <w:bookmarkEnd w:id="153"/>
      <w:bookmarkEnd w:id="154"/>
      <w:bookmarkEnd w:id="155"/>
      <w:r w:rsidRPr="00D01F09">
        <w:t>Procedural Matters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1C34C9" w:rsidRPr="00D01F09" w:rsidP="001C34C9">
      <w:pPr>
        <w:pStyle w:val="Heading2"/>
      </w:pPr>
      <w:bookmarkStart w:id="174" w:name="_Toc482278980"/>
      <w:bookmarkStart w:id="175" w:name="_Toc482711306"/>
      <w:bookmarkStart w:id="176" w:name="_Toc482869863"/>
      <w:bookmarkStart w:id="177" w:name="_Toc483387739"/>
      <w:bookmarkStart w:id="178" w:name="_Toc484769477"/>
      <w:bookmarkStart w:id="179" w:name="_Toc484794783"/>
      <w:bookmarkStart w:id="180" w:name="_Toc485133329"/>
      <w:bookmarkStart w:id="181" w:name="_Toc485298383"/>
      <w:bookmarkStart w:id="182" w:name="_Toc485368599"/>
      <w:bookmarkStart w:id="183" w:name="_Toc485386751"/>
      <w:bookmarkStart w:id="184" w:name="_Toc485659142"/>
      <w:bookmarkStart w:id="185" w:name="_Toc493236493"/>
      <w:bookmarkStart w:id="186" w:name="_Toc493691853"/>
      <w:bookmarkStart w:id="187" w:name="_Toc493856484"/>
      <w:bookmarkStart w:id="188" w:name="_Toc494704773"/>
      <w:bookmarkStart w:id="189" w:name="_Toc496255939"/>
      <w:bookmarkStart w:id="190" w:name="_Toc496256636"/>
      <w:bookmarkStart w:id="191" w:name="_Toc496696581"/>
      <w:bookmarkStart w:id="192" w:name="_Toc505180883"/>
      <w:bookmarkStart w:id="193" w:name="_Toc505181095"/>
      <w:bookmarkStart w:id="194" w:name="_Toc505683961"/>
      <w:bookmarkStart w:id="195" w:name="_Toc505689484"/>
      <w:bookmarkStart w:id="196" w:name="_Toc506995444"/>
      <w:bookmarkStart w:id="197" w:name="_Toc508095927"/>
      <w:bookmarkStart w:id="198" w:name="_Toc508195811"/>
      <w:bookmarkStart w:id="199" w:name="_Toc508797947"/>
      <w:bookmarkStart w:id="200" w:name="_Toc508972573"/>
      <w:bookmarkStart w:id="201" w:name="_Toc508977225"/>
      <w:bookmarkStart w:id="202" w:name="_Toc508977439"/>
      <w:bookmarkStart w:id="203" w:name="_Toc509231962"/>
      <w:bookmarkStart w:id="204" w:name="_Toc509497845"/>
      <w:bookmarkStart w:id="205" w:name="_Toc509498386"/>
      <w:r w:rsidRPr="00D01F09">
        <w:t>Deadlines and Filing Procedures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1C34C9" w:rsidRPr="00D01F09" w:rsidP="001C34C9">
      <w:pPr>
        <w:pStyle w:val="ParaNum"/>
      </w:pPr>
      <w:r w:rsidRPr="00D01F09">
        <w:t>Pursuant to sections 1.415 and 1.419 of the Commission’s rules, 47 CFR §</w:t>
      </w:r>
      <w:bookmarkStart w:id="206" w:name="_Hlk508969208"/>
      <w:r w:rsidRPr="00D01F09">
        <w:t>§</w:t>
      </w:r>
      <w:bookmarkEnd w:id="206"/>
      <w:r w:rsidRPr="00D01F09">
        <w:t xml:space="preserve"> 1.415, 1.419, interested parties may file comments and reply comments on or before the dates indicated on the first page of this document in</w:t>
      </w:r>
      <w:r>
        <w:t xml:space="preserve"> CC Docket No. 80-286</w:t>
      </w:r>
      <w:r w:rsidRPr="00D01F09">
        <w:t>.  Comments may be filed using the Commission’s Electronic Comment Filing System (ECFS).</w:t>
      </w:r>
      <w:r>
        <w:rPr>
          <w:sz w:val="20"/>
          <w:szCs w:val="22"/>
          <w:vertAlign w:val="superscript"/>
        </w:rPr>
        <w:footnoteReference w:id="70"/>
      </w:r>
    </w:p>
    <w:p w:rsidR="001C34C9" w:rsidRPr="00D01F09" w:rsidP="001C34C9">
      <w:pPr>
        <w:numPr>
          <w:ilvl w:val="0"/>
          <w:numId w:val="9"/>
        </w:numPr>
        <w:spacing w:after="120"/>
        <w:ind w:left="1080"/>
      </w:pPr>
      <w:r w:rsidRPr="00D01F09">
        <w:rPr>
          <w:i/>
        </w:rPr>
        <w:t>Electronic Filers</w:t>
      </w:r>
      <w:r w:rsidRPr="00D01F09">
        <w:t xml:space="preserve">: Comments may be filed electronically using the Internet by accessing the ECFS: </w:t>
      </w:r>
      <w:r>
        <w:fldChar w:fldCharType="begin"/>
      </w:r>
      <w:r>
        <w:instrText xml:space="preserve"> HYPERLINK "http://apps.fcc.gov/ecfs/" </w:instrText>
      </w:r>
      <w:r>
        <w:fldChar w:fldCharType="separate"/>
      </w:r>
      <w:r w:rsidRPr="00D01F09">
        <w:rPr>
          <w:color w:val="0000FF"/>
          <w:u w:val="single"/>
        </w:rPr>
        <w:t>http://apps.fcc.gov/ecfs/</w:t>
      </w:r>
      <w:r>
        <w:fldChar w:fldCharType="end"/>
      </w:r>
      <w:r w:rsidRPr="00D01F09">
        <w:rPr>
          <w:color w:val="0000FF"/>
          <w:u w:val="single"/>
        </w:rPr>
        <w:t>.</w:t>
      </w:r>
    </w:p>
    <w:p w:rsidR="001C34C9" w:rsidRPr="00D01F09" w:rsidP="001C34C9">
      <w:pPr>
        <w:numPr>
          <w:ilvl w:val="0"/>
          <w:numId w:val="9"/>
        </w:numPr>
        <w:spacing w:after="120"/>
        <w:ind w:left="1080"/>
      </w:pPr>
      <w:r w:rsidRPr="00D01F09">
        <w:rPr>
          <w:i/>
        </w:rPr>
        <w:t>Paper Filers</w:t>
      </w:r>
      <w:r w:rsidRPr="00D01F09">
        <w:t xml:space="preserve">: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1C34C9" w:rsidRPr="00D01F09" w:rsidP="001C34C9">
      <w:pPr>
        <w:spacing w:after="120"/>
        <w:ind w:left="1080"/>
        <w:rPr>
          <w:szCs w:val="22"/>
        </w:rPr>
      </w:pPr>
      <w:r w:rsidRPr="00D01F09">
        <w:t>Filings can be sent by hand or messenger delivery, by commercial overnight courier, or by first-class or overnight U.S. Postal Service mail.  All filings must be addressed to the Commission’s Secretary:  Office of the Secretary, Federal Communications Commission.</w:t>
      </w:r>
    </w:p>
    <w:p w:rsidR="001C34C9" w:rsidRPr="00D01F09" w:rsidP="001C34C9">
      <w:pPr>
        <w:numPr>
          <w:ilvl w:val="1"/>
          <w:numId w:val="10"/>
        </w:numPr>
        <w:spacing w:after="120"/>
        <w:ind w:left="1800"/>
      </w:pPr>
      <w:r w:rsidRPr="00D01F09">
        <w:t>All hand-delivered or messenger-delivered paper filings for the Commission’s Secretary must be delivered to FCC Headquarters at 445 12</w:t>
      </w:r>
      <w:r w:rsidRPr="00D01F09">
        <w:rPr>
          <w:vertAlign w:val="superscript"/>
        </w:rPr>
        <w:t>th</w:t>
      </w:r>
      <w:r w:rsidRPr="00D01F09">
        <w:t xml:space="preserve"> St., SW, Room TW-A325, Washington, DC 20554.  The filing hours are 8:00 a.m. to 7:00 p.m.  All hand deliveries must be held together with rubber bands or fasteners.  Any envelopes and boxes must be disposed of </w:t>
      </w:r>
      <w:r w:rsidRPr="00D01F09">
        <w:rPr>
          <w:u w:val="single"/>
        </w:rPr>
        <w:t>before</w:t>
      </w:r>
      <w:r w:rsidRPr="00D01F09">
        <w:t xml:space="preserve"> entering the building.</w:t>
      </w:r>
    </w:p>
    <w:p w:rsidR="001C34C9" w:rsidRPr="00D01F09" w:rsidP="001C34C9">
      <w:pPr>
        <w:numPr>
          <w:ilvl w:val="1"/>
          <w:numId w:val="10"/>
        </w:numPr>
        <w:spacing w:after="120"/>
        <w:ind w:left="1800"/>
      </w:pPr>
      <w:r w:rsidRPr="00D01F09">
        <w:t>Commercial overnight mail (other than U.S. Postal Service Express Mail and Priority Mail) must be sent to 9050 Junction Drive, Annapolis Junction, MD 20701.</w:t>
      </w:r>
    </w:p>
    <w:p w:rsidR="001C34C9" w:rsidRPr="00D01F09" w:rsidP="001C34C9">
      <w:pPr>
        <w:numPr>
          <w:ilvl w:val="1"/>
          <w:numId w:val="10"/>
        </w:numPr>
        <w:spacing w:after="120"/>
        <w:ind w:left="1800"/>
      </w:pPr>
      <w:r w:rsidRPr="00D01F09">
        <w:t>U.S. Postal Service first-class, Express, and Priority mail must be addressed to 445 12</w:t>
      </w:r>
      <w:r w:rsidRPr="00D01F09">
        <w:rPr>
          <w:vertAlign w:val="superscript"/>
        </w:rPr>
        <w:t>th</w:t>
      </w:r>
      <w:r w:rsidRPr="00D01F09">
        <w:t xml:space="preserve"> Street, SW, Washington DC 20554.</w:t>
      </w:r>
    </w:p>
    <w:p w:rsidR="001C34C9" w:rsidRPr="00D01F09" w:rsidP="001C34C9">
      <w:pPr>
        <w:numPr>
          <w:ilvl w:val="0"/>
          <w:numId w:val="9"/>
        </w:numPr>
        <w:spacing w:after="120"/>
        <w:ind w:left="1080"/>
      </w:pPr>
      <w:r w:rsidRPr="00D01F09">
        <w:rPr>
          <w:i/>
        </w:rPr>
        <w:t>People with Disabilities</w:t>
      </w:r>
      <w:r w:rsidRPr="00D01F09">
        <w:t xml:space="preserve">: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D01F09">
        <w:rPr>
          <w:color w:val="0000FF"/>
          <w:u w:val="single"/>
        </w:rPr>
        <w:t>fcc504@fcc.gov</w:t>
      </w:r>
      <w:r>
        <w:fldChar w:fldCharType="end"/>
      </w:r>
      <w:r w:rsidRPr="00D01F09">
        <w:t xml:space="preserve"> or call the Consumer &amp; Governmental Affairs Bureau at 202-418-0530 (voice), 202-418-0432 (TTY).</w:t>
      </w:r>
    </w:p>
    <w:p w:rsidR="001C34C9" w:rsidP="001C34C9">
      <w:pPr>
        <w:pStyle w:val="ParaNum"/>
      </w:pPr>
      <w:r>
        <w:rPr>
          <w:i/>
        </w:rPr>
        <w:t xml:space="preserve">Ex Parte Requirements.  </w:t>
      </w:r>
      <w:r w:rsidRPr="00D01F09">
        <w:t xml:space="preserve">This proceeding shall be treated as a “permit-but-disclose” proceeding in accordance with the Commission’s </w:t>
      </w:r>
      <w:r w:rsidRPr="00D01F09">
        <w:rPr>
          <w:i/>
          <w:iCs/>
        </w:rPr>
        <w:t xml:space="preserve">ex parte </w:t>
      </w:r>
      <w:r w:rsidRPr="00D01F09">
        <w:t>rules.</w:t>
      </w:r>
      <w:r>
        <w:rPr>
          <w:vertAlign w:val="superscript"/>
        </w:rPr>
        <w:footnoteReference w:id="71"/>
      </w:r>
      <w:r w:rsidRPr="00D01F09">
        <w:t xml:space="preserve">  Persons making </w:t>
      </w:r>
      <w:r w:rsidRPr="00D01F09">
        <w:rPr>
          <w:i/>
        </w:rPr>
        <w:t xml:space="preserve">ex parte </w:t>
      </w:r>
      <w:r w:rsidRPr="00D01F0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01F09">
        <w:rPr>
          <w:i/>
          <w:iCs/>
        </w:rPr>
        <w:t xml:space="preserve">ex parte </w:t>
      </w:r>
      <w:r w:rsidRPr="00D01F09">
        <w:t xml:space="preserve">presentations are reminded that memoranda summarizing the presentation must (1) list all persons attending or otherwise participating in the meeting at which the </w:t>
      </w:r>
      <w:r w:rsidRPr="00D01F09">
        <w:rPr>
          <w:i/>
          <w:iCs/>
        </w:rPr>
        <w:t xml:space="preserve">ex parte </w:t>
      </w:r>
      <w:r w:rsidRPr="00D01F09">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01F09">
        <w:rPr>
          <w:i/>
          <w:iCs/>
        </w:rPr>
        <w:t xml:space="preserve">ex parte </w:t>
      </w:r>
      <w:r w:rsidRPr="00D01F09">
        <w:t xml:space="preserve">meetings are deemed to be written </w:t>
      </w:r>
      <w:r w:rsidRPr="00D01F09">
        <w:rPr>
          <w:i/>
          <w:iCs/>
        </w:rPr>
        <w:t>ex parte</w:t>
      </w:r>
      <w:r w:rsidRPr="00D01F09">
        <w:t xml:space="preserve"> presentations and must be filed consistent with rule 1.1206(b).  In proceedings governed by Rule 1.49(f) or for which the Commission has made available a method of electronic filing, written </w:t>
      </w:r>
      <w:r w:rsidRPr="00D01F09">
        <w:rPr>
          <w:i/>
          <w:iCs/>
        </w:rPr>
        <w:t xml:space="preserve">ex parte </w:t>
      </w:r>
      <w:r w:rsidRPr="00D01F09">
        <w:t xml:space="preserve">presentations and memoranda summarizing oral </w:t>
      </w:r>
      <w:r w:rsidRPr="00D01F09">
        <w:rPr>
          <w:i/>
          <w:iCs/>
        </w:rPr>
        <w:t xml:space="preserve">ex parte </w:t>
      </w:r>
      <w:r w:rsidRPr="00D01F09">
        <w:t>presentations, and all attachments thereto, must be filed through the electronic comment filing system available for that proceeding, and must be filed in their native format (</w:t>
      </w:r>
      <w:r w:rsidRPr="00D01F09">
        <w:rPr>
          <w:i/>
          <w:iCs/>
        </w:rPr>
        <w:t>e.g.</w:t>
      </w:r>
      <w:r w:rsidRPr="00D01F09">
        <w:t xml:space="preserve">, .doc, .xml, .ppt, searchable .pdf).  Participants in this proceeding should familiarize themselves with the Commission’s </w:t>
      </w:r>
      <w:r w:rsidRPr="00D01F09">
        <w:rPr>
          <w:i/>
          <w:iCs/>
        </w:rPr>
        <w:t xml:space="preserve">ex parte </w:t>
      </w:r>
      <w:r w:rsidRPr="00D01F09">
        <w:t>rules.</w:t>
      </w:r>
    </w:p>
    <w:p w:rsidR="001C34C9" w:rsidRPr="00D01F09" w:rsidP="001C34C9">
      <w:pPr>
        <w:pStyle w:val="Heading2"/>
      </w:pPr>
      <w:bookmarkStart w:id="207" w:name="_Toc482278982"/>
      <w:bookmarkStart w:id="208" w:name="_Toc482711308"/>
      <w:bookmarkStart w:id="209" w:name="_Toc482869864"/>
      <w:bookmarkStart w:id="210" w:name="_Toc483387740"/>
      <w:bookmarkStart w:id="211" w:name="_Toc484769478"/>
      <w:bookmarkStart w:id="212" w:name="_Toc484794784"/>
      <w:bookmarkStart w:id="213" w:name="_Toc485133330"/>
      <w:bookmarkStart w:id="214" w:name="_Toc485298384"/>
      <w:bookmarkStart w:id="215" w:name="_Toc485368600"/>
      <w:bookmarkStart w:id="216" w:name="_Toc485386752"/>
      <w:bookmarkStart w:id="217" w:name="_Toc485659143"/>
      <w:bookmarkStart w:id="218" w:name="_Toc493236494"/>
      <w:bookmarkStart w:id="219" w:name="_Toc493691854"/>
      <w:bookmarkStart w:id="220" w:name="_Toc493856485"/>
      <w:bookmarkStart w:id="221" w:name="_Toc494704774"/>
      <w:bookmarkStart w:id="222" w:name="_Toc496255940"/>
      <w:bookmarkStart w:id="223" w:name="_Toc496256637"/>
      <w:bookmarkStart w:id="224" w:name="_Toc496696582"/>
      <w:bookmarkStart w:id="225" w:name="_Toc505180884"/>
      <w:bookmarkStart w:id="226" w:name="_Toc505181096"/>
      <w:bookmarkStart w:id="227" w:name="_Toc505683962"/>
      <w:bookmarkStart w:id="228" w:name="_Toc505689485"/>
      <w:bookmarkStart w:id="229" w:name="_Toc506995445"/>
      <w:bookmarkStart w:id="230" w:name="_Toc508095928"/>
      <w:bookmarkStart w:id="231" w:name="_Toc508195812"/>
      <w:bookmarkStart w:id="232" w:name="_Toc508797948"/>
      <w:bookmarkStart w:id="233" w:name="_Toc508972574"/>
      <w:bookmarkStart w:id="234" w:name="_Toc508977226"/>
      <w:bookmarkStart w:id="235" w:name="_Toc508977440"/>
      <w:bookmarkStart w:id="236" w:name="_Toc509231963"/>
      <w:bookmarkStart w:id="237" w:name="_Toc509497846"/>
      <w:bookmarkStart w:id="238" w:name="_Toc509498387"/>
      <w:r w:rsidRPr="00D01F09">
        <w:t>Initial Regulatory Flexibility Analysis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1C34C9" w:rsidRPr="00D01F09" w:rsidP="001C34C9">
      <w:pPr>
        <w:pStyle w:val="ParaNum"/>
      </w:pPr>
      <w:r w:rsidRPr="00D01F09">
        <w:t>Pursuant to the Regulatory Flexibility Act (RFA),</w:t>
      </w:r>
      <w:r>
        <w:rPr>
          <w:sz w:val="20"/>
          <w:szCs w:val="22"/>
          <w:vertAlign w:val="superscript"/>
        </w:rPr>
        <w:footnoteReference w:id="72"/>
      </w:r>
      <w:r w:rsidRPr="00D01F09">
        <w:t xml:space="preserve"> the Commission has prepared an Initial Regulatory Flexibility Analysis (IRFA) of the possible significant economic impact on small entities of the policies and actions considered in this Notice of Proposed Rulemaking.  The text of the IRFA is set forth in Appendix B.  Written public comments are requested on this IRFA.  Comments must be identified as responses to the IRFA and must be filed by the deadlines for comment on the Notice of Proposed Rulemaking.  The Commission’s Consumer and Governmental Affairs Bureau, Reference Information Center, will send a copy of this Notice of Proposed Rulemaking, including the IRFA, to the Chief Counsel for Advocacy of the Small Business Administration (SBA).</w:t>
      </w:r>
      <w:r>
        <w:rPr>
          <w:sz w:val="20"/>
          <w:szCs w:val="22"/>
          <w:vertAlign w:val="superscript"/>
        </w:rPr>
        <w:footnoteReference w:id="73"/>
      </w:r>
    </w:p>
    <w:p w:rsidR="001C34C9" w:rsidRPr="00D01F09" w:rsidP="001C34C9">
      <w:pPr>
        <w:pStyle w:val="Heading2"/>
      </w:pPr>
      <w:bookmarkStart w:id="239" w:name="_Toc482278983"/>
      <w:bookmarkStart w:id="240" w:name="_Toc482711309"/>
      <w:bookmarkStart w:id="241" w:name="_Toc482869865"/>
      <w:bookmarkStart w:id="242" w:name="_Toc483387741"/>
      <w:bookmarkStart w:id="243" w:name="_Toc484769479"/>
      <w:bookmarkStart w:id="244" w:name="_Toc484794785"/>
      <w:bookmarkStart w:id="245" w:name="_Toc485133331"/>
      <w:bookmarkStart w:id="246" w:name="_Toc485298385"/>
      <w:bookmarkStart w:id="247" w:name="_Toc485368601"/>
      <w:bookmarkStart w:id="248" w:name="_Toc485386753"/>
      <w:bookmarkStart w:id="249" w:name="_Toc485659144"/>
      <w:bookmarkStart w:id="250" w:name="_Toc493236495"/>
      <w:bookmarkStart w:id="251" w:name="_Toc493691855"/>
      <w:bookmarkStart w:id="252" w:name="_Toc493856486"/>
      <w:bookmarkStart w:id="253" w:name="_Toc494704775"/>
      <w:bookmarkStart w:id="254" w:name="_Toc496255941"/>
      <w:bookmarkStart w:id="255" w:name="_Toc496256638"/>
      <w:bookmarkStart w:id="256" w:name="_Toc496696583"/>
      <w:bookmarkStart w:id="257" w:name="_Toc505180885"/>
      <w:bookmarkStart w:id="258" w:name="_Toc505181097"/>
      <w:bookmarkStart w:id="259" w:name="_Toc505683963"/>
      <w:bookmarkStart w:id="260" w:name="_Toc505689486"/>
      <w:bookmarkStart w:id="261" w:name="_Toc506995446"/>
      <w:bookmarkStart w:id="262" w:name="_Toc508095929"/>
      <w:bookmarkStart w:id="263" w:name="_Toc508195813"/>
      <w:bookmarkStart w:id="264" w:name="_Toc508797949"/>
      <w:bookmarkStart w:id="265" w:name="_Toc508972575"/>
      <w:bookmarkStart w:id="266" w:name="_Toc508977227"/>
      <w:bookmarkStart w:id="267" w:name="_Toc508977441"/>
      <w:bookmarkStart w:id="268" w:name="_Toc509231964"/>
      <w:bookmarkStart w:id="269" w:name="_Toc509497847"/>
      <w:bookmarkStart w:id="270" w:name="_Toc509498388"/>
      <w:r w:rsidRPr="00D01F09">
        <w:t>Paperwork Reduction Act</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1C34C9" w:rsidRPr="00D01F09" w:rsidP="001C34C9">
      <w:pPr>
        <w:pStyle w:val="ParaNum"/>
      </w:pPr>
      <w:r w:rsidRPr="00D01F09">
        <w:t>This document may contain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we seek specific comment on how we might further reduce the information collection burden for small business concerns with fewer than 25 employees.</w:t>
      </w:r>
      <w:r>
        <w:rPr>
          <w:sz w:val="20"/>
          <w:szCs w:val="22"/>
          <w:vertAlign w:val="superscript"/>
        </w:rPr>
        <w:footnoteReference w:id="74"/>
      </w:r>
    </w:p>
    <w:p w:rsidR="001C34C9" w:rsidRPr="00D01F09" w:rsidP="001C34C9">
      <w:pPr>
        <w:pStyle w:val="Heading2"/>
      </w:pPr>
      <w:bookmarkStart w:id="271" w:name="_Toc482278984"/>
      <w:bookmarkStart w:id="272" w:name="_Toc482711310"/>
      <w:bookmarkStart w:id="273" w:name="_Toc482869866"/>
      <w:bookmarkStart w:id="274" w:name="_Toc483387742"/>
      <w:bookmarkStart w:id="275" w:name="_Toc484769480"/>
      <w:bookmarkStart w:id="276" w:name="_Toc484794786"/>
      <w:bookmarkStart w:id="277" w:name="_Toc485133332"/>
      <w:bookmarkStart w:id="278" w:name="_Toc485298386"/>
      <w:bookmarkStart w:id="279" w:name="_Toc485368602"/>
      <w:bookmarkStart w:id="280" w:name="_Toc485386754"/>
      <w:bookmarkStart w:id="281" w:name="_Toc485659145"/>
      <w:bookmarkStart w:id="282" w:name="_Toc493236496"/>
      <w:bookmarkStart w:id="283" w:name="_Toc493691856"/>
      <w:bookmarkStart w:id="284" w:name="_Toc493856487"/>
      <w:bookmarkStart w:id="285" w:name="_Toc494704776"/>
      <w:bookmarkStart w:id="286" w:name="_Toc496255942"/>
      <w:bookmarkStart w:id="287" w:name="_Toc496256639"/>
      <w:bookmarkStart w:id="288" w:name="_Toc496696584"/>
      <w:bookmarkStart w:id="289" w:name="_Toc505180886"/>
      <w:bookmarkStart w:id="290" w:name="_Toc505181098"/>
      <w:bookmarkStart w:id="291" w:name="_Toc505683964"/>
      <w:bookmarkStart w:id="292" w:name="_Toc505689487"/>
      <w:bookmarkStart w:id="293" w:name="_Toc506995447"/>
      <w:bookmarkStart w:id="294" w:name="_Toc508095930"/>
      <w:bookmarkStart w:id="295" w:name="_Toc508195814"/>
      <w:bookmarkStart w:id="296" w:name="_Toc508797950"/>
      <w:bookmarkStart w:id="297" w:name="_Toc508972576"/>
      <w:bookmarkStart w:id="298" w:name="_Toc508977228"/>
      <w:bookmarkStart w:id="299" w:name="_Toc508977442"/>
      <w:bookmarkStart w:id="300" w:name="_Toc509231965"/>
      <w:bookmarkStart w:id="301" w:name="_Toc509497848"/>
      <w:bookmarkStart w:id="302" w:name="_Toc509498389"/>
      <w:r w:rsidRPr="00D01F09">
        <w:t>Contact Person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1C34C9" w:rsidRPr="00D01F09" w:rsidP="001C34C9">
      <w:pPr>
        <w:pStyle w:val="ParaNum"/>
      </w:pPr>
      <w:r w:rsidRPr="00D01F09">
        <w:t xml:space="preserve">For further information about this proceeding, please contact </w:t>
      </w:r>
      <w:r>
        <w:t xml:space="preserve">Marv Sacks, </w:t>
      </w:r>
      <w:r w:rsidRPr="00D01F09">
        <w:t>FCC Wireline Competition Bureau, Pricing Policy Division, 445 12th Street, S.W., Washington, D.C. 20554, (202) 418-</w:t>
      </w:r>
      <w:r>
        <w:t>2017</w:t>
      </w:r>
      <w:r w:rsidRPr="00D01F09">
        <w:t xml:space="preserve">, </w:t>
      </w:r>
      <w:r>
        <w:t>marvin.sacks@fcc.gov.</w:t>
      </w:r>
    </w:p>
    <w:p w:rsidR="001C34C9" w:rsidRPr="00D01F09" w:rsidP="001C34C9">
      <w:pPr>
        <w:pStyle w:val="Heading1"/>
      </w:pPr>
      <w:bookmarkStart w:id="303" w:name="_Toc482278985"/>
      <w:bookmarkStart w:id="304" w:name="_Toc482711311"/>
      <w:bookmarkStart w:id="305" w:name="_Toc482869867"/>
      <w:bookmarkStart w:id="306" w:name="_Toc483387743"/>
      <w:bookmarkStart w:id="307" w:name="_Toc484769481"/>
      <w:bookmarkStart w:id="308" w:name="_Toc484794787"/>
      <w:bookmarkStart w:id="309" w:name="_Toc485133333"/>
      <w:bookmarkStart w:id="310" w:name="_Toc485298387"/>
      <w:bookmarkStart w:id="311" w:name="_Toc485368603"/>
      <w:bookmarkStart w:id="312" w:name="_Toc485386755"/>
      <w:bookmarkStart w:id="313" w:name="_Toc485659146"/>
      <w:bookmarkStart w:id="314" w:name="_Toc493236497"/>
      <w:bookmarkStart w:id="315" w:name="_Toc493691857"/>
      <w:bookmarkStart w:id="316" w:name="_Toc493856488"/>
      <w:bookmarkStart w:id="317" w:name="_Toc494704777"/>
      <w:bookmarkStart w:id="318" w:name="_Toc496255943"/>
      <w:bookmarkStart w:id="319" w:name="_Toc496256640"/>
      <w:bookmarkStart w:id="320" w:name="_Toc496696585"/>
      <w:bookmarkStart w:id="321" w:name="_Toc505180887"/>
      <w:bookmarkStart w:id="322" w:name="_Toc505181099"/>
      <w:bookmarkStart w:id="323" w:name="_Toc505683965"/>
      <w:bookmarkStart w:id="324" w:name="_Toc505689488"/>
      <w:bookmarkStart w:id="325" w:name="_Toc506995448"/>
      <w:bookmarkStart w:id="326" w:name="_Toc508095931"/>
      <w:bookmarkStart w:id="327" w:name="_Toc508195815"/>
      <w:bookmarkStart w:id="328" w:name="_Toc508797951"/>
      <w:bookmarkStart w:id="329" w:name="_Toc508972577"/>
      <w:bookmarkStart w:id="330" w:name="_Toc508977229"/>
      <w:bookmarkStart w:id="331" w:name="_Toc508977443"/>
      <w:bookmarkStart w:id="332" w:name="_Toc509231966"/>
      <w:bookmarkStart w:id="333" w:name="_Toc509497849"/>
      <w:bookmarkStart w:id="334" w:name="_Toc509498390"/>
      <w:bookmarkStart w:id="335" w:name="_Toc513645104"/>
      <w:bookmarkStart w:id="336" w:name="_Toc513645707"/>
      <w:bookmarkStart w:id="337" w:name="_Toc513646186"/>
      <w:bookmarkStart w:id="338" w:name="_Toc513741219"/>
      <w:bookmarkStart w:id="339" w:name="_Toc514253296"/>
      <w:bookmarkStart w:id="340" w:name="_Toc514326661"/>
      <w:bookmarkStart w:id="341" w:name="_Toc514928141"/>
      <w:bookmarkStart w:id="342" w:name="_Toc514928290"/>
      <w:bookmarkStart w:id="343" w:name="_Toc514928491"/>
      <w:bookmarkStart w:id="344" w:name="_Toc515456743"/>
      <w:bookmarkStart w:id="345" w:name="_Toc515459233"/>
      <w:r w:rsidRPr="00D01F09">
        <w:t>Ordering Clauses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1C34C9" w:rsidRPr="00D01F09" w:rsidP="001C34C9">
      <w:pPr>
        <w:pStyle w:val="ParaNum"/>
      </w:pPr>
      <w:r>
        <w:t xml:space="preserve">Accordingly, </w:t>
      </w:r>
      <w:r w:rsidRPr="00D01F09">
        <w:t xml:space="preserve">IT IS ORDERED, pursuant to sections </w:t>
      </w:r>
      <w:r w:rsidRPr="0000391B">
        <w:rPr>
          <w:szCs w:val="22"/>
        </w:rPr>
        <w:t xml:space="preserve">1, 4(i) and (j), 205, </w:t>
      </w:r>
      <w:r>
        <w:rPr>
          <w:szCs w:val="22"/>
        </w:rPr>
        <w:t xml:space="preserve">220, </w:t>
      </w:r>
      <w:r w:rsidRPr="0000391B">
        <w:rPr>
          <w:szCs w:val="22"/>
        </w:rPr>
        <w:t xml:space="preserve">221(c), 254, </w:t>
      </w:r>
      <w:r>
        <w:rPr>
          <w:szCs w:val="22"/>
        </w:rPr>
        <w:t xml:space="preserve">303(r), </w:t>
      </w:r>
      <w:r w:rsidRPr="0000391B">
        <w:rPr>
          <w:szCs w:val="22"/>
        </w:rPr>
        <w:t xml:space="preserve">403, </w:t>
      </w:r>
      <w:r>
        <w:rPr>
          <w:szCs w:val="22"/>
        </w:rPr>
        <w:t xml:space="preserve">and </w:t>
      </w:r>
      <w:r w:rsidRPr="0000391B">
        <w:rPr>
          <w:szCs w:val="22"/>
        </w:rPr>
        <w:t>410</w:t>
      </w:r>
      <w:r>
        <w:rPr>
          <w:szCs w:val="22"/>
        </w:rPr>
        <w:t xml:space="preserve"> </w:t>
      </w:r>
      <w:r w:rsidRPr="00D01F09">
        <w:t>of the Communication Act of 1934, as amended, 47 U.S.C. §§</w:t>
      </w:r>
      <w:r>
        <w:t> </w:t>
      </w:r>
      <w:r w:rsidRPr="0000391B">
        <w:rPr>
          <w:szCs w:val="22"/>
        </w:rPr>
        <w:t xml:space="preserve">151, 154(i) and (j), 205, </w:t>
      </w:r>
      <w:r>
        <w:rPr>
          <w:szCs w:val="22"/>
        </w:rPr>
        <w:t xml:space="preserve">220, </w:t>
      </w:r>
      <w:r w:rsidRPr="0000391B">
        <w:rPr>
          <w:szCs w:val="22"/>
        </w:rPr>
        <w:t xml:space="preserve">221(c), 254, </w:t>
      </w:r>
      <w:r>
        <w:rPr>
          <w:szCs w:val="22"/>
        </w:rPr>
        <w:t xml:space="preserve">303(r), </w:t>
      </w:r>
      <w:r w:rsidRPr="0000391B">
        <w:rPr>
          <w:szCs w:val="22"/>
        </w:rPr>
        <w:t>403, 410</w:t>
      </w:r>
      <w:r>
        <w:rPr>
          <w:szCs w:val="22"/>
        </w:rPr>
        <w:t>, and s</w:t>
      </w:r>
      <w:r w:rsidRPr="00F65357">
        <w:rPr>
          <w:szCs w:val="22"/>
        </w:rPr>
        <w:t xml:space="preserve">ection 706 of the Telecommunications Act of 1996, as amended, </w:t>
      </w:r>
      <w:r>
        <w:fldChar w:fldCharType="begin"/>
      </w:r>
      <w:r>
        <w:instrText xml:space="preserve"> HYPERLINK "https://1.next.westlaw.com/Link/Document/FullText?findType=L&amp;pubNum=1000546&amp;cite=47USCAS1302&amp;originatingDoc=I07d782be57a311e8ab20b3103407982a&amp;refType=LQ&amp;originationContext=document&amp;transitionType=DocumentItem&amp;contextData=(sc.Search)" </w:instrText>
      </w:r>
      <w:r>
        <w:fldChar w:fldCharType="separate"/>
      </w:r>
      <w:r w:rsidRPr="00F65357">
        <w:rPr>
          <w:szCs w:val="22"/>
        </w:rPr>
        <w:t>47 U.S.C. § 1302</w:t>
      </w:r>
      <w:r>
        <w:fldChar w:fldCharType="end"/>
      </w:r>
      <w:r>
        <w:rPr>
          <w:szCs w:val="22"/>
        </w:rPr>
        <w:t xml:space="preserve">, </w:t>
      </w:r>
      <w:r w:rsidRPr="00593D0B">
        <w:rPr>
          <w:szCs w:val="22"/>
        </w:rPr>
        <w:t>that this Further Notice of Proposed</w:t>
      </w:r>
      <w:r w:rsidRPr="00D01F09">
        <w:t xml:space="preserve"> Rulemaking IS ADOPTED.  </w:t>
      </w:r>
    </w:p>
    <w:p w:rsidR="001C34C9" w:rsidRPr="00D01F09" w:rsidP="001C34C9">
      <w:pPr>
        <w:pStyle w:val="ParaNum"/>
      </w:pPr>
      <w:r w:rsidRPr="00D01F09">
        <w:t xml:space="preserve"> IT IS FURTHER ORDERED, </w:t>
      </w:r>
      <w:r>
        <w:t>p</w:t>
      </w:r>
      <w:r w:rsidRPr="00D01F09">
        <w:t xml:space="preserve">ursuant to </w:t>
      </w:r>
      <w:r>
        <w:t>s</w:t>
      </w:r>
      <w:r w:rsidRPr="00D01F09">
        <w:t xml:space="preserve">ection 220(i) of the Communications Act, 47 U.S.C. § 220(i), that notice be given to each state commission of the above rulemaking proceeding, and that the Secretary </w:t>
      </w:r>
      <w:r>
        <w:t>SHALL SERVE</w:t>
      </w:r>
      <w:r w:rsidRPr="00D01F09">
        <w:t xml:space="preserve"> a copy of this </w:t>
      </w:r>
      <w:r>
        <w:t xml:space="preserve">Further </w:t>
      </w:r>
      <w:r w:rsidRPr="00D01F09">
        <w:t xml:space="preserve">Notice </w:t>
      </w:r>
      <w:r>
        <w:t xml:space="preserve">of Proposed Rulemaking </w:t>
      </w:r>
      <w:r w:rsidRPr="00D01F09">
        <w:t xml:space="preserve">on each state commission. </w:t>
      </w:r>
      <w:r>
        <w:t xml:space="preserve"> </w:t>
      </w:r>
    </w:p>
    <w:p w:rsidR="007E1EBA" w:rsidP="00AE221A">
      <w:pPr>
        <w:pStyle w:val="ParaNum"/>
        <w:keepNext/>
      </w:pPr>
      <w:r w:rsidRPr="00D01F09">
        <w:t xml:space="preserve">IT IS FURTHER ORDERED that the Commission’s Consumer and Governmental Affairs Bureau, Reference Information Center, SHALL SEND a copy of this </w:t>
      </w:r>
      <w:r>
        <w:t xml:space="preserve">Further </w:t>
      </w:r>
      <w:r w:rsidRPr="00D01F09">
        <w:t>Notice of Proposed Rulemaking, including the Initial Regulatory Flexibility Analysis, to the Chief Counsel for Advocacy of the Small Business Administration.</w:t>
      </w:r>
    </w:p>
    <w:p w:rsidR="009B6166" w:rsidP="00AE221A">
      <w:pPr>
        <w:keepNext/>
        <w:ind w:left="4320"/>
      </w:pPr>
    </w:p>
    <w:p w:rsidR="001C34C9" w:rsidRPr="00D01F09" w:rsidP="00AE221A">
      <w:pPr>
        <w:keepNext/>
        <w:ind w:left="4320"/>
      </w:pPr>
      <w:r w:rsidRPr="00D01F09">
        <w:t>FEDERAL COMMUNICATIONS COMMISSION</w:t>
      </w:r>
    </w:p>
    <w:p w:rsidR="001C34C9" w:rsidRPr="00D01F09" w:rsidP="00AE221A">
      <w:pPr>
        <w:keepNext/>
      </w:pPr>
    </w:p>
    <w:p w:rsidR="001C34C9" w:rsidRPr="00D01F09" w:rsidP="00AE221A">
      <w:pPr>
        <w:keepNext/>
      </w:pPr>
    </w:p>
    <w:p w:rsidR="001C34C9" w:rsidRPr="00D01F09" w:rsidP="00AE221A">
      <w:pPr>
        <w:keepNext/>
      </w:pPr>
    </w:p>
    <w:p w:rsidR="001C34C9" w:rsidRPr="00D01F09" w:rsidP="00AE221A">
      <w:pPr>
        <w:keepNext/>
      </w:pPr>
    </w:p>
    <w:p w:rsidR="001C34C9" w:rsidRPr="00D01F09" w:rsidP="00AE221A">
      <w:pPr>
        <w:keepNext/>
      </w:pPr>
      <w:r w:rsidRPr="00D01F09">
        <w:tab/>
      </w:r>
      <w:r w:rsidRPr="00D01F09">
        <w:tab/>
      </w:r>
      <w:r w:rsidRPr="00D01F09">
        <w:tab/>
      </w:r>
      <w:r>
        <w:tab/>
      </w:r>
      <w:r>
        <w:tab/>
      </w:r>
      <w:bookmarkStart w:id="346" w:name="comebackhere"/>
      <w:bookmarkEnd w:id="346"/>
      <w:r>
        <w:tab/>
      </w:r>
      <w:r w:rsidRPr="00D01F09">
        <w:t>Marlene H. Dortch</w:t>
      </w:r>
    </w:p>
    <w:p w:rsidR="00C36E17" w:rsidP="00AE221A">
      <w:pPr>
        <w:keepNext/>
        <w:sectPr w:rsidSect="001C34C9">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720" w:footer="720" w:gutter="0"/>
          <w:pgNumType w:start="1"/>
          <w:cols w:space="720"/>
          <w:noEndnote/>
          <w:titlePg/>
        </w:sectPr>
      </w:pPr>
      <w:r w:rsidRPr="00D01F09">
        <w:tab/>
      </w:r>
      <w:r w:rsidRPr="00D01F09">
        <w:tab/>
      </w:r>
      <w:r w:rsidRPr="00D01F09">
        <w:tab/>
      </w:r>
      <w:r w:rsidRPr="00D01F09">
        <w:tab/>
      </w:r>
      <w:r w:rsidRPr="00D01F09">
        <w:tab/>
      </w:r>
      <w:r w:rsidRPr="00D01F09">
        <w:tab/>
        <w:t>Secretary</w:t>
      </w:r>
      <w:bookmarkStart w:id="347" w:name="_Toc505683966"/>
      <w:bookmarkStart w:id="348" w:name="_Toc505689489"/>
      <w:bookmarkStart w:id="349" w:name="_Toc506995449"/>
      <w:bookmarkStart w:id="350" w:name="_Toc508095932"/>
      <w:bookmarkStart w:id="351" w:name="_Toc508195816"/>
      <w:bookmarkStart w:id="352" w:name="_Toc508797952"/>
      <w:bookmarkStart w:id="353" w:name="_Toc508972578"/>
      <w:bookmarkStart w:id="354" w:name="_Toc508977230"/>
      <w:bookmarkStart w:id="355" w:name="_Toc508977444"/>
      <w:bookmarkStart w:id="356" w:name="_Toc509231967"/>
      <w:bookmarkStart w:id="357" w:name="_Toc509497850"/>
      <w:bookmarkStart w:id="358" w:name="_Toc509498391"/>
      <w:bookmarkStart w:id="359" w:name="_Toc505180888"/>
      <w:bookmarkStart w:id="360" w:name="_Toc505181100"/>
      <w:bookmarkStart w:id="361" w:name="_Toc514928142"/>
      <w:bookmarkStart w:id="362" w:name="_Toc514928291"/>
      <w:bookmarkStart w:id="363" w:name="_Toc514928492"/>
      <w:bookmarkStart w:id="364" w:name="_Toc515456744"/>
      <w:bookmarkStart w:id="365" w:name="_Toc515459234"/>
    </w:p>
    <w:p w:rsidR="00C36E17" w:rsidP="00C36E17">
      <w:pPr>
        <w:pStyle w:val="Heading1"/>
        <w:numPr>
          <w:ilvl w:val="0"/>
          <w:numId w:val="0"/>
        </w:numPr>
        <w:jc w:val="center"/>
        <w:rPr>
          <w:b w:val="0"/>
        </w:rPr>
      </w:pPr>
      <w:r w:rsidRPr="00D01F09">
        <w:t>APPENDIX A</w:t>
      </w:r>
      <w:bookmarkStart w:id="366" w:name="FN[FN168]"/>
      <w:bookmarkStart w:id="367" w:name="SDU_31"/>
      <w:bookmarkStart w:id="368" w:name="citeas((Cite_as:_2006_WL_1350266,*14,_21"/>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6"/>
      <w:bookmarkEnd w:id="367"/>
      <w:bookmarkEnd w:id="368"/>
    </w:p>
    <w:p w:rsidR="001C34C9" w:rsidRPr="00C36E17" w:rsidP="00C36E17">
      <w:pPr>
        <w:pStyle w:val="Heading1"/>
        <w:numPr>
          <w:ilvl w:val="0"/>
          <w:numId w:val="0"/>
        </w:numPr>
        <w:jc w:val="center"/>
        <w:rPr>
          <w:caps w:val="0"/>
        </w:rPr>
      </w:pPr>
      <w:bookmarkEnd w:id="361"/>
      <w:bookmarkEnd w:id="362"/>
      <w:bookmarkEnd w:id="363"/>
      <w:bookmarkEnd w:id="364"/>
      <w:bookmarkEnd w:id="365"/>
      <w:r>
        <w:rPr>
          <w:b w:val="0"/>
          <w:caps w:val="0"/>
        </w:rPr>
        <w:t>Draft Proposed Rules for Public Comment</w:t>
      </w:r>
    </w:p>
    <w:p w:rsidR="001C34C9" w:rsidRPr="00443A3D" w:rsidP="001C34C9">
      <w:pPr>
        <w:rPr>
          <w:szCs w:val="22"/>
        </w:rPr>
      </w:pPr>
      <w:r w:rsidRPr="00443A3D">
        <w:rPr>
          <w:szCs w:val="22"/>
        </w:rPr>
        <w:t>For the reasons set forth above, the Federal Communications Commission proposes to amend Part 36 of Title 47 of the Code of Federal Regulations as follows:</w:t>
      </w:r>
    </w:p>
    <w:p w:rsidR="001C34C9" w:rsidRPr="00443A3D" w:rsidP="001C34C9">
      <w:pPr>
        <w:rPr>
          <w:szCs w:val="22"/>
        </w:rPr>
      </w:pPr>
    </w:p>
    <w:p w:rsidR="001C34C9" w:rsidRPr="00443A3D" w:rsidP="001C34C9">
      <w:pPr>
        <w:rPr>
          <w:szCs w:val="22"/>
        </w:rPr>
      </w:pPr>
      <w:r w:rsidRPr="00443A3D">
        <w:rPr>
          <w:b/>
          <w:bCs/>
          <w:szCs w:val="22"/>
        </w:rPr>
        <w:t>PART 36—JURISDICTIONAL SEPARATIONS PROCEDURES; STANDARD PROCEDURES FOR SEPARATING TELECOMMUNICATIONS PROPERTY COSTS, REVENUES, EXPENSES, TAXES AND RESERVES FOR TELECOMMUNICATIONS COMPANIES</w:t>
      </w:r>
    </w:p>
    <w:p w:rsidR="001C34C9" w:rsidP="001C34C9">
      <w:pPr>
        <w:rPr>
          <w:szCs w:val="22"/>
        </w:rPr>
      </w:pPr>
    </w:p>
    <w:p w:rsidR="001C34C9" w:rsidRPr="00443A3D" w:rsidP="001C34C9">
      <w:pPr>
        <w:ind w:firstLine="360"/>
        <w:rPr>
          <w:szCs w:val="22"/>
        </w:rPr>
      </w:pPr>
      <w:r w:rsidRPr="00443A3D">
        <w:rPr>
          <w:szCs w:val="22"/>
        </w:rPr>
        <w:t xml:space="preserve">1.  The authority citation </w:t>
      </w:r>
      <w:r w:rsidRPr="00443A3D">
        <w:rPr>
          <w:snapToGrid/>
          <w:szCs w:val="22"/>
        </w:rPr>
        <w:t>for</w:t>
      </w:r>
      <w:r w:rsidRPr="00443A3D">
        <w:rPr>
          <w:szCs w:val="22"/>
        </w:rPr>
        <w:t xml:space="preserve"> part 36 </w:t>
      </w:r>
      <w:r>
        <w:rPr>
          <w:szCs w:val="22"/>
        </w:rPr>
        <w:t xml:space="preserve">is amended </w:t>
      </w:r>
      <w:r w:rsidRPr="00443A3D">
        <w:rPr>
          <w:szCs w:val="22"/>
        </w:rPr>
        <w:t xml:space="preserve">to read as follows: </w:t>
      </w:r>
    </w:p>
    <w:p w:rsidR="001C34C9" w:rsidRPr="00443A3D" w:rsidP="001C34C9">
      <w:pPr>
        <w:rPr>
          <w:szCs w:val="22"/>
        </w:rPr>
      </w:pPr>
    </w:p>
    <w:p w:rsidR="001C34C9" w:rsidRPr="0000391B" w:rsidP="001C34C9">
      <w:pPr>
        <w:rPr>
          <w:szCs w:val="22"/>
        </w:rPr>
      </w:pPr>
      <w:r w:rsidRPr="0000391B">
        <w:rPr>
          <w:szCs w:val="22"/>
        </w:rPr>
        <w:t>AUTHORITY: 47 U.S.C.</w:t>
      </w:r>
      <w:r>
        <w:rPr>
          <w:szCs w:val="22"/>
        </w:rPr>
        <w:t xml:space="preserve"> </w:t>
      </w:r>
      <w:r w:rsidRPr="0000391B">
        <w:rPr>
          <w:szCs w:val="22"/>
        </w:rPr>
        <w:t xml:space="preserve">151, 154(i) and (j), 205, </w:t>
      </w:r>
      <w:r>
        <w:rPr>
          <w:szCs w:val="22"/>
        </w:rPr>
        <w:t xml:space="preserve">220, </w:t>
      </w:r>
      <w:r w:rsidRPr="0000391B">
        <w:rPr>
          <w:szCs w:val="22"/>
        </w:rPr>
        <w:t xml:space="preserve">221(c), 254, </w:t>
      </w:r>
      <w:r>
        <w:rPr>
          <w:szCs w:val="22"/>
        </w:rPr>
        <w:t xml:space="preserve">303(r), </w:t>
      </w:r>
      <w:r w:rsidRPr="0000391B">
        <w:rPr>
          <w:szCs w:val="22"/>
        </w:rPr>
        <w:t>403, 410</w:t>
      </w:r>
      <w:r>
        <w:rPr>
          <w:szCs w:val="22"/>
        </w:rPr>
        <w:t>, and 1302 unless otherwise noted</w:t>
      </w:r>
      <w:r w:rsidRPr="0000391B">
        <w:rPr>
          <w:szCs w:val="22"/>
        </w:rPr>
        <w:t>.</w:t>
      </w:r>
    </w:p>
    <w:p w:rsidR="001C34C9" w:rsidP="001C34C9">
      <w:pPr>
        <w:rPr>
          <w:szCs w:val="22"/>
        </w:rPr>
      </w:pPr>
    </w:p>
    <w:p w:rsidR="001C34C9" w:rsidP="001C34C9">
      <w:pPr>
        <w:rPr>
          <w:b/>
          <w:szCs w:val="22"/>
        </w:rPr>
      </w:pPr>
      <w:r>
        <w:rPr>
          <w:b/>
          <w:szCs w:val="22"/>
        </w:rPr>
        <w:t>Subpart A – General</w:t>
      </w:r>
    </w:p>
    <w:p w:rsidR="001C34C9" w:rsidRPr="00110FC9" w:rsidP="001C34C9">
      <w:pPr>
        <w:rPr>
          <w:b/>
          <w:szCs w:val="22"/>
        </w:rPr>
      </w:pPr>
    </w:p>
    <w:p w:rsidR="001C34C9" w:rsidRPr="00443A3D" w:rsidP="001C34C9">
      <w:pPr>
        <w:ind w:left="720" w:hanging="360"/>
        <w:rPr>
          <w:szCs w:val="22"/>
        </w:rPr>
      </w:pPr>
      <w:r w:rsidRPr="00443A3D">
        <w:rPr>
          <w:szCs w:val="22"/>
        </w:rPr>
        <w:t>2.</w:t>
      </w:r>
      <w:r>
        <w:rPr>
          <w:szCs w:val="22"/>
        </w:rPr>
        <w:t xml:space="preserve">  Amend § 36.3 by revising paragraph (b) </w:t>
      </w:r>
      <w:r w:rsidRPr="00443A3D">
        <w:rPr>
          <w:szCs w:val="22"/>
        </w:rPr>
        <w:t>to read as follows:</w:t>
      </w:r>
    </w:p>
    <w:p w:rsidR="001C34C9" w:rsidRPr="00443A3D" w:rsidP="001C34C9">
      <w:pPr>
        <w:pStyle w:val="Default"/>
        <w:rPr>
          <w:sz w:val="22"/>
          <w:szCs w:val="22"/>
        </w:rPr>
      </w:pPr>
    </w:p>
    <w:p w:rsidR="001C34C9" w:rsidP="001C34C9">
      <w:pPr>
        <w:pStyle w:val="Default"/>
        <w:rPr>
          <w:b/>
          <w:bCs/>
          <w:sz w:val="22"/>
          <w:szCs w:val="22"/>
        </w:rPr>
      </w:pPr>
      <w:r>
        <w:rPr>
          <w:b/>
          <w:bCs/>
          <w:sz w:val="22"/>
          <w:szCs w:val="22"/>
        </w:rPr>
        <w:t xml:space="preserve">§ 36.3 </w:t>
      </w:r>
      <w:r w:rsidRPr="00F518E7">
        <w:rPr>
          <w:b/>
          <w:bCs/>
          <w:sz w:val="22"/>
          <w:szCs w:val="22"/>
        </w:rPr>
        <w:t>Freezing of jurisdictional separations category relationships and/or allocation factors.</w:t>
      </w:r>
      <w:r w:rsidRPr="00110FC9">
        <w:rPr>
          <w:b/>
          <w:bCs/>
          <w:sz w:val="22"/>
          <w:szCs w:val="22"/>
        </w:rPr>
        <w:t xml:space="preserve"> </w:t>
      </w:r>
    </w:p>
    <w:p w:rsidR="001C34C9" w:rsidP="001C34C9">
      <w:pPr>
        <w:pStyle w:val="Default"/>
        <w:rPr>
          <w:b/>
          <w:bCs/>
          <w:sz w:val="22"/>
          <w:szCs w:val="22"/>
        </w:rPr>
      </w:pPr>
    </w:p>
    <w:p w:rsidR="001C34C9" w:rsidP="001C34C9">
      <w:pPr>
        <w:pStyle w:val="Default"/>
        <w:rPr>
          <w:bCs/>
          <w:sz w:val="22"/>
          <w:szCs w:val="22"/>
        </w:rPr>
      </w:pPr>
      <w:bookmarkStart w:id="369" w:name="_Hlk514859451"/>
      <w:r>
        <w:rPr>
          <w:bCs/>
          <w:sz w:val="22"/>
          <w:szCs w:val="22"/>
        </w:rPr>
        <w:t>* * * * *</w:t>
      </w:r>
    </w:p>
    <w:p w:rsidR="001C34C9" w:rsidRPr="00F518E7" w:rsidP="001C34C9">
      <w:pPr>
        <w:pStyle w:val="Default"/>
        <w:rPr>
          <w:bCs/>
          <w:sz w:val="22"/>
          <w:szCs w:val="22"/>
        </w:rPr>
      </w:pPr>
      <w:bookmarkEnd w:id="369"/>
    </w:p>
    <w:p w:rsidR="001C34C9" w:rsidRPr="00F518E7" w:rsidP="001C34C9">
      <w:pPr>
        <w:pStyle w:val="Default"/>
        <w:numPr>
          <w:ilvl w:val="0"/>
          <w:numId w:val="13"/>
        </w:numPr>
        <w:rPr>
          <w:bCs/>
          <w:sz w:val="22"/>
          <w:szCs w:val="22"/>
        </w:rPr>
      </w:pPr>
      <w:r w:rsidRPr="00147DB1">
        <w:rPr>
          <w:bCs/>
          <w:sz w:val="22"/>
          <w:szCs w:val="22"/>
        </w:rPr>
        <w:t>Effective July 1, 2001, through December 31, 20</w:t>
      </w:r>
      <w:r>
        <w:rPr>
          <w:bCs/>
          <w:sz w:val="22"/>
          <w:szCs w:val="22"/>
        </w:rPr>
        <w:t>33</w:t>
      </w:r>
      <w:r w:rsidRPr="00147DB1">
        <w:rPr>
          <w:bCs/>
          <w:sz w:val="22"/>
          <w:szCs w:val="22"/>
        </w:rPr>
        <w:t>, local exchange carriers subject to price cap regulation, pursuant to § 61.41 of this chapter, shall assign costs from the part 32 accounts to the separations categories/sub-categories, as specified herein, based on the percentage relationships of the categorized/sub-categorized costs to their associated part 32 accounts for the twelve month period ending December 31, 2000</w:t>
      </w:r>
      <w:r>
        <w:rPr>
          <w:bCs/>
          <w:sz w:val="22"/>
          <w:szCs w:val="22"/>
        </w:rPr>
        <w:t xml:space="preserve">.  </w:t>
      </w:r>
      <w:r w:rsidRPr="00147DB1">
        <w:rPr>
          <w:bCs/>
          <w:sz w:val="22"/>
          <w:szCs w:val="22"/>
        </w:rPr>
        <w:t>If a part 32 account for separations purposes is categorized into more than one category, the percentage relationship among the categories shall be utilized as well</w:t>
      </w:r>
      <w:r>
        <w:rPr>
          <w:bCs/>
          <w:sz w:val="22"/>
          <w:szCs w:val="22"/>
        </w:rPr>
        <w:t xml:space="preserve">.  </w:t>
      </w:r>
      <w:r w:rsidRPr="00147DB1">
        <w:rPr>
          <w:bCs/>
          <w:sz w:val="22"/>
          <w:szCs w:val="22"/>
        </w:rPr>
        <w:t>Local exchange carriers that invest in types of telecommunications plant during the period July 1, 2001, through December 31, 20</w:t>
      </w:r>
      <w:r>
        <w:rPr>
          <w:bCs/>
          <w:sz w:val="22"/>
          <w:szCs w:val="22"/>
        </w:rPr>
        <w:t>33</w:t>
      </w:r>
      <w:r w:rsidRPr="00147DB1">
        <w:rPr>
          <w:bCs/>
          <w:sz w:val="22"/>
          <w:szCs w:val="22"/>
        </w:rPr>
        <w:t>, for which it had no separations category investment for the twelve month period ending December 31, 2000, shall assign such investment to separations categories in accordance with the separations procedures in effect as of December 31, 2000</w:t>
      </w:r>
      <w:r>
        <w:rPr>
          <w:bCs/>
          <w:sz w:val="22"/>
          <w:szCs w:val="22"/>
        </w:rPr>
        <w:t xml:space="preserve">.  </w:t>
      </w:r>
      <w:r w:rsidRPr="00147DB1">
        <w:rPr>
          <w:bCs/>
          <w:sz w:val="22"/>
          <w:szCs w:val="22"/>
        </w:rPr>
        <w:t>Local exchange carriers not subject to price cap regulation, pursuant to § 61.41 of this chapter, may elect to be subject to the provisions of paragraph (b) of this section</w:t>
      </w:r>
      <w:r>
        <w:rPr>
          <w:bCs/>
          <w:sz w:val="22"/>
          <w:szCs w:val="22"/>
        </w:rPr>
        <w:t xml:space="preserve">.  </w:t>
      </w:r>
      <w:r w:rsidRPr="00147DB1">
        <w:rPr>
          <w:bCs/>
          <w:sz w:val="22"/>
          <w:szCs w:val="22"/>
        </w:rPr>
        <w:t>Such election must be made prior to July 1, 2001</w:t>
      </w:r>
      <w:r>
        <w:rPr>
          <w:bCs/>
          <w:sz w:val="22"/>
          <w:szCs w:val="22"/>
        </w:rPr>
        <w:t>.  Any l</w:t>
      </w:r>
      <w:r w:rsidRPr="00147DB1">
        <w:rPr>
          <w:bCs/>
          <w:sz w:val="22"/>
          <w:szCs w:val="22"/>
        </w:rPr>
        <w:t xml:space="preserve">ocal exchange carrier that elected to be subject to paragraph (b) </w:t>
      </w:r>
      <w:r>
        <w:rPr>
          <w:bCs/>
          <w:sz w:val="22"/>
          <w:szCs w:val="22"/>
        </w:rPr>
        <w:t xml:space="preserve">of this section </w:t>
      </w:r>
      <w:r w:rsidRPr="00147DB1">
        <w:rPr>
          <w:bCs/>
          <w:sz w:val="22"/>
          <w:szCs w:val="22"/>
        </w:rPr>
        <w:t>may withdraw from that election by notifying the Commission prior to March</w:t>
      </w:r>
      <w:r>
        <w:rPr>
          <w:bCs/>
          <w:sz w:val="22"/>
          <w:szCs w:val="22"/>
        </w:rPr>
        <w:t xml:space="preserve"> 1, 2019 of its </w:t>
      </w:r>
      <w:r w:rsidRPr="00147DB1">
        <w:rPr>
          <w:bCs/>
          <w:sz w:val="22"/>
          <w:szCs w:val="22"/>
        </w:rPr>
        <w:t xml:space="preserve">intent to withdraw from that election, and that withdrawal will be effective as of July 1, 2019.  </w:t>
      </w:r>
      <w:r>
        <w:rPr>
          <w:bCs/>
          <w:sz w:val="22"/>
          <w:szCs w:val="22"/>
        </w:rPr>
        <w:t>Any l</w:t>
      </w:r>
      <w:r w:rsidRPr="00147DB1">
        <w:rPr>
          <w:bCs/>
          <w:sz w:val="22"/>
          <w:szCs w:val="22"/>
        </w:rPr>
        <w:t>ocal exchange carrier choos</w:t>
      </w:r>
      <w:r>
        <w:rPr>
          <w:bCs/>
          <w:sz w:val="22"/>
          <w:szCs w:val="22"/>
        </w:rPr>
        <w:t xml:space="preserve">ing to withdraw from its election </w:t>
      </w:r>
      <w:r w:rsidRPr="00147DB1">
        <w:rPr>
          <w:bCs/>
          <w:sz w:val="22"/>
          <w:szCs w:val="22"/>
        </w:rPr>
        <w:t xml:space="preserve">under paragraph (b) </w:t>
      </w:r>
      <w:r>
        <w:rPr>
          <w:bCs/>
          <w:sz w:val="22"/>
          <w:szCs w:val="22"/>
        </w:rPr>
        <w:t xml:space="preserve">of this section </w:t>
      </w:r>
      <w:r w:rsidRPr="00147DB1">
        <w:rPr>
          <w:bCs/>
          <w:sz w:val="22"/>
          <w:szCs w:val="22"/>
        </w:rPr>
        <w:t>that participate</w:t>
      </w:r>
      <w:r>
        <w:rPr>
          <w:bCs/>
          <w:sz w:val="22"/>
          <w:szCs w:val="22"/>
        </w:rPr>
        <w:t xml:space="preserve">s </w:t>
      </w:r>
      <w:r w:rsidRPr="00147DB1">
        <w:rPr>
          <w:bCs/>
          <w:sz w:val="22"/>
          <w:szCs w:val="22"/>
        </w:rPr>
        <w:t xml:space="preserve">in </w:t>
      </w:r>
      <w:r>
        <w:rPr>
          <w:bCs/>
          <w:sz w:val="22"/>
          <w:szCs w:val="22"/>
        </w:rPr>
        <w:t xml:space="preserve">an </w:t>
      </w:r>
      <w:r w:rsidRPr="00147DB1">
        <w:rPr>
          <w:bCs/>
          <w:sz w:val="22"/>
          <w:szCs w:val="22"/>
        </w:rPr>
        <w:t xml:space="preserve">Association tariff, pursuant to § 69.601 et seq., </w:t>
      </w:r>
      <w:r>
        <w:rPr>
          <w:bCs/>
          <w:sz w:val="22"/>
          <w:szCs w:val="22"/>
        </w:rPr>
        <w:t xml:space="preserve">also </w:t>
      </w:r>
      <w:r w:rsidRPr="00147DB1">
        <w:rPr>
          <w:bCs/>
          <w:sz w:val="22"/>
          <w:szCs w:val="22"/>
        </w:rPr>
        <w:t>shall notify the Association</w:t>
      </w:r>
      <w:r>
        <w:rPr>
          <w:bCs/>
          <w:sz w:val="22"/>
          <w:szCs w:val="22"/>
        </w:rPr>
        <w:t xml:space="preserve"> prior to March 1</w:t>
      </w:r>
      <w:r w:rsidRPr="00F518E7">
        <w:rPr>
          <w:bCs/>
          <w:sz w:val="22"/>
          <w:szCs w:val="22"/>
        </w:rPr>
        <w:t>, 201</w:t>
      </w:r>
      <w:r>
        <w:rPr>
          <w:bCs/>
          <w:sz w:val="22"/>
          <w:szCs w:val="22"/>
        </w:rPr>
        <w:t>9, of such intent.  Subject to that one exception, local exchange carriers that previously elected</w:t>
      </w:r>
      <w:r w:rsidRPr="00F518E7">
        <w:rPr>
          <w:bCs/>
          <w:sz w:val="22"/>
          <w:szCs w:val="22"/>
        </w:rPr>
        <w:t xml:space="preserve"> to become subject to paragraph (b) shall not be eligible to withdraw from such regulation</w:t>
      </w:r>
      <w:r>
        <w:rPr>
          <w:bCs/>
          <w:sz w:val="22"/>
          <w:szCs w:val="22"/>
        </w:rPr>
        <w:t xml:space="preserve"> for the duration of the freeze.</w:t>
      </w:r>
    </w:p>
    <w:p w:rsidR="001C34C9" w:rsidRPr="00147DB1" w:rsidP="001C34C9">
      <w:pPr>
        <w:pStyle w:val="Default"/>
        <w:rPr>
          <w:bCs/>
          <w:sz w:val="22"/>
          <w:szCs w:val="22"/>
        </w:rPr>
      </w:pPr>
      <w:r w:rsidRPr="00147DB1">
        <w:rPr>
          <w:bCs/>
          <w:sz w:val="22"/>
          <w:szCs w:val="22"/>
        </w:rPr>
        <w:t xml:space="preserve"> </w:t>
      </w:r>
    </w:p>
    <w:p w:rsidR="001C34C9" w:rsidP="001C34C9">
      <w:pPr>
        <w:pStyle w:val="Default"/>
        <w:rPr>
          <w:bCs/>
          <w:sz w:val="22"/>
          <w:szCs w:val="22"/>
        </w:rPr>
      </w:pPr>
      <w:r>
        <w:rPr>
          <w:bCs/>
          <w:sz w:val="22"/>
          <w:szCs w:val="22"/>
        </w:rPr>
        <w:t>* * * * *</w:t>
      </w:r>
    </w:p>
    <w:p w:rsidR="001C34C9" w:rsidP="001C34C9">
      <w:pPr>
        <w:pStyle w:val="Default"/>
        <w:rPr>
          <w:bCs/>
          <w:sz w:val="22"/>
          <w:szCs w:val="22"/>
        </w:rPr>
      </w:pPr>
      <w:r w:rsidRPr="00F518E7">
        <w:rPr>
          <w:bCs/>
          <w:sz w:val="22"/>
          <w:szCs w:val="22"/>
        </w:rPr>
        <w:t xml:space="preserve"> </w:t>
      </w:r>
    </w:p>
    <w:p w:rsidR="001C34C9" w:rsidP="001C34C9">
      <w:pPr>
        <w:ind w:firstLine="360"/>
        <w:rPr>
          <w:bCs/>
          <w:szCs w:val="22"/>
        </w:rPr>
      </w:pPr>
      <w:r>
        <w:rPr>
          <w:bCs/>
          <w:szCs w:val="22"/>
        </w:rPr>
        <w:t xml:space="preserve">2.  Amend </w:t>
      </w:r>
      <w:r>
        <w:rPr>
          <w:szCs w:val="22"/>
        </w:rPr>
        <w:t>§ 36.126(b)(5) by removing the date “June 30, 2014” and adding in its place “December 31, 2033.”</w:t>
      </w:r>
    </w:p>
    <w:p w:rsidR="001C34C9" w:rsidP="001C34C9">
      <w:pPr>
        <w:ind w:firstLine="360"/>
        <w:rPr>
          <w:bCs/>
          <w:szCs w:val="22"/>
        </w:rPr>
      </w:pPr>
    </w:p>
    <w:p w:rsidR="001C34C9" w:rsidP="001C34C9">
      <w:pPr>
        <w:ind w:firstLine="360"/>
        <w:rPr>
          <w:bCs/>
          <w:szCs w:val="22"/>
        </w:rPr>
      </w:pPr>
      <w:r>
        <w:rPr>
          <w:bCs/>
          <w:szCs w:val="22"/>
        </w:rPr>
        <w:t xml:space="preserve">3.  In 47 CFR part 36, remove the </w:t>
      </w:r>
      <w:r>
        <w:rPr>
          <w:szCs w:val="22"/>
        </w:rPr>
        <w:t>date</w:t>
      </w:r>
      <w:r>
        <w:rPr>
          <w:bCs/>
          <w:szCs w:val="22"/>
        </w:rPr>
        <w:t xml:space="preserve"> “December 31, 2018” and add in its place everywhere it appears the date “December 31, 2033” in the following places:</w:t>
      </w:r>
    </w:p>
    <w:p w:rsidR="001C34C9" w:rsidP="001C34C9">
      <w:pPr>
        <w:ind w:left="720" w:hanging="360"/>
        <w:rPr>
          <w:bCs/>
          <w:szCs w:val="22"/>
        </w:rPr>
      </w:pPr>
    </w:p>
    <w:p w:rsidR="001C34C9" w:rsidP="001C34C9">
      <w:pPr>
        <w:ind w:left="720" w:hanging="360"/>
        <w:rPr>
          <w:bCs/>
          <w:szCs w:val="22"/>
        </w:rPr>
      </w:pPr>
      <w:r>
        <w:rPr>
          <w:bCs/>
          <w:szCs w:val="22"/>
        </w:rPr>
        <w:t xml:space="preserve">a. </w:t>
      </w:r>
      <w:r w:rsidRPr="00DC0B35">
        <w:rPr>
          <w:bCs/>
          <w:szCs w:val="22"/>
        </w:rPr>
        <w:t>Section 36.3(a)</w:t>
      </w:r>
      <w:r>
        <w:rPr>
          <w:bCs/>
          <w:szCs w:val="22"/>
        </w:rPr>
        <w:t xml:space="preserve">, </w:t>
      </w:r>
      <w:r>
        <w:fldChar w:fldCharType="begin"/>
      </w:r>
      <w:r>
        <w:instrText xml:space="preserve"> HYPERLINK "https://1.next.westlaw.com/Link/Document/FullText?findType=L&amp;pubNum=1000547&amp;cite=47CFRS36.3&amp;originatingDoc=IDF993010059311E89C59EF990F40582D&amp;refType=RE&amp;originationContext=document&amp;transitionType=DocumentItem&amp;contextData=(sc.Search)" \l "co_pp_4b24000003ba5" </w:instrText>
      </w:r>
      <w:r>
        <w:fldChar w:fldCharType="separate"/>
      </w:r>
      <w:r w:rsidRPr="00DC0B35">
        <w:rPr>
          <w:bCs/>
          <w:szCs w:val="22"/>
        </w:rPr>
        <w:t>(c)</w:t>
      </w:r>
      <w:r>
        <w:fldChar w:fldCharType="end"/>
      </w:r>
      <w:r w:rsidRPr="00DC0B35">
        <w:rPr>
          <w:bCs/>
          <w:szCs w:val="22"/>
        </w:rPr>
        <w:t xml:space="preserve">, </w:t>
      </w:r>
      <w:r>
        <w:fldChar w:fldCharType="begin"/>
      </w:r>
      <w:r>
        <w:instrText xml:space="preserve"> HYPERLINK "https://1.next.westlaw.com/Link/Document/FullText?findType=L&amp;pubNum=1000547&amp;cite=47CFRS36.3&amp;originatingDoc=IDF993010059311E89C59EF990F40582D&amp;refType=RB&amp;originationContext=document&amp;transitionType=DocumentItem&amp;contextData=(sc.Search)" \l "co_pp_5ba1000067d06" </w:instrText>
      </w:r>
      <w:r>
        <w:fldChar w:fldCharType="separate"/>
      </w:r>
      <w:r w:rsidRPr="00DC0B35">
        <w:rPr>
          <w:bCs/>
          <w:szCs w:val="22"/>
        </w:rPr>
        <w:t>(d)</w:t>
      </w:r>
      <w:r>
        <w:fldChar w:fldCharType="end"/>
      </w:r>
      <w:r w:rsidRPr="00DC0B35">
        <w:rPr>
          <w:bCs/>
          <w:szCs w:val="22"/>
        </w:rPr>
        <w:t xml:space="preserve"> introductory text, and (e);</w:t>
      </w:r>
    </w:p>
    <w:p w:rsidR="001C34C9" w:rsidP="001C34C9">
      <w:pPr>
        <w:ind w:left="720" w:hanging="360"/>
        <w:rPr>
          <w:bCs/>
          <w:szCs w:val="22"/>
        </w:rPr>
      </w:pPr>
    </w:p>
    <w:p w:rsidR="001C34C9" w:rsidP="001C34C9">
      <w:pPr>
        <w:ind w:left="720" w:hanging="360"/>
        <w:rPr>
          <w:bCs/>
          <w:szCs w:val="22"/>
        </w:rPr>
      </w:pPr>
      <w:r>
        <w:rPr>
          <w:bCs/>
          <w:szCs w:val="22"/>
        </w:rPr>
        <w:t>b. Section 36.123(a)(5) and (6);</w:t>
      </w:r>
    </w:p>
    <w:p w:rsidR="001C34C9" w:rsidP="001C34C9">
      <w:pPr>
        <w:ind w:left="720" w:hanging="360"/>
        <w:rPr>
          <w:bCs/>
          <w:szCs w:val="22"/>
        </w:rPr>
      </w:pPr>
    </w:p>
    <w:p w:rsidR="001C34C9" w:rsidP="001C34C9">
      <w:pPr>
        <w:ind w:left="720" w:hanging="360"/>
        <w:rPr>
          <w:bCs/>
          <w:szCs w:val="22"/>
        </w:rPr>
      </w:pPr>
      <w:r>
        <w:rPr>
          <w:bCs/>
          <w:szCs w:val="22"/>
        </w:rPr>
        <w:t>c. Section 36.124(c) and (d);</w:t>
      </w:r>
    </w:p>
    <w:p w:rsidR="001C34C9" w:rsidP="001C34C9">
      <w:pPr>
        <w:ind w:left="720" w:hanging="360"/>
        <w:rPr>
          <w:bCs/>
          <w:szCs w:val="22"/>
        </w:rPr>
      </w:pPr>
    </w:p>
    <w:p w:rsidR="001C34C9" w:rsidP="001C34C9">
      <w:pPr>
        <w:ind w:left="720" w:hanging="360"/>
        <w:rPr>
          <w:bCs/>
          <w:szCs w:val="22"/>
        </w:rPr>
      </w:pPr>
      <w:r>
        <w:rPr>
          <w:bCs/>
          <w:szCs w:val="22"/>
        </w:rPr>
        <w:t>d. Section 36.125(h) and (i);</w:t>
      </w:r>
    </w:p>
    <w:p w:rsidR="001C34C9" w:rsidP="001C34C9">
      <w:pPr>
        <w:ind w:left="720" w:hanging="360"/>
        <w:rPr>
          <w:bCs/>
          <w:szCs w:val="22"/>
        </w:rPr>
      </w:pPr>
    </w:p>
    <w:p w:rsidR="001C34C9" w:rsidP="001C34C9">
      <w:pPr>
        <w:ind w:left="720" w:hanging="360"/>
        <w:rPr>
          <w:bCs/>
          <w:szCs w:val="22"/>
        </w:rPr>
      </w:pPr>
      <w:r>
        <w:rPr>
          <w:bCs/>
          <w:szCs w:val="22"/>
        </w:rPr>
        <w:t>e. Section 36.126(b)(6), (c)(4), (e)(4), and (f)(2);</w:t>
      </w:r>
    </w:p>
    <w:p w:rsidR="001C34C9" w:rsidP="001C34C9">
      <w:pPr>
        <w:ind w:left="720" w:hanging="360"/>
        <w:rPr>
          <w:bCs/>
          <w:szCs w:val="22"/>
        </w:rPr>
      </w:pPr>
    </w:p>
    <w:p w:rsidR="001C34C9" w:rsidP="001C34C9">
      <w:pPr>
        <w:ind w:left="720" w:hanging="360"/>
        <w:rPr>
          <w:bCs/>
          <w:szCs w:val="22"/>
        </w:rPr>
      </w:pPr>
      <w:r>
        <w:rPr>
          <w:bCs/>
          <w:szCs w:val="22"/>
        </w:rPr>
        <w:t>f. Section 36.141(c);</w:t>
      </w:r>
    </w:p>
    <w:p w:rsidR="001C34C9" w:rsidP="001C34C9">
      <w:pPr>
        <w:ind w:left="720" w:hanging="360"/>
        <w:rPr>
          <w:bCs/>
          <w:szCs w:val="22"/>
        </w:rPr>
      </w:pPr>
    </w:p>
    <w:p w:rsidR="001C34C9" w:rsidP="001C34C9">
      <w:pPr>
        <w:ind w:left="720" w:hanging="360"/>
        <w:rPr>
          <w:bCs/>
          <w:szCs w:val="22"/>
        </w:rPr>
      </w:pPr>
      <w:r>
        <w:rPr>
          <w:bCs/>
          <w:szCs w:val="22"/>
        </w:rPr>
        <w:t>g. Section 36.142(c);</w:t>
      </w:r>
    </w:p>
    <w:p w:rsidR="001C34C9" w:rsidP="001C34C9">
      <w:pPr>
        <w:ind w:left="720" w:hanging="360"/>
        <w:rPr>
          <w:bCs/>
          <w:szCs w:val="22"/>
        </w:rPr>
      </w:pPr>
    </w:p>
    <w:p w:rsidR="001C34C9" w:rsidP="001C34C9">
      <w:pPr>
        <w:ind w:left="720" w:hanging="360"/>
        <w:rPr>
          <w:bCs/>
          <w:szCs w:val="22"/>
        </w:rPr>
      </w:pPr>
      <w:r w:rsidRPr="00DC0B35">
        <w:rPr>
          <w:bCs/>
          <w:szCs w:val="22"/>
        </w:rPr>
        <w:t>h. Section 36.152(d);</w:t>
      </w:r>
    </w:p>
    <w:p w:rsidR="001C34C9" w:rsidRPr="00DC0B35" w:rsidP="001C34C9">
      <w:pPr>
        <w:ind w:left="720" w:hanging="360"/>
        <w:rPr>
          <w:bCs/>
          <w:szCs w:val="22"/>
        </w:rPr>
      </w:pPr>
    </w:p>
    <w:p w:rsidR="001C34C9" w:rsidRPr="00DC0B35" w:rsidP="001C34C9">
      <w:pPr>
        <w:ind w:left="720" w:hanging="360"/>
        <w:rPr>
          <w:bCs/>
          <w:szCs w:val="22"/>
        </w:rPr>
      </w:pPr>
      <w:r w:rsidRPr="00DC0B35">
        <w:rPr>
          <w:bCs/>
          <w:szCs w:val="22"/>
        </w:rPr>
        <w:t>i. Section 36.154(g);</w:t>
      </w:r>
    </w:p>
    <w:p w:rsidR="001C34C9" w:rsidP="001C34C9">
      <w:pPr>
        <w:ind w:left="720" w:hanging="360"/>
        <w:rPr>
          <w:bCs/>
          <w:szCs w:val="22"/>
        </w:rPr>
      </w:pPr>
    </w:p>
    <w:p w:rsidR="001C34C9" w:rsidRPr="00DC0B35" w:rsidP="001C34C9">
      <w:pPr>
        <w:ind w:left="720" w:hanging="360"/>
        <w:rPr>
          <w:bCs/>
          <w:szCs w:val="22"/>
        </w:rPr>
      </w:pPr>
      <w:r w:rsidRPr="00DC0B35">
        <w:rPr>
          <w:bCs/>
          <w:szCs w:val="22"/>
        </w:rPr>
        <w:t>j. Section 36.155(b);</w:t>
      </w:r>
    </w:p>
    <w:p w:rsidR="001C34C9" w:rsidP="001C34C9">
      <w:pPr>
        <w:ind w:left="720" w:hanging="360"/>
        <w:rPr>
          <w:bCs/>
          <w:szCs w:val="22"/>
        </w:rPr>
      </w:pPr>
    </w:p>
    <w:p w:rsidR="001C34C9" w:rsidRPr="00DC0B35" w:rsidP="001C34C9">
      <w:pPr>
        <w:ind w:left="720" w:hanging="360"/>
        <w:rPr>
          <w:bCs/>
          <w:szCs w:val="22"/>
        </w:rPr>
      </w:pPr>
      <w:r w:rsidRPr="00DC0B35">
        <w:rPr>
          <w:bCs/>
          <w:szCs w:val="22"/>
        </w:rPr>
        <w:t>k. Section 36.156(c);</w:t>
      </w:r>
    </w:p>
    <w:p w:rsidR="001C34C9" w:rsidP="001C34C9">
      <w:pPr>
        <w:ind w:left="720" w:hanging="360"/>
        <w:rPr>
          <w:bCs/>
          <w:szCs w:val="22"/>
        </w:rPr>
      </w:pPr>
    </w:p>
    <w:p w:rsidR="001C34C9" w:rsidRPr="00DC0B35" w:rsidP="001C34C9">
      <w:pPr>
        <w:ind w:left="720" w:hanging="360"/>
        <w:rPr>
          <w:bCs/>
          <w:szCs w:val="22"/>
        </w:rPr>
      </w:pPr>
      <w:r w:rsidRPr="00DC0B35">
        <w:rPr>
          <w:bCs/>
          <w:szCs w:val="22"/>
        </w:rPr>
        <w:t>l. Section 36.157(b);</w:t>
      </w:r>
    </w:p>
    <w:p w:rsidR="001C34C9" w:rsidP="001C34C9">
      <w:pPr>
        <w:ind w:left="720" w:hanging="360"/>
        <w:rPr>
          <w:bCs/>
          <w:szCs w:val="22"/>
        </w:rPr>
      </w:pPr>
    </w:p>
    <w:p w:rsidR="001C34C9" w:rsidRPr="00DC0B35" w:rsidP="001C34C9">
      <w:pPr>
        <w:ind w:left="720" w:hanging="360"/>
        <w:rPr>
          <w:bCs/>
          <w:szCs w:val="22"/>
        </w:rPr>
      </w:pPr>
      <w:r w:rsidRPr="00DC0B35">
        <w:rPr>
          <w:bCs/>
          <w:szCs w:val="22"/>
        </w:rPr>
        <w:t>m. Section 36.191(d);</w:t>
      </w:r>
    </w:p>
    <w:p w:rsidR="001C34C9" w:rsidP="001C34C9">
      <w:pPr>
        <w:ind w:left="720" w:hanging="360"/>
        <w:rPr>
          <w:bCs/>
          <w:szCs w:val="22"/>
        </w:rPr>
      </w:pPr>
    </w:p>
    <w:p w:rsidR="001C34C9" w:rsidRPr="00DC0B35" w:rsidP="001C34C9">
      <w:pPr>
        <w:ind w:left="720" w:hanging="360"/>
        <w:rPr>
          <w:bCs/>
          <w:szCs w:val="22"/>
        </w:rPr>
      </w:pPr>
      <w:r w:rsidRPr="00DC0B35">
        <w:rPr>
          <w:bCs/>
          <w:szCs w:val="22"/>
        </w:rPr>
        <w:t>n. Section 36.212(c);</w:t>
      </w:r>
    </w:p>
    <w:p w:rsidR="001C34C9" w:rsidP="001C34C9">
      <w:pPr>
        <w:ind w:left="720" w:hanging="360"/>
        <w:rPr>
          <w:bCs/>
          <w:szCs w:val="22"/>
        </w:rPr>
      </w:pPr>
    </w:p>
    <w:p w:rsidR="001C34C9" w:rsidRPr="00DC0B35" w:rsidP="001C34C9">
      <w:pPr>
        <w:ind w:left="720" w:hanging="360"/>
        <w:rPr>
          <w:bCs/>
          <w:szCs w:val="22"/>
        </w:rPr>
      </w:pPr>
      <w:r w:rsidRPr="00DC0B35">
        <w:rPr>
          <w:bCs/>
          <w:szCs w:val="22"/>
        </w:rPr>
        <w:t>o. Section 36.214(a);</w:t>
      </w:r>
    </w:p>
    <w:p w:rsidR="001C34C9" w:rsidP="001C34C9">
      <w:pPr>
        <w:ind w:left="720" w:hanging="360"/>
        <w:rPr>
          <w:bCs/>
          <w:szCs w:val="22"/>
        </w:rPr>
      </w:pPr>
    </w:p>
    <w:p w:rsidR="001C34C9" w:rsidRPr="00DC0B35" w:rsidP="001C34C9">
      <w:pPr>
        <w:ind w:left="720" w:hanging="360"/>
        <w:rPr>
          <w:bCs/>
          <w:szCs w:val="22"/>
        </w:rPr>
      </w:pPr>
      <w:r w:rsidRPr="00DC0B35">
        <w:rPr>
          <w:bCs/>
          <w:szCs w:val="22"/>
        </w:rPr>
        <w:t>p. Section 36.372;</w:t>
      </w:r>
    </w:p>
    <w:p w:rsidR="001C34C9" w:rsidP="001C34C9">
      <w:pPr>
        <w:ind w:left="720" w:hanging="360"/>
        <w:rPr>
          <w:bCs/>
          <w:szCs w:val="22"/>
        </w:rPr>
      </w:pPr>
    </w:p>
    <w:p w:rsidR="001C34C9" w:rsidRPr="00DC0B35" w:rsidP="001C34C9">
      <w:pPr>
        <w:ind w:left="720" w:hanging="360"/>
        <w:rPr>
          <w:bCs/>
          <w:szCs w:val="22"/>
        </w:rPr>
      </w:pPr>
      <w:r w:rsidRPr="00DC0B35">
        <w:rPr>
          <w:bCs/>
          <w:szCs w:val="22"/>
        </w:rPr>
        <w:t xml:space="preserve">q. Section 36.374(b) and </w:t>
      </w:r>
      <w:r>
        <w:fldChar w:fldCharType="begin"/>
      </w:r>
      <w:r>
        <w:instrText xml:space="preserve"> HYPERLINK "https://1.next.westlaw.com/Link/Document/FullText?findType=L&amp;pubNum=1000547&amp;cite=47CFRS36.374&amp;originatingDoc=IDF993010059311E89C59EF990F40582D&amp;refType=RB&amp;originationContext=document&amp;transitionType=DocumentItem&amp;contextData=(sc.Search)" \l "co_pp_5ba1000067d06" </w:instrText>
      </w:r>
      <w:r>
        <w:fldChar w:fldCharType="separate"/>
      </w:r>
      <w:r w:rsidRPr="00DC0B35">
        <w:rPr>
          <w:bCs/>
          <w:szCs w:val="22"/>
        </w:rPr>
        <w:t>(d)</w:t>
      </w:r>
      <w:r>
        <w:fldChar w:fldCharType="end"/>
      </w:r>
      <w:r w:rsidRPr="00DC0B35">
        <w:rPr>
          <w:bCs/>
          <w:szCs w:val="22"/>
        </w:rPr>
        <w:t>;</w:t>
      </w:r>
    </w:p>
    <w:p w:rsidR="001C34C9" w:rsidP="001C34C9">
      <w:pPr>
        <w:ind w:left="720" w:hanging="360"/>
        <w:rPr>
          <w:bCs/>
          <w:szCs w:val="22"/>
        </w:rPr>
      </w:pPr>
    </w:p>
    <w:p w:rsidR="001C34C9" w:rsidRPr="00DC0B35" w:rsidP="001C34C9">
      <w:pPr>
        <w:ind w:left="720" w:hanging="360"/>
        <w:rPr>
          <w:bCs/>
          <w:szCs w:val="22"/>
        </w:rPr>
      </w:pPr>
      <w:r w:rsidRPr="00DC0B35">
        <w:rPr>
          <w:bCs/>
          <w:szCs w:val="22"/>
        </w:rPr>
        <w:t>r. Section 36.375(b)(4) and (5);</w:t>
      </w:r>
    </w:p>
    <w:p w:rsidR="001C34C9" w:rsidP="001C34C9">
      <w:pPr>
        <w:ind w:left="720" w:hanging="360"/>
        <w:rPr>
          <w:bCs/>
          <w:szCs w:val="22"/>
        </w:rPr>
      </w:pPr>
    </w:p>
    <w:p w:rsidR="001C34C9" w:rsidRPr="00DC0B35" w:rsidP="001C34C9">
      <w:pPr>
        <w:ind w:firstLine="360"/>
        <w:rPr>
          <w:bCs/>
          <w:szCs w:val="22"/>
        </w:rPr>
      </w:pPr>
      <w:r w:rsidRPr="00DC0B35">
        <w:rPr>
          <w:bCs/>
          <w:szCs w:val="22"/>
        </w:rPr>
        <w:t>s. Section 36.377(a) introductory text, (a)(1)(ix), (a)(2)(vii), (a)(3)(vii), (a)(4)(vii); (a)(5)(vii), and (a)(6)(vii)</w:t>
      </w:r>
      <w:r>
        <w:rPr>
          <w:bCs/>
          <w:szCs w:val="22"/>
        </w:rPr>
        <w:t>;</w:t>
      </w:r>
      <w:r w:rsidRPr="00DF0B1A">
        <w:rPr>
          <w:bCs/>
          <w:szCs w:val="22"/>
        </w:rPr>
        <w:t xml:space="preserve"> </w:t>
      </w:r>
    </w:p>
    <w:p w:rsidR="001C34C9" w:rsidP="001C34C9">
      <w:pPr>
        <w:ind w:left="720" w:hanging="360"/>
        <w:rPr>
          <w:bCs/>
          <w:szCs w:val="22"/>
        </w:rPr>
      </w:pPr>
    </w:p>
    <w:p w:rsidR="001C34C9" w:rsidRPr="00DC0B35" w:rsidP="001C34C9">
      <w:pPr>
        <w:ind w:left="720" w:hanging="360"/>
        <w:rPr>
          <w:bCs/>
          <w:szCs w:val="22"/>
        </w:rPr>
      </w:pPr>
      <w:r w:rsidRPr="00DC0B35">
        <w:rPr>
          <w:bCs/>
          <w:szCs w:val="22"/>
        </w:rPr>
        <w:t>t. Section 36.378(b)(1);</w:t>
      </w:r>
    </w:p>
    <w:p w:rsidR="001C34C9" w:rsidP="001C34C9">
      <w:pPr>
        <w:ind w:left="720" w:hanging="360"/>
        <w:rPr>
          <w:bCs/>
          <w:szCs w:val="22"/>
        </w:rPr>
      </w:pPr>
    </w:p>
    <w:p w:rsidR="001C34C9" w:rsidRPr="00DC0B35" w:rsidP="001C34C9">
      <w:pPr>
        <w:ind w:left="720" w:hanging="360"/>
        <w:rPr>
          <w:bCs/>
          <w:szCs w:val="22"/>
        </w:rPr>
      </w:pPr>
      <w:r w:rsidRPr="00DC0B35">
        <w:rPr>
          <w:bCs/>
          <w:szCs w:val="22"/>
        </w:rPr>
        <w:t>u. Section 36.379(b)(1) and (2);</w:t>
      </w:r>
    </w:p>
    <w:p w:rsidR="001C34C9" w:rsidP="001C34C9">
      <w:pPr>
        <w:ind w:left="720" w:hanging="360"/>
        <w:rPr>
          <w:bCs/>
          <w:szCs w:val="22"/>
        </w:rPr>
      </w:pPr>
    </w:p>
    <w:p w:rsidR="001C34C9" w:rsidRPr="00DC0B35" w:rsidP="001C34C9">
      <w:pPr>
        <w:ind w:left="720" w:hanging="360"/>
        <w:rPr>
          <w:bCs/>
          <w:szCs w:val="22"/>
        </w:rPr>
      </w:pPr>
      <w:r w:rsidRPr="00DC0B35">
        <w:rPr>
          <w:bCs/>
          <w:szCs w:val="22"/>
        </w:rPr>
        <w:t xml:space="preserve">v. Section 36.380(d) and </w:t>
      </w:r>
      <w:r>
        <w:fldChar w:fldCharType="begin"/>
      </w:r>
      <w:r>
        <w:instrText xml:space="preserve"> HYPERLINK "https://1.next.westlaw.com/Link/Document/FullText?findType=L&amp;pubNum=1000547&amp;cite=47CFRS36.380&amp;originatingDoc=IDF993010059311E89C59EF990F40582D&amp;refType=RB&amp;originationContext=document&amp;transitionType=DocumentItem&amp;contextData=(sc.Search)" \l "co_pp_7fdd00001ca15" </w:instrText>
      </w:r>
      <w:r>
        <w:fldChar w:fldCharType="separate"/>
      </w:r>
      <w:r w:rsidRPr="00DC0B35">
        <w:rPr>
          <w:bCs/>
          <w:szCs w:val="22"/>
        </w:rPr>
        <w:t>(e)</w:t>
      </w:r>
      <w:r>
        <w:fldChar w:fldCharType="end"/>
      </w:r>
      <w:r w:rsidRPr="00DC0B35">
        <w:rPr>
          <w:bCs/>
          <w:szCs w:val="22"/>
        </w:rPr>
        <w:t>;</w:t>
      </w:r>
    </w:p>
    <w:p w:rsidR="001C34C9" w:rsidP="001C34C9">
      <w:pPr>
        <w:ind w:left="720" w:hanging="360"/>
        <w:rPr>
          <w:bCs/>
          <w:szCs w:val="22"/>
        </w:rPr>
      </w:pPr>
    </w:p>
    <w:p w:rsidR="001C34C9" w:rsidRPr="00DC0B35" w:rsidP="001C34C9">
      <w:pPr>
        <w:ind w:left="720" w:hanging="360"/>
        <w:rPr>
          <w:bCs/>
          <w:szCs w:val="22"/>
        </w:rPr>
      </w:pPr>
      <w:r w:rsidRPr="00DC0B35">
        <w:rPr>
          <w:bCs/>
          <w:szCs w:val="22"/>
        </w:rPr>
        <w:t xml:space="preserve">w. Section 36.381(c) and </w:t>
      </w:r>
      <w:r>
        <w:fldChar w:fldCharType="begin"/>
      </w:r>
      <w:r>
        <w:instrText xml:space="preserve"> HYPERLINK "https://1.next.westlaw.com/Link/Document/FullText?findType=L&amp;pubNum=1000547&amp;cite=47CFRS36.381&amp;originatingDoc=IDF993010059311E89C59EF990F40582D&amp;refType=RB&amp;originationContext=document&amp;transitionType=DocumentItem&amp;contextData=(sc.Search)" \l "co_pp_5ba1000067d06" </w:instrText>
      </w:r>
      <w:r>
        <w:fldChar w:fldCharType="separate"/>
      </w:r>
      <w:r w:rsidRPr="00DC0B35">
        <w:rPr>
          <w:bCs/>
          <w:szCs w:val="22"/>
        </w:rPr>
        <w:t>(d)</w:t>
      </w:r>
      <w:r>
        <w:fldChar w:fldCharType="end"/>
      </w:r>
      <w:r w:rsidRPr="00DC0B35">
        <w:rPr>
          <w:bCs/>
          <w:szCs w:val="22"/>
        </w:rPr>
        <w:t>; and</w:t>
      </w:r>
    </w:p>
    <w:p w:rsidR="001C34C9" w:rsidP="001C34C9">
      <w:pPr>
        <w:ind w:left="720" w:hanging="360"/>
        <w:rPr>
          <w:bCs/>
          <w:szCs w:val="22"/>
        </w:rPr>
      </w:pPr>
    </w:p>
    <w:p w:rsidR="001C34C9" w:rsidP="001C34C9">
      <w:pPr>
        <w:ind w:firstLine="360"/>
        <w:rPr>
          <w:b/>
          <w:szCs w:val="22"/>
        </w:rPr>
        <w:sectPr w:rsidSect="00C36E17">
          <w:footerReference w:type="default" r:id="rId10"/>
          <w:footnotePr>
            <w:numRestart w:val="eachSect"/>
          </w:footnotePr>
          <w:pgSz w:w="12240" w:h="15840"/>
          <w:pgMar w:top="1440" w:right="1440" w:bottom="720" w:left="1440" w:header="720" w:footer="720" w:gutter="0"/>
          <w:cols w:space="720"/>
          <w:noEndnote/>
          <w:docGrid w:linePitch="299"/>
        </w:sectPr>
      </w:pPr>
      <w:r w:rsidRPr="00DC0B35">
        <w:rPr>
          <w:bCs/>
          <w:szCs w:val="22"/>
        </w:rPr>
        <w:t>x. Section 36.382(a).</w:t>
      </w:r>
      <w:bookmarkStart w:id="370" w:name="_Toc513476521"/>
      <w:bookmarkStart w:id="371" w:name="_Toc513481758"/>
      <w:bookmarkStart w:id="372" w:name="_Toc513482037"/>
    </w:p>
    <w:p w:rsidR="00C36E17" w:rsidP="001C34C9">
      <w:pPr>
        <w:pStyle w:val="Heading1"/>
        <w:numPr>
          <w:ilvl w:val="0"/>
          <w:numId w:val="0"/>
        </w:numPr>
        <w:ind w:left="720"/>
        <w:jc w:val="center"/>
      </w:pPr>
      <w:bookmarkStart w:id="373" w:name="_Toc514928493"/>
      <w:bookmarkStart w:id="374" w:name="_Toc515456745"/>
      <w:bookmarkStart w:id="375" w:name="_Toc515459235"/>
      <w:r w:rsidRPr="00D01F09">
        <w:t xml:space="preserve">APPENDIX </w:t>
      </w:r>
      <w:r>
        <w:t>B</w:t>
      </w:r>
    </w:p>
    <w:p w:rsidR="001C34C9" w:rsidRPr="00C36E17" w:rsidP="001C34C9">
      <w:pPr>
        <w:pStyle w:val="Heading1"/>
        <w:numPr>
          <w:ilvl w:val="0"/>
          <w:numId w:val="0"/>
        </w:numPr>
        <w:ind w:left="720"/>
        <w:jc w:val="center"/>
        <w:rPr>
          <w:caps w:val="0"/>
        </w:rPr>
      </w:pPr>
      <w:bookmarkEnd w:id="373"/>
      <w:bookmarkEnd w:id="374"/>
      <w:bookmarkEnd w:id="375"/>
      <w:r>
        <w:rPr>
          <w:caps w:val="0"/>
        </w:rPr>
        <w:t>Initial Regulatory Flexibility Analysis</w:t>
      </w:r>
    </w:p>
    <w:p w:rsidR="001C34C9" w:rsidRPr="00B56296" w:rsidP="001C34C9">
      <w:pPr>
        <w:pStyle w:val="ParaNum"/>
        <w:widowControl/>
        <w:numPr>
          <w:ilvl w:val="0"/>
          <w:numId w:val="7"/>
        </w:numPr>
        <w:tabs>
          <w:tab w:val="clear" w:pos="1080"/>
        </w:tabs>
        <w:rPr>
          <w:szCs w:val="22"/>
        </w:rPr>
      </w:pPr>
      <w:r w:rsidRPr="00A94800">
        <w:rPr>
          <w:szCs w:val="22"/>
        </w:rPr>
        <w:t>As required by the Regulatory Flexibility Act of 1980, as amended (RFA),</w:t>
      </w:r>
      <w:r>
        <w:rPr>
          <w:rStyle w:val="FootnoteReference"/>
          <w:sz w:val="22"/>
          <w:szCs w:val="22"/>
        </w:rPr>
        <w:footnoteReference w:id="75"/>
      </w:r>
      <w:r w:rsidRPr="00DF3F9E">
        <w:rPr>
          <w:szCs w:val="22"/>
        </w:rPr>
        <w:t xml:space="preserve"> the Commission has prepared this Initial Regulatory Flexibility Analysis (IRFA) of the possible significant economic impact on small entities by the policies and rules </w:t>
      </w:r>
      <w:r w:rsidRPr="00335F50">
        <w:rPr>
          <w:szCs w:val="22"/>
        </w:rPr>
        <w:t xml:space="preserve">proposed in this </w:t>
      </w:r>
      <w:r w:rsidRPr="00B063AA">
        <w:rPr>
          <w:i/>
          <w:szCs w:val="22"/>
        </w:rPr>
        <w:t>Further Notice of Proposed Rulemaking</w:t>
      </w:r>
      <w:r w:rsidRPr="00335F50">
        <w:rPr>
          <w:szCs w:val="22"/>
        </w:rPr>
        <w:t xml:space="preserve"> (</w:t>
      </w:r>
      <w:r w:rsidRPr="00A53BFA">
        <w:rPr>
          <w:i/>
          <w:szCs w:val="22"/>
        </w:rPr>
        <w:t>Further Notice</w:t>
      </w:r>
      <w:r w:rsidRPr="00335F50">
        <w:rPr>
          <w:szCs w:val="22"/>
        </w:rPr>
        <w:t>).</w:t>
      </w:r>
      <w:r w:rsidRPr="00DF3F9E">
        <w:rPr>
          <w:szCs w:val="22"/>
        </w:rPr>
        <w:t xml:space="preserve">  The Commission requests written public comments on this IRFA.  Comments must be identified as responses to the IRFA and must be filed by the deadlines for comments provided on the first page of the </w:t>
      </w:r>
      <w:r w:rsidRPr="00335F50">
        <w:rPr>
          <w:szCs w:val="22"/>
        </w:rPr>
        <w:t>NPRM</w:t>
      </w:r>
      <w:r w:rsidRPr="00DF3F9E">
        <w:rPr>
          <w:szCs w:val="22"/>
        </w:rPr>
        <w:t xml:space="preserve">.  The Commission will send a copy of the </w:t>
      </w:r>
      <w:r w:rsidRPr="00D136A8">
        <w:rPr>
          <w:szCs w:val="22"/>
        </w:rPr>
        <w:t>NPRM</w:t>
      </w:r>
      <w:r w:rsidRPr="00A94800">
        <w:rPr>
          <w:szCs w:val="22"/>
        </w:rPr>
        <w:t>, including this IRFA, to the Chief Counsel for Advocacy of the Small Business Administration (SBA).</w:t>
      </w:r>
      <w:r>
        <w:rPr>
          <w:rStyle w:val="FootnoteReference"/>
          <w:sz w:val="22"/>
          <w:szCs w:val="22"/>
        </w:rPr>
        <w:footnoteReference w:id="76"/>
      </w:r>
      <w:r w:rsidRPr="00DF3F9E">
        <w:rPr>
          <w:szCs w:val="22"/>
        </w:rPr>
        <w:t xml:space="preserve">  In addition, the NPRM </w:t>
      </w:r>
      <w:r w:rsidRPr="00A94800">
        <w:rPr>
          <w:szCs w:val="22"/>
        </w:rPr>
        <w:t>and IRFA (or summaries thereof) will be published in the Federal Register.</w:t>
      </w:r>
      <w:r>
        <w:rPr>
          <w:rStyle w:val="FootnoteReference"/>
          <w:sz w:val="22"/>
          <w:szCs w:val="22"/>
        </w:rPr>
        <w:footnoteReference w:id="77"/>
      </w:r>
    </w:p>
    <w:p w:rsidR="001C34C9" w:rsidRPr="00EC7645" w:rsidP="001C34C9">
      <w:pPr>
        <w:pStyle w:val="Heading2"/>
      </w:pPr>
      <w:bookmarkStart w:id="376" w:name="_Toc514253298"/>
      <w:bookmarkStart w:id="377" w:name="_Toc514326663"/>
      <w:bookmarkStart w:id="378" w:name="_Toc514928143"/>
      <w:bookmarkStart w:id="379" w:name="_Toc514928292"/>
      <w:bookmarkStart w:id="380" w:name="_Toc514928494"/>
      <w:bookmarkStart w:id="381" w:name="_Toc515456746"/>
      <w:bookmarkStart w:id="382" w:name="_Toc515459236"/>
      <w:r w:rsidRPr="00EC7645">
        <w:t>Need for, and Objectives of, the Proposed Rules</w:t>
      </w:r>
      <w:bookmarkEnd w:id="376"/>
      <w:bookmarkEnd w:id="377"/>
      <w:bookmarkEnd w:id="378"/>
      <w:bookmarkEnd w:id="379"/>
      <w:bookmarkEnd w:id="380"/>
      <w:bookmarkEnd w:id="381"/>
      <w:bookmarkEnd w:id="382"/>
    </w:p>
    <w:p w:rsidR="001C34C9" w:rsidP="001C34C9">
      <w:pPr>
        <w:pStyle w:val="ParaNum"/>
        <w:numPr>
          <w:ilvl w:val="0"/>
          <w:numId w:val="7"/>
        </w:numPr>
        <w:tabs>
          <w:tab w:val="clear" w:pos="1080"/>
          <w:tab w:val="left" w:pos="1440"/>
        </w:tabs>
      </w:pPr>
      <w:r w:rsidRPr="002B6B41">
        <w:t xml:space="preserve">The vast majority of the </w:t>
      </w:r>
      <w:r>
        <w:t xml:space="preserve">Part 36 </w:t>
      </w:r>
      <w:r w:rsidRPr="002B6B41">
        <w:t>j</w:t>
      </w:r>
      <w:r>
        <w:t xml:space="preserve">urisdictional separations rules </w:t>
      </w:r>
      <w:r w:rsidRPr="002B6B41">
        <w:t>were last updated more than 30 years ago</w:t>
      </w:r>
      <w:r>
        <w:t xml:space="preserve">.  In 1997, the Commission </w:t>
      </w:r>
      <w:r w:rsidRPr="002B6B41">
        <w:t>initiated a proceeding to comprehensively reform those rules</w:t>
      </w:r>
      <w:r w:rsidRPr="00BC20DA">
        <w:t xml:space="preserve"> </w:t>
      </w:r>
      <w:r>
        <w:t>i</w:t>
      </w:r>
      <w:r w:rsidRPr="002B6B41">
        <w:t>n</w:t>
      </w:r>
      <w:r>
        <w:t xml:space="preserve"> light of the </w:t>
      </w:r>
      <w:r w:rsidRPr="002B6B41">
        <w:t xml:space="preserve">statutory, technological, and marketplace changes </w:t>
      </w:r>
      <w:r>
        <w:t>that had affected the telecommunications industry.</w:t>
      </w:r>
      <w:r>
        <w:rPr>
          <w:rStyle w:val="FootnoteReference"/>
        </w:rPr>
        <w:footnoteReference w:id="78"/>
      </w:r>
      <w:r>
        <w:t xml:space="preserve">  </w:t>
      </w:r>
      <w:r w:rsidRPr="002B6B41">
        <w:t xml:space="preserve">In </w:t>
      </w:r>
      <w:r w:rsidRPr="00F65357">
        <w:t>2001</w:t>
      </w:r>
      <w:r>
        <w:t xml:space="preserve">, </w:t>
      </w:r>
      <w:r w:rsidRPr="002B6B41">
        <w:t>the Commission</w:t>
      </w:r>
      <w:r>
        <w:t>,</w:t>
      </w:r>
      <w:bookmarkStart w:id="383" w:name="_GoBack"/>
      <w:bookmarkEnd w:id="383"/>
      <w:r w:rsidRPr="002B6B41">
        <w:t xml:space="preserve"> pursuant to a </w:t>
      </w:r>
      <w:r>
        <w:t xml:space="preserve">recommendation by the Federal-State </w:t>
      </w:r>
      <w:r w:rsidRPr="002B6B41">
        <w:t xml:space="preserve">Joint Board </w:t>
      </w:r>
      <w:r>
        <w:t>on Jurisdictional Separations (Joint Board)</w:t>
      </w:r>
      <w:r w:rsidRPr="002B6B41">
        <w:t xml:space="preserve">, froze </w:t>
      </w:r>
      <w:r>
        <w:t xml:space="preserve">the Part 36 </w:t>
      </w:r>
      <w:r w:rsidRPr="002B6B41">
        <w:t>separations rules for a five-year period beginning July 1, 2001, or until the Commission completed comprehensive separations reform, whichever came first</w:t>
      </w:r>
      <w:r>
        <w:t>.</w:t>
      </w:r>
      <w:r>
        <w:rPr>
          <w:rStyle w:val="FootnoteReference"/>
        </w:rPr>
        <w:footnoteReference w:id="79"/>
      </w:r>
    </w:p>
    <w:p w:rsidR="001C34C9" w:rsidP="001C34C9">
      <w:pPr>
        <w:pStyle w:val="ParaNum"/>
        <w:numPr>
          <w:ilvl w:val="0"/>
          <w:numId w:val="7"/>
        </w:numPr>
        <w:tabs>
          <w:tab w:val="clear" w:pos="1080"/>
          <w:tab w:val="num" w:pos="1440"/>
        </w:tabs>
      </w:pPr>
      <w:r>
        <w:t>T</w:t>
      </w:r>
      <w:r w:rsidRPr="00A85C71">
        <w:t>he Commission has extended the freeze</w:t>
      </w:r>
      <w:r w:rsidRPr="0087161B">
        <w:t xml:space="preserve"> </w:t>
      </w:r>
      <w:r>
        <w:t>seven</w:t>
      </w:r>
      <w:r w:rsidRPr="0087161B">
        <w:t xml:space="preserve"> </w:t>
      </w:r>
      <w:r>
        <w:t>times</w:t>
      </w:r>
      <w:r w:rsidRPr="00A85C71">
        <w:t xml:space="preserve">, </w:t>
      </w:r>
      <w:r>
        <w:t>with the most recent extension set</w:t>
      </w:r>
      <w:r w:rsidRPr="00A85C71">
        <w:t xml:space="preserve"> to expire on December 31, 2018.</w:t>
      </w:r>
      <w:r>
        <w:rPr>
          <w:vertAlign w:val="superscript"/>
        </w:rPr>
        <w:footnoteReference w:id="80"/>
      </w:r>
      <w:r w:rsidRPr="00A85C71">
        <w:t xml:space="preserve">  </w:t>
      </w:r>
      <w:r>
        <w:t xml:space="preserve">The Commission would prefer not to move forward on separations reform without a </w:t>
      </w:r>
      <w:r w:rsidRPr="00D46BC0">
        <w:t xml:space="preserve">Joint Board </w:t>
      </w:r>
      <w:r w:rsidRPr="00E9089D">
        <w:t>recommend</w:t>
      </w:r>
      <w:r>
        <w:t>ation on</w:t>
      </w:r>
      <w:r w:rsidRPr="00E9089D">
        <w:t xml:space="preserve"> an approach to </w:t>
      </w:r>
      <w:r>
        <w:t>such</w:t>
      </w:r>
      <w:r w:rsidRPr="00E9089D">
        <w:t xml:space="preserve"> reform, and the Board is not close to </w:t>
      </w:r>
      <w:r>
        <w:t>reaching a recommendation</w:t>
      </w:r>
      <w:r w:rsidRPr="00E9089D">
        <w:t xml:space="preserve">.  </w:t>
      </w:r>
      <w:r>
        <w:t xml:space="preserve">Therefore, as a practical matter, completion of comprehensive separations reform by the expiration of the freeze on December 31, 2018 is highly unlikely, and the Commission must </w:t>
      </w:r>
      <w:r w:rsidRPr="00E9089D">
        <w:t>choose between extending the separations freeze and allowing long-unused separations rules to take effect on January 1, 2019</w:t>
      </w:r>
      <w:r>
        <w:t xml:space="preserve">.  </w:t>
      </w:r>
    </w:p>
    <w:p w:rsidR="001C34C9" w:rsidRPr="00EC7645" w:rsidP="001C34C9">
      <w:pPr>
        <w:pStyle w:val="ParaNum"/>
        <w:numPr>
          <w:ilvl w:val="0"/>
          <w:numId w:val="7"/>
        </w:numPr>
        <w:tabs>
          <w:tab w:val="clear" w:pos="1080"/>
          <w:tab w:val="left" w:pos="1440"/>
        </w:tabs>
      </w:pPr>
      <w:r>
        <w:t xml:space="preserve">Because the Commission expects that the benefits of further extending the jurisdictional separations freeze likely outweigh the costs of allowing it to end, the Commission in this </w:t>
      </w:r>
      <w:r w:rsidRPr="001C44E1">
        <w:rPr>
          <w:i/>
        </w:rPr>
        <w:t>Further Notice</w:t>
      </w:r>
      <w:r>
        <w:rPr>
          <w:i/>
        </w:rPr>
        <w:t xml:space="preserve"> </w:t>
      </w:r>
      <w:r>
        <w:t>proposes to extend the freeze for 15 years, and invites comment on whether a shorter extension would be preferable.  The Commission also seeks comment on whether it should alter the scope of the referral to the Joint Board regarding comprehensive separations reform.  The Commission also proposes to permit rate-of-return carriers that elected to freeze their category relationships in 2001 to opt out of this freeze, and it seeks comment on that proposal.</w:t>
      </w:r>
    </w:p>
    <w:p w:rsidR="001C34C9" w:rsidRPr="00EC7645" w:rsidP="001C34C9">
      <w:pPr>
        <w:pStyle w:val="Heading2"/>
      </w:pPr>
      <w:bookmarkStart w:id="384" w:name="_Toc514253299"/>
      <w:bookmarkStart w:id="385" w:name="_Toc514326664"/>
      <w:bookmarkStart w:id="386" w:name="_Toc514928144"/>
      <w:bookmarkStart w:id="387" w:name="_Toc514928293"/>
      <w:bookmarkStart w:id="388" w:name="_Toc514928495"/>
      <w:bookmarkStart w:id="389" w:name="_Toc515456747"/>
      <w:bookmarkStart w:id="390" w:name="_Toc515459237"/>
      <w:r w:rsidRPr="00EC7645">
        <w:t>Legal Basis</w:t>
      </w:r>
      <w:bookmarkEnd w:id="384"/>
      <w:bookmarkEnd w:id="385"/>
      <w:bookmarkEnd w:id="386"/>
      <w:bookmarkEnd w:id="387"/>
      <w:bookmarkEnd w:id="388"/>
      <w:bookmarkEnd w:id="389"/>
      <w:bookmarkEnd w:id="390"/>
    </w:p>
    <w:p w:rsidR="001C34C9" w:rsidRPr="00EC7645" w:rsidP="001C34C9">
      <w:pPr>
        <w:pStyle w:val="ParaNum"/>
        <w:numPr>
          <w:ilvl w:val="0"/>
          <w:numId w:val="7"/>
        </w:numPr>
        <w:tabs>
          <w:tab w:val="clear" w:pos="1080"/>
          <w:tab w:val="left" w:pos="1440"/>
        </w:tabs>
      </w:pPr>
      <w:r w:rsidRPr="00EC7645">
        <w:t xml:space="preserve">The legal basis for the </w:t>
      </w:r>
      <w:r w:rsidRPr="001C44E1">
        <w:rPr>
          <w:i/>
        </w:rPr>
        <w:t>Further Notice</w:t>
      </w:r>
      <w:r w:rsidRPr="00EC7645">
        <w:t xml:space="preserve"> is contained in sections 1, 4(i)</w:t>
      </w:r>
      <w:r>
        <w:t xml:space="preserve"> and (j)</w:t>
      </w:r>
      <w:r w:rsidRPr="00EC7645">
        <w:t xml:space="preserve">, </w:t>
      </w:r>
      <w:r>
        <w:t xml:space="preserve">205, </w:t>
      </w:r>
      <w:r w:rsidRPr="00EC7645">
        <w:t xml:space="preserve">220, </w:t>
      </w:r>
      <w:r>
        <w:t xml:space="preserve">221(c), </w:t>
      </w:r>
      <w:r w:rsidRPr="0000391B">
        <w:rPr>
          <w:szCs w:val="22"/>
        </w:rPr>
        <w:t xml:space="preserve">254, </w:t>
      </w:r>
      <w:r>
        <w:rPr>
          <w:szCs w:val="22"/>
        </w:rPr>
        <w:t xml:space="preserve">303(r), </w:t>
      </w:r>
      <w:r w:rsidRPr="0000391B">
        <w:rPr>
          <w:szCs w:val="22"/>
        </w:rPr>
        <w:t xml:space="preserve">403, </w:t>
      </w:r>
      <w:r>
        <w:rPr>
          <w:szCs w:val="22"/>
        </w:rPr>
        <w:t xml:space="preserve">and </w:t>
      </w:r>
      <w:r w:rsidRPr="0000391B">
        <w:rPr>
          <w:szCs w:val="22"/>
        </w:rPr>
        <w:t>410</w:t>
      </w:r>
      <w:r>
        <w:rPr>
          <w:szCs w:val="22"/>
        </w:rPr>
        <w:t xml:space="preserve"> </w:t>
      </w:r>
      <w:r w:rsidRPr="00EC7645">
        <w:t>of the Communications Act of 1934, as amended</w:t>
      </w:r>
      <w:r>
        <w:t xml:space="preserve">, </w:t>
      </w:r>
      <w:r w:rsidRPr="00D01F09">
        <w:t>47 U.S.C. §§</w:t>
      </w:r>
      <w:r>
        <w:t> </w:t>
      </w:r>
      <w:r w:rsidRPr="00AB36EE">
        <w:rPr>
          <w:szCs w:val="22"/>
        </w:rPr>
        <w:t xml:space="preserve">151, 154(i) and (j), 205, 220, 221(c), 254, 303(r), 403, 410, and section 706 of the Telecommunications Act of 1996, as amended, </w:t>
      </w:r>
      <w:r>
        <w:fldChar w:fldCharType="begin"/>
      </w:r>
      <w:r>
        <w:instrText xml:space="preserve"> HYPERLINK "https://1.next.westlaw.com/Link/Document/FullText?findType=L&amp;pubNum=1000546&amp;cite=47USCAS1302&amp;originatingDoc=I07d782be57a311e8ab20b3103407982a&amp;refType=LQ&amp;originationContext=document&amp;transitionType=DocumentItem&amp;contextData=(sc.Search)" </w:instrText>
      </w:r>
      <w:r>
        <w:fldChar w:fldCharType="separate"/>
      </w:r>
      <w:r w:rsidRPr="00AB36EE">
        <w:rPr>
          <w:szCs w:val="22"/>
        </w:rPr>
        <w:t>47 U.S.C. § 1302</w:t>
      </w:r>
      <w:r>
        <w:fldChar w:fldCharType="end"/>
      </w:r>
      <w:r>
        <w:rPr>
          <w:szCs w:val="22"/>
        </w:rPr>
        <w:t>.</w:t>
      </w:r>
      <w:r w:rsidRPr="00D01F09">
        <w:t xml:space="preserve"> </w:t>
      </w:r>
    </w:p>
    <w:p w:rsidR="001C34C9" w:rsidRPr="00EC7645" w:rsidP="001C34C9">
      <w:pPr>
        <w:pStyle w:val="Heading2"/>
      </w:pPr>
      <w:bookmarkStart w:id="391" w:name="_Toc514253300"/>
      <w:bookmarkStart w:id="392" w:name="_Toc514326665"/>
      <w:bookmarkStart w:id="393" w:name="_Toc514928145"/>
      <w:bookmarkStart w:id="394" w:name="_Toc514928294"/>
      <w:bookmarkStart w:id="395" w:name="_Toc514928496"/>
      <w:bookmarkStart w:id="396" w:name="_Toc515456748"/>
      <w:bookmarkStart w:id="397" w:name="_Toc515459238"/>
      <w:r w:rsidRPr="00EC7645">
        <w:t>Description and Estimate of the Number of Small Entities to Which Rules May Apply</w:t>
      </w:r>
      <w:bookmarkEnd w:id="391"/>
      <w:bookmarkEnd w:id="392"/>
      <w:bookmarkEnd w:id="393"/>
      <w:bookmarkEnd w:id="394"/>
      <w:bookmarkEnd w:id="395"/>
      <w:bookmarkEnd w:id="396"/>
      <w:bookmarkEnd w:id="397"/>
    </w:p>
    <w:p w:rsidR="001C34C9" w:rsidRPr="00EC7645" w:rsidP="001C34C9">
      <w:pPr>
        <w:pStyle w:val="ParaNum"/>
        <w:numPr>
          <w:ilvl w:val="0"/>
          <w:numId w:val="7"/>
        </w:numPr>
        <w:tabs>
          <w:tab w:val="clear" w:pos="1080"/>
          <w:tab w:val="left" w:pos="1440"/>
        </w:tabs>
      </w:pPr>
      <w:r w:rsidRPr="00D206AF">
        <w:t>The</w:t>
      </w:r>
      <w:r w:rsidRPr="00EC7645">
        <w:t xml:space="preserve"> RFA directs agencies to provide a description of, and, where feasible, an estimate of the number of small entities that may be affected by the proposed rules, if adopted.</w:t>
      </w:r>
      <w:r>
        <w:rPr>
          <w:rStyle w:val="FootnoteReference"/>
          <w:szCs w:val="22"/>
        </w:rPr>
        <w:footnoteReference w:id="81"/>
      </w:r>
      <w:r w:rsidRPr="00EC7645">
        <w:t xml:space="preserve">  The RFA generally defines the term “small entity” as having the same meaning as the terms “small business,” “small organization,” and “small governmental jurisdiction.”</w:t>
      </w:r>
      <w:r>
        <w:rPr>
          <w:rStyle w:val="FootnoteReference"/>
          <w:szCs w:val="22"/>
        </w:rPr>
        <w:footnoteReference w:id="82"/>
      </w:r>
      <w:r w:rsidRPr="00EC7645">
        <w:t xml:space="preserve">  In addition, the term “small business” has the same meaning as the term “small business concern” under the Small Business Act.</w:t>
      </w:r>
      <w:r>
        <w:rPr>
          <w:rStyle w:val="FootnoteReference"/>
          <w:szCs w:val="22"/>
        </w:rPr>
        <w:footnoteReference w:id="83"/>
      </w:r>
      <w:r w:rsidRPr="00EC7645">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84"/>
      </w:r>
      <w:r w:rsidRPr="00EC7645">
        <w:t xml:space="preserve">  Nationwide, there are </w:t>
      </w:r>
      <w:r>
        <w:t>28.8</w:t>
      </w:r>
      <w:r w:rsidRPr="00EC7645">
        <w:t xml:space="preserve"> million small businesses, according to the SBA.</w:t>
      </w:r>
      <w:r>
        <w:rPr>
          <w:rStyle w:val="FootnoteReference"/>
          <w:szCs w:val="22"/>
        </w:rPr>
        <w:footnoteReference w:id="85"/>
      </w:r>
    </w:p>
    <w:p w:rsidR="001C34C9" w:rsidRPr="00EC7645" w:rsidP="001C34C9">
      <w:pPr>
        <w:pStyle w:val="ParaNum"/>
        <w:numPr>
          <w:ilvl w:val="0"/>
          <w:numId w:val="7"/>
        </w:numPr>
        <w:tabs>
          <w:tab w:val="clear" w:pos="1080"/>
          <w:tab w:val="left" w:pos="1440"/>
        </w:tabs>
      </w:pPr>
      <w:r w:rsidRPr="00B063AA">
        <w:rPr>
          <w:i/>
          <w:szCs w:val="22"/>
        </w:rPr>
        <w:t>Incumbent</w:t>
      </w:r>
      <w:r w:rsidRPr="00B063AA">
        <w:rPr>
          <w:i/>
        </w:rPr>
        <w:t xml:space="preserve"> Local Exchange Carriers.</w:t>
      </w:r>
      <w:r w:rsidRPr="00EC7645">
        <w:t xml:space="preserve">  Neither the Commission nor the SBA has developed a small business size standard specifically for providers of incumbent local exchange services.  The closest applicable size standard under the SBA rules is for Wired Telecommunications Carriers.</w:t>
      </w:r>
      <w:r>
        <w:rPr>
          <w:rStyle w:val="FootnoteReference"/>
          <w:szCs w:val="22"/>
        </w:rPr>
        <w:footnoteReference w:id="86"/>
      </w:r>
      <w:r w:rsidRPr="00EC7645">
        <w:t xml:space="preserve">  Under the SBA definition, a carrier is small if it has 1,500 or fewer employees.</w:t>
      </w:r>
      <w:r>
        <w:rPr>
          <w:rStyle w:val="FootnoteReference"/>
          <w:szCs w:val="22"/>
        </w:rPr>
        <w:footnoteReference w:id="87"/>
      </w:r>
      <w:r w:rsidRPr="00EC7645">
        <w:t xml:space="preserve">  According to the FCC’s Telephone Trends Report data, 1,307 incumbent </w:t>
      </w:r>
      <w:r>
        <w:t>local exchange carriers (</w:t>
      </w:r>
      <w:r w:rsidRPr="00EC7645">
        <w:t>LECs</w:t>
      </w:r>
      <w:r>
        <w:t>)</w:t>
      </w:r>
      <w:r w:rsidRPr="00EC7645">
        <w:t xml:space="preserve"> reported that they were engaged in the provision of local exchange services.</w:t>
      </w:r>
      <w:r>
        <w:rPr>
          <w:rStyle w:val="FootnoteReference"/>
          <w:szCs w:val="22"/>
        </w:rPr>
        <w:footnoteReference w:id="88"/>
      </w:r>
      <w:r w:rsidRPr="00EC7645">
        <w:t xml:space="preserve">  Of these 1,307 carriers, an estimated 1,006 have 1,500 or fewer employees and 301 have more than 1,500 employees.</w:t>
      </w:r>
      <w:r>
        <w:rPr>
          <w:rStyle w:val="FootnoteReference"/>
          <w:szCs w:val="22"/>
        </w:rPr>
        <w:footnoteReference w:id="89"/>
      </w:r>
      <w:r w:rsidRPr="00EC7645">
        <w:t xml:space="preserve">  Consequently, the Commission estimates that most incumbent LECs are small entities that may be aff</w:t>
      </w:r>
      <w:r>
        <w:t xml:space="preserve">ected by the rules and policies addressed in this </w:t>
      </w:r>
      <w:r w:rsidRPr="001C44E1">
        <w:rPr>
          <w:i/>
        </w:rPr>
        <w:t>Further Notice</w:t>
      </w:r>
      <w:r>
        <w:t>.</w:t>
      </w:r>
    </w:p>
    <w:p w:rsidR="001C34C9" w:rsidRPr="00EC7645" w:rsidP="007E1EBA">
      <w:pPr>
        <w:pStyle w:val="ParaNum"/>
        <w:widowControl/>
        <w:numPr>
          <w:ilvl w:val="0"/>
          <w:numId w:val="7"/>
        </w:numPr>
        <w:tabs>
          <w:tab w:val="clear" w:pos="1080"/>
          <w:tab w:val="left" w:pos="1440"/>
        </w:tabs>
      </w:pPr>
      <w:r w:rsidRPr="009C2EB8">
        <w:rPr>
          <w:szCs w:val="22"/>
        </w:rPr>
        <w:t>We</w:t>
      </w:r>
      <w:r w:rsidRPr="00EC7645">
        <w:t xml:space="preserve"> have included small incumbent LECs in this RFA analysis.  As noted above, a “small business” under the RFA is one that, </w:t>
      </w:r>
      <w:r w:rsidRPr="00EC7645">
        <w:rPr>
          <w:i/>
        </w:rPr>
        <w:t>inter alia</w:t>
      </w:r>
      <w:r w:rsidRPr="00EC7645">
        <w:t>, meets the pertinent small business size standard (</w:t>
      </w:r>
      <w:r w:rsidRPr="00F03E10">
        <w:t>e.g</w:t>
      </w:r>
      <w:r w:rsidRPr="00EC7645">
        <w:rPr>
          <w:i/>
        </w:rPr>
        <w:t>.</w:t>
      </w:r>
      <w:r w:rsidRPr="00EC7645">
        <w:t>, a telephone communications business having 1,500 or fewer employees), and “is not dominant in its field of operation.”</w:t>
      </w:r>
      <w:r>
        <w:rPr>
          <w:rStyle w:val="FootnoteReference"/>
          <w:szCs w:val="22"/>
        </w:rPr>
        <w:footnoteReference w:id="90"/>
      </w:r>
      <w:r w:rsidRPr="00EC7645">
        <w:t xml:space="preserve">  The SBA’s Office of Advocacy contends that, for RFA purposes, small incumbent LECs are not dominant in their field of operation because any such dominance is not “national” in scope.</w:t>
      </w:r>
      <w:r>
        <w:rPr>
          <w:rStyle w:val="FootnoteReference"/>
          <w:szCs w:val="22"/>
        </w:rPr>
        <w:footnoteReference w:id="91"/>
      </w:r>
      <w:r w:rsidRPr="00EC7645">
        <w:t xml:space="preserve">  Because </w:t>
      </w:r>
      <w:r>
        <w:t>the Commission’s</w:t>
      </w:r>
      <w:r w:rsidRPr="00EC7645">
        <w:t xml:space="preserve"> proposals concerning the Part 36 separations process will affect all </w:t>
      </w:r>
      <w:r>
        <w:t xml:space="preserve">rate-of-return </w:t>
      </w:r>
      <w:r w:rsidRPr="00EC7645">
        <w:t xml:space="preserve">incumbent LECs providing interstate services, some entities employing 1,500 or fewer employees may be affected by the proposals made in this </w:t>
      </w:r>
      <w:r w:rsidRPr="001C44E1">
        <w:rPr>
          <w:i/>
        </w:rPr>
        <w:t>Further Notice</w:t>
      </w:r>
      <w:r w:rsidRPr="00EC7645">
        <w:t>.  We have therefore included small incumbent LECs in this RFA analysis, although we emphasize that this RFA action has no effect on the Commission’s analyses and determinations in other, non-RFA contexts.</w:t>
      </w:r>
    </w:p>
    <w:p w:rsidR="001C34C9" w:rsidRPr="00DE7291" w:rsidP="001C34C9">
      <w:pPr>
        <w:pStyle w:val="Heading2"/>
      </w:pPr>
      <w:bookmarkStart w:id="398" w:name="_Toc514253301"/>
      <w:bookmarkStart w:id="399" w:name="_Toc514326666"/>
      <w:bookmarkStart w:id="400" w:name="_Toc514928146"/>
      <w:bookmarkStart w:id="401" w:name="_Toc514928295"/>
      <w:bookmarkStart w:id="402" w:name="_Toc514928497"/>
      <w:bookmarkStart w:id="403" w:name="_Toc515456749"/>
      <w:bookmarkStart w:id="404" w:name="_Toc515459239"/>
      <w:r w:rsidRPr="00EC7645">
        <w:t>Description of Projected Reporting, Recordkeeping, and Other Compliance R</w:t>
      </w:r>
      <w:r w:rsidRPr="00DE7291">
        <w:t>equirements</w:t>
      </w:r>
      <w:bookmarkEnd w:id="398"/>
      <w:bookmarkEnd w:id="399"/>
      <w:bookmarkEnd w:id="400"/>
      <w:bookmarkEnd w:id="401"/>
      <w:bookmarkEnd w:id="402"/>
      <w:bookmarkEnd w:id="403"/>
      <w:bookmarkEnd w:id="404"/>
    </w:p>
    <w:p w:rsidR="001C34C9" w:rsidRPr="00EC7645" w:rsidP="001C34C9">
      <w:pPr>
        <w:pStyle w:val="ParaNum"/>
        <w:numPr>
          <w:ilvl w:val="0"/>
          <w:numId w:val="7"/>
        </w:numPr>
        <w:tabs>
          <w:tab w:val="clear" w:pos="1080"/>
          <w:tab w:val="left" w:pos="1440"/>
        </w:tabs>
      </w:pPr>
      <w:r w:rsidRPr="00AC27A8">
        <w:t xml:space="preserve"> If a rate-of-return carrier were allowed to opt out of the category relationships freeze, it would be able to update its Part 36 category relationships annually by doing new cost studies and then adjusting its rates.  The </w:t>
      </w:r>
      <w:r w:rsidRPr="00AC27A8">
        <w:rPr>
          <w:i/>
          <w:iCs/>
        </w:rPr>
        <w:t xml:space="preserve">Further Notice </w:t>
      </w:r>
      <w:r w:rsidRPr="00AC27A8">
        <w:t>elicits comment on whether rates based on the updated relationships should take effect with the July 1, 2019 tariff filing.  If so, as part of that filing, rate-of-return carriers will need to explain the new studies in the Description &amp; Justification section and submit the results of these studies in their tariff review plans.</w:t>
      </w:r>
    </w:p>
    <w:p w:rsidR="001C34C9" w:rsidRPr="00EC7645" w:rsidP="001C34C9">
      <w:pPr>
        <w:pStyle w:val="Heading2"/>
      </w:pPr>
      <w:bookmarkStart w:id="405" w:name="_Toc514253302"/>
      <w:bookmarkStart w:id="406" w:name="_Toc514326667"/>
      <w:bookmarkStart w:id="407" w:name="_Toc514928147"/>
      <w:bookmarkStart w:id="408" w:name="_Toc514928296"/>
      <w:bookmarkStart w:id="409" w:name="_Toc514928498"/>
      <w:bookmarkStart w:id="410" w:name="_Toc515456750"/>
      <w:bookmarkStart w:id="411" w:name="_Toc515459240"/>
      <w:r w:rsidRPr="00EC7645">
        <w:t>Steps Taken to Minimize Significant Economic Impact on Small Entities, and Significant Alternatives Considered</w:t>
      </w:r>
      <w:bookmarkEnd w:id="405"/>
      <w:bookmarkEnd w:id="406"/>
      <w:bookmarkEnd w:id="407"/>
      <w:bookmarkEnd w:id="408"/>
      <w:bookmarkEnd w:id="409"/>
      <w:bookmarkEnd w:id="410"/>
      <w:bookmarkEnd w:id="411"/>
    </w:p>
    <w:p w:rsidR="001C34C9" w:rsidRPr="00EC7645" w:rsidP="001C34C9">
      <w:pPr>
        <w:pStyle w:val="ParaNum"/>
        <w:numPr>
          <w:ilvl w:val="0"/>
          <w:numId w:val="7"/>
        </w:numPr>
        <w:tabs>
          <w:tab w:val="clear" w:pos="1080"/>
          <w:tab w:val="left" w:pos="1440"/>
        </w:tabs>
      </w:pPr>
      <w:r w:rsidRPr="009C2EB8">
        <w:rPr>
          <w:szCs w:val="22"/>
        </w:rPr>
        <w:t>The</w:t>
      </w:r>
      <w:r w:rsidRPr="00EC7645">
        <w:t xml:space="preserve"> RFA requires an agency to describe any significant alternatives that it has considered in reaching its proposed approach, which may include the following four alternatives (among others):  (1) the establishment of differing compliance and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part thereof, for small entities.</w:t>
      </w:r>
      <w:r>
        <w:rPr>
          <w:rStyle w:val="FootnoteReference"/>
          <w:szCs w:val="22"/>
        </w:rPr>
        <w:footnoteReference w:id="92"/>
      </w:r>
    </w:p>
    <w:p w:rsidR="001C34C9" w:rsidP="001C34C9">
      <w:pPr>
        <w:pStyle w:val="ParaNum"/>
        <w:numPr>
          <w:ilvl w:val="0"/>
          <w:numId w:val="7"/>
        </w:numPr>
        <w:tabs>
          <w:tab w:val="clear" w:pos="1080"/>
          <w:tab w:val="left" w:pos="1440"/>
        </w:tabs>
      </w:pPr>
      <w:r w:rsidRPr="00EC7645">
        <w:t xml:space="preserve">The </w:t>
      </w:r>
      <w:r>
        <w:t xml:space="preserve">jurisdictional </w:t>
      </w:r>
      <w:r w:rsidRPr="00EC7645">
        <w:t xml:space="preserve">freeze has eliminated the need for all incumbent LECs, including incumbent LECs with 1,500 employees or fewer, to complete certain annual </w:t>
      </w:r>
      <w:r>
        <w:t xml:space="preserve">separations </w:t>
      </w:r>
      <w:r w:rsidRPr="00EC7645">
        <w:t>studies</w:t>
      </w:r>
      <w:r>
        <w:t xml:space="preserve"> that otherwise would be</w:t>
      </w:r>
      <w:r w:rsidRPr="00EC7645">
        <w:t xml:space="preserve"> required by the Commission’s rules.  </w:t>
      </w:r>
      <w:r>
        <w:t xml:space="preserve">Thus, an extension of this freeze </w:t>
      </w:r>
      <w:r w:rsidRPr="00EC7645">
        <w:t xml:space="preserve">would </w:t>
      </w:r>
      <w:r>
        <w:t>avoid increasing</w:t>
      </w:r>
      <w:r w:rsidRPr="00EC7645">
        <w:t xml:space="preserve"> the administrative burden of regulatory compliance for </w:t>
      </w:r>
      <w:r>
        <w:t xml:space="preserve">rate-of-return incumbent </w:t>
      </w:r>
      <w:r w:rsidRPr="00EC7645">
        <w:t>LECs, including small incumbent LECs.</w:t>
      </w:r>
    </w:p>
    <w:p w:rsidR="001C34C9" w:rsidP="001C34C9">
      <w:pPr>
        <w:pStyle w:val="ParaNum"/>
        <w:numPr>
          <w:ilvl w:val="0"/>
          <w:numId w:val="7"/>
        </w:numPr>
        <w:tabs>
          <w:tab w:val="clear" w:pos="1080"/>
          <w:tab w:val="left" w:pos="1440"/>
        </w:tabs>
      </w:pPr>
      <w:r>
        <w:t xml:space="preserve">Presently, rate-of-return carriers in about 45 study areas operate under a category relationships freeze.  </w:t>
      </w:r>
      <w:r w:rsidRPr="00B36B15">
        <w:rPr>
          <w:szCs w:val="22"/>
        </w:rPr>
        <w:t>W</w:t>
      </w:r>
      <w:r>
        <w:t>hen the Commission granted rate-of-return carriers the opportunity to elect the category relationships freeze, it specified the freeze would be an interim, “transitional measure” lasting no more than five years.</w:t>
      </w:r>
      <w:r>
        <w:rPr>
          <w:rStyle w:val="FootnoteReference"/>
        </w:rPr>
        <w:footnoteReference w:id="93"/>
      </w:r>
      <w:r>
        <w:t xml:space="preserve">  But, the freeze has now lasted 17 years, and carriers that elected it are prohibited from withdrawing from that election.</w:t>
      </w:r>
      <w:r>
        <w:rPr>
          <w:rStyle w:val="FootnoteReference"/>
        </w:rPr>
        <w:footnoteReference w:id="94"/>
      </w:r>
      <w:r>
        <w:t xml:space="preserve">  T</w:t>
      </w:r>
      <w:r w:rsidRPr="00135682">
        <w:t>he Commission propose</w:t>
      </w:r>
      <w:r>
        <w:t>s</w:t>
      </w:r>
      <w:r w:rsidRPr="00135682">
        <w:t xml:space="preserve"> to </w:t>
      </w:r>
      <w:r>
        <w:t xml:space="preserve">grant </w:t>
      </w:r>
      <w:r w:rsidRPr="00135682">
        <w:t>these car</w:t>
      </w:r>
      <w:r>
        <w:t>riers the opportunity to opt out of this freeze.  The Commission recognizes that the size and investment patterns of these carriers vary widely, and implementation of this proposal would enable an individual carrier to decide for itself if the economic benefits of unfreezing its category relationships outweigh any costs.</w:t>
      </w:r>
    </w:p>
    <w:p w:rsidR="001C34C9" w:rsidRPr="00EC7645" w:rsidP="001C34C9">
      <w:pPr>
        <w:pStyle w:val="ParaNum"/>
        <w:numPr>
          <w:ilvl w:val="0"/>
          <w:numId w:val="7"/>
        </w:numPr>
        <w:tabs>
          <w:tab w:val="clear" w:pos="1080"/>
          <w:tab w:val="left" w:pos="1440"/>
        </w:tabs>
      </w:pPr>
      <w:r>
        <w:t xml:space="preserve">The Commission </w:t>
      </w:r>
      <w:r w:rsidRPr="00EC7645">
        <w:t>seek</w:t>
      </w:r>
      <w:r>
        <w:t>s</w:t>
      </w:r>
      <w:r w:rsidRPr="00EC7645">
        <w:t xml:space="preserve"> comment on the effect </w:t>
      </w:r>
      <w:r>
        <w:t xml:space="preserve">of its </w:t>
      </w:r>
      <w:r w:rsidRPr="00EC7645">
        <w:t xml:space="preserve">proposals on small entities, and whether any rules that we adopt should apply differently to small entities.  We direct commenters to consider the costs and burdens of </w:t>
      </w:r>
      <w:r>
        <w:t xml:space="preserve">these proposals </w:t>
      </w:r>
      <w:r w:rsidRPr="00EC7645">
        <w:t>on small incumbent LECs and whether the</w:t>
      </w:r>
      <w:r>
        <w:t xml:space="preserve"> proposals </w:t>
      </w:r>
      <w:r w:rsidRPr="00EC7645">
        <w:t>would disproportionately affect specific types of carriers or ratepayers.</w:t>
      </w:r>
    </w:p>
    <w:p w:rsidR="001C34C9" w:rsidRPr="00EC7645" w:rsidP="001C34C9">
      <w:pPr>
        <w:pStyle w:val="Heading2"/>
      </w:pPr>
      <w:bookmarkStart w:id="412" w:name="_Toc514253303"/>
      <w:bookmarkStart w:id="413" w:name="_Toc514326668"/>
      <w:bookmarkStart w:id="414" w:name="_Toc514928148"/>
      <w:bookmarkStart w:id="415" w:name="_Toc514928297"/>
      <w:bookmarkStart w:id="416" w:name="_Toc514928499"/>
      <w:bookmarkStart w:id="417" w:name="_Toc515456751"/>
      <w:bookmarkStart w:id="418" w:name="_Toc515459241"/>
      <w:bookmarkStart w:id="419" w:name="start_from_here"/>
      <w:r w:rsidRPr="00EC7645">
        <w:t xml:space="preserve">Federal Rules that </w:t>
      </w:r>
      <w:r>
        <w:t>M</w:t>
      </w:r>
      <w:r w:rsidRPr="00EC7645">
        <w:t>ay Duplicate, Overlap, or Conflict with the Proposed Rules</w:t>
      </w:r>
      <w:bookmarkEnd w:id="412"/>
      <w:bookmarkEnd w:id="413"/>
      <w:bookmarkEnd w:id="414"/>
      <w:bookmarkEnd w:id="415"/>
      <w:bookmarkEnd w:id="416"/>
      <w:bookmarkEnd w:id="417"/>
      <w:bookmarkEnd w:id="418"/>
      <w:bookmarkEnd w:id="419"/>
    </w:p>
    <w:p w:rsidR="001C34C9" w:rsidRPr="00372780" w:rsidP="001C34C9">
      <w:pPr>
        <w:pStyle w:val="ParaNum"/>
        <w:numPr>
          <w:ilvl w:val="0"/>
          <w:numId w:val="7"/>
        </w:numPr>
        <w:tabs>
          <w:tab w:val="clear" w:pos="1080"/>
          <w:tab w:val="left" w:pos="1440"/>
        </w:tabs>
      </w:pPr>
      <w:r w:rsidRPr="009C2EB8">
        <w:t>None</w:t>
      </w:r>
      <w:r w:rsidRPr="00EC7645">
        <w:t>.</w:t>
      </w:r>
      <w:bookmarkStart w:id="420" w:name="citeas((Cite_as:_2006_WL_1350266,*43,_21"/>
      <w:bookmarkStart w:id="421" w:name="SDU_161"/>
      <w:bookmarkEnd w:id="370"/>
      <w:bookmarkEnd w:id="371"/>
      <w:bookmarkEnd w:id="372"/>
      <w:bookmarkEnd w:id="420"/>
      <w:bookmarkEnd w:id="421"/>
    </w:p>
    <w:p w:rsidR="00412FC5" w:rsidRPr="001C34C9" w:rsidP="001C34C9">
      <w:pPr>
        <w:rPr>
          <w:b/>
        </w:rPr>
      </w:pPr>
    </w:p>
    <w:sectPr w:rsidSect="00C36E17">
      <w:headerReference w:type="default" r:id="rId11"/>
      <w:footerReference w:type="even" r:id="rId12"/>
      <w:footerReference w:type="default" r:id="rId13"/>
      <w:headerReference w:type="first" r:id="rId14"/>
      <w:footerReference w:type="first" r:id="rId15"/>
      <w:footnotePr>
        <w:numRestart w:val="eachSect"/>
      </w:foot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4C9" w:rsidP="0055614C">
    <w:pPr>
      <w:pStyle w:val="Footer"/>
      <w:framePr w:wrap="around" w:vAnchor="text" w:hAnchor="margin" w:xAlign="center" w:y="1"/>
    </w:pPr>
    <w:r>
      <w:fldChar w:fldCharType="begin"/>
    </w:r>
    <w:r>
      <w:instrText xml:space="preserve">PAGE  </w:instrText>
    </w:r>
    <w:r>
      <w:fldChar w:fldCharType="separate"/>
    </w:r>
    <w:r>
      <w:fldChar w:fldCharType="end"/>
    </w:r>
  </w:p>
  <w:p w:rsidR="001C3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4C9" w:rsidP="00143D39">
    <w:pPr>
      <w:pStyle w:val="Footer"/>
      <w:jc w:val="center"/>
    </w:pPr>
    <w:r>
      <w:fldChar w:fldCharType="begin"/>
    </w:r>
    <w:r>
      <w:instrText xml:space="preserve"> PAGE   \* MERGEFORMAT </w:instrText>
    </w:r>
    <w:r>
      <w:fldChar w:fldCharType="separate"/>
    </w:r>
    <w:r w:rsidR="00707A4E">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4C9">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A4E" w:rsidP="00143D39">
    <w:pPr>
      <w:pStyle w:val="Footer"/>
      <w:jc w:val="center"/>
    </w:pPr>
    <w:r>
      <w:fldChar w:fldCharType="begin"/>
    </w:r>
    <w:r>
      <w:instrText xml:space="preserve"> PAGE   \* MERGEFORMAT </w:instrText>
    </w:r>
    <w:r>
      <w:fldChar w:fldCharType="separate"/>
    </w:r>
    <w:r>
      <w:rPr>
        <w:noProof/>
      </w:rPr>
      <w:t>17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07A4E">
    <w:pPr>
      <w:pStyle w:val="Footer"/>
      <w:jc w:val="center"/>
    </w:pPr>
    <w:r>
      <w:fldChar w:fldCharType="begin"/>
    </w:r>
    <w:r>
      <w:instrText xml:space="preserve"> PAGE   \* MERGEFORMAT </w:instrText>
    </w:r>
    <w:r>
      <w:fldChar w:fldCharType="separate"/>
    </w:r>
    <w:r w:rsidR="00707A4E">
      <w:rPr>
        <w:noProof/>
      </w:rPr>
      <w:t>21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E17">
    <w:pPr>
      <w:pStyle w:val="Footer"/>
      <w:jc w:val="center"/>
    </w:pPr>
    <w:r>
      <w:fldChar w:fldCharType="begin"/>
    </w:r>
    <w:r>
      <w:instrText xml:space="preserve"> PAGE   \* MERGEFORMAT </w:instrText>
    </w:r>
    <w:r>
      <w:fldChar w:fldCharType="separate"/>
    </w:r>
    <w:r>
      <w:rPr>
        <w:noProof/>
      </w:rPr>
      <w:t>1</w:t>
    </w:r>
    <w:r>
      <w:rPr>
        <w:noProof/>
      </w:rPr>
      <w:fldChar w:fldCharType="end"/>
    </w:r>
  </w:p>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34C9">
      <w:r>
        <w:separator/>
      </w:r>
    </w:p>
  </w:footnote>
  <w:footnote w:type="continuationSeparator" w:id="1">
    <w:p w:rsidR="001C34C9" w:rsidP="00C721AC">
      <w:pPr>
        <w:spacing w:before="120"/>
        <w:rPr>
          <w:sz w:val="20"/>
        </w:rPr>
      </w:pPr>
      <w:r>
        <w:rPr>
          <w:sz w:val="20"/>
        </w:rPr>
        <w:t xml:space="preserve">(Continued from previous page)  </w:t>
      </w:r>
      <w:r>
        <w:rPr>
          <w:sz w:val="20"/>
        </w:rPr>
        <w:separator/>
      </w:r>
    </w:p>
  </w:footnote>
  <w:footnote w:type="continuationNotice" w:id="2">
    <w:p w:rsidR="001C34C9" w:rsidP="00C721AC">
      <w:pPr>
        <w:jc w:val="right"/>
        <w:rPr>
          <w:sz w:val="20"/>
        </w:rPr>
      </w:pPr>
      <w:r>
        <w:rPr>
          <w:sz w:val="20"/>
        </w:rPr>
        <w:t>(continued….)</w:t>
      </w:r>
    </w:p>
  </w:footnote>
  <w:footnote w:id="3">
    <w:p w:rsidR="001C34C9" w:rsidP="001C34C9">
      <w:pPr>
        <w:pStyle w:val="FootnoteText"/>
      </w:pPr>
      <w:r>
        <w:rPr>
          <w:rStyle w:val="FootnoteReference"/>
        </w:rPr>
        <w:footnoteRef/>
      </w:r>
      <w:r>
        <w:t xml:space="preserve"> </w:t>
      </w:r>
      <w:r w:rsidRPr="008D444F">
        <w:rPr>
          <w:i/>
        </w:rPr>
        <w:t>Jurisdictional Separations and Referral to the Federal-State Joint Board</w:t>
      </w:r>
      <w:r w:rsidRPr="008D444F">
        <w:t>, CC Docket No. 80-286, Report and Order, 16 FCC Rcd 11382</w:t>
      </w:r>
      <w:r>
        <w:t xml:space="preserve"> (2001)</w:t>
      </w:r>
      <w:r w:rsidRPr="008D444F">
        <w:t xml:space="preserve"> </w:t>
      </w:r>
      <w:r>
        <w:t>(</w:t>
      </w:r>
      <w:r w:rsidRPr="008D444F">
        <w:rPr>
          <w:i/>
        </w:rPr>
        <w:t>2001 Separations Freeze Order</w:t>
      </w:r>
      <w:r>
        <w:t xml:space="preserve">).  Pursuant to the Communications Act of 1934, as amended (the Act), the Commission is required to refer to a Federal-State Joint Board any proceeding regarding “the jurisdictional separation of common carrier property and expenses between interstate and intrastate operations, which it institutes pursuant to a notice of proposed rulemaking.”  47 U.S.C. § 410(c).  </w:t>
      </w:r>
      <w:r w:rsidRPr="00E06065">
        <w:t xml:space="preserve">The </w:t>
      </w:r>
      <w:r>
        <w:t xml:space="preserve">Commission established the </w:t>
      </w:r>
      <w:r w:rsidRPr="00E06065">
        <w:t xml:space="preserve">Joint Board in </w:t>
      </w:r>
      <w:r>
        <w:t>1980</w:t>
      </w:r>
      <w:r w:rsidRPr="00E06065">
        <w:t xml:space="preserve">.  </w:t>
      </w:r>
      <w:r w:rsidRPr="00E06065">
        <w:rPr>
          <w:i/>
        </w:rPr>
        <w:t>See Amendment of Part 67 of the Commission’s Rules</w:t>
      </w:r>
      <w:r w:rsidRPr="00E06065">
        <w:t>, CC Docket No. 80-286, Notice of Proposed Rulemaking and Order Establishing a Joint Board, 78 FCC 2d 837 (1980).</w:t>
      </w:r>
    </w:p>
  </w:footnote>
  <w:footnote w:id="4">
    <w:p w:rsidR="001C34C9" w:rsidP="001C34C9">
      <w:pPr>
        <w:pStyle w:val="FootnoteText"/>
      </w:pPr>
      <w:r>
        <w:rPr>
          <w:rStyle w:val="FootnoteReference"/>
        </w:rPr>
        <w:footnoteRef/>
      </w:r>
      <w:r>
        <w:t xml:space="preserve"> </w:t>
      </w:r>
      <w:r>
        <w:rPr>
          <w:i/>
        </w:rPr>
        <w:t xml:space="preserve">See </w:t>
      </w:r>
      <w:r>
        <w:t>47 CFR Part 36.</w:t>
      </w:r>
    </w:p>
  </w:footnote>
  <w:footnote w:id="5">
    <w:p w:rsidR="001C34C9" w:rsidP="001C34C9">
      <w:pPr>
        <w:pStyle w:val="FootnoteText"/>
      </w:pPr>
      <w:r>
        <w:rPr>
          <w:rStyle w:val="FootnoteReference"/>
        </w:rPr>
        <w:footnoteRef/>
      </w:r>
      <w:r>
        <w:t xml:space="preserve"> </w:t>
      </w:r>
      <w:r>
        <w:rPr>
          <w:i/>
        </w:rPr>
        <w:t xml:space="preserve">See id. </w:t>
      </w:r>
      <w:r>
        <w:t xml:space="preserve">§ 36.2(c) </w:t>
      </w:r>
      <w:r w:rsidRPr="000B5167">
        <w:rPr>
          <w:snapToGrid w:val="0"/>
          <w:kern w:val="28"/>
        </w:rPr>
        <w:t>(“[t]he fundamental basis on which separations are made is the use of telecommunications plant in” interstate and intrastate operations).</w:t>
      </w:r>
      <w:r>
        <w:rPr>
          <w:snapToGrid w:val="0"/>
          <w:kern w:val="28"/>
          <w:sz w:val="22"/>
        </w:rPr>
        <w:t xml:space="preserve">  </w:t>
      </w:r>
    </w:p>
  </w:footnote>
  <w:footnote w:id="6">
    <w:p w:rsidR="001C34C9" w:rsidP="001C34C9">
      <w:pPr>
        <w:pStyle w:val="FootnoteText"/>
      </w:pPr>
      <w:r>
        <w:rPr>
          <w:rStyle w:val="FootnoteReference"/>
        </w:rPr>
        <w:footnoteRef/>
      </w:r>
      <w:r>
        <w:t xml:space="preserve"> </w:t>
      </w:r>
      <w:r w:rsidRPr="00887349">
        <w:rPr>
          <w:i/>
        </w:rPr>
        <w:t>Id.</w:t>
      </w:r>
      <w:r>
        <w:t xml:space="preserve"> Part 32.  </w:t>
      </w:r>
    </w:p>
  </w:footnote>
  <w:footnote w:id="7">
    <w:p w:rsidR="001C34C9" w:rsidP="001C34C9">
      <w:pPr>
        <w:pStyle w:val="FootnoteText"/>
      </w:pPr>
      <w:r>
        <w:rPr>
          <w:rStyle w:val="FootnoteReference"/>
        </w:rPr>
        <w:footnoteRef/>
      </w:r>
      <w:r>
        <w:t xml:space="preserve"> The Part 64 cost allocation rules are codified in 47 CFR §§ 64.901-904.  </w:t>
      </w:r>
    </w:p>
  </w:footnote>
  <w:footnote w:id="8">
    <w:p w:rsidR="001C34C9" w:rsidP="001C34C9">
      <w:pPr>
        <w:pStyle w:val="FootnoteText"/>
      </w:pPr>
      <w:r>
        <w:rPr>
          <w:rStyle w:val="FootnoteReference"/>
        </w:rPr>
        <w:footnoteRef/>
      </w:r>
      <w:r>
        <w:t xml:space="preserve"> </w:t>
      </w:r>
      <w:r w:rsidRPr="000000FC">
        <w:t>47 C</w:t>
      </w:r>
      <w:r>
        <w:t>FR</w:t>
      </w:r>
      <w:r w:rsidRPr="000000FC">
        <w:t xml:space="preserve"> Part 36. </w:t>
      </w:r>
      <w:r>
        <w:t xml:space="preserve"> </w:t>
      </w:r>
    </w:p>
  </w:footnote>
  <w:footnote w:id="9">
    <w:p w:rsidR="001C34C9" w:rsidP="001C34C9">
      <w:pPr>
        <w:pStyle w:val="FootnoteText"/>
      </w:pPr>
      <w:r>
        <w:rPr>
          <w:rStyle w:val="FootnoteReference"/>
        </w:rPr>
        <w:footnoteRef/>
      </w:r>
      <w:r>
        <w:t xml:space="preserve"> </w:t>
      </w:r>
      <w:r w:rsidRPr="00887349">
        <w:rPr>
          <w:i/>
        </w:rPr>
        <w:t>Id.</w:t>
      </w:r>
      <w:r>
        <w:t xml:space="preserve"> Part 69.</w:t>
      </w:r>
    </w:p>
  </w:footnote>
  <w:footnote w:id="10">
    <w:p w:rsidR="001C34C9" w:rsidP="001C34C9">
      <w:pPr>
        <w:pStyle w:val="FootnoteText"/>
      </w:pPr>
      <w:r>
        <w:rPr>
          <w:rStyle w:val="FootnoteReference"/>
        </w:rPr>
        <w:footnoteRef/>
      </w:r>
      <w:r>
        <w:t xml:space="preserve"> In some instances, the incumbent LEC </w:t>
      </w:r>
      <w:r>
        <w:rPr>
          <w:szCs w:val="22"/>
        </w:rPr>
        <w:t>further disaggregates costs and revenues among subcategories.  F</w:t>
      </w:r>
      <w:r>
        <w:t xml:space="preserve">or convenience, this </w:t>
      </w:r>
      <w:r w:rsidRPr="001C44E1">
        <w:rPr>
          <w:i/>
        </w:rPr>
        <w:t>Further Notice</w:t>
      </w:r>
      <w:r>
        <w:t xml:space="preserve"> uses “categories” to encompass both categories and subcategories.  </w:t>
      </w:r>
    </w:p>
  </w:footnote>
  <w:footnote w:id="11">
    <w:p w:rsidR="001C34C9" w:rsidP="001C34C9">
      <w:pPr>
        <w:pStyle w:val="FootnoteText"/>
      </w:pPr>
      <w:r>
        <w:rPr>
          <w:rStyle w:val="FootnoteReference"/>
        </w:rPr>
        <w:footnoteRef/>
      </w:r>
      <w:r>
        <w:t xml:space="preserve"> </w:t>
      </w:r>
      <w:r w:rsidRPr="00015510">
        <w:t>For example, the cost of private line service that is wholly intrastate is directly assigned to the intrastate jurisdiction.</w:t>
      </w:r>
      <w:r>
        <w:t xml:space="preserve">  </w:t>
      </w:r>
      <w:r w:rsidRPr="005079EE">
        <w:rPr>
          <w:i/>
        </w:rPr>
        <w:t>See</w:t>
      </w:r>
      <w:r>
        <w:t xml:space="preserve"> 47 CFR § 36.154(a), (b).</w:t>
      </w:r>
      <w:r w:rsidRPr="002D6A0B">
        <w:t xml:space="preserve"> </w:t>
      </w:r>
      <w:r>
        <w:t xml:space="preserve"> </w:t>
      </w:r>
    </w:p>
  </w:footnote>
  <w:footnote w:id="12">
    <w:p w:rsidR="001C34C9" w:rsidP="001C34C9">
      <w:pPr>
        <w:pStyle w:val="FootnoteText"/>
      </w:pPr>
      <w:r>
        <w:rPr>
          <w:rStyle w:val="FootnoteReference"/>
        </w:rPr>
        <w:footnoteRef/>
      </w:r>
      <w:r>
        <w:t xml:space="preserve"> </w:t>
      </w:r>
      <w:r>
        <w:rPr>
          <w:szCs w:val="22"/>
        </w:rPr>
        <w:t xml:space="preserve">For example, 25 percent of the message loop costs are allocated to the interstate jurisdiction and 75 percent of the costs to the intrastate jurisdiction.  </w:t>
      </w:r>
      <w:r>
        <w:rPr>
          <w:i/>
        </w:rPr>
        <w:t>See</w:t>
      </w:r>
      <w:r>
        <w:t xml:space="preserve"> </w:t>
      </w:r>
      <w:r>
        <w:rPr>
          <w:i/>
        </w:rPr>
        <w:t xml:space="preserve">id. </w:t>
      </w:r>
      <w:r>
        <w:t>§ 36.154(c).</w:t>
      </w:r>
    </w:p>
  </w:footnote>
  <w:footnote w:id="13">
    <w:p w:rsidR="001C34C9" w:rsidP="001C34C9">
      <w:pPr>
        <w:pStyle w:val="FootnoteText"/>
      </w:pPr>
      <w:r>
        <w:rPr>
          <w:rStyle w:val="FootnoteReference"/>
        </w:rPr>
        <w:footnoteRef/>
      </w:r>
      <w:r>
        <w:t xml:space="preserve"> </w:t>
      </w:r>
      <w:r>
        <w:rPr>
          <w:i/>
        </w:rPr>
        <w:t>See</w:t>
      </w:r>
      <w:r>
        <w:t xml:space="preserve"> </w:t>
      </w:r>
      <w:r>
        <w:rPr>
          <w:i/>
        </w:rPr>
        <w:t>MTS and WATS Market Structure, Amendments of Part 67 (New Part 36) of the Commission's Rules and Establishment of a Federal-State Joint Board</w:t>
      </w:r>
      <w:r>
        <w:t>,</w:t>
      </w:r>
      <w:r>
        <w:rPr>
          <w:i/>
        </w:rPr>
        <w:t xml:space="preserve"> </w:t>
      </w:r>
      <w:r>
        <w:t xml:space="preserve">CC Docket Nos. 78-72, 80-286, 86-297, Report and Order, </w:t>
      </w:r>
      <w:r w:rsidRPr="003A6E72">
        <w:rPr>
          <w:color w:val="212121"/>
        </w:rPr>
        <w:t>2 FCC Rcd 2639 </w:t>
      </w:r>
      <w:r>
        <w:t>(1987).</w:t>
      </w:r>
    </w:p>
  </w:footnote>
  <w:footnote w:id="14">
    <w:p w:rsidR="001C34C9" w:rsidP="001C34C9">
      <w:pPr>
        <w:pStyle w:val="FootnoteText"/>
      </w:pPr>
      <w:r>
        <w:rPr>
          <w:rStyle w:val="FootnoteReference"/>
        </w:rPr>
        <w:footnoteRef/>
      </w:r>
      <w:r>
        <w:t xml:space="preserve"> </w:t>
      </w:r>
      <w:r>
        <w:rPr>
          <w:i/>
        </w:rPr>
        <w:t>Jurisdictional Separations Reform and Referral to the Federal-State Joint Board</w:t>
      </w:r>
      <w:r>
        <w:t>, CC Docket No. 80-286, Notice of Proposed Rulemaking, 12 FCC Rcd 22120, 22126, para. 9 (1997).</w:t>
      </w:r>
    </w:p>
  </w:footnote>
  <w:footnote w:id="15">
    <w:p w:rsidR="001C34C9" w:rsidP="001C34C9">
      <w:pPr>
        <w:pStyle w:val="FootnoteText"/>
      </w:pPr>
      <w:r>
        <w:rPr>
          <w:rStyle w:val="FootnoteReference"/>
        </w:rPr>
        <w:footnoteRef/>
      </w:r>
      <w:r>
        <w:t xml:space="preserve"> </w:t>
      </w:r>
      <w:r w:rsidRPr="008D444F">
        <w:rPr>
          <w:i/>
        </w:rPr>
        <w:t>2001 Separations Freeze Order</w:t>
      </w:r>
      <w:r>
        <w:rPr>
          <w:i/>
        </w:rPr>
        <w:t>,</w:t>
      </w:r>
      <w:r w:rsidRPr="008D444F">
        <w:t xml:space="preserve"> 16 FCC Rcd </w:t>
      </w:r>
      <w:r>
        <w:t>at</w:t>
      </w:r>
      <w:r w:rsidRPr="008D444F">
        <w:t xml:space="preserve"> 11393</w:t>
      </w:r>
      <w:r>
        <w:t>-</w:t>
      </w:r>
      <w:r w:rsidRPr="008D444F">
        <w:t>408, paras. 18</w:t>
      </w:r>
      <w:r>
        <w:t>-</w:t>
      </w:r>
      <w:r w:rsidRPr="008D444F">
        <w:t xml:space="preserve">55 (describing the components of the </w:t>
      </w:r>
      <w:r>
        <w:t xml:space="preserve">separations </w:t>
      </w:r>
      <w:r w:rsidRPr="008D444F">
        <w:t>freeze in detail).</w:t>
      </w:r>
    </w:p>
  </w:footnote>
  <w:footnote w:id="16">
    <w:p w:rsidR="001C34C9" w:rsidP="001C34C9">
      <w:pPr>
        <w:pStyle w:val="FootnoteText"/>
      </w:pPr>
      <w:r>
        <w:rPr>
          <w:rStyle w:val="FootnoteReference"/>
        </w:rPr>
        <w:footnoteRef/>
      </w:r>
      <w:r>
        <w:t xml:space="preserve"> </w:t>
      </w:r>
      <w:r>
        <w:rPr>
          <w:i/>
        </w:rPr>
        <w:t>Id.</w:t>
      </w:r>
      <w:r w:rsidRPr="00B063AA">
        <w:t xml:space="preserve"> </w:t>
      </w:r>
      <w:r w:rsidRPr="00116947">
        <w:t>at 11383</w:t>
      </w:r>
      <w:r>
        <w:t>, para. 2.</w:t>
      </w:r>
    </w:p>
  </w:footnote>
  <w:footnote w:id="17">
    <w:p w:rsidR="001C34C9" w:rsidRPr="00BD112A" w:rsidP="001C34C9">
      <w:pPr>
        <w:pStyle w:val="FootnoteText"/>
      </w:pPr>
      <w:r w:rsidRPr="00BD112A">
        <w:rPr>
          <w:rStyle w:val="FootnoteReference"/>
        </w:rPr>
        <w:footnoteRef/>
      </w:r>
      <w:r>
        <w:t xml:space="preserve"> </w:t>
      </w:r>
      <w:r>
        <w:rPr>
          <w:i/>
        </w:rPr>
        <w:t xml:space="preserve">Id. </w:t>
      </w:r>
      <w:r w:rsidRPr="00BD112A">
        <w:t>at 11394, para. 21.</w:t>
      </w:r>
    </w:p>
  </w:footnote>
  <w:footnote w:id="18">
    <w:p w:rsidR="001C34C9" w:rsidP="001C34C9">
      <w:pPr>
        <w:pStyle w:val="FootnoteText"/>
      </w:pPr>
      <w:r>
        <w:rPr>
          <w:rStyle w:val="FootnoteReference"/>
        </w:rPr>
        <w:footnoteRef/>
      </w:r>
      <w:r>
        <w:t xml:space="preserve"> 47 CFR § 36.3(b).</w:t>
      </w:r>
    </w:p>
  </w:footnote>
  <w:footnote w:id="19">
    <w:p w:rsidR="001C34C9" w:rsidP="001C34C9">
      <w:pPr>
        <w:pStyle w:val="FootnoteText"/>
      </w:pPr>
      <w:r>
        <w:rPr>
          <w:rStyle w:val="FootnoteReference"/>
        </w:rPr>
        <w:footnoteRef/>
      </w:r>
      <w:r>
        <w:t xml:space="preserve"> </w:t>
      </w:r>
      <w:r w:rsidRPr="008D444F">
        <w:rPr>
          <w:i/>
        </w:rPr>
        <w:t>2001 Separations Freeze Order</w:t>
      </w:r>
      <w:r w:rsidRPr="008D444F">
        <w:t>, 16 FCC Rcd at</w:t>
      </w:r>
      <w:r>
        <w:t xml:space="preserve"> 11383, para. 2.</w:t>
      </w:r>
    </w:p>
  </w:footnote>
  <w:footnote w:id="20">
    <w:p w:rsidR="001C34C9" w:rsidRPr="008D444F" w:rsidP="001C34C9">
      <w:pPr>
        <w:pStyle w:val="FootnoteText"/>
        <w:widowControl w:val="0"/>
        <w:spacing w:before="120"/>
      </w:pPr>
      <w:r w:rsidRPr="008D444F">
        <w:rPr>
          <w:rStyle w:val="FootnoteReference"/>
        </w:rPr>
        <w:footnoteRef/>
      </w:r>
      <w:r w:rsidRPr="008D444F">
        <w:t xml:space="preserve"> </w:t>
      </w:r>
      <w:r>
        <w:rPr>
          <w:i/>
        </w:rPr>
        <w:t xml:space="preserve">Id. </w:t>
      </w:r>
      <w:r>
        <w:t xml:space="preserve">at </w:t>
      </w:r>
      <w:r w:rsidRPr="008D444F">
        <w:t>1138</w:t>
      </w:r>
      <w:r>
        <w:t>9-90</w:t>
      </w:r>
      <w:r w:rsidRPr="008D444F">
        <w:t xml:space="preserve">, para. 12. </w:t>
      </w:r>
    </w:p>
  </w:footnote>
  <w:footnote w:id="21">
    <w:p w:rsidR="001C34C9" w:rsidRPr="008D444F" w:rsidP="001C34C9">
      <w:pPr>
        <w:pStyle w:val="FootnoteText"/>
        <w:widowControl w:val="0"/>
        <w:spacing w:before="120"/>
      </w:pPr>
      <w:r w:rsidRPr="008D444F">
        <w:rPr>
          <w:rStyle w:val="FootnoteReference"/>
        </w:rPr>
        <w:footnoteRef/>
      </w:r>
      <w:r w:rsidRPr="008D444F">
        <w:t xml:space="preserve"> Although </w:t>
      </w:r>
      <w:r>
        <w:t xml:space="preserve">incumbent </w:t>
      </w:r>
      <w:r w:rsidRPr="008D444F">
        <w:t xml:space="preserve">LECs were required under the Part 36 rules to perform separations studies, competitive carriers had no similar requirements.  The Commission found that a freeze would further the Commission’s goal of achieving greater competitive neutrality during the transition to a competitive marketplace by simplifying the separations process for those carriers subject to Part 36.  </w:t>
      </w:r>
      <w:r>
        <w:rPr>
          <w:i/>
        </w:rPr>
        <w:t xml:space="preserve">Id. </w:t>
      </w:r>
      <w:r w:rsidRPr="008D444F">
        <w:t>at 11390, para. 13.</w:t>
      </w:r>
    </w:p>
  </w:footnote>
  <w:footnote w:id="22">
    <w:p w:rsidR="001C34C9" w:rsidP="001C34C9">
      <w:pPr>
        <w:pStyle w:val="FootnoteText"/>
        <w:spacing w:before="120"/>
      </w:pPr>
      <w:r>
        <w:rPr>
          <w:rStyle w:val="FootnoteReference"/>
        </w:rPr>
        <w:footnoteRef/>
      </w:r>
      <w:r>
        <w:t xml:space="preserve"> In 2008, the Commission conditionally granted petitions for forbearance from the Part 36 jurisdictional separations rules to AT&amp;T, BellSouth, Verizon, and Qwest.  </w:t>
      </w:r>
      <w:r w:rsidRPr="00B16C5C">
        <w:rPr>
          <w:i/>
        </w:rPr>
        <w:t>See</w:t>
      </w:r>
      <w:r>
        <w:t xml:space="preserve"> </w:t>
      </w:r>
      <w:r w:rsidRPr="001C44E1">
        <w:rPr>
          <w:i/>
        </w:rPr>
        <w:t>Petition of AT&amp;T Inc. for Forbearance under 47 U.S.C. § 160 from Enforcement of Certain of the Commission’s Cost Assignment Rules</w:t>
      </w:r>
      <w:r w:rsidRPr="00B063AA">
        <w:t>;</w:t>
      </w:r>
      <w:r w:rsidRPr="001C44E1">
        <w:rPr>
          <w:i/>
        </w:rPr>
        <w:t xml:space="preserve"> Petition of BellSouth Telecommunications, Inc. for Forbearance under 47 U.S.C. § 160 from Enforcement of Certain of the Commission’s Cost Assignment Rules</w:t>
      </w:r>
      <w:r>
        <w:t xml:space="preserve">, WC Docket Nos. 07-21, 05-342, Memorandum Opinion and Order, 23 FCC Rcd 7302, 7307, para. 12 (2008); </w:t>
      </w:r>
      <w:r w:rsidRPr="00BE742F">
        <w:rPr>
          <w:i/>
        </w:rPr>
        <w:t>Service Quality, Customer Satisfaction, Infrastructure and Operating Data Gathering</w:t>
      </w:r>
      <w:r>
        <w:rPr>
          <w:i/>
        </w:rPr>
        <w:t xml:space="preserve"> et al.</w:t>
      </w:r>
      <w:r>
        <w:t xml:space="preserve">, </w:t>
      </w:r>
      <w:r w:rsidRPr="00883CA7">
        <w:t>WC Docket No. 08-190</w:t>
      </w:r>
      <w:r>
        <w:t xml:space="preserve"> et al., Memorandum Opinion and Order and Notice of Proposed Rulemaking, 23 FCC Rcd 13647, 13662-63, para. 27 (2008).  In 2013, the Commission extended the conditional forbearance grant to the remaining price cap incumbent LECs.  </w:t>
      </w:r>
      <w:r w:rsidRPr="00E71C4E">
        <w:rPr>
          <w:i/>
        </w:rPr>
        <w:t xml:space="preserve">Petition of USTelecom for Forbearance Under 47 U.S.C. </w:t>
      </w:r>
      <w:r w:rsidRPr="00CB7F94">
        <w:rPr>
          <w:i/>
        </w:rPr>
        <w:t>§ 160(c)</w:t>
      </w:r>
      <w:r w:rsidRPr="00E71C4E">
        <w:t xml:space="preserve"> </w:t>
      </w:r>
      <w:r>
        <w:rPr>
          <w:i/>
        </w:rPr>
        <w:t xml:space="preserve">from Enforcement of Certain </w:t>
      </w:r>
      <w:r w:rsidRPr="00E71C4E">
        <w:rPr>
          <w:i/>
        </w:rPr>
        <w:t>Legacy</w:t>
      </w:r>
      <w:r>
        <w:rPr>
          <w:i/>
        </w:rPr>
        <w:t xml:space="preserve"> Telecommunications Regulations et al.</w:t>
      </w:r>
      <w:r w:rsidRPr="00B063AA">
        <w:t>,</w:t>
      </w:r>
      <w:r>
        <w:rPr>
          <w:i/>
        </w:rPr>
        <w:t xml:space="preserve"> </w:t>
      </w:r>
      <w:r w:rsidRPr="00E71C4E">
        <w:t>WC Docket No. 12-</w:t>
      </w:r>
      <w:r>
        <w:t>61 et al.</w:t>
      </w:r>
      <w:r w:rsidRPr="00B063AA">
        <w:t>,</w:t>
      </w:r>
      <w:r w:rsidRPr="00E71C4E">
        <w:rPr>
          <w:i/>
        </w:rPr>
        <w:t xml:space="preserve"> </w:t>
      </w:r>
      <w:r w:rsidRPr="00E71C4E">
        <w:t>Memorandum Opinion and Order</w:t>
      </w:r>
      <w:r w:rsidRPr="004567E0">
        <w:t xml:space="preserve"> </w:t>
      </w:r>
      <w:r>
        <w:t>and Report and Order and Further Notice of Proposed Rulemaking and Second Further Notice of Proposed Rulemaking</w:t>
      </w:r>
      <w:r w:rsidRPr="00E71C4E">
        <w:t>, 28 FCC Rcd 7627</w:t>
      </w:r>
      <w:r>
        <w:t>, 7646-54, paras. 31-51</w:t>
      </w:r>
      <w:r w:rsidRPr="00E71C4E">
        <w:t xml:space="preserve"> (2013) (</w:t>
      </w:r>
      <w:r w:rsidRPr="00E71C4E">
        <w:rPr>
          <w:i/>
        </w:rPr>
        <w:t xml:space="preserve">USTelecom Forbearance </w:t>
      </w:r>
      <w:r>
        <w:rPr>
          <w:i/>
        </w:rPr>
        <w:t xml:space="preserve">Long </w:t>
      </w:r>
      <w:r w:rsidRPr="00E71C4E">
        <w:rPr>
          <w:i/>
        </w:rPr>
        <w:t>Order</w:t>
      </w:r>
      <w:r w:rsidRPr="00E71C4E">
        <w:t xml:space="preserve">), </w:t>
      </w:r>
      <w:r w:rsidRPr="004E68B9">
        <w:rPr>
          <w:bCs/>
          <w:i/>
          <w:iCs/>
        </w:rPr>
        <w:t>pet</w:t>
      </w:r>
      <w:r>
        <w:rPr>
          <w:i/>
          <w:iCs/>
        </w:rPr>
        <w:t>. for</w:t>
      </w:r>
      <w:r w:rsidRPr="004E68B9">
        <w:rPr>
          <w:i/>
          <w:iCs/>
        </w:rPr>
        <w:t xml:space="preserve"> </w:t>
      </w:r>
      <w:r w:rsidRPr="004E68B9">
        <w:rPr>
          <w:bCs/>
          <w:i/>
          <w:iCs/>
        </w:rPr>
        <w:t>rev</w:t>
      </w:r>
      <w:r w:rsidRPr="004E68B9">
        <w:rPr>
          <w:i/>
          <w:iCs/>
        </w:rPr>
        <w:t xml:space="preserve">. </w:t>
      </w:r>
      <w:r>
        <w:rPr>
          <w:i/>
          <w:iCs/>
        </w:rPr>
        <w:t xml:space="preserve">denied </w:t>
      </w:r>
      <w:r w:rsidRPr="004E68B9">
        <w:rPr>
          <w:i/>
          <w:iCs/>
        </w:rPr>
        <w:t>sub nom. Verizon v. FCC</w:t>
      </w:r>
      <w:r w:rsidRPr="004E68B9">
        <w:rPr>
          <w:i/>
        </w:rPr>
        <w:t>,</w:t>
      </w:r>
      <w:r>
        <w:t xml:space="preserve"> 770 F.3d 961 (D.C. Cir. 2014).</w:t>
      </w:r>
      <w:r w:rsidRPr="004E68B9">
        <w:t xml:space="preserve">  </w:t>
      </w:r>
      <w:r>
        <w:t xml:space="preserve">In 2017, the Commission terminated the conditions placed on these carriers when they were granted forbearance.  </w:t>
      </w:r>
      <w:r w:rsidRPr="00081B79">
        <w:rPr>
          <w:i/>
        </w:rPr>
        <w:t>Comprehensive Review of the Part 32 Uniform System of Accounts; Jurisdictional Separations and Referral to the Federal-State Joint Board</w:t>
      </w:r>
      <w:r w:rsidRPr="00081B79">
        <w:t>, WC Docket No. 14-130</w:t>
      </w:r>
      <w:r>
        <w:t>, CC Docket No. 80-286,</w:t>
      </w:r>
      <w:r w:rsidRPr="00081B79">
        <w:t xml:space="preserve"> Report and Order, 32 FCC Rcd 1735, 174</w:t>
      </w:r>
      <w:r>
        <w:t>8-49</w:t>
      </w:r>
      <w:r w:rsidRPr="00081B79">
        <w:t xml:space="preserve">, para. </w:t>
      </w:r>
      <w:r>
        <w:t>44</w:t>
      </w:r>
      <w:r w:rsidRPr="00081B79">
        <w:t xml:space="preserve"> (2017)</w:t>
      </w:r>
      <w:r>
        <w:t>.</w:t>
      </w:r>
    </w:p>
  </w:footnote>
  <w:footnote w:id="23">
    <w:p w:rsidR="001C34C9" w:rsidP="001C34C9">
      <w:pPr>
        <w:pStyle w:val="FootnoteText"/>
      </w:pPr>
      <w:r>
        <w:rPr>
          <w:rStyle w:val="FootnoteReference"/>
        </w:rPr>
        <w:footnoteRef/>
      </w:r>
      <w:r>
        <w:t xml:space="preserve"> The relationship of each category’s costs to the regulated costs recorded in a Part 32 account is known as a category relationship and is expressed as a percentage.  </w:t>
      </w:r>
      <w:r>
        <w:rPr>
          <w:i/>
        </w:rPr>
        <w:t xml:space="preserve">See </w:t>
      </w:r>
      <w:r>
        <w:t>47 CFR § 36.3.</w:t>
      </w:r>
    </w:p>
  </w:footnote>
  <w:footnote w:id="24">
    <w:p w:rsidR="001C34C9" w:rsidP="001C34C9">
      <w:pPr>
        <w:pStyle w:val="FootnoteText"/>
      </w:pPr>
      <w:r>
        <w:rPr>
          <w:rStyle w:val="FootnoteReference"/>
        </w:rPr>
        <w:footnoteRef/>
      </w:r>
      <w:r>
        <w:t xml:space="preserve"> </w:t>
      </w:r>
      <w:r w:rsidRPr="00887349">
        <w:rPr>
          <w:i/>
        </w:rPr>
        <w:t>Id.</w:t>
      </w:r>
      <w:r>
        <w:t xml:space="preserve"> § 36.3(a).</w:t>
      </w:r>
    </w:p>
  </w:footnote>
  <w:footnote w:id="25">
    <w:p w:rsidR="001C34C9" w:rsidP="001C34C9">
      <w:pPr>
        <w:pStyle w:val="FootnoteText"/>
      </w:pPr>
      <w:r>
        <w:rPr>
          <w:rStyle w:val="FootnoteReference"/>
        </w:rPr>
        <w:footnoteRef/>
      </w:r>
      <w:r>
        <w:t xml:space="preserve"> </w:t>
      </w:r>
      <w:r w:rsidRPr="007821BE">
        <w:rPr>
          <w:i/>
        </w:rPr>
        <w:t>See Policy and Rules Concerning Rates for Dominant Carriers</w:t>
      </w:r>
      <w:r>
        <w:t xml:space="preserve">, CC Docket No. 87-313, Second Report and Order, 5 FCC Rcd 6786 (1990), </w:t>
      </w:r>
      <w:r w:rsidRPr="007821BE">
        <w:rPr>
          <w:i/>
        </w:rPr>
        <w:t>aff’d sub nom. National Rural Telecom Ass’n,</w:t>
      </w:r>
      <w:r>
        <w:rPr>
          <w:i/>
        </w:rPr>
        <w:t xml:space="preserve"> </w:t>
      </w:r>
      <w:r w:rsidRPr="007821BE">
        <w:rPr>
          <w:i/>
        </w:rPr>
        <w:t>v. FCC</w:t>
      </w:r>
      <w:r>
        <w:t xml:space="preserve">, 988 F.2d 174 (D.C. Cir. 1993).  </w:t>
      </w:r>
    </w:p>
  </w:footnote>
  <w:footnote w:id="26">
    <w:p w:rsidR="001C34C9" w:rsidP="001C34C9">
      <w:pPr>
        <w:pStyle w:val="FootnoteText"/>
      </w:pPr>
      <w:r>
        <w:rPr>
          <w:rStyle w:val="FootnoteReference"/>
        </w:rPr>
        <w:footnoteRef/>
      </w:r>
      <w:r>
        <w:t xml:space="preserve"> </w:t>
      </w:r>
      <w:r>
        <w:rPr>
          <w:i/>
        </w:rPr>
        <w:t xml:space="preserve">See, e.g., </w:t>
      </w:r>
      <w:r w:rsidRPr="00E56FA7">
        <w:rPr>
          <w:i/>
        </w:rPr>
        <w:t>Connect America Fund</w:t>
      </w:r>
      <w:r>
        <w:rPr>
          <w:i/>
        </w:rPr>
        <w:t xml:space="preserve"> et al.</w:t>
      </w:r>
      <w:r>
        <w:t>,</w:t>
      </w:r>
      <w:r w:rsidRPr="00E56FA7">
        <w:t xml:space="preserve"> WC Docket No. </w:t>
      </w:r>
      <w:r>
        <w:t>10-90 et al.,</w:t>
      </w:r>
      <w:r w:rsidRPr="00E56FA7">
        <w:t xml:space="preserve"> Report and Order and Further Notice of Proposed Rulemaking, 26 FCC Rcd 17663 (2011) </w:t>
      </w:r>
      <w:r w:rsidRPr="00EC687D">
        <w:t>(</w:t>
      </w:r>
      <w:r w:rsidRPr="00827669">
        <w:rPr>
          <w:i/>
        </w:rPr>
        <w:t>USF/ICC Transformation Order</w:t>
      </w:r>
      <w:r w:rsidRPr="001C44E1">
        <w:t>)</w:t>
      </w:r>
      <w:r>
        <w:t>,</w:t>
      </w:r>
      <w:r w:rsidRPr="00E56FA7">
        <w:rPr>
          <w:i/>
        </w:rPr>
        <w:t xml:space="preserve"> </w:t>
      </w:r>
      <w:r w:rsidRPr="00827669">
        <w:rPr>
          <w:i/>
          <w:iCs/>
        </w:rPr>
        <w:t>aff’d sub nom. In re: FCC 11-161</w:t>
      </w:r>
      <w:r w:rsidRPr="00EC687D">
        <w:t xml:space="preserve">, </w:t>
      </w:r>
      <w:r>
        <w:t>753 F.3d 1015</w:t>
      </w:r>
      <w:r w:rsidRPr="00EC687D">
        <w:t xml:space="preserve"> (10th Cir. </w:t>
      </w:r>
      <w:r>
        <w:t>2014</w:t>
      </w:r>
      <w:r w:rsidRPr="00EC687D">
        <w:t>)</w:t>
      </w:r>
      <w:r w:rsidRPr="00EC687D">
        <w:rPr>
          <w:iCs/>
        </w:rPr>
        <w:t>.</w:t>
      </w:r>
    </w:p>
  </w:footnote>
  <w:footnote w:id="27">
    <w:p w:rsidR="001C34C9" w:rsidP="001C34C9">
      <w:pPr>
        <w:pStyle w:val="FootnoteText"/>
      </w:pPr>
      <w:r w:rsidRPr="00EC687D">
        <w:rPr>
          <w:rStyle w:val="FootnoteReference"/>
        </w:rPr>
        <w:footnoteRef/>
      </w:r>
      <w:r>
        <w:rPr>
          <w:i/>
        </w:rPr>
        <w:t xml:space="preserve"> Id.</w:t>
      </w:r>
      <w:r w:rsidRPr="00EC687D">
        <w:rPr>
          <w:iCs/>
        </w:rPr>
        <w:t xml:space="preserve">  </w:t>
      </w:r>
    </w:p>
  </w:footnote>
  <w:footnote w:id="28">
    <w:p w:rsidR="001C34C9" w:rsidP="001C34C9">
      <w:pPr>
        <w:pStyle w:val="FootnoteText"/>
      </w:pPr>
      <w:r>
        <w:rPr>
          <w:rStyle w:val="FootnoteReference"/>
        </w:rPr>
        <w:footnoteRef/>
      </w:r>
      <w:r>
        <w:t xml:space="preserve"> </w:t>
      </w:r>
      <w:r w:rsidRPr="001642E8">
        <w:rPr>
          <w:i/>
        </w:rPr>
        <w:t>See</w:t>
      </w:r>
      <w:r>
        <w:t xml:space="preserve"> </w:t>
      </w:r>
      <w:r w:rsidRPr="00727B10">
        <w:rPr>
          <w:i/>
        </w:rPr>
        <w:t xml:space="preserve">Connect America Fund et al., </w:t>
      </w:r>
      <w:r w:rsidRPr="00131BF0">
        <w:t>WC Docket No. 10-90 et al., Report and Order, Order and Order on Reconsideration, and Further Notice of Proposed Rulemaking, 31 FCC Rcd 3087</w:t>
      </w:r>
      <w:r>
        <w:t>, 3094-3117, paras. 17-79 (</w:t>
      </w:r>
      <w:r w:rsidRPr="00131BF0">
        <w:t>2016) (</w:t>
      </w:r>
      <w:r w:rsidRPr="00727B10">
        <w:rPr>
          <w:i/>
        </w:rPr>
        <w:t>Rate-of-Return Reform Order</w:t>
      </w:r>
      <w:r w:rsidRPr="00131BF0">
        <w:t>)</w:t>
      </w:r>
      <w:r>
        <w:t xml:space="preserve">; </w:t>
      </w:r>
      <w:r w:rsidRPr="00720E46">
        <w:rPr>
          <w:i/>
          <w:iCs/>
        </w:rPr>
        <w:t>see also</w:t>
      </w:r>
      <w:r w:rsidRPr="00720E46">
        <w:t xml:space="preserve"> </w:t>
      </w:r>
      <w:r w:rsidRPr="00720E46">
        <w:rPr>
          <w:i/>
          <w:iCs/>
        </w:rPr>
        <w:t>Connect America Fund</w:t>
      </w:r>
      <w:r w:rsidRPr="00720E46">
        <w:t>, WC Docket No. 10-90, Report and Order and Further Notice of Proposed Rulemaking, 31 FCC Rcd 13775</w:t>
      </w:r>
      <w:r>
        <w:t xml:space="preserve"> </w:t>
      </w:r>
      <w:r w:rsidRPr="00720E46">
        <w:t>(2016)</w:t>
      </w:r>
      <w:r>
        <w:t>.</w:t>
      </w:r>
      <w:r w:rsidRPr="00720E46">
        <w:t xml:space="preserve"> </w:t>
      </w:r>
    </w:p>
  </w:footnote>
  <w:footnote w:id="29">
    <w:p w:rsidR="001C34C9" w:rsidP="001C34C9">
      <w:pPr>
        <w:pStyle w:val="FootnoteText"/>
      </w:pPr>
      <w:r>
        <w:rPr>
          <w:rStyle w:val="FootnoteReference"/>
        </w:rPr>
        <w:footnoteRef/>
      </w:r>
      <w:r>
        <w:t xml:space="preserve"> </w:t>
      </w:r>
      <w:r>
        <w:rPr>
          <w:i/>
        </w:rPr>
        <w:t>See</w:t>
      </w:r>
      <w:r w:rsidRPr="00E56FA7">
        <w:rPr>
          <w:i/>
        </w:rPr>
        <w:t xml:space="preserve"> </w:t>
      </w:r>
      <w:r>
        <w:rPr>
          <w:i/>
        </w:rPr>
        <w:t>Wireline Competition Bureau Authorizes 182 Rate-of-Return Companies to Receive $454 Million Annually in Alternative Connect America Cost Model Support to Expand Rural Broadband</w:t>
      </w:r>
      <w:r>
        <w:t xml:space="preserve">, WC Docket No. 10-90, 32 FCC Rcd 842 (2017) (explaining a total of 207 rate-of-return carriers are authorized to receive model-based support to date); </w:t>
      </w:r>
      <w:r w:rsidRPr="00727B10">
        <w:rPr>
          <w:i/>
        </w:rPr>
        <w:t>Rate-of-Return Reform Order</w:t>
      </w:r>
      <w:r w:rsidRPr="00131BF0">
        <w:t xml:space="preserve">, 31 FCC Rcd </w:t>
      </w:r>
      <w:r>
        <w:t xml:space="preserve">at </w:t>
      </w:r>
      <w:r w:rsidRPr="00131BF0">
        <w:t>3097, para. 21.</w:t>
      </w:r>
    </w:p>
  </w:footnote>
  <w:footnote w:id="30">
    <w:p w:rsidR="001C34C9" w:rsidRPr="008F22D9" w:rsidP="001C34C9">
      <w:pPr>
        <w:pStyle w:val="FootnoteText"/>
      </w:pPr>
      <w:r>
        <w:rPr>
          <w:rStyle w:val="FootnoteReference"/>
        </w:rPr>
        <w:footnoteRef/>
      </w:r>
      <w:r>
        <w:t xml:space="preserve"> </w:t>
      </w:r>
      <w:r w:rsidRPr="00F23F78">
        <w:rPr>
          <w:i/>
        </w:rPr>
        <w:t>Regulation of Business Data Services for Rate-of-</w:t>
      </w:r>
      <w:r>
        <w:rPr>
          <w:i/>
        </w:rPr>
        <w:t>R</w:t>
      </w:r>
      <w:r w:rsidRPr="00F23F78">
        <w:rPr>
          <w:i/>
        </w:rPr>
        <w:t>eturn Local Exchange Carriers</w:t>
      </w:r>
      <w:r w:rsidRPr="00F23F78">
        <w:t>, WC Docket No. 17-144, Notice of Proposed Rulemaking, FCC 18-46</w:t>
      </w:r>
      <w:r>
        <w:t xml:space="preserve">, </w:t>
      </w:r>
      <w:r w:rsidRPr="00F23F78">
        <w:t xml:space="preserve">at </w:t>
      </w:r>
      <w:r>
        <w:t>13-14, para. 30</w:t>
      </w:r>
      <w:r w:rsidRPr="00F23F78">
        <w:t xml:space="preserve"> (rel. Apr. 18, 2018) (</w:t>
      </w:r>
      <w:r w:rsidRPr="00F23F78">
        <w:rPr>
          <w:i/>
        </w:rPr>
        <w:t>Rate-of-Return BDS NPRM</w:t>
      </w:r>
      <w:r>
        <w:t xml:space="preserve">); </w:t>
      </w:r>
      <w:r w:rsidRPr="00204109">
        <w:rPr>
          <w:i/>
          <w:iCs/>
        </w:rPr>
        <w:t>Rate-of-Return Reform Order</w:t>
      </w:r>
      <w:r w:rsidRPr="00204109">
        <w:t>, 31 FCC Rcd at 3118, para.</w:t>
      </w:r>
      <w:r>
        <w:t xml:space="preserve"> </w:t>
      </w:r>
      <w:r w:rsidRPr="00204109">
        <w:t>82</w:t>
      </w:r>
      <w:r w:rsidRPr="008F22D9">
        <w:t>.</w:t>
      </w:r>
    </w:p>
  </w:footnote>
  <w:footnote w:id="31">
    <w:p w:rsidR="001C34C9" w:rsidP="001C34C9">
      <w:pPr>
        <w:pStyle w:val="FootnoteText"/>
      </w:pPr>
      <w:r>
        <w:rPr>
          <w:rStyle w:val="FootnoteReference"/>
        </w:rPr>
        <w:footnoteRef/>
      </w:r>
      <w:r>
        <w:t xml:space="preserve"> </w:t>
      </w:r>
      <w:r w:rsidRPr="00F23F78">
        <w:t>47 CFR § 54.1310</w:t>
      </w:r>
      <w:r>
        <w:t>.  USAC administers the Commission’s universal service programs.</w:t>
      </w:r>
    </w:p>
  </w:footnote>
  <w:footnote w:id="32">
    <w:p w:rsidR="001C34C9" w:rsidP="001C34C9">
      <w:pPr>
        <w:pStyle w:val="FootnoteText"/>
      </w:pPr>
      <w:r>
        <w:rPr>
          <w:rStyle w:val="FootnoteReference"/>
        </w:rPr>
        <w:footnoteRef/>
      </w:r>
      <w:r>
        <w:t xml:space="preserve"> </w:t>
      </w:r>
      <w:r w:rsidRPr="00244F65">
        <w:rPr>
          <w:i/>
        </w:rPr>
        <w:t>Connect America Fund</w:t>
      </w:r>
      <w:r>
        <w:rPr>
          <w:i/>
        </w:rPr>
        <w:t xml:space="preserve"> et al.</w:t>
      </w:r>
      <w:r>
        <w:t>, WC Docket No. 10-90 et al., Report and Order, Third Order on Reconsideration, and Notice of Proposed Rulemaking, FCC 18-29, at 46-51, paras. 117-37 (rel. Mar. 23, 2018).</w:t>
      </w:r>
    </w:p>
  </w:footnote>
  <w:footnote w:id="33">
    <w:p w:rsidR="001C34C9" w:rsidP="001C34C9">
      <w:pPr>
        <w:pStyle w:val="FootnoteText"/>
      </w:pPr>
      <w:r>
        <w:rPr>
          <w:rStyle w:val="FootnoteReference"/>
        </w:rPr>
        <w:footnoteRef/>
      </w:r>
      <w:r>
        <w:t xml:space="preserve"> </w:t>
      </w:r>
      <w:r w:rsidRPr="00F23F78">
        <w:rPr>
          <w:i/>
        </w:rPr>
        <w:t>Rate-of-Return BDS NPRM</w:t>
      </w:r>
      <w:r>
        <w:t>, at 2</w:t>
      </w:r>
      <w:r w:rsidRPr="00F23F78">
        <w:t>, 4, para</w:t>
      </w:r>
      <w:r>
        <w:t>s</w:t>
      </w:r>
      <w:r w:rsidRPr="00F23F78">
        <w:t xml:space="preserve">. </w:t>
      </w:r>
      <w:r>
        <w:t xml:space="preserve">1, </w:t>
      </w:r>
      <w:r w:rsidRPr="00F23F78">
        <w:t>4</w:t>
      </w:r>
      <w:r>
        <w:t>.</w:t>
      </w:r>
    </w:p>
  </w:footnote>
  <w:footnote w:id="34">
    <w:p w:rsidR="001C34C9" w:rsidP="001C34C9">
      <w:pPr>
        <w:pStyle w:val="FootnoteText"/>
      </w:pPr>
      <w:r>
        <w:rPr>
          <w:rStyle w:val="FootnoteReference"/>
        </w:rPr>
        <w:footnoteRef/>
      </w:r>
      <w:r>
        <w:t xml:space="preserve"> </w:t>
      </w:r>
      <w:r>
        <w:rPr>
          <w:i/>
        </w:rPr>
        <w:t>Jurisdictional Separations and Referral to the Federal-State Joint Board</w:t>
      </w:r>
      <w:r>
        <w:t>, CC Docket No. 80-286, Report and Order, 32 FCC Rcd 4219 (2017) (</w:t>
      </w:r>
      <w:r>
        <w:rPr>
          <w:i/>
        </w:rPr>
        <w:t>2017 Separations Freeze Extension Order</w:t>
      </w:r>
      <w:r>
        <w:t xml:space="preserve">); </w:t>
      </w:r>
      <w:r>
        <w:rPr>
          <w:i/>
        </w:rPr>
        <w:t>Jurisdictional Separations and Referral to the Federal-State Joint Board</w:t>
      </w:r>
      <w:r>
        <w:t>, CC Docket No. 80-286, Report and Order, 29 FCC Rcd at 6470 (2014) (</w:t>
      </w:r>
      <w:r>
        <w:rPr>
          <w:i/>
        </w:rPr>
        <w:t>2014 Separations Freeze Extension Order</w:t>
      </w:r>
      <w:r>
        <w:t xml:space="preserve">); </w:t>
      </w:r>
      <w:r>
        <w:rPr>
          <w:i/>
        </w:rPr>
        <w:t>Jurisdictional Separations and Referral to the Federal-State Joint Board</w:t>
      </w:r>
      <w:r>
        <w:t xml:space="preserve">, CC Docket No. 80-286, Report and Order, 27 FCC Rcd 5593 (2012); </w:t>
      </w:r>
      <w:r>
        <w:rPr>
          <w:i/>
        </w:rPr>
        <w:t>Jurisdictional Separations and Referral to the Federal-State Joint Board</w:t>
      </w:r>
      <w:r>
        <w:t>, CC Docket No. 80-286, Report and Order, 26 FCC Rcd 7133 (2011) (</w:t>
      </w:r>
      <w:r>
        <w:rPr>
          <w:i/>
        </w:rPr>
        <w:t>2011 Separations Freeze Extension Order</w:t>
      </w:r>
      <w:r>
        <w:t xml:space="preserve">); </w:t>
      </w:r>
      <w:r>
        <w:rPr>
          <w:i/>
        </w:rPr>
        <w:t>Jurisdictional Separations and Referral to the Federal-State Joint Board</w:t>
      </w:r>
      <w:r>
        <w:t>, CC Docket No. 80-286, Report and Order, 25 FCC Rcd 6046 (2010) (</w:t>
      </w:r>
      <w:r>
        <w:rPr>
          <w:i/>
        </w:rPr>
        <w:t>2010 Separations Freeze Extension Order</w:t>
      </w:r>
      <w:r>
        <w:t xml:space="preserve">); </w:t>
      </w:r>
      <w:r>
        <w:rPr>
          <w:i/>
        </w:rPr>
        <w:t>Jurisdictional Separations and Referral to the Federal-State Joint Board</w:t>
      </w:r>
      <w:r>
        <w:t xml:space="preserve">, CC Docket No. 80-286, Report and Order, 24 FCC Rcd 6162 (2009); </w:t>
      </w:r>
      <w:r>
        <w:rPr>
          <w:i/>
        </w:rPr>
        <w:t>Jurisdictional Separations and Referral to the Federal-State Joint Board</w:t>
      </w:r>
      <w:r>
        <w:t>, CC Docket No. 80-286, Order and Further Notice of Proposed Rulemaking, 21 FCC Rcd 5516, 5517, 5523, paras. 1, 16 (2006).</w:t>
      </w:r>
    </w:p>
  </w:footnote>
  <w:footnote w:id="35">
    <w:p w:rsidR="001C34C9" w:rsidRPr="007D4366" w:rsidP="001C34C9">
      <w:pPr>
        <w:pStyle w:val="FootnoteText"/>
      </w:pPr>
      <w:r>
        <w:rPr>
          <w:rStyle w:val="FootnoteReference"/>
        </w:rPr>
        <w:footnoteRef/>
      </w:r>
      <w:r>
        <w:t xml:space="preserve"> </w:t>
      </w:r>
      <w:r>
        <w:rPr>
          <w:i/>
        </w:rPr>
        <w:t>See, e.g.</w:t>
      </w:r>
      <w:r>
        <w:t>,</w:t>
      </w:r>
      <w:r>
        <w:rPr>
          <w:i/>
        </w:rPr>
        <w:t xml:space="preserve"> 2017 Separations Freeze Extension Order</w:t>
      </w:r>
      <w:r>
        <w:t xml:space="preserve">, 32 FCC Rcd at 4223, para 11; </w:t>
      </w:r>
      <w:r w:rsidRPr="008D444F">
        <w:rPr>
          <w:i/>
        </w:rPr>
        <w:t>2001 Separations Freeze Order</w:t>
      </w:r>
      <w:r>
        <w:t>, 16 FCC Rcd at 11389-90, paras. 11-13.</w:t>
      </w:r>
    </w:p>
  </w:footnote>
  <w:footnote w:id="36">
    <w:p w:rsidR="001C34C9" w:rsidP="001C34C9">
      <w:pPr>
        <w:pStyle w:val="FootnoteText"/>
      </w:pPr>
      <w:r>
        <w:rPr>
          <w:rStyle w:val="FootnoteReference"/>
        </w:rPr>
        <w:footnoteRef/>
      </w:r>
      <w:r>
        <w:t xml:space="preserve"> </w:t>
      </w:r>
      <w:r>
        <w:rPr>
          <w:i/>
        </w:rPr>
        <w:t>2017 Separations Freeze Extension Order</w:t>
      </w:r>
      <w:r>
        <w:t>, 32 FCC Rcd at 4223, para. 10.</w:t>
      </w:r>
    </w:p>
  </w:footnote>
  <w:footnote w:id="37">
    <w:p w:rsidR="001C34C9" w:rsidP="001C34C9">
      <w:pPr>
        <w:pStyle w:val="FootnoteText"/>
      </w:pPr>
      <w:r>
        <w:rPr>
          <w:rStyle w:val="FootnoteReference"/>
        </w:rPr>
        <w:footnoteRef/>
      </w:r>
      <w:r>
        <w:t xml:space="preserve"> </w:t>
      </w:r>
      <w:r w:rsidRPr="00B063AA">
        <w:t>State Members’ Report on Comprehensive Review of Separations</w:t>
      </w:r>
      <w:r w:rsidRPr="00FB0EF8">
        <w:t>, CC Docket No. 80-286</w:t>
      </w:r>
      <w:r>
        <w:t xml:space="preserve"> (</w:t>
      </w:r>
      <w:r w:rsidRPr="00FB0EF8">
        <w:t>filed Dec</w:t>
      </w:r>
      <w:r>
        <w:t>.</w:t>
      </w:r>
      <w:r w:rsidRPr="00FB0EF8">
        <w:t xml:space="preserve"> 21, 1998</w:t>
      </w:r>
      <w:r>
        <w:t>)</w:t>
      </w:r>
      <w:r w:rsidRPr="00FB0EF8">
        <w:t>.</w:t>
      </w:r>
    </w:p>
  </w:footnote>
  <w:footnote w:id="38">
    <w:p w:rsidR="001C34C9" w:rsidP="001C34C9">
      <w:pPr>
        <w:pStyle w:val="FootnoteText"/>
      </w:pPr>
      <w:r>
        <w:rPr>
          <w:rStyle w:val="FootnoteReference"/>
        </w:rPr>
        <w:footnoteRef/>
      </w:r>
      <w:r>
        <w:t xml:space="preserve"> </w:t>
      </w:r>
      <w:r w:rsidRPr="00FB0EF8">
        <w:rPr>
          <w:i/>
        </w:rPr>
        <w:t xml:space="preserve">See, e.g., </w:t>
      </w:r>
      <w:r w:rsidRPr="00FB0EF8">
        <w:t xml:space="preserve">Letter from David J. Lynch, Iowa Utilities Board, to Magalie Roman Salas, </w:t>
      </w:r>
      <w:r>
        <w:t xml:space="preserve">Secretary, </w:t>
      </w:r>
      <w:r w:rsidRPr="00FB0EF8">
        <w:t>FCC</w:t>
      </w:r>
      <w:r>
        <w:t>,</w:t>
      </w:r>
      <w:r w:rsidRPr="00FB0EF8">
        <w:t xml:space="preserve"> </w:t>
      </w:r>
      <w:r>
        <w:t>CC Docket No. 80-286 (</w:t>
      </w:r>
      <w:r w:rsidRPr="00FB0EF8">
        <w:t>filed Dec. 17, 2001</w:t>
      </w:r>
      <w:r>
        <w:t>)</w:t>
      </w:r>
      <w:r w:rsidRPr="00FB0EF8">
        <w:t xml:space="preserve"> (attaching “Options for Separations: A Paper Prepared by the State Members of the Separations Joint Board</w:t>
      </w:r>
      <w:r>
        <w:t>”)</w:t>
      </w:r>
      <w:r w:rsidRPr="00FB0EF8">
        <w:t xml:space="preserve">; </w:t>
      </w:r>
      <w:r w:rsidRPr="00FB0EF8">
        <w:rPr>
          <w:i/>
        </w:rPr>
        <w:t>Common Carrier Bureau Seeks Comment on “Glide Path” Policy Paper Filed by State Members of the Federal-State Joint Board on Jurisdictional Separations</w:t>
      </w:r>
      <w:r w:rsidRPr="00FB0EF8">
        <w:t>, CC Docket No. 80-286, Public Notice, 16 FCC Rcd 22551 (CCB 2001)</w:t>
      </w:r>
      <w:r>
        <w:t>.</w:t>
      </w:r>
    </w:p>
  </w:footnote>
  <w:footnote w:id="39">
    <w:p w:rsidR="001C34C9" w:rsidRPr="005A13AC" w:rsidP="001C34C9">
      <w:pPr>
        <w:pStyle w:val="FootnoteText"/>
      </w:pPr>
      <w:r w:rsidRPr="005A13AC">
        <w:rPr>
          <w:rStyle w:val="FootnoteReference"/>
        </w:rPr>
        <w:footnoteRef/>
      </w:r>
      <w:r w:rsidRPr="005A13AC">
        <w:t xml:space="preserve"> Most recently, on April 24, 2017, the Joint Board released a public notice seeking to refresh the record on issues related to comprehensive separations </w:t>
      </w:r>
      <w:r>
        <w:t>re</w:t>
      </w:r>
      <w:r w:rsidRPr="005A13AC">
        <w:t xml:space="preserve">form.  </w:t>
      </w:r>
      <w:r w:rsidRPr="005A13AC">
        <w:rPr>
          <w:i/>
        </w:rPr>
        <w:t>Federal-State Joint Board on Jurisdictional Separations Seeks to Refresh Record on Issues Related to Jurisdictional Separations</w:t>
      </w:r>
      <w:r w:rsidRPr="005A13AC">
        <w:t>, CC Docket No. 80-286, 32 FCC Rcd 3234 (Fed.-State Jt. Bd. 2017)</w:t>
      </w:r>
      <w:r>
        <w:t xml:space="preserve"> (</w:t>
      </w:r>
      <w:r w:rsidRPr="00204109">
        <w:rPr>
          <w:i/>
        </w:rPr>
        <w:t>April 2017 Public Notice</w:t>
      </w:r>
      <w:r>
        <w:t>)</w:t>
      </w:r>
      <w:r w:rsidRPr="005A13AC">
        <w:t xml:space="preserve">. </w:t>
      </w:r>
      <w:r>
        <w:t xml:space="preserve"> </w:t>
      </w:r>
      <w:r w:rsidRPr="005A13AC">
        <w:t xml:space="preserve">Comments were </w:t>
      </w:r>
      <w:r>
        <w:t>due</w:t>
      </w:r>
      <w:r w:rsidRPr="005A13AC">
        <w:t xml:space="preserve"> on May 24, 2017</w:t>
      </w:r>
      <w:r>
        <w:t>, and replies were due June 8, 2017</w:t>
      </w:r>
      <w:r w:rsidRPr="005A13AC">
        <w:t>.</w:t>
      </w:r>
    </w:p>
  </w:footnote>
  <w:footnote w:id="40">
    <w:p w:rsidR="001C34C9" w:rsidP="001C34C9">
      <w:pPr>
        <w:pStyle w:val="FootnoteText"/>
      </w:pPr>
      <w:r>
        <w:rPr>
          <w:rStyle w:val="FootnoteReference"/>
        </w:rPr>
        <w:footnoteRef/>
      </w:r>
      <w:r w:rsidRPr="00581DCC">
        <w:t xml:space="preserve"> </w:t>
      </w:r>
      <w:r>
        <w:rPr>
          <w:i/>
        </w:rPr>
        <w:t>See</w:t>
      </w:r>
      <w:r w:rsidRPr="00581DCC">
        <w:t xml:space="preserve"> </w:t>
      </w:r>
      <w:r w:rsidRPr="00581DCC">
        <w:rPr>
          <w:i/>
        </w:rPr>
        <w:t>Petition by Gila River Telecommunications, Inc. Pursuant to 47 C.F.R. Sections 36.3, 36.123-126, 36.152-157, and 36.372-382 for Commission Approval to Unfreeze Part 36 Category Relationships</w:t>
      </w:r>
      <w:r w:rsidRPr="00581DCC">
        <w:t>, CC Docket No. 80-286, Order, 25 FCC Rcd 17459 (2010) (</w:t>
      </w:r>
      <w:r w:rsidRPr="00581DCC">
        <w:rPr>
          <w:i/>
        </w:rPr>
        <w:t>G</w:t>
      </w:r>
      <w:r>
        <w:rPr>
          <w:i/>
        </w:rPr>
        <w:t>ila River</w:t>
      </w:r>
      <w:r w:rsidRPr="00581DCC">
        <w:rPr>
          <w:i/>
        </w:rPr>
        <w:t xml:space="preserve"> Waiver Order</w:t>
      </w:r>
      <w:r w:rsidRPr="00581DCC">
        <w:t xml:space="preserve">); </w:t>
      </w:r>
      <w:r w:rsidRPr="00581DCC">
        <w:rPr>
          <w:i/>
        </w:rPr>
        <w:t>Petition by Eastex Telephone Cooperative, Inc. Pursuant to 47 C.F.R. Sections 36.3, 36.123-126, 36.152-157, and 36.372-382 for Commission Approval to Unfreeze Part 36 Category Relationships</w:t>
      </w:r>
      <w:r w:rsidRPr="00581DCC">
        <w:t>, CC Docket No. 80-286, Order, 27 FCC Rcd 6357 (WCB 2012) (</w:t>
      </w:r>
      <w:r w:rsidRPr="00581DCC">
        <w:rPr>
          <w:i/>
        </w:rPr>
        <w:t>Eastex Waiver Order</w:t>
      </w:r>
      <w:r w:rsidRPr="00581DCC">
        <w:t>).  Two other petitions to waive these rules are pending.  Terral Telephone Company, Inc., Petition for Waiver of 47 CFR Sections 36.3, 36.123-126, 36-141, 36.152-157, 36.191 and 36.372-382 to Unfreeze Part 36 Category Relationships, CC Docket No. 80-286 (filed Aug. 2, 2012); Petition of Pioneer Telephone Cooperative, Inc. for Waiver of 47 CFR Sections 36.3, 36.123-126, 36.141, 36.152-157, 36.191 and 36.372-382 to Unfreeze Part 36 Category Relationships, CC Docket No. 80-286 (filed Mar. 22, 2013)</w:t>
      </w:r>
      <w:r w:rsidRPr="00DA19DD">
        <w:t xml:space="preserve"> </w:t>
      </w:r>
      <w:r>
        <w:t>(Pioneer Waiver Petition)</w:t>
      </w:r>
      <w:r w:rsidRPr="00D93212">
        <w:t>.</w:t>
      </w:r>
    </w:p>
  </w:footnote>
  <w:footnote w:id="41">
    <w:p w:rsidR="001C34C9" w:rsidP="001C34C9">
      <w:pPr>
        <w:pStyle w:val="FootnoteText"/>
      </w:pPr>
      <w:r>
        <w:rPr>
          <w:rStyle w:val="FootnoteReference"/>
        </w:rPr>
        <w:footnoteRef/>
      </w:r>
      <w:r>
        <w:t xml:space="preserve"> </w:t>
      </w:r>
      <w:r>
        <w:rPr>
          <w:i/>
        </w:rPr>
        <w:t xml:space="preserve">Gila River Waiver Order, </w:t>
      </w:r>
      <w:r>
        <w:t>25 FCC Rcd at 17462-65, paras, 7, 11-13.</w:t>
      </w:r>
    </w:p>
  </w:footnote>
  <w:footnote w:id="42">
    <w:p w:rsidR="001C34C9" w:rsidRPr="00AC5352" w:rsidP="001C34C9">
      <w:pPr>
        <w:pStyle w:val="FootnoteText"/>
      </w:pPr>
      <w:r>
        <w:rPr>
          <w:rStyle w:val="FootnoteReference"/>
        </w:rPr>
        <w:footnoteRef/>
      </w:r>
      <w:r>
        <w:t xml:space="preserve"> </w:t>
      </w:r>
      <w:r>
        <w:rPr>
          <w:i/>
        </w:rPr>
        <w:t>Eastex Waiver Order</w:t>
      </w:r>
      <w:r>
        <w:t xml:space="preserve">, 27 FCC Rcd at 6360-61, paras. 9-10; </w:t>
      </w:r>
      <w:r w:rsidRPr="00006241">
        <w:t>Petition of Eastex Telephone Cooperative, Inc. to Unfreeze Part 36 Category Relationships, CC Docket No. 80-286</w:t>
      </w:r>
      <w:r>
        <w:t>, at 3</w:t>
      </w:r>
      <w:r w:rsidRPr="00006241">
        <w:t xml:space="preserve"> (filed May 25, 2011</w:t>
      </w:r>
      <w:r>
        <w:t>).</w:t>
      </w:r>
    </w:p>
  </w:footnote>
  <w:footnote w:id="43">
    <w:p w:rsidR="001C34C9" w:rsidRPr="005A13AC" w:rsidP="001C34C9">
      <w:pPr>
        <w:pStyle w:val="FootnoteText"/>
      </w:pPr>
      <w:r w:rsidRPr="005A13AC">
        <w:rPr>
          <w:rStyle w:val="FootnoteReference"/>
        </w:rPr>
        <w:footnoteRef/>
      </w:r>
      <w:r w:rsidRPr="005A13AC">
        <w:t xml:space="preserve"> </w:t>
      </w:r>
      <w:r w:rsidRPr="005A13AC">
        <w:rPr>
          <w:i/>
        </w:rPr>
        <w:t>See</w:t>
      </w:r>
      <w:r w:rsidRPr="005A13AC">
        <w:t xml:space="preserve"> 47 U.S.C. § 410(c) (requiring the Commission to refer jurisdictional separations reform to the Joint Board and requiring the Joint Board to “prepare a recommended decision for prompt review and action by the Commission”).</w:t>
      </w:r>
    </w:p>
  </w:footnote>
  <w:footnote w:id="44">
    <w:p w:rsidR="001C34C9" w:rsidP="001C34C9">
      <w:pPr>
        <w:pStyle w:val="FootnoteText"/>
      </w:pPr>
      <w:r>
        <w:rPr>
          <w:rStyle w:val="FootnoteReference"/>
        </w:rPr>
        <w:footnoteRef/>
      </w:r>
      <w:r>
        <w:t xml:space="preserve"> </w:t>
      </w:r>
      <w:r>
        <w:rPr>
          <w:i/>
        </w:rPr>
        <w:t>Comprehensive Review of the Part 32 Uniform System of Accounts et al</w:t>
      </w:r>
      <w:r>
        <w:t>., WC Docket No. 14-130, CC Docket No. 80-286, Notice of Proposed Rulemaking, FCC 18-22, at 18 (2018) (</w:t>
      </w:r>
      <w:r>
        <w:rPr>
          <w:i/>
        </w:rPr>
        <w:t xml:space="preserve">Separations </w:t>
      </w:r>
      <w:r w:rsidRPr="00F65357">
        <w:rPr>
          <w:i/>
        </w:rPr>
        <w:t>Part</w:t>
      </w:r>
      <w:r>
        <w:t xml:space="preserve"> </w:t>
      </w:r>
      <w:r>
        <w:rPr>
          <w:i/>
        </w:rPr>
        <w:t>32 Harmonization NPRM</w:t>
      </w:r>
      <w:r>
        <w:t>)</w:t>
      </w:r>
      <w:r>
        <w:rPr>
          <w:i/>
        </w:rPr>
        <w:t xml:space="preserve"> </w:t>
      </w:r>
      <w:r>
        <w:t xml:space="preserve">(Statement of Joint Board Chairman Michael O’Rielly).  </w:t>
      </w:r>
    </w:p>
  </w:footnote>
  <w:footnote w:id="45">
    <w:p w:rsidR="001C34C9" w:rsidP="001C34C9">
      <w:pPr>
        <w:pStyle w:val="FootnoteText"/>
      </w:pPr>
      <w:r>
        <w:rPr>
          <w:rStyle w:val="FootnoteReference"/>
        </w:rPr>
        <w:footnoteRef/>
      </w:r>
      <w:r>
        <w:t xml:space="preserve"> Additionally, we would need to publish notice of the revised rules in the Federal Register in sufficient time for them to take effect by January 1, 2019.  </w:t>
      </w:r>
    </w:p>
  </w:footnote>
  <w:footnote w:id="46">
    <w:p w:rsidR="001C34C9" w:rsidRPr="00DA6F21" w:rsidP="001C34C9">
      <w:pPr>
        <w:pStyle w:val="FootnoteText"/>
        <w:rPr>
          <w:i/>
        </w:rPr>
      </w:pPr>
      <w:r>
        <w:rPr>
          <w:rStyle w:val="FootnoteReference"/>
        </w:rPr>
        <w:footnoteRef/>
      </w:r>
      <w:r>
        <w:t xml:space="preserve"> </w:t>
      </w:r>
      <w:r>
        <w:rPr>
          <w:i/>
        </w:rPr>
        <w:t>2017</w:t>
      </w:r>
      <w:r w:rsidRPr="00663B58">
        <w:rPr>
          <w:i/>
        </w:rPr>
        <w:t xml:space="preserve"> Separations Freeze Extension Order</w:t>
      </w:r>
      <w:r>
        <w:t xml:space="preserve">, 32 FCC Rcd at 4223, para. 11 (citing NTCA Apr. 24, 2017 Extension PN Reply at 1-2; WTA Apr. 24, 2017 Extension PN Reply at 1-3; </w:t>
      </w:r>
      <w:r w:rsidRPr="00A567AC">
        <w:rPr>
          <w:i/>
        </w:rPr>
        <w:t xml:space="preserve">2014 </w:t>
      </w:r>
      <w:r>
        <w:rPr>
          <w:i/>
        </w:rPr>
        <w:t xml:space="preserve">Separations Freeze Extension </w:t>
      </w:r>
      <w:r w:rsidRPr="00A567AC">
        <w:rPr>
          <w:i/>
        </w:rPr>
        <w:t>Order</w:t>
      </w:r>
      <w:r>
        <w:t xml:space="preserve">, 29 FCC Rcd at 6474-75, para. 12); </w:t>
      </w:r>
      <w:r w:rsidRPr="008E33D8">
        <w:rPr>
          <w:i/>
        </w:rPr>
        <w:t xml:space="preserve">2011 </w:t>
      </w:r>
      <w:r w:rsidRPr="00663B58">
        <w:rPr>
          <w:i/>
        </w:rPr>
        <w:t xml:space="preserve">Separations </w:t>
      </w:r>
      <w:r w:rsidRPr="00225190">
        <w:rPr>
          <w:i/>
        </w:rPr>
        <w:t xml:space="preserve">Freeze Extension Order, </w:t>
      </w:r>
      <w:r w:rsidRPr="00225190">
        <w:t>26 FCC Rcd at 7137</w:t>
      </w:r>
      <w:r>
        <w:t xml:space="preserve">, para. 13; </w:t>
      </w:r>
      <w:r w:rsidRPr="00663B58">
        <w:rPr>
          <w:i/>
        </w:rPr>
        <w:t>2010 Separations Freeze Extension Order</w:t>
      </w:r>
      <w:r>
        <w:t>, 25 FCC Rcd at 6049, para. 11.</w:t>
      </w:r>
    </w:p>
  </w:footnote>
  <w:footnote w:id="47">
    <w:p w:rsidR="001C34C9" w:rsidP="001C34C9">
      <w:pPr>
        <w:pStyle w:val="FootnoteText"/>
      </w:pPr>
      <w:r>
        <w:rPr>
          <w:rStyle w:val="FootnoteReference"/>
        </w:rPr>
        <w:footnoteRef/>
      </w:r>
      <w:r>
        <w:t xml:space="preserve"> </w:t>
      </w:r>
      <w:r>
        <w:rPr>
          <w:i/>
        </w:rPr>
        <w:t>2017</w:t>
      </w:r>
      <w:r w:rsidRPr="00663B58">
        <w:rPr>
          <w:i/>
        </w:rPr>
        <w:t xml:space="preserve"> Separations Freeze Extension Order</w:t>
      </w:r>
      <w:r>
        <w:t xml:space="preserve">, 32 FCC Rcd at 4223, para. 11 (citing WTA Apr. 24, 2017 Extension PN Reply at </w:t>
      </w:r>
      <w:r w:rsidRPr="00343755">
        <w:t>2</w:t>
      </w:r>
      <w:r>
        <w:t>)</w:t>
      </w:r>
      <w:r w:rsidRPr="00343755">
        <w:t>.</w:t>
      </w:r>
    </w:p>
  </w:footnote>
  <w:footnote w:id="48">
    <w:p w:rsidR="001C34C9" w:rsidP="001C34C9">
      <w:pPr>
        <w:pStyle w:val="FootnoteText"/>
      </w:pPr>
      <w:r>
        <w:rPr>
          <w:rStyle w:val="FootnoteReference"/>
        </w:rPr>
        <w:footnoteRef/>
      </w:r>
      <w:r>
        <w:t xml:space="preserve"> </w:t>
      </w:r>
      <w:bookmarkStart w:id="101" w:name="_Hlk512968472"/>
      <w:r>
        <w:rPr>
          <w:i/>
        </w:rPr>
        <w:t xml:space="preserve">Id. </w:t>
      </w:r>
      <w:r w:rsidRPr="00116947">
        <w:t xml:space="preserve">at </w:t>
      </w:r>
      <w:r>
        <w:t xml:space="preserve">4224, para. 12 </w:t>
      </w:r>
      <w:bookmarkEnd w:id="101"/>
      <w:r>
        <w:t>(finding the harm alleged by a commenter to be speculative and insufficient).</w:t>
      </w:r>
    </w:p>
  </w:footnote>
  <w:footnote w:id="49">
    <w:p w:rsidR="001C34C9" w:rsidP="001C34C9">
      <w:pPr>
        <w:pStyle w:val="FootnoteText"/>
      </w:pPr>
      <w:r>
        <w:rPr>
          <w:rStyle w:val="FootnoteReference"/>
        </w:rPr>
        <w:footnoteRef/>
      </w:r>
      <w:r>
        <w:t xml:space="preserve"> </w:t>
      </w:r>
      <w:r>
        <w:rPr>
          <w:i/>
        </w:rPr>
        <w:t xml:space="preserve">Id. </w:t>
      </w:r>
      <w:r>
        <w:t>at 4224, para. 11.</w:t>
      </w:r>
    </w:p>
  </w:footnote>
  <w:footnote w:id="50">
    <w:p w:rsidR="001C34C9" w:rsidRPr="00DA6F21" w:rsidP="001C34C9">
      <w:pPr>
        <w:pStyle w:val="FootnoteText"/>
        <w:rPr>
          <w:i/>
        </w:rPr>
      </w:pPr>
      <w:r>
        <w:rPr>
          <w:rStyle w:val="FootnoteReference"/>
        </w:rPr>
        <w:footnoteRef/>
      </w:r>
      <w:r>
        <w:t xml:space="preserve"> </w:t>
      </w:r>
      <w:r>
        <w:rPr>
          <w:i/>
        </w:rPr>
        <w:t xml:space="preserve">See Separations </w:t>
      </w:r>
      <w:r w:rsidRPr="002E5283">
        <w:rPr>
          <w:i/>
        </w:rPr>
        <w:t>Part</w:t>
      </w:r>
      <w:r>
        <w:t xml:space="preserve"> </w:t>
      </w:r>
      <w:r>
        <w:rPr>
          <w:i/>
        </w:rPr>
        <w:t>32 Harmonization NPRM</w:t>
      </w:r>
      <w:r>
        <w:t xml:space="preserve"> at 18 (Statement of Joint Board Chairman Michael O’Rielly) (</w:t>
      </w:r>
      <w:r w:rsidRPr="00C65852">
        <w:t>“I have . . . recommended that the Commission immediately pursue a longer extension of the current freeze than what has been done in the past (i.e., 15 years.</w:t>
      </w:r>
      <w:r>
        <w:t>)”</w:t>
      </w:r>
      <w:r w:rsidRPr="00C65852">
        <w:t>)</w:t>
      </w:r>
      <w:r>
        <w:t>.</w:t>
      </w:r>
    </w:p>
  </w:footnote>
  <w:footnote w:id="51">
    <w:p w:rsidR="001C34C9" w:rsidP="001C34C9">
      <w:pPr>
        <w:pStyle w:val="FootnoteText"/>
      </w:pPr>
      <w:r>
        <w:rPr>
          <w:rStyle w:val="FootnoteReference"/>
        </w:rPr>
        <w:footnoteRef/>
      </w:r>
      <w:r>
        <w:t xml:space="preserve"> USTelecom May 24, 2017 Comments at 2 (“Instead of trying to fix the separations rules, the Commission should indefinitely extend the separations freeze and focus on fully implementing all of [the] recent changes to intercarrier compensation and universal service reform. . . . [T]hese recent reforms have all but eliminated separations for many providers.”).</w:t>
      </w:r>
    </w:p>
  </w:footnote>
  <w:footnote w:id="52">
    <w:p w:rsidR="001C34C9" w:rsidRPr="003E2045" w:rsidP="001C34C9">
      <w:pPr>
        <w:pStyle w:val="FootnoteText"/>
      </w:pPr>
      <w:r>
        <w:rPr>
          <w:rStyle w:val="FootnoteReference"/>
        </w:rPr>
        <w:footnoteRef/>
      </w:r>
      <w:r>
        <w:t xml:space="preserve"> </w:t>
      </w:r>
      <w:r>
        <w:rPr>
          <w:i/>
        </w:rPr>
        <w:t>See</w:t>
      </w:r>
      <w:r>
        <w:t xml:space="preserve"> 47 U.S.C. § 201(b).</w:t>
      </w:r>
    </w:p>
  </w:footnote>
  <w:footnote w:id="53">
    <w:p w:rsidR="001C34C9" w:rsidP="001C34C9">
      <w:pPr>
        <w:pStyle w:val="FootnoteText"/>
      </w:pPr>
      <w:r>
        <w:rPr>
          <w:rStyle w:val="FootnoteReference"/>
        </w:rPr>
        <w:footnoteRef/>
      </w:r>
      <w:r>
        <w:t xml:space="preserve"> </w:t>
      </w:r>
      <w:r w:rsidRPr="00693DD8">
        <w:rPr>
          <w:i/>
        </w:rPr>
        <w:t>April 2017 Public Notice</w:t>
      </w:r>
      <w:r w:rsidRPr="00EB1370">
        <w:t xml:space="preserve">, 32 FCC Rcd </w:t>
      </w:r>
      <w:r>
        <w:t xml:space="preserve">at </w:t>
      </w:r>
      <w:r w:rsidRPr="00EB1370">
        <w:t>3234</w:t>
      </w:r>
      <w:r w:rsidRPr="00E27482">
        <w:t>.</w:t>
      </w:r>
      <w:r w:rsidRPr="00EB1370">
        <w:t xml:space="preserve"> </w:t>
      </w:r>
    </w:p>
  </w:footnote>
  <w:footnote w:id="54">
    <w:p w:rsidR="001C34C9" w:rsidP="001C34C9">
      <w:pPr>
        <w:pStyle w:val="FootnoteText"/>
      </w:pPr>
      <w:r>
        <w:rPr>
          <w:rStyle w:val="FootnoteReference"/>
        </w:rPr>
        <w:footnoteRef/>
      </w:r>
      <w:r>
        <w:t xml:space="preserve"> </w:t>
      </w:r>
      <w:r>
        <w:rPr>
          <w:i/>
        </w:rPr>
        <w:t>See generally</w:t>
      </w:r>
      <w:r>
        <w:t xml:space="preserve"> CenturyLink May 24, 2017 Comments; Moss Adams June 8, 2017 Comments; NTCA June 8, 2017 Reply; USTelecom May 24, 2017 Comments; WTA May 24, 2017 Comments. </w:t>
      </w:r>
    </w:p>
  </w:footnote>
  <w:footnote w:id="55">
    <w:p w:rsidR="001C34C9" w:rsidP="001C34C9">
      <w:pPr>
        <w:pStyle w:val="FootnoteText"/>
      </w:pPr>
      <w:r>
        <w:rPr>
          <w:rStyle w:val="FootnoteReference"/>
        </w:rPr>
        <w:footnoteRef/>
      </w:r>
      <w:r>
        <w:t xml:space="preserve"> </w:t>
      </w:r>
      <w:r>
        <w:rPr>
          <w:i/>
        </w:rPr>
        <w:t>2001 Separations Freeze Order</w:t>
      </w:r>
      <w:r>
        <w:t>, 16 FCC Rcd at 11383, 11392, paras. 2, 17.</w:t>
      </w:r>
    </w:p>
  </w:footnote>
  <w:footnote w:id="56">
    <w:p w:rsidR="001C34C9" w:rsidP="001C34C9">
      <w:pPr>
        <w:pStyle w:val="FootnoteText"/>
      </w:pPr>
      <w:r>
        <w:rPr>
          <w:rStyle w:val="FootnoteReference"/>
        </w:rPr>
        <w:footnoteRef/>
      </w:r>
      <w:r>
        <w:t xml:space="preserve"> </w:t>
      </w:r>
      <w:r>
        <w:rPr>
          <w:i/>
        </w:rPr>
        <w:t xml:space="preserve">See </w:t>
      </w:r>
      <w:r>
        <w:t>47 CFR § 36.3 (carriers electing the category relationships freeze are not eligible to withdraw their elections).</w:t>
      </w:r>
    </w:p>
  </w:footnote>
  <w:footnote w:id="57">
    <w:p w:rsidR="001C34C9" w:rsidRPr="005A13AC" w:rsidP="001C34C9">
      <w:pPr>
        <w:pStyle w:val="FootnoteText"/>
      </w:pPr>
      <w:r w:rsidRPr="005A13AC">
        <w:rPr>
          <w:rStyle w:val="FootnoteReference"/>
        </w:rPr>
        <w:footnoteRef/>
      </w:r>
      <w:r w:rsidRPr="005A13AC">
        <w:t xml:space="preserve"> </w:t>
      </w:r>
      <w:r w:rsidRPr="005A13AC">
        <w:rPr>
          <w:i/>
        </w:rPr>
        <w:t>See, e.g.,</w:t>
      </w:r>
      <w:r w:rsidRPr="005A13AC">
        <w:t xml:space="preserve"> NTCA June 8, 2017 Reply at 4.</w:t>
      </w:r>
    </w:p>
  </w:footnote>
  <w:footnote w:id="58">
    <w:p w:rsidR="001C34C9" w:rsidRPr="00000BFE" w:rsidP="001C34C9">
      <w:pPr>
        <w:pStyle w:val="FootnoteText"/>
      </w:pPr>
      <w:r>
        <w:rPr>
          <w:rStyle w:val="FootnoteReference"/>
        </w:rPr>
        <w:footnoteRef/>
      </w:r>
      <w:r>
        <w:t xml:space="preserve"> ITTA May 24, 2017 Comments at 9-10 (citing </w:t>
      </w:r>
      <w:r>
        <w:rPr>
          <w:i/>
        </w:rPr>
        <w:t>2001 Separations Freeze Order</w:t>
      </w:r>
      <w:r>
        <w:t>, 16 FCC Rcd at 11393-95, paras. 18, 21-22).</w:t>
      </w:r>
    </w:p>
  </w:footnote>
  <w:footnote w:id="59">
    <w:p w:rsidR="001C34C9" w:rsidRPr="005949BA" w:rsidP="001C34C9">
      <w:pPr>
        <w:pStyle w:val="FootnoteText"/>
      </w:pPr>
      <w:r>
        <w:rPr>
          <w:rStyle w:val="FootnoteReference"/>
        </w:rPr>
        <w:footnoteRef/>
      </w:r>
      <w:r>
        <w:t xml:space="preserve"> </w:t>
      </w:r>
      <w:r>
        <w:rPr>
          <w:i/>
        </w:rPr>
        <w:t xml:space="preserve">Id. </w:t>
      </w:r>
      <w:r>
        <w:t xml:space="preserve">at 10 (citing </w:t>
      </w:r>
      <w:r>
        <w:rPr>
          <w:i/>
        </w:rPr>
        <w:t>2017 Separations Freeze Extension Order</w:t>
      </w:r>
      <w:r>
        <w:t>, 32 FCC Rcd</w:t>
      </w:r>
      <w:r>
        <w:rPr>
          <w:i/>
        </w:rPr>
        <w:t xml:space="preserve"> </w:t>
      </w:r>
      <w:r>
        <w:t xml:space="preserve">at 4223, para. 11; </w:t>
      </w:r>
      <w:r>
        <w:rPr>
          <w:i/>
        </w:rPr>
        <w:t>Eastex Waiver Order</w:t>
      </w:r>
      <w:r>
        <w:t>, 27 FCC Rcd at 6361, para. 12).</w:t>
      </w:r>
    </w:p>
  </w:footnote>
  <w:footnote w:id="60">
    <w:p w:rsidR="001C34C9" w:rsidP="001C34C9">
      <w:pPr>
        <w:pStyle w:val="FootnoteText"/>
      </w:pPr>
      <w:r>
        <w:rPr>
          <w:rStyle w:val="FootnoteReference"/>
        </w:rPr>
        <w:footnoteRef/>
      </w:r>
      <w:r>
        <w:t xml:space="preserve"> </w:t>
      </w:r>
      <w:r>
        <w:rPr>
          <w:i/>
        </w:rPr>
        <w:t>See, e.g.</w:t>
      </w:r>
      <w:r w:rsidRPr="00B063AA">
        <w:t>,</w:t>
      </w:r>
      <w:r>
        <w:rPr>
          <w:i/>
        </w:rPr>
        <w:t xml:space="preserve"> </w:t>
      </w:r>
      <w:r>
        <w:t xml:space="preserve">Moss Adams June 8, 2017 Comments at 3 (stating that unfreezing categories is necessary for carriers “to meaningfully participate in the new Connect </w:t>
      </w:r>
      <w:r w:rsidRPr="00E36976">
        <w:t>America Fund Broadband Loop Support (‘CAF BLS’) mechanism [for] Consumer Broadband-Only Loop (‘CBOL’) service”);</w:t>
      </w:r>
      <w:r>
        <w:t xml:space="preserve"> WTA May 24, 2017 Comments at 11 (stating that increased costs of providing broadband service should be recognized for recovering revenue requirements and qualifying for CAF-BLS support). </w:t>
      </w:r>
    </w:p>
  </w:footnote>
  <w:footnote w:id="61">
    <w:p w:rsidR="001C34C9" w:rsidP="001C34C9">
      <w:pPr>
        <w:pStyle w:val="FootnoteText"/>
      </w:pPr>
      <w:r>
        <w:rPr>
          <w:rStyle w:val="FootnoteReference"/>
        </w:rPr>
        <w:footnoteRef/>
      </w:r>
      <w:r>
        <w:t xml:space="preserve"> </w:t>
      </w:r>
      <w:r>
        <w:rPr>
          <w:i/>
        </w:rPr>
        <w:t>See, e.g.,</w:t>
      </w:r>
      <w:r w:rsidRPr="009B1F43">
        <w:rPr>
          <w:i/>
          <w:snapToGrid w:val="0"/>
          <w:kern w:val="28"/>
          <w:sz w:val="22"/>
        </w:rPr>
        <w:t xml:space="preserve"> </w:t>
      </w:r>
      <w:r w:rsidRPr="009B1F43">
        <w:rPr>
          <w:i/>
        </w:rPr>
        <w:t>Eastex Waiver Order</w:t>
      </w:r>
      <w:r w:rsidRPr="009B1F43">
        <w:t xml:space="preserve">, 27 FCC Rcd at </w:t>
      </w:r>
      <w:r>
        <w:t>6363-64, para. 19;</w:t>
      </w:r>
      <w:r>
        <w:rPr>
          <w:i/>
        </w:rPr>
        <w:t xml:space="preserve"> </w:t>
      </w:r>
      <w:r>
        <w:t>Pioneer Waiver Petition at 6; Letter from Mary J. Sisak, Counsel to Terral Telephone Company, Inc., CC Docket No. 80-286, at 2 (filed May 2, 2018) (</w:t>
      </w:r>
      <w:r w:rsidRPr="001471CC">
        <w:t>Terral</w:t>
      </w:r>
      <w:r>
        <w:rPr>
          <w:b/>
        </w:rPr>
        <w:t xml:space="preserve"> </w:t>
      </w:r>
      <w:r>
        <w:t xml:space="preserve">May 2, 2018 </w:t>
      </w:r>
      <w:r>
        <w:rPr>
          <w:i/>
        </w:rPr>
        <w:t xml:space="preserve">Ex Parte </w:t>
      </w:r>
      <w:r>
        <w:t xml:space="preserve">Letter); Letter from Mary J. Sisak, Counsel to Terral Telephone Company, Inc., to Marlene H. Dortch, Secretary, FCC, CC Docket No. 80-286, at 1 (filed Aug. </w:t>
      </w:r>
      <w:r w:rsidRPr="00EB3AB2">
        <w:t>16</w:t>
      </w:r>
      <w:r>
        <w:t xml:space="preserve">, 2017).  </w:t>
      </w:r>
    </w:p>
  </w:footnote>
  <w:footnote w:id="62">
    <w:p w:rsidR="001C34C9" w:rsidRPr="00CF46E7" w:rsidP="001C34C9">
      <w:pPr>
        <w:pStyle w:val="FootnoteText"/>
      </w:pPr>
      <w:r>
        <w:rPr>
          <w:rStyle w:val="FootnoteReference"/>
        </w:rPr>
        <w:footnoteRef/>
      </w:r>
      <w:r>
        <w:t xml:space="preserve"> </w:t>
      </w:r>
      <w:r>
        <w:rPr>
          <w:i/>
        </w:rPr>
        <w:t>See generally Eastex Waiver Order</w:t>
      </w:r>
      <w:r>
        <w:t>, 27 FCC Rcd 6357.</w:t>
      </w:r>
    </w:p>
  </w:footnote>
  <w:footnote w:id="63">
    <w:p w:rsidR="001C34C9" w:rsidP="001C34C9">
      <w:pPr>
        <w:pStyle w:val="FootnoteText"/>
      </w:pPr>
      <w:r>
        <w:rPr>
          <w:rStyle w:val="FootnoteReference"/>
        </w:rPr>
        <w:footnoteRef/>
      </w:r>
      <w:r>
        <w:t xml:space="preserve"> </w:t>
      </w:r>
      <w:r w:rsidRPr="00A53BFA">
        <w:rPr>
          <w:i/>
        </w:rPr>
        <w:t>USF/ICC Transformation Order</w:t>
      </w:r>
      <w:r>
        <w:t xml:space="preserve">, </w:t>
      </w:r>
      <w:r>
        <w:rPr>
          <w:snapToGrid w:val="0"/>
        </w:rPr>
        <w:t>26 FCC Rcd at 17961, 17977, paras. 853, 892</w:t>
      </w:r>
      <w:r>
        <w:rPr>
          <w:snapToGrid w:val="0"/>
          <w:szCs w:val="22"/>
        </w:rPr>
        <w:t xml:space="preserve">; </w:t>
      </w:r>
      <w:r>
        <w:rPr>
          <w:i/>
          <w:snapToGrid w:val="0"/>
          <w:szCs w:val="22"/>
        </w:rPr>
        <w:t xml:space="preserve">see </w:t>
      </w:r>
      <w:r>
        <w:rPr>
          <w:snapToGrid w:val="0"/>
          <w:szCs w:val="22"/>
        </w:rPr>
        <w:t xml:space="preserve">47 CFR </w:t>
      </w:r>
      <w:r>
        <w:t>§ 51.519(b)(7), (d).</w:t>
      </w:r>
      <w:r>
        <w:rPr>
          <w:snapToGrid w:val="0"/>
          <w:szCs w:val="22"/>
        </w:rPr>
        <w:t xml:space="preserve">  </w:t>
      </w:r>
    </w:p>
  </w:footnote>
  <w:footnote w:id="64">
    <w:p w:rsidR="001C34C9" w:rsidP="001C34C9">
      <w:pPr>
        <w:pStyle w:val="FootnoteText"/>
      </w:pPr>
      <w:r>
        <w:rPr>
          <w:rStyle w:val="FootnoteReference"/>
        </w:rPr>
        <w:footnoteRef/>
      </w:r>
      <w:r>
        <w:t xml:space="preserve"> </w:t>
      </w:r>
      <w:r>
        <w:rPr>
          <w:i/>
        </w:rPr>
        <w:t>Eastex Waiver Order</w:t>
      </w:r>
      <w:r>
        <w:t xml:space="preserve">, 27 FCC Rcd at 6363-64, paras. 19-20.  A carrier’s BPR </w:t>
      </w:r>
      <w:r w:rsidRPr="001420AC">
        <w:rPr>
          <w:szCs w:val="22"/>
        </w:rPr>
        <w:t xml:space="preserve">is based upon </w:t>
      </w:r>
      <w:r>
        <w:rPr>
          <w:szCs w:val="22"/>
        </w:rPr>
        <w:t xml:space="preserve">its </w:t>
      </w:r>
      <w:r w:rsidRPr="001420AC">
        <w:rPr>
          <w:szCs w:val="22"/>
        </w:rPr>
        <w:t xml:space="preserve">2011 interstate switched access revenue requirement, plus </w:t>
      </w:r>
      <w:r>
        <w:rPr>
          <w:szCs w:val="22"/>
        </w:rPr>
        <w:t xml:space="preserve">FY2011 </w:t>
      </w:r>
      <w:r w:rsidRPr="001420AC">
        <w:rPr>
          <w:szCs w:val="22"/>
        </w:rPr>
        <w:t xml:space="preserve">intrastate switched access revenues and </w:t>
      </w:r>
      <w:r>
        <w:rPr>
          <w:szCs w:val="22"/>
        </w:rPr>
        <w:t xml:space="preserve">FY2011 </w:t>
      </w:r>
      <w:r w:rsidRPr="001420AC">
        <w:rPr>
          <w:szCs w:val="22"/>
        </w:rPr>
        <w:t>net reciprocal compensation revenues.</w:t>
      </w:r>
      <w:r>
        <w:rPr>
          <w:szCs w:val="22"/>
        </w:rPr>
        <w:t xml:space="preserve">  </w:t>
      </w:r>
      <w:r>
        <w:rPr>
          <w:i/>
        </w:rPr>
        <w:t>USF/ICC Transformation Order</w:t>
      </w:r>
      <w:r>
        <w:t>, 26 FCC Rcd at 17977, para. 892.</w:t>
      </w:r>
    </w:p>
  </w:footnote>
  <w:footnote w:id="65">
    <w:p w:rsidR="001C34C9" w:rsidP="001C34C9">
      <w:pPr>
        <w:pStyle w:val="FootnoteText"/>
      </w:pPr>
      <w:r>
        <w:rPr>
          <w:rStyle w:val="FootnoteReference"/>
        </w:rPr>
        <w:footnoteRef/>
      </w:r>
      <w:r>
        <w:t xml:space="preserve"> </w:t>
      </w:r>
      <w:r>
        <w:rPr>
          <w:i/>
        </w:rPr>
        <w:t>Eastex Waiver Order</w:t>
      </w:r>
      <w:r>
        <w:t>, 27 FCC Rcd at 6363-64, para. 19.</w:t>
      </w:r>
    </w:p>
  </w:footnote>
  <w:footnote w:id="66">
    <w:p w:rsidR="001C34C9" w:rsidRPr="004457B8" w:rsidP="001C34C9">
      <w:pPr>
        <w:pStyle w:val="FootnoteText"/>
        <w:rPr>
          <w:i/>
        </w:rPr>
      </w:pPr>
      <w:r>
        <w:rPr>
          <w:rStyle w:val="FootnoteReference"/>
        </w:rPr>
        <w:footnoteRef/>
      </w:r>
      <w:r>
        <w:t xml:space="preserve"> </w:t>
      </w:r>
      <w:r>
        <w:rPr>
          <w:i/>
        </w:rPr>
        <w:t>Id.</w:t>
      </w:r>
    </w:p>
  </w:footnote>
  <w:footnote w:id="67">
    <w:p w:rsidR="001C34C9" w:rsidP="001C34C9">
      <w:pPr>
        <w:pStyle w:val="FootnoteText"/>
      </w:pPr>
      <w:r>
        <w:rPr>
          <w:rStyle w:val="FootnoteReference"/>
        </w:rPr>
        <w:footnoteRef/>
      </w:r>
      <w:r>
        <w:t xml:space="preserve"> </w:t>
      </w:r>
      <w:r>
        <w:rPr>
          <w:i/>
        </w:rPr>
        <w:t>2001 Separations Freeze Order</w:t>
      </w:r>
      <w:r>
        <w:t>, 16 FCC Rcd at 11407, para. 52.</w:t>
      </w:r>
    </w:p>
  </w:footnote>
  <w:footnote w:id="68">
    <w:p w:rsidR="001C34C9" w:rsidRPr="004B0F6F" w:rsidP="001C34C9">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_Ref514775502 \r \h </w:instrText>
      </w:r>
      <w:r>
        <w:fldChar w:fldCharType="separate"/>
      </w:r>
      <w:r>
        <w:t>15</w:t>
      </w:r>
      <w:r>
        <w:fldChar w:fldCharType="end"/>
      </w:r>
      <w:r>
        <w:t>.</w:t>
      </w:r>
    </w:p>
  </w:footnote>
  <w:footnote w:id="69">
    <w:p w:rsidR="001C34C9" w:rsidRPr="00A351BB" w:rsidP="001C34C9">
      <w:pPr>
        <w:pStyle w:val="FootnoteText"/>
      </w:pPr>
      <w:r>
        <w:rPr>
          <w:rStyle w:val="FootnoteReference"/>
        </w:rPr>
        <w:footnoteRef/>
      </w:r>
      <w:r>
        <w:t xml:space="preserve"> </w:t>
      </w:r>
      <w:r>
        <w:rPr>
          <w:i/>
        </w:rPr>
        <w:t xml:space="preserve">See, e.g., </w:t>
      </w:r>
      <w:r>
        <w:t>ITTA May 24, 2017 Comments at 10-11.</w:t>
      </w:r>
    </w:p>
  </w:footnote>
  <w:footnote w:id="70">
    <w:p w:rsidR="001C34C9" w:rsidP="001C34C9">
      <w:pPr>
        <w:pStyle w:val="FootnoteText"/>
      </w:pPr>
      <w:r>
        <w:rPr>
          <w:rStyle w:val="FootnoteReference"/>
        </w:rPr>
        <w:footnoteRef/>
      </w:r>
      <w:r>
        <w:t xml:space="preserve"> </w:t>
      </w:r>
      <w:r w:rsidRPr="00DD699B">
        <w:rPr>
          <w:i/>
        </w:rPr>
        <w:t xml:space="preserve">See </w:t>
      </w:r>
      <w:r w:rsidRPr="00E56FA7">
        <w:t>Electronic Filing of Documents in Rulemaking Proceedings</w:t>
      </w:r>
      <w:r>
        <w:t>, 63 Fed. Reg. 24121 (1998).</w:t>
      </w:r>
    </w:p>
  </w:footnote>
  <w:footnote w:id="71">
    <w:p w:rsidR="001C34C9" w:rsidRPr="00E169D5" w:rsidP="001C34C9">
      <w:pPr>
        <w:pStyle w:val="FootnoteText"/>
        <w:rPr>
          <w:i/>
          <w:iCs/>
        </w:rPr>
      </w:pPr>
      <w:r>
        <w:rPr>
          <w:rStyle w:val="FootnoteReference"/>
        </w:rPr>
        <w:footnoteRef/>
      </w:r>
      <w:r>
        <w:t xml:space="preserve"> 47 CFR § 1.1200 </w:t>
      </w:r>
      <w:r>
        <w:rPr>
          <w:i/>
          <w:iCs/>
        </w:rPr>
        <w:t>et seq.</w:t>
      </w:r>
    </w:p>
  </w:footnote>
  <w:footnote w:id="72">
    <w:p w:rsidR="001C34C9" w:rsidP="001C34C9">
      <w:pPr>
        <w:pStyle w:val="FootnoteText"/>
      </w:pPr>
      <w:r>
        <w:rPr>
          <w:rStyle w:val="FootnoteReference"/>
        </w:rPr>
        <w:footnoteRef/>
      </w:r>
      <w:r>
        <w:t xml:space="preserve"> </w:t>
      </w:r>
      <w:r w:rsidRPr="003F4642">
        <w:rPr>
          <w:i/>
          <w:iCs/>
        </w:rPr>
        <w:t xml:space="preserve">See </w:t>
      </w:r>
      <w:r w:rsidRPr="003F4642">
        <w:t>5 U.S.C. § 603.</w:t>
      </w:r>
    </w:p>
  </w:footnote>
  <w:footnote w:id="73">
    <w:p w:rsidR="001C34C9" w:rsidP="001C34C9">
      <w:pPr>
        <w:pStyle w:val="FootnoteText"/>
      </w:pPr>
      <w:r>
        <w:rPr>
          <w:rStyle w:val="FootnoteReference"/>
        </w:rPr>
        <w:footnoteRef/>
      </w:r>
      <w:r>
        <w:t xml:space="preserve"> </w:t>
      </w:r>
      <w:r w:rsidRPr="003F4642">
        <w:rPr>
          <w:i/>
          <w:iCs/>
        </w:rPr>
        <w:t xml:space="preserve">See </w:t>
      </w:r>
      <w:r>
        <w:t>5 U.S.C</w:t>
      </w:r>
      <w:r w:rsidRPr="006C488B">
        <w:rPr>
          <w:i/>
        </w:rPr>
        <w:t>.</w:t>
      </w:r>
      <w:r w:rsidRPr="003F4642">
        <w:t xml:space="preserve"> § 603(a).</w:t>
      </w:r>
    </w:p>
  </w:footnote>
  <w:footnote w:id="74">
    <w:p w:rsidR="001C34C9" w:rsidP="001C34C9">
      <w:pPr>
        <w:pStyle w:val="FootnoteText"/>
      </w:pPr>
      <w:r>
        <w:rPr>
          <w:rStyle w:val="FootnoteReference"/>
        </w:rPr>
        <w:footnoteRef/>
      </w:r>
      <w:r>
        <w:t xml:space="preserve"> </w:t>
      </w:r>
      <w:r w:rsidRPr="003F4642">
        <w:rPr>
          <w:i/>
          <w:iCs/>
        </w:rPr>
        <w:t xml:space="preserve">See </w:t>
      </w:r>
      <w:r w:rsidRPr="003F4642">
        <w:t>44 U.S.C. § 3506(c)(4).</w:t>
      </w:r>
    </w:p>
  </w:footnote>
  <w:footnote w:id="75">
    <w:p w:rsidR="001C34C9" w:rsidRPr="00443F5D" w:rsidP="001C34C9">
      <w:pPr>
        <w:pStyle w:val="FootnoteText"/>
      </w:pPr>
      <w:r w:rsidRPr="00443F5D">
        <w:rPr>
          <w:rStyle w:val="FootnoteReference"/>
        </w:rPr>
        <w:footnoteRef/>
      </w:r>
      <w:r w:rsidRPr="00443F5D">
        <w:t xml:space="preserve"> </w:t>
      </w:r>
      <w:r w:rsidRPr="006E0F59">
        <w:rPr>
          <w:i/>
          <w:spacing w:val="-2"/>
        </w:rPr>
        <w:t xml:space="preserve">See </w:t>
      </w:r>
      <w:r w:rsidRPr="006E0F59">
        <w:rPr>
          <w:spacing w:val="-2"/>
        </w:rPr>
        <w:t xml:space="preserve">5 U.S.C. § 603. The RFA, </w:t>
      </w:r>
      <w:r w:rsidRPr="006E0F59">
        <w:rPr>
          <w:i/>
          <w:spacing w:val="-2"/>
        </w:rPr>
        <w:t>see</w:t>
      </w:r>
      <w:r w:rsidRPr="006E0F59">
        <w:rPr>
          <w:spacing w:val="-2"/>
        </w:rPr>
        <w:t xml:space="preserve"> 5 U.S.C. § 601 – 612, has been amended by the Small Business Regulatory Enforcement Fairness Act of 1996 (SBREFA), Pub. L. No. 104-121, Title II, 110 Stat. 857 (1996).</w:t>
      </w:r>
    </w:p>
  </w:footnote>
  <w:footnote w:id="76">
    <w:p w:rsidR="001C34C9" w:rsidRPr="00443F5D" w:rsidP="001C34C9">
      <w:pPr>
        <w:pStyle w:val="FootnoteText"/>
      </w:pPr>
      <w:r w:rsidRPr="00443F5D">
        <w:rPr>
          <w:rStyle w:val="FootnoteReference"/>
        </w:rPr>
        <w:footnoteRef/>
      </w:r>
      <w:r w:rsidRPr="00443F5D">
        <w:t xml:space="preserve"> </w:t>
      </w:r>
      <w:r w:rsidRPr="00443F5D">
        <w:rPr>
          <w:i/>
        </w:rPr>
        <w:t xml:space="preserve">See </w:t>
      </w:r>
      <w:r w:rsidRPr="00443F5D">
        <w:t>5 U.S.C. § 603(a).</w:t>
      </w:r>
    </w:p>
  </w:footnote>
  <w:footnote w:id="77">
    <w:p w:rsidR="001C34C9" w:rsidRPr="00443F5D" w:rsidP="001C34C9">
      <w:pPr>
        <w:pStyle w:val="FootnoteText"/>
      </w:pPr>
      <w:r w:rsidRPr="00443F5D">
        <w:rPr>
          <w:rStyle w:val="FootnoteReference"/>
        </w:rPr>
        <w:footnoteRef/>
      </w:r>
      <w:r w:rsidRPr="00443F5D">
        <w:t xml:space="preserve"> </w:t>
      </w:r>
      <w:r w:rsidRPr="00443F5D">
        <w:rPr>
          <w:i/>
        </w:rPr>
        <w:t xml:space="preserve">See </w:t>
      </w:r>
      <w:r>
        <w:t>5 U.S.C. § 603(a)</w:t>
      </w:r>
      <w:r w:rsidRPr="00443F5D">
        <w:t>.</w:t>
      </w:r>
    </w:p>
  </w:footnote>
  <w:footnote w:id="78">
    <w:p w:rsidR="001C34C9" w:rsidP="001C34C9">
      <w:pPr>
        <w:pStyle w:val="FootnoteText"/>
        <w:spacing w:before="120"/>
      </w:pPr>
      <w:r>
        <w:rPr>
          <w:rStyle w:val="FootnoteReference"/>
        </w:rPr>
        <w:footnoteRef/>
      </w:r>
      <w:r>
        <w:t xml:space="preserve"> </w:t>
      </w:r>
      <w:r w:rsidRPr="008D444F">
        <w:rPr>
          <w:i/>
        </w:rPr>
        <w:t>See Jurisdictional Separations Reform and Referral to the Federal-State Joint Board</w:t>
      </w:r>
      <w:r w:rsidRPr="008D444F">
        <w:t>, CC Docket No. 80-286, Notice of Proposed Rulemaking, 12 FCC Rcd 22120, 22126, para. 9 (1997) (</w:t>
      </w:r>
      <w:r w:rsidRPr="008D444F">
        <w:rPr>
          <w:i/>
        </w:rPr>
        <w:t>1997 Separations Notice</w:t>
      </w:r>
      <w:r>
        <w:t>).</w:t>
      </w:r>
    </w:p>
  </w:footnote>
  <w:footnote w:id="79">
    <w:p w:rsidR="001C34C9" w:rsidP="001C34C9">
      <w:pPr>
        <w:pStyle w:val="FootnoteText"/>
      </w:pPr>
      <w:r>
        <w:rPr>
          <w:rStyle w:val="FootnoteReference"/>
        </w:rPr>
        <w:footnoteRef/>
      </w:r>
      <w:r>
        <w:t xml:space="preserve"> </w:t>
      </w:r>
      <w:r w:rsidRPr="008D444F">
        <w:rPr>
          <w:i/>
        </w:rPr>
        <w:t>Jurisdictional Separations and Referral to the Federal-State Joint Board</w:t>
      </w:r>
      <w:r w:rsidRPr="008D444F">
        <w:t>, CC Docket No. 80-286, Report and Order, 16 FCC Rcd 11382, 11</w:t>
      </w:r>
      <w:r>
        <w:t>393–40</w:t>
      </w:r>
      <w:r w:rsidRPr="008D444F">
        <w:t>8, para</w:t>
      </w:r>
      <w:r>
        <w:t>s. 18-55</w:t>
      </w:r>
      <w:r w:rsidRPr="008D444F">
        <w:t xml:space="preserve"> (2001) (</w:t>
      </w:r>
      <w:r w:rsidRPr="008D444F">
        <w:rPr>
          <w:i/>
        </w:rPr>
        <w:t>2001 Separations Freeze Order</w:t>
      </w:r>
      <w:r w:rsidRPr="008D444F">
        <w:t>).</w:t>
      </w:r>
    </w:p>
  </w:footnote>
  <w:footnote w:id="80">
    <w:p w:rsidR="001C34C9" w:rsidP="001C34C9">
      <w:pPr>
        <w:pStyle w:val="FootnoteText"/>
      </w:pPr>
      <w:r>
        <w:rPr>
          <w:rStyle w:val="FootnoteReference"/>
        </w:rPr>
        <w:footnoteRef/>
      </w:r>
      <w:r>
        <w:t xml:space="preserve"> </w:t>
      </w:r>
      <w:r>
        <w:rPr>
          <w:i/>
        </w:rPr>
        <w:t>Jurisdictional Separations and Referral to the Federal-State Joint Board</w:t>
      </w:r>
      <w:r>
        <w:t xml:space="preserve">, CC Docket No. 80-286, Report and Order, 32 FCC Rcd 4219 (2017); </w:t>
      </w:r>
      <w:r>
        <w:rPr>
          <w:i/>
        </w:rPr>
        <w:t>Jurisdictional Separations and Referral to the Federal-State Joint Board</w:t>
      </w:r>
      <w:r>
        <w:t xml:space="preserve">, CC Docket No. 80-286, Report and Order, 29 FCC Rcd at 6470 (2014); </w:t>
      </w:r>
      <w:r>
        <w:rPr>
          <w:i/>
        </w:rPr>
        <w:t>Jurisdictional Separations and Referral to the Federal-State Joint Board</w:t>
      </w:r>
      <w:r>
        <w:t xml:space="preserve">, CC Docket No. 80-286, Report and Order, 27 FCC Rcd 5593 (2012); </w:t>
      </w:r>
      <w:r>
        <w:rPr>
          <w:i/>
        </w:rPr>
        <w:t>Jurisdictional Separations and Referral to the Federal-State Joint Board</w:t>
      </w:r>
      <w:r>
        <w:t xml:space="preserve">, CC Docket No. 80-286, Report and Order, 26 FCC Rcd 7133 (2011); </w:t>
      </w:r>
      <w:r>
        <w:rPr>
          <w:i/>
        </w:rPr>
        <w:t>Jurisdictional Separations and Referral to the Federal-State Joint Board</w:t>
      </w:r>
      <w:r>
        <w:t xml:space="preserve">, CC Docket No. 80-286, Report and Order, 25 FCC Rcd 6046 (2010); </w:t>
      </w:r>
      <w:r>
        <w:rPr>
          <w:i/>
        </w:rPr>
        <w:t>Jurisdictional Separations and Referral to the Federal-State Joint Board</w:t>
      </w:r>
      <w:r>
        <w:t xml:space="preserve">, CC Docket No. 80-286, Report and Order, 24 FCC Rcd 6162 (2009); </w:t>
      </w:r>
      <w:r>
        <w:rPr>
          <w:i/>
        </w:rPr>
        <w:t>Jurisdictional Separations and Referral to the Federal-State Joint Board</w:t>
      </w:r>
      <w:r>
        <w:t>, CC Docket No. 80-286, Order and Further Notice of Proposed Rulemaking, 21 FCC Rcd 5516, 5517, 5523, paras. 1, 16 (2006).</w:t>
      </w:r>
    </w:p>
  </w:footnote>
  <w:footnote w:id="81">
    <w:p w:rsidR="001C34C9" w:rsidRPr="00FC5253" w:rsidP="001C34C9">
      <w:pPr>
        <w:pStyle w:val="FootnoteText"/>
        <w:spacing w:before="120"/>
      </w:pPr>
      <w:r w:rsidRPr="00FC5253">
        <w:rPr>
          <w:rStyle w:val="FootnoteReference"/>
        </w:rPr>
        <w:footnoteRef/>
      </w:r>
      <w:r w:rsidRPr="00FC5253">
        <w:t xml:space="preserve"> </w:t>
      </w:r>
      <w:r w:rsidRPr="00FC5253">
        <w:rPr>
          <w:i/>
        </w:rPr>
        <w:t>See</w:t>
      </w:r>
      <w:r w:rsidRPr="00FC5253">
        <w:t xml:space="preserve"> 5 U.S.C. § 603(b)(3).</w:t>
      </w:r>
    </w:p>
  </w:footnote>
  <w:footnote w:id="82">
    <w:p w:rsidR="001C34C9" w:rsidRPr="00FC5253" w:rsidP="001C34C9">
      <w:pPr>
        <w:pStyle w:val="FootnoteText"/>
        <w:spacing w:before="120"/>
      </w:pPr>
      <w:r w:rsidRPr="00FC5253">
        <w:rPr>
          <w:rStyle w:val="FootnoteReference"/>
        </w:rPr>
        <w:footnoteRef/>
      </w:r>
      <w:r w:rsidRPr="00FC5253">
        <w:t xml:space="preserve"> </w:t>
      </w:r>
      <w:r w:rsidRPr="00FC5253">
        <w:rPr>
          <w:i/>
        </w:rPr>
        <w:t>See</w:t>
      </w:r>
      <w:r w:rsidRPr="00FC5253">
        <w:t xml:space="preserve"> 5 U.S.C. § 601(6).</w:t>
      </w:r>
    </w:p>
  </w:footnote>
  <w:footnote w:id="83">
    <w:p w:rsidR="001C34C9" w:rsidRPr="00FC5253" w:rsidP="001C34C9">
      <w:pPr>
        <w:pStyle w:val="FootnoteText"/>
        <w:spacing w:before="120"/>
      </w:pPr>
      <w:r w:rsidRPr="00FC5253">
        <w:rPr>
          <w:rStyle w:val="FootnoteReference"/>
        </w:rPr>
        <w:footnoteRef/>
      </w:r>
      <w:r w:rsidRPr="00FC5253">
        <w:t xml:space="preserve"> </w:t>
      </w:r>
      <w:r w:rsidRPr="00FC5253">
        <w:rPr>
          <w:i/>
        </w:rPr>
        <w:t>See</w:t>
      </w:r>
      <w:r w:rsidRPr="00FC5253">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4">
    <w:p w:rsidR="001C34C9" w:rsidRPr="00FC5253" w:rsidP="001C34C9">
      <w:pPr>
        <w:pStyle w:val="FootnoteText"/>
        <w:spacing w:before="120"/>
      </w:pPr>
      <w:r w:rsidRPr="00FC5253">
        <w:rPr>
          <w:rStyle w:val="FootnoteReference"/>
        </w:rPr>
        <w:footnoteRef/>
      </w:r>
      <w:r w:rsidRPr="00FC5253">
        <w:t xml:space="preserve"> </w:t>
      </w:r>
      <w:r w:rsidRPr="00FC5253">
        <w:rPr>
          <w:i/>
        </w:rPr>
        <w:t>See</w:t>
      </w:r>
      <w:r w:rsidRPr="00FC5253">
        <w:t xml:space="preserve"> 15 U.S.C. § 632.</w:t>
      </w:r>
    </w:p>
  </w:footnote>
  <w:footnote w:id="85">
    <w:p w:rsidR="001C34C9" w:rsidRPr="00FC5253" w:rsidP="001C34C9">
      <w:pPr>
        <w:pStyle w:val="FootnoteText"/>
        <w:spacing w:before="120"/>
      </w:pPr>
      <w:r w:rsidRPr="00FC5253">
        <w:rPr>
          <w:rStyle w:val="FootnoteReference"/>
        </w:rPr>
        <w:footnoteRef/>
      </w:r>
      <w:r w:rsidRPr="00FC5253">
        <w:t xml:space="preserve"> </w:t>
      </w:r>
      <w:r w:rsidRPr="001B5DD6">
        <w:rPr>
          <w:i/>
        </w:rPr>
        <w:t>See</w:t>
      </w:r>
      <w:r w:rsidRPr="001B5DD6">
        <w:t xml:space="preserve"> SBA, Office of Advocacy, </w:t>
      </w:r>
      <w:r w:rsidRPr="00B063AA">
        <w:rPr>
          <w:i/>
        </w:rPr>
        <w:t>Frequently Asked Questions, Question 2- How many small businesses are there in the U.S.?</w:t>
      </w:r>
      <w:r>
        <w:t xml:space="preserve"> (June 2016),</w:t>
      </w:r>
      <w:r w:rsidRPr="001B5DD6">
        <w:t xml:space="preserve"> </w:t>
      </w:r>
      <w:r>
        <w:fldChar w:fldCharType="begin"/>
      </w:r>
      <w:r>
        <w:instrText xml:space="preserve"> HYPERLINK "https://www.sba.gov/sites/default/files/advocacy/SB-FAQ-2016_WEB.pdf" </w:instrText>
      </w:r>
      <w:r>
        <w:fldChar w:fldCharType="separate"/>
      </w:r>
      <w:r w:rsidRPr="003D1571">
        <w:rPr>
          <w:rStyle w:val="Hyperlink"/>
        </w:rPr>
        <w:t>https://www.sba.gov/sites/default/files/advocacy/SB-FAQ-2016_WEB.pdf</w:t>
      </w:r>
      <w:r>
        <w:fldChar w:fldCharType="end"/>
      </w:r>
      <w:r w:rsidRPr="001B5DD6">
        <w:t xml:space="preserve"> (June 2016)</w:t>
      </w:r>
      <w:r w:rsidRPr="00FC5253">
        <w:t>.</w:t>
      </w:r>
    </w:p>
  </w:footnote>
  <w:footnote w:id="86">
    <w:p w:rsidR="001C34C9" w:rsidRPr="00FC5253" w:rsidP="001C34C9">
      <w:pPr>
        <w:pStyle w:val="FootnoteText"/>
        <w:spacing w:before="120"/>
      </w:pPr>
      <w:r w:rsidRPr="00FC5253">
        <w:rPr>
          <w:rStyle w:val="FootnoteReference"/>
        </w:rPr>
        <w:footnoteRef/>
      </w:r>
      <w:r w:rsidRPr="00FC5253">
        <w:t xml:space="preserve"> </w:t>
      </w:r>
      <w:r w:rsidRPr="00FC5253">
        <w:rPr>
          <w:i/>
        </w:rPr>
        <w:t>See</w:t>
      </w:r>
      <w:r w:rsidRPr="00FC5253">
        <w:t xml:space="preserve"> 13 CFR § 121.201 </w:t>
      </w:r>
      <w:r>
        <w:t>(</w:t>
      </w:r>
      <w:r w:rsidRPr="00FC5253">
        <w:t>NAICS code 517110</w:t>
      </w:r>
      <w:r>
        <w:t>)</w:t>
      </w:r>
      <w:r w:rsidRPr="00FC5253">
        <w:t>.</w:t>
      </w:r>
    </w:p>
  </w:footnote>
  <w:footnote w:id="87">
    <w:p w:rsidR="001C34C9" w:rsidRPr="00FC5253" w:rsidP="001C34C9">
      <w:pPr>
        <w:pStyle w:val="FootnoteText"/>
        <w:spacing w:before="120"/>
      </w:pPr>
      <w:r w:rsidRPr="00FC5253">
        <w:rPr>
          <w:rStyle w:val="FootnoteReference"/>
        </w:rPr>
        <w:footnoteRef/>
      </w:r>
      <w:r w:rsidRPr="00FC5253">
        <w:t xml:space="preserve"> </w:t>
      </w:r>
      <w:r w:rsidRPr="00FC5253">
        <w:rPr>
          <w:i/>
        </w:rPr>
        <w:t>See</w:t>
      </w:r>
      <w:r>
        <w:t xml:space="preserve"> </w:t>
      </w:r>
      <w:r>
        <w:rPr>
          <w:i/>
        </w:rPr>
        <w:t>id.</w:t>
      </w:r>
    </w:p>
  </w:footnote>
  <w:footnote w:id="88">
    <w:p w:rsidR="001C34C9" w:rsidRPr="00FC5253" w:rsidP="001C34C9">
      <w:pPr>
        <w:pStyle w:val="FootnoteText"/>
        <w:spacing w:before="120"/>
      </w:pPr>
      <w:r w:rsidRPr="00FC5253">
        <w:rPr>
          <w:rStyle w:val="FootnoteReference"/>
        </w:rPr>
        <w:footnoteRef/>
      </w:r>
      <w:r w:rsidRPr="00FC5253">
        <w:t xml:space="preserve"> </w:t>
      </w:r>
      <w:r w:rsidRPr="00F03E10">
        <w:rPr>
          <w:i/>
        </w:rPr>
        <w:t>See</w:t>
      </w:r>
      <w:r w:rsidRPr="00FC5253">
        <w:t xml:space="preserve"> </w:t>
      </w:r>
      <w:r w:rsidRPr="00FC5253">
        <w:rPr>
          <w:i/>
        </w:rPr>
        <w:t>Trends i</w:t>
      </w:r>
      <w:r>
        <w:rPr>
          <w:i/>
        </w:rPr>
        <w:t>n</w:t>
      </w:r>
      <w:r w:rsidRPr="00FC5253">
        <w:rPr>
          <w:i/>
        </w:rPr>
        <w:t xml:space="preserve"> Telephone Service</w:t>
      </w:r>
      <w:r w:rsidRPr="00FC5253">
        <w:t xml:space="preserve">, </w:t>
      </w:r>
      <w:r>
        <w:t>FCC</w:t>
      </w:r>
      <w:r w:rsidRPr="00FC5253">
        <w:t xml:space="preserve">, </w:t>
      </w:r>
      <w:r>
        <w:t>WCB</w:t>
      </w:r>
      <w:r w:rsidRPr="00FC5253">
        <w:t xml:space="preserve">, Industry Analysis and Technology Division, </w:t>
      </w:r>
      <w:r>
        <w:t>at</w:t>
      </w:r>
      <w:r w:rsidRPr="00FC5253">
        <w:t xml:space="preserve"> 5-5</w:t>
      </w:r>
      <w:r>
        <w:t>,</w:t>
      </w:r>
      <w:r w:rsidRPr="00FC5253">
        <w:t xml:space="preserve"> Tbl</w:t>
      </w:r>
      <w:r>
        <w:t>.</w:t>
      </w:r>
      <w:r w:rsidRPr="00FC5253">
        <w:t xml:space="preserve"> 5.3</w:t>
      </w:r>
      <w:r>
        <w:t xml:space="preserve"> </w:t>
      </w:r>
      <w:r w:rsidRPr="00FC5253">
        <w:t>(Sep</w:t>
      </w:r>
      <w:r>
        <w:t>t</w:t>
      </w:r>
      <w:r w:rsidRPr="00FC5253">
        <w:t>. 2010)</w:t>
      </w:r>
      <w:r>
        <w:t xml:space="preserve">, </w:t>
      </w:r>
      <w:r>
        <w:fldChar w:fldCharType="begin"/>
      </w:r>
      <w:r>
        <w:instrText xml:space="preserve"> HYPERLINK "https://docs.fcc.gov/public/attachments/DOC-301823A1.pdf" </w:instrText>
      </w:r>
      <w:r>
        <w:fldChar w:fldCharType="separate"/>
      </w:r>
      <w:r w:rsidRPr="0089581B">
        <w:rPr>
          <w:rStyle w:val="Hyperlink"/>
        </w:rPr>
        <w:t>https://docs.fcc.gov/public/attachments/DOC-301823A1.pdf</w:t>
      </w:r>
      <w:r>
        <w:fldChar w:fldCharType="end"/>
      </w:r>
      <w:r w:rsidRPr="00FC5253">
        <w:t>.</w:t>
      </w:r>
    </w:p>
  </w:footnote>
  <w:footnote w:id="89">
    <w:p w:rsidR="001C34C9" w:rsidRPr="00FC5253" w:rsidP="001C34C9">
      <w:pPr>
        <w:pStyle w:val="FootnoteText"/>
        <w:spacing w:before="120"/>
      </w:pPr>
      <w:r w:rsidRPr="00FC5253">
        <w:rPr>
          <w:rStyle w:val="FootnoteReference"/>
        </w:rPr>
        <w:footnoteRef/>
      </w:r>
      <w:r w:rsidRPr="00FC5253">
        <w:t xml:space="preserve"> </w:t>
      </w:r>
      <w:r w:rsidRPr="00FC5253">
        <w:rPr>
          <w:i/>
        </w:rPr>
        <w:t>Id</w:t>
      </w:r>
      <w:r w:rsidRPr="00FC5253">
        <w:t>.</w:t>
      </w:r>
    </w:p>
  </w:footnote>
  <w:footnote w:id="90">
    <w:p w:rsidR="001C34C9" w:rsidP="001C34C9">
      <w:pPr>
        <w:pStyle w:val="FootnoteText"/>
      </w:pPr>
      <w:r>
        <w:rPr>
          <w:rStyle w:val="FootnoteReference"/>
        </w:rPr>
        <w:footnoteRef/>
      </w:r>
      <w:r>
        <w:t xml:space="preserve"> </w:t>
      </w:r>
      <w:r w:rsidRPr="00075EC4">
        <w:rPr>
          <w:i/>
        </w:rPr>
        <w:t>See</w:t>
      </w:r>
      <w:r>
        <w:t xml:space="preserve"> 5 U.S.C. </w:t>
      </w:r>
      <w:r w:rsidRPr="00075EC4">
        <w:t>§</w:t>
      </w:r>
      <w:r>
        <w:t xml:space="preserve"> 601(3).</w:t>
      </w:r>
    </w:p>
  </w:footnote>
  <w:footnote w:id="91">
    <w:p w:rsidR="001C34C9" w:rsidRPr="00FC5253" w:rsidP="001C34C9">
      <w:pPr>
        <w:pStyle w:val="FootnoteText"/>
        <w:spacing w:before="120"/>
      </w:pPr>
      <w:r w:rsidRPr="00FC5253">
        <w:rPr>
          <w:rStyle w:val="FootnoteReference"/>
        </w:rPr>
        <w:footnoteRef/>
      </w:r>
      <w:r w:rsidRPr="00FC5253">
        <w:t xml:space="preserve"> </w:t>
      </w:r>
      <w:r w:rsidRPr="00FC5253">
        <w:rPr>
          <w:i/>
        </w:rPr>
        <w:t>See</w:t>
      </w:r>
      <w:r w:rsidRPr="00FC5253">
        <w:t xml:space="preserve"> Letter from Jere W. Glover, Chief Counsel for Advocacy, SBA, to Chairman William E. Kennard, FCC (May 27, 1999).  SBA regulations interpret “small business concern” to include the concept of dominance on a national basis.  13 CFR § 121.102(b).</w:t>
      </w:r>
    </w:p>
  </w:footnote>
  <w:footnote w:id="92">
    <w:p w:rsidR="001C34C9" w:rsidRPr="00FC5253" w:rsidP="001C34C9">
      <w:pPr>
        <w:pStyle w:val="FootnoteText"/>
        <w:spacing w:before="120"/>
      </w:pPr>
      <w:r w:rsidRPr="00FC5253">
        <w:rPr>
          <w:rStyle w:val="FootnoteReference"/>
        </w:rPr>
        <w:footnoteRef/>
      </w:r>
      <w:r w:rsidRPr="00FC5253">
        <w:t xml:space="preserve"> </w:t>
      </w:r>
      <w:r w:rsidRPr="00FC5253">
        <w:rPr>
          <w:i/>
        </w:rPr>
        <w:t>See</w:t>
      </w:r>
      <w:r>
        <w:t xml:space="preserve"> 5 U.S.C. § 603(c)(1)-</w:t>
      </w:r>
      <w:r w:rsidRPr="00FC5253">
        <w:t>(4).</w:t>
      </w:r>
    </w:p>
  </w:footnote>
  <w:footnote w:id="93">
    <w:p w:rsidR="001C34C9" w:rsidP="001C34C9">
      <w:pPr>
        <w:pStyle w:val="FootnoteText"/>
      </w:pPr>
      <w:r>
        <w:rPr>
          <w:rStyle w:val="FootnoteReference"/>
        </w:rPr>
        <w:footnoteRef/>
      </w:r>
      <w:r>
        <w:t xml:space="preserve"> </w:t>
      </w:r>
      <w:r>
        <w:rPr>
          <w:i/>
        </w:rPr>
        <w:t>2001 Separations Freeze Order</w:t>
      </w:r>
      <w:r>
        <w:t>, 16 FCC Rcd at 11383, 11392, paras. 2, 17.</w:t>
      </w:r>
    </w:p>
  </w:footnote>
  <w:footnote w:id="94">
    <w:p w:rsidR="001C34C9" w:rsidP="001C34C9">
      <w:pPr>
        <w:pStyle w:val="FootnoteText"/>
      </w:pPr>
      <w:r>
        <w:rPr>
          <w:rStyle w:val="FootnoteReference"/>
        </w:rPr>
        <w:footnoteRef/>
      </w:r>
      <w:r>
        <w:t xml:space="preserve"> </w:t>
      </w:r>
      <w:r>
        <w:rPr>
          <w:i/>
        </w:rPr>
        <w:t xml:space="preserve">See </w:t>
      </w:r>
      <w:r>
        <w:t>47 CFR § 36.3 (carriers electing the category relationships freeze are not eligible to withdraw their elections).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4C9" w:rsidP="00356345">
    <w:pPr>
      <w:pStyle w:val="Header"/>
    </w:pPr>
    <w:r>
      <w:tab/>
      <w:t>Federal Communications Commission</w:t>
    </w:r>
    <w:r>
      <w:tab/>
      <w:t>FCC 18-</w:t>
    </w:r>
    <w:r w:rsidR="00C36E17">
      <w:t>99</w:t>
    </w:r>
  </w:p>
  <w:p w:rsidR="001C34C9">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1C34C9">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4C9" w:rsidP="00356345">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t>FCC 18-</w:t>
    </w:r>
    <w:r w:rsidR="00C36E17">
      <w:t>99</w:t>
    </w:r>
  </w:p>
  <w:p w:rsidR="001C34C9" w:rsidP="003563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E1EBA">
      <w:t>FCC 18-99</w:t>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EF1BF3"/>
    <w:multiLevelType w:val="hybridMultilevel"/>
    <w:tmpl w:val="E9365CEA"/>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9F951A7"/>
    <w:multiLevelType w:val="hybridMultilevel"/>
    <w:tmpl w:val="9848A99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9C409E4"/>
    <w:multiLevelType w:val="hybridMultilevel"/>
    <w:tmpl w:val="DE424D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3754445"/>
    <w:multiLevelType w:val="multilevel"/>
    <w:tmpl w:val="43F2F290"/>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8252568"/>
    <w:multiLevelType w:val="hybridMultilevel"/>
    <w:tmpl w:val="9DB6B89E"/>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8"/>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4C9"/>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fn C,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2 Char Char Char,Footnote Text Char1 Char Char Char,Footnote Text Char2 Char Char,Footnote Text Char2 Char1 Char Char Char Char Char,Footnote Text Char4 Char Char Char Char Char,f Char,fn Char"/>
    <w:link w:val="FootnoteText"/>
    <w:locked/>
    <w:rsid w:val="001C34C9"/>
  </w:style>
  <w:style w:type="character" w:customStyle="1" w:styleId="ParaNumCharChar1">
    <w:name w:val="ParaNum Char Char1"/>
    <w:link w:val="ParaNum"/>
    <w:rsid w:val="001C34C9"/>
    <w:rPr>
      <w:snapToGrid w:val="0"/>
      <w:kern w:val="28"/>
      <w:sz w:val="22"/>
    </w:rPr>
  </w:style>
  <w:style w:type="paragraph" w:styleId="CommentText">
    <w:name w:val="annotation text"/>
    <w:basedOn w:val="Normal"/>
    <w:link w:val="CommentTextChar"/>
    <w:unhideWhenUsed/>
    <w:rsid w:val="001C34C9"/>
    <w:pPr>
      <w:snapToGrid w:val="0"/>
    </w:pPr>
    <w:rPr>
      <w:sz w:val="20"/>
    </w:rPr>
  </w:style>
  <w:style w:type="character" w:customStyle="1" w:styleId="CommentTextChar">
    <w:name w:val="Comment Text Char"/>
    <w:link w:val="CommentText"/>
    <w:rsid w:val="001C34C9"/>
    <w:rPr>
      <w:snapToGrid w:val="0"/>
      <w:kern w:val="28"/>
    </w:rPr>
  </w:style>
  <w:style w:type="character" w:styleId="CommentReference">
    <w:name w:val="annotation reference"/>
    <w:unhideWhenUsed/>
    <w:rsid w:val="001C34C9"/>
    <w:rPr>
      <w:sz w:val="16"/>
      <w:szCs w:val="16"/>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1C34C9"/>
    <w:rPr>
      <w:rFonts w:ascii="Times New Roman Bold" w:hAnsi="Times New Roman Bold"/>
      <w:b/>
      <w:caps/>
      <w:snapToGrid w:val="0"/>
      <w:kern w:val="28"/>
      <w:sz w:val="22"/>
    </w:rPr>
  </w:style>
  <w:style w:type="paragraph" w:styleId="BalloonText">
    <w:name w:val="Balloon Text"/>
    <w:basedOn w:val="Normal"/>
    <w:link w:val="BalloonTextChar"/>
    <w:rsid w:val="001C34C9"/>
    <w:rPr>
      <w:rFonts w:ascii="Segoe UI" w:hAnsi="Segoe UI" w:cs="Segoe UI"/>
      <w:sz w:val="18"/>
      <w:szCs w:val="18"/>
    </w:rPr>
  </w:style>
  <w:style w:type="character" w:customStyle="1" w:styleId="BalloonTextChar">
    <w:name w:val="Balloon Text Char"/>
    <w:link w:val="BalloonText"/>
    <w:rsid w:val="001C34C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1C34C9"/>
    <w:pPr>
      <w:snapToGrid/>
    </w:pPr>
    <w:rPr>
      <w:b/>
      <w:bCs/>
    </w:rPr>
  </w:style>
  <w:style w:type="character" w:customStyle="1" w:styleId="CommentSubjectChar">
    <w:name w:val="Comment Subject Char"/>
    <w:link w:val="CommentSubject"/>
    <w:rsid w:val="001C34C9"/>
    <w:rPr>
      <w:b/>
      <w:bCs/>
      <w:snapToGrid w:val="0"/>
      <w:kern w:val="28"/>
    </w:rPr>
  </w:style>
  <w:style w:type="paragraph" w:styleId="Revision">
    <w:name w:val="Revision"/>
    <w:hidden/>
    <w:uiPriority w:val="99"/>
    <w:semiHidden/>
    <w:rsid w:val="001C34C9"/>
    <w:rPr>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1C34C9"/>
    <w:rPr>
      <w:b/>
      <w:snapToGrid w:val="0"/>
      <w:kern w:val="28"/>
      <w:sz w:val="22"/>
    </w:rPr>
  </w:style>
  <w:style w:type="paragraph" w:styleId="ListParagraph">
    <w:name w:val="List Paragraph"/>
    <w:basedOn w:val="Normal"/>
    <w:uiPriority w:val="34"/>
    <w:qFormat/>
    <w:rsid w:val="001C34C9"/>
    <w:pPr>
      <w:ind w:left="720"/>
      <w:contextualSpacing/>
    </w:pPr>
  </w:style>
  <w:style w:type="character" w:customStyle="1" w:styleId="HeaderChar">
    <w:name w:val="Header Char"/>
    <w:link w:val="Header"/>
    <w:locked/>
    <w:rsid w:val="001C34C9"/>
    <w:rPr>
      <w:b/>
      <w:snapToGrid w:val="0"/>
      <w:kern w:val="28"/>
      <w:sz w:val="22"/>
    </w:rPr>
  </w:style>
  <w:style w:type="character" w:customStyle="1" w:styleId="ParaNumCharChar">
    <w:name w:val="ParaNum Char Char"/>
    <w:rsid w:val="001C34C9"/>
    <w:rPr>
      <w:snapToGrid w:val="0"/>
      <w:kern w:val="28"/>
      <w:sz w:val="22"/>
    </w:rPr>
  </w:style>
  <w:style w:type="character" w:customStyle="1" w:styleId="UnresolvedMention1">
    <w:name w:val="Unresolved Mention1"/>
    <w:uiPriority w:val="99"/>
    <w:semiHidden/>
    <w:unhideWhenUsed/>
    <w:rsid w:val="001C34C9"/>
    <w:rPr>
      <w:color w:val="808080"/>
      <w:shd w:val="clear" w:color="auto" w:fill="E6E6E6"/>
    </w:rPr>
  </w:style>
  <w:style w:type="character" w:customStyle="1" w:styleId="ParaNumChar">
    <w:name w:val="ParaNum Char"/>
    <w:rsid w:val="001C34C9"/>
    <w:rPr>
      <w:snapToGrid w:val="0"/>
      <w:kern w:val="28"/>
      <w:sz w:val="22"/>
    </w:rPr>
  </w:style>
  <w:style w:type="paragraph" w:customStyle="1" w:styleId="Default">
    <w:name w:val="Default"/>
    <w:rsid w:val="001C34C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eader" Target="header4.xml" /><Relationship Id="rId15" Type="http://schemas.openxmlformats.org/officeDocument/2006/relationships/footer" Target="foot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