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815C0" w:rsidRPr="000815C0" w:rsidP="0088086F">
      <w:pPr>
        <w:jc w:val="center"/>
        <w:rPr>
          <w:b/>
        </w:rPr>
      </w:pPr>
      <w:bookmarkStart w:id="0" w:name="_Hlk19807058"/>
      <w:r w:rsidRPr="000815C0">
        <w:rPr>
          <w:b/>
        </w:rPr>
        <w:t>Before the</w:t>
      </w:r>
    </w:p>
    <w:p w:rsidR="000815C0" w:rsidRPr="000815C0" w:rsidP="0088086F">
      <w:pPr>
        <w:jc w:val="center"/>
        <w:rPr>
          <w:b/>
          <w:bCs/>
        </w:rPr>
      </w:pPr>
      <w:r w:rsidRPr="000815C0">
        <w:rPr>
          <w:b/>
          <w:bCs/>
        </w:rPr>
        <w:t>Federal Communications Commission</w:t>
      </w:r>
    </w:p>
    <w:p w:rsidR="000815C0" w:rsidRPr="000815C0" w:rsidP="0088086F">
      <w:pPr>
        <w:jc w:val="center"/>
        <w:rPr>
          <w:b/>
          <w:bCs/>
        </w:rPr>
      </w:pPr>
      <w:r w:rsidRPr="000815C0">
        <w:rPr>
          <w:b/>
          <w:bCs/>
        </w:rPr>
        <w:t>Washington, D.C. 20554</w:t>
      </w:r>
    </w:p>
    <w:p w:rsidR="000815C0" w:rsidRPr="000815C0" w:rsidP="0088086F">
      <w:pPr>
        <w:jc w:val="center"/>
      </w:pPr>
    </w:p>
    <w:tbl>
      <w:tblPr>
        <w:tblW w:w="0" w:type="auto"/>
        <w:tblInd w:w="-101" w:type="dxa"/>
        <w:tblLayout w:type="fixed"/>
        <w:tblLook w:val="0000"/>
      </w:tblPr>
      <w:tblGrid>
        <w:gridCol w:w="4698"/>
        <w:gridCol w:w="630"/>
        <w:gridCol w:w="4248"/>
      </w:tblGrid>
      <w:tr w:rsidTr="00BA110D">
        <w:tblPrEx>
          <w:tblW w:w="0" w:type="auto"/>
          <w:tblInd w:w="-101" w:type="dxa"/>
          <w:tblLayout w:type="fixed"/>
          <w:tblLook w:val="0000"/>
        </w:tblPrEx>
        <w:tc>
          <w:tcPr>
            <w:tcW w:w="4698" w:type="dxa"/>
          </w:tcPr>
          <w:p w:rsidR="000815C0" w:rsidRPr="000815C0" w:rsidP="0088086F">
            <w:r w:rsidRPr="000815C0">
              <w:t>In the Matter of</w:t>
            </w:r>
          </w:p>
          <w:p w:rsidR="000815C0" w:rsidRPr="000815C0" w:rsidP="0088086F">
            <w:pPr>
              <w:jc w:val="center"/>
            </w:pPr>
          </w:p>
          <w:p w:rsidR="000815C0" w:rsidRPr="000815C0" w:rsidP="0088086F">
            <w:r w:rsidRPr="000815C0">
              <w:t>Reform of Certain Part 61 Tariff Rules</w:t>
            </w:r>
          </w:p>
          <w:p w:rsidR="000815C0" w:rsidRPr="000815C0" w:rsidP="0088086F">
            <w:pPr>
              <w:jc w:val="center"/>
            </w:pPr>
          </w:p>
          <w:p w:rsidR="000815C0" w:rsidRPr="000815C0" w:rsidP="0088086F">
            <w:r w:rsidRPr="000815C0">
              <w:t>Petitions for Limited Waiver of Rule 61.74(a)</w:t>
            </w:r>
          </w:p>
          <w:p w:rsidR="000815C0" w:rsidRPr="000815C0" w:rsidP="0088086F">
            <w:pPr>
              <w:jc w:val="center"/>
            </w:pPr>
          </w:p>
        </w:tc>
        <w:tc>
          <w:tcPr>
            <w:tcW w:w="630" w:type="dxa"/>
          </w:tcPr>
          <w:p w:rsidR="000815C0" w:rsidRPr="000815C0" w:rsidP="0088086F">
            <w:pPr>
              <w:jc w:val="center"/>
              <w:rPr>
                <w:b/>
              </w:rPr>
            </w:pPr>
            <w:r w:rsidRPr="000815C0">
              <w:rPr>
                <w:b/>
              </w:rPr>
              <w:t>)</w:t>
            </w:r>
          </w:p>
          <w:p w:rsidR="000815C0" w:rsidRPr="000815C0" w:rsidP="0088086F">
            <w:pPr>
              <w:jc w:val="center"/>
              <w:rPr>
                <w:b/>
              </w:rPr>
            </w:pPr>
            <w:r w:rsidRPr="000815C0">
              <w:rPr>
                <w:b/>
              </w:rPr>
              <w:t>)</w:t>
            </w:r>
          </w:p>
          <w:p w:rsidR="000815C0" w:rsidRPr="000815C0" w:rsidP="0088086F">
            <w:pPr>
              <w:jc w:val="center"/>
              <w:rPr>
                <w:b/>
              </w:rPr>
            </w:pPr>
            <w:r w:rsidRPr="000815C0">
              <w:rPr>
                <w:b/>
              </w:rPr>
              <w:t>)</w:t>
            </w:r>
          </w:p>
          <w:p w:rsidR="000815C0" w:rsidRPr="000815C0" w:rsidP="0088086F">
            <w:pPr>
              <w:jc w:val="center"/>
              <w:rPr>
                <w:b/>
              </w:rPr>
            </w:pPr>
            <w:r w:rsidRPr="000815C0">
              <w:rPr>
                <w:b/>
              </w:rPr>
              <w:t>)</w:t>
            </w:r>
          </w:p>
          <w:p w:rsidR="000815C0" w:rsidRPr="000815C0" w:rsidP="0088086F">
            <w:pPr>
              <w:jc w:val="center"/>
              <w:rPr>
                <w:b/>
              </w:rPr>
            </w:pPr>
            <w:r w:rsidRPr="000815C0">
              <w:rPr>
                <w:b/>
              </w:rPr>
              <w:t>)</w:t>
            </w:r>
          </w:p>
          <w:p w:rsidR="000815C0" w:rsidRPr="000815C0" w:rsidP="0088086F">
            <w:pPr>
              <w:jc w:val="center"/>
              <w:rPr>
                <w:b/>
              </w:rPr>
            </w:pPr>
          </w:p>
        </w:tc>
        <w:tc>
          <w:tcPr>
            <w:tcW w:w="4248" w:type="dxa"/>
          </w:tcPr>
          <w:p w:rsidR="000815C0" w:rsidRPr="000815C0" w:rsidP="0088086F">
            <w:pPr>
              <w:jc w:val="center"/>
            </w:pPr>
          </w:p>
          <w:p w:rsidR="000815C0" w:rsidRPr="000815C0" w:rsidP="0088086F">
            <w:pPr>
              <w:jc w:val="center"/>
            </w:pPr>
          </w:p>
          <w:p w:rsidR="000815C0" w:rsidRPr="000815C0" w:rsidP="0088086F">
            <w:r w:rsidRPr="000815C0">
              <w:t>WC Docket No. 18-276</w:t>
            </w:r>
          </w:p>
          <w:p w:rsidR="000815C0" w:rsidRPr="000815C0" w:rsidP="0088086F">
            <w:pPr>
              <w:jc w:val="center"/>
            </w:pPr>
          </w:p>
          <w:p w:rsidR="000815C0" w:rsidRPr="000815C0" w:rsidP="0088086F">
            <w:r w:rsidRPr="000815C0">
              <w:t>WC Docket No. 17-308</w:t>
            </w:r>
          </w:p>
          <w:p w:rsidR="000815C0" w:rsidRPr="000815C0" w:rsidP="0088086F">
            <w:pPr>
              <w:jc w:val="center"/>
            </w:pPr>
          </w:p>
        </w:tc>
      </w:tr>
    </w:tbl>
    <w:p w:rsidR="000815C0" w:rsidRPr="000815C0" w:rsidP="0088086F">
      <w:pPr>
        <w:jc w:val="center"/>
      </w:pPr>
    </w:p>
    <w:p w:rsidR="000815C0" w:rsidRPr="000815C0" w:rsidP="0088086F">
      <w:pPr>
        <w:jc w:val="center"/>
        <w:rPr>
          <w:b/>
          <w:bCs/>
        </w:rPr>
      </w:pPr>
      <w:r w:rsidRPr="000815C0">
        <w:rPr>
          <w:b/>
          <w:bCs/>
        </w:rPr>
        <w:t>REPORT AND ORDER</w:t>
      </w:r>
    </w:p>
    <w:p w:rsidR="000815C0" w:rsidRPr="000815C0" w:rsidP="000815C0"/>
    <w:p w:rsidR="000815C0" w:rsidRPr="000815C0" w:rsidP="000815C0">
      <w:r w:rsidRPr="000815C0">
        <w:rPr>
          <w:b/>
        </w:rPr>
        <w:t xml:space="preserve">Adopted:  </w:t>
      </w:r>
      <w:r w:rsidR="00DE394B">
        <w:rPr>
          <w:b/>
        </w:rPr>
        <w:t>October 25, 2019</w:t>
      </w:r>
      <w:r w:rsidR="0088086F">
        <w:rPr>
          <w:b/>
        </w:rPr>
        <w:tab/>
      </w:r>
      <w:r w:rsidR="0088086F">
        <w:rPr>
          <w:b/>
        </w:rPr>
        <w:tab/>
      </w:r>
      <w:r w:rsidR="0088086F">
        <w:rPr>
          <w:b/>
        </w:rPr>
        <w:tab/>
      </w:r>
      <w:r w:rsidR="0088086F">
        <w:rPr>
          <w:b/>
        </w:rPr>
        <w:tab/>
      </w:r>
      <w:r w:rsidR="0088086F">
        <w:rPr>
          <w:b/>
        </w:rPr>
        <w:tab/>
      </w:r>
      <w:r w:rsidR="0088086F">
        <w:rPr>
          <w:b/>
        </w:rPr>
        <w:tab/>
      </w:r>
      <w:r w:rsidR="00DE394B">
        <w:rPr>
          <w:b/>
        </w:rPr>
        <w:t xml:space="preserve">    </w:t>
      </w:r>
      <w:r w:rsidRPr="000815C0">
        <w:rPr>
          <w:b/>
        </w:rPr>
        <w:t xml:space="preserve">Released:  </w:t>
      </w:r>
      <w:r w:rsidR="00DE394B">
        <w:rPr>
          <w:b/>
        </w:rPr>
        <w:t xml:space="preserve">October </w:t>
      </w:r>
      <w:r w:rsidR="00A40FD7">
        <w:rPr>
          <w:b/>
        </w:rPr>
        <w:t>30</w:t>
      </w:r>
      <w:bookmarkStart w:id="1" w:name="_GoBack"/>
      <w:bookmarkEnd w:id="1"/>
      <w:r w:rsidR="00DE394B">
        <w:rPr>
          <w:b/>
        </w:rPr>
        <w:t>, 2019</w:t>
      </w:r>
    </w:p>
    <w:p w:rsidR="000815C0" w:rsidRPr="000815C0" w:rsidP="000815C0"/>
    <w:p w:rsidR="000815C0" w:rsidRPr="000815C0" w:rsidP="000815C0">
      <w:r w:rsidRPr="000815C0">
        <w:t>By the Commission:</w:t>
      </w:r>
      <w:r w:rsidR="002A684D">
        <w:t xml:space="preserve"> </w:t>
      </w:r>
      <w:r w:rsidR="00953FF3">
        <w:t xml:space="preserve"> </w:t>
      </w:r>
      <w:r w:rsidRPr="002A684D" w:rsidR="002A684D">
        <w:t xml:space="preserve">Chairman Pai and Commissioner </w:t>
      </w:r>
      <w:r w:rsidRPr="002A684D" w:rsidR="002A684D">
        <w:t>O’Rielly</w:t>
      </w:r>
      <w:r w:rsidRPr="002A684D" w:rsidR="002A684D">
        <w:t xml:space="preserve"> issuing separate statements.</w:t>
      </w:r>
    </w:p>
    <w:p w:rsidR="000815C0" w:rsidRPr="000815C0" w:rsidP="000815C0"/>
    <w:p w:rsidR="000815C0" w:rsidRPr="000815C0" w:rsidP="0088086F">
      <w:pPr>
        <w:pStyle w:val="Heading1"/>
      </w:pPr>
      <w:r w:rsidRPr="000815C0">
        <w:t>INTRODUCTION</w:t>
      </w:r>
    </w:p>
    <w:p w:rsidR="000815C0" w:rsidRPr="000815C0" w:rsidP="0088086F">
      <w:pPr>
        <w:pStyle w:val="ParaNum"/>
      </w:pPr>
      <w:bookmarkStart w:id="2" w:name="_Hlk20493737"/>
      <w:r w:rsidRPr="000815C0">
        <w:t xml:space="preserve">Electronic filing of tariffs and tariff publications has fundamentally changed the way the public can access those filings.  </w:t>
      </w:r>
      <w:bookmarkEnd w:id="2"/>
      <w:r w:rsidRPr="000815C0">
        <w:t xml:space="preserve">But our filing requirements have not kept up with the pace of change.  As part of our ongoing commitment to </w:t>
      </w:r>
      <w:r w:rsidRPr="000815C0" w:rsidR="00583C69">
        <w:t>moderni</w:t>
      </w:r>
      <w:r w:rsidR="00583C69">
        <w:t>z</w:t>
      </w:r>
      <w:r w:rsidRPr="000815C0" w:rsidR="00583C69">
        <w:t>e</w:t>
      </w:r>
      <w:r w:rsidRPr="000815C0">
        <w:t xml:space="preserve"> our rules and eliminate unnecessary regulations, last year the Commission issued a Notice of Proposed Rulemaking (</w:t>
      </w:r>
      <w:r w:rsidRPr="000815C0">
        <w:rPr>
          <w:i/>
        </w:rPr>
        <w:t>Notice</w:t>
      </w:r>
      <w:r w:rsidRPr="000815C0">
        <w:t>) seeking comment on amending our tariff publication rules to better align them with the reality of easy electronic access to tariff filings.</w:t>
      </w:r>
      <w:r>
        <w:rPr>
          <w:sz w:val="20"/>
          <w:vertAlign w:val="superscript"/>
        </w:rPr>
        <w:footnoteReference w:id="3"/>
      </w:r>
      <w:r w:rsidRPr="000815C0">
        <w:t xml:space="preserve">  We now amend our rules to effectuate the changes we proposed.</w:t>
      </w:r>
    </w:p>
    <w:p w:rsidR="000815C0" w:rsidRPr="000815C0" w:rsidP="0088086F">
      <w:pPr>
        <w:pStyle w:val="ParaNum"/>
      </w:pPr>
      <w:r w:rsidRPr="000815C0">
        <w:t>First, we amend our rules to allow a carrier to cross-reference its own tariffs and the tariffs of its affiliates in its tariff publications.</w:t>
      </w:r>
      <w:r>
        <w:rPr>
          <w:sz w:val="20"/>
          <w:vertAlign w:val="superscript"/>
        </w:rPr>
        <w:footnoteReference w:id="4"/>
      </w:r>
      <w:r w:rsidRPr="000815C0">
        <w:t xml:space="preserve">  Second, we eliminate the requirement that incumbent local exchange carriers subject to price cap regulation (price cap LECs) submit short form tariff review plans 90 days before their annual access charge tariff filings are effective.</w:t>
      </w:r>
      <w:bookmarkStart w:id="5" w:name="_Hlk14021718"/>
      <w:r>
        <w:rPr>
          <w:sz w:val="20"/>
          <w:vertAlign w:val="superscript"/>
        </w:rPr>
        <w:footnoteReference w:id="5"/>
      </w:r>
      <w:r w:rsidRPr="000815C0">
        <w:t xml:space="preserve"> </w:t>
      </w:r>
      <w:bookmarkEnd w:id="5"/>
      <w:r w:rsidRPr="000815C0">
        <w:t xml:space="preserve"> Each of these changes will reduce unnecessary burdens on carriers and on our tariff review staff, and each received universal support from all parties that filed comments in response to the </w:t>
      </w:r>
      <w:r w:rsidRPr="000815C0">
        <w:rPr>
          <w:i/>
        </w:rPr>
        <w:t>Notice</w:t>
      </w:r>
      <w:r w:rsidRPr="000815C0">
        <w:t xml:space="preserve"> in this proceeding.</w:t>
      </w:r>
      <w:r>
        <w:rPr>
          <w:sz w:val="20"/>
          <w:vertAlign w:val="superscript"/>
        </w:rPr>
        <w:footnoteReference w:id="6"/>
      </w:r>
      <w:r w:rsidRPr="000815C0">
        <w:t xml:space="preserve">  </w:t>
      </w:r>
      <w:bookmarkStart w:id="8" w:name="_Hlk13589893"/>
    </w:p>
    <w:bookmarkEnd w:id="8"/>
    <w:p w:rsidR="000815C0" w:rsidRPr="000815C0" w:rsidP="0088086F">
      <w:pPr>
        <w:pStyle w:val="Heading1"/>
      </w:pPr>
      <w:r w:rsidRPr="000815C0">
        <w:t>background</w:t>
      </w:r>
    </w:p>
    <w:p w:rsidR="000815C0" w:rsidRPr="000815C0" w:rsidP="0088086F">
      <w:pPr>
        <w:pStyle w:val="ParaNum"/>
      </w:pPr>
      <w:r w:rsidRPr="000815C0">
        <w:t xml:space="preserve">Many of our rules governing tariff filings were adopted when paper tariffs were filed at the Commission and interested parties had to visit the Commission to review physical copies of those filings.  Not surprisingly, technological advances that allow carriers and interested parties to submit and view information electronically have obviated the need for certain longstanding tariff rules that were predicated on the need for paper filings and protracted review periods.  Last year, we proposed to amend two such sets of rules—those that prohibit a carrier from cross-referencing its tariffs and those of its </w:t>
      </w:r>
      <w:r w:rsidRPr="000815C0">
        <w:t>affiliates, and the rule that requires price cap LECs to file short form tariff review plans well in advance of their annual tariff filings.</w:t>
      </w:r>
      <w:r>
        <w:rPr>
          <w:sz w:val="20"/>
          <w:vertAlign w:val="superscript"/>
        </w:rPr>
        <w:footnoteReference w:id="7"/>
      </w:r>
      <w:r w:rsidRPr="000815C0">
        <w:t xml:space="preserve">  </w:t>
      </w:r>
    </w:p>
    <w:p w:rsidR="000815C0" w:rsidRPr="000815C0" w:rsidP="0088086F">
      <w:pPr>
        <w:pStyle w:val="ParaNum"/>
      </w:pPr>
      <w:r w:rsidRPr="000815C0">
        <w:rPr>
          <w:i/>
        </w:rPr>
        <w:t>Cross-referencing</w:t>
      </w:r>
      <w:r w:rsidRPr="000815C0">
        <w:t>.</w:t>
      </w:r>
      <w:r w:rsidRPr="000815C0">
        <w:rPr>
          <w:i/>
        </w:rPr>
        <w:t xml:space="preserve">  </w:t>
      </w:r>
      <w:r w:rsidRPr="000815C0">
        <w:t>When our cross-referencing rules were adopted more than 75 years ago, tariffs were often quite voluminous and were filed in hard copy, “making it quite cumbersome to retrieve and follow a tariff’s cross-reference to another.”</w:t>
      </w:r>
      <w:r>
        <w:rPr>
          <w:sz w:val="20"/>
          <w:vertAlign w:val="superscript"/>
        </w:rPr>
        <w:footnoteReference w:id="8"/>
      </w:r>
      <w:r w:rsidRPr="000815C0">
        <w:t xml:space="preserve">  To ensure that someone reviewing a paper copy of a tariff would have ready access to all of the terms of the tariff, the Commission adopted section 61.74, which, with certain exceptions, prohibits one tariff from cross-referencing another tariff, and section 61.54, which also has been interpreted as prohibiting cross-referencing between tariffs.</w:t>
      </w:r>
      <w:r>
        <w:rPr>
          <w:sz w:val="20"/>
          <w:vertAlign w:val="superscript"/>
        </w:rPr>
        <w:footnoteReference w:id="9"/>
      </w:r>
      <w:r w:rsidRPr="000815C0">
        <w:t xml:space="preserve">  </w:t>
      </w:r>
    </w:p>
    <w:p w:rsidR="000815C0" w:rsidRPr="000815C0" w:rsidP="0088086F">
      <w:pPr>
        <w:pStyle w:val="ParaNum"/>
      </w:pPr>
      <w:r w:rsidRPr="000815C0">
        <w:t>Today, by contrast, carriers are required to file tariffs electronically using our Electronic Tariff Filing System (ETFS), and it only takes “a few seconds and a few clicks” to find a cross-referenced tariff.</w:t>
      </w:r>
      <w:r>
        <w:rPr>
          <w:sz w:val="20"/>
          <w:vertAlign w:val="superscript"/>
        </w:rPr>
        <w:footnoteReference w:id="10"/>
      </w:r>
      <w:r w:rsidRPr="000815C0">
        <w:t xml:space="preserve">  As a result, interested parties can now access tariffs through the ETFS via an Internet connection anywhere and electronically review and search the tariffs they are looking for.</w:t>
      </w:r>
    </w:p>
    <w:p w:rsidR="000815C0" w:rsidRPr="000815C0" w:rsidP="0088086F">
      <w:pPr>
        <w:pStyle w:val="ParaNum"/>
      </w:pPr>
      <w:r w:rsidRPr="000815C0">
        <w:t>Our current rules allow carriers to seek special permission to cross-reference their own tariffs and those of their affiliates, and carriers do so when, for example, they offer discount plans that cross different operating territories.</w:t>
      </w:r>
      <w:r>
        <w:rPr>
          <w:sz w:val="20"/>
          <w:vertAlign w:val="superscript"/>
        </w:rPr>
        <w:footnoteReference w:id="11"/>
      </w:r>
      <w:r w:rsidRPr="000815C0">
        <w:t xml:space="preserve">  The Wireline Competition Bureau (Bureau) has routinely granted requests for special permission to allow a carrier to cross-reference its own tariffs and those of its affiliates.</w:t>
      </w:r>
      <w:r>
        <w:rPr>
          <w:sz w:val="20"/>
          <w:vertAlign w:val="superscript"/>
        </w:rPr>
        <w:footnoteReference w:id="12"/>
      </w:r>
      <w:r w:rsidRPr="000815C0">
        <w:t xml:space="preserve">  In the </w:t>
      </w:r>
      <w:r w:rsidRPr="000815C0">
        <w:rPr>
          <w:i/>
        </w:rPr>
        <w:t>Notice</w:t>
      </w:r>
      <w:r w:rsidRPr="000815C0">
        <w:t xml:space="preserve">, we proposed to amend our rules to allow a carrier’s tariffs to refer to its own tariffs and those of its affiliates and provided an interim waiver of </w:t>
      </w:r>
      <w:r w:rsidR="00F171C6">
        <w:t>s</w:t>
      </w:r>
      <w:r w:rsidRPr="000815C0">
        <w:t>ection 61.74(a) to all carriers to allow carriers’ tariffs to reference their other tariffs</w:t>
      </w:r>
      <w:r w:rsidR="000469CE">
        <w:t>,</w:t>
      </w:r>
      <w:r w:rsidRPr="000815C0">
        <w:t xml:space="preserve"> and those of their affiliates</w:t>
      </w:r>
      <w:r w:rsidR="000469CE">
        <w:t>,</w:t>
      </w:r>
      <w:r w:rsidRPr="000815C0">
        <w:t xml:space="preserve"> pending resolution of the issues addressed in the </w:t>
      </w:r>
      <w:r w:rsidRPr="000815C0">
        <w:rPr>
          <w:i/>
        </w:rPr>
        <w:t>Notice</w:t>
      </w:r>
      <w:r w:rsidRPr="000815C0">
        <w:t>.</w:t>
      </w:r>
      <w:r>
        <w:rPr>
          <w:sz w:val="20"/>
          <w:vertAlign w:val="superscript"/>
        </w:rPr>
        <w:footnoteReference w:id="13"/>
      </w:r>
    </w:p>
    <w:p w:rsidR="000815C0" w:rsidRPr="000815C0" w:rsidP="0088086F">
      <w:pPr>
        <w:pStyle w:val="ParaNum"/>
      </w:pPr>
      <w:r w:rsidRPr="000815C0">
        <w:rPr>
          <w:i/>
        </w:rPr>
        <w:t>Short form tariff review plans</w:t>
      </w:r>
      <w:r w:rsidRPr="000815C0">
        <w:t>.</w:t>
      </w:r>
      <w:r w:rsidRPr="000815C0">
        <w:rPr>
          <w:i/>
        </w:rPr>
        <w:t xml:space="preserve">  </w:t>
      </w:r>
      <w:r w:rsidRPr="000815C0">
        <w:t>Prior to 1997, annual interstate access tariffs were filed 90 days before the effective date of such tariffs, thereby allowing a significant amount of time for the Commission and interested parties to review the filings and associated cost support.</w:t>
      </w:r>
      <w:r>
        <w:rPr>
          <w:sz w:val="20"/>
          <w:vertAlign w:val="superscript"/>
        </w:rPr>
        <w:footnoteReference w:id="14"/>
      </w:r>
      <w:r w:rsidRPr="000815C0">
        <w:t xml:space="preserve">  In 1997, when the Commission modified its rules to permit price cap carriers to file tariffs on either 7 days’ notice (for rate reductions) or 15 days’ notice (for rate increases), it also adopted a requirement that price cap carriers submit supporting information, without rate data, 90 days prior to the annual access tariff filing effective </w:t>
      </w:r>
      <w:r w:rsidRPr="000815C0">
        <w:t>date.</w:t>
      </w:r>
      <w:r>
        <w:rPr>
          <w:sz w:val="20"/>
          <w:vertAlign w:val="superscript"/>
        </w:rPr>
        <w:footnoteReference w:id="15"/>
      </w:r>
      <w:r w:rsidRPr="000815C0">
        <w:t xml:space="preserve">  This filing, known as the “short form tariff review plan,” consists of a standardized spreadsheet showing data regarding exogenous cost adjustments that price cap carriers seek to make to their price cap indices.</w:t>
      </w:r>
      <w:r>
        <w:rPr>
          <w:sz w:val="20"/>
          <w:vertAlign w:val="superscript"/>
        </w:rPr>
        <w:footnoteReference w:id="16"/>
      </w:r>
      <w:r w:rsidRPr="000815C0">
        <w:t xml:space="preserve">  Exogenous cost adjustments are made, for example, to the following cost input categories:  (1) regulatory fees; (2) Telecommunications Relay Services (TRS) expenses; (3) excess deferred taxes; and (4) North American Numbering Plan Administration (NANPA) expenses.</w:t>
      </w:r>
      <w:r>
        <w:rPr>
          <w:sz w:val="20"/>
          <w:vertAlign w:val="superscript"/>
        </w:rPr>
        <w:footnoteReference w:id="17"/>
      </w:r>
    </w:p>
    <w:p w:rsidR="000815C0" w:rsidRPr="000815C0" w:rsidP="0088086F">
      <w:pPr>
        <w:pStyle w:val="ParaNum"/>
      </w:pPr>
      <w:r w:rsidRPr="000815C0">
        <w:t>In the years following adoption of the short form tariff review plan filing requirement, the Bureau often granted waivers of the filing deadline and of the requirement to provide certain data in advance of the annual access tariff filing.</w:t>
      </w:r>
      <w:r>
        <w:rPr>
          <w:sz w:val="20"/>
          <w:vertAlign w:val="superscript"/>
        </w:rPr>
        <w:footnoteReference w:id="18"/>
      </w:r>
      <w:r w:rsidRPr="000815C0">
        <w:t xml:space="preserve">  In 2014, at USTelecom’s request, the Bureau granted a waiver </w:t>
      </w:r>
      <w:r w:rsidR="006C316F">
        <w:t>that</w:t>
      </w:r>
      <w:r w:rsidRPr="000815C0">
        <w:t xml:space="preserve"> reduced the 90-day filing deadline for the short form tariff review plan to approximately 45 days before the annual access tariff effective date.</w:t>
      </w:r>
      <w:r>
        <w:rPr>
          <w:sz w:val="20"/>
          <w:vertAlign w:val="superscript"/>
        </w:rPr>
        <w:footnoteReference w:id="19"/>
      </w:r>
    </w:p>
    <w:p w:rsidR="000815C0" w:rsidRPr="000815C0" w:rsidP="0088086F">
      <w:pPr>
        <w:pStyle w:val="ParaNum"/>
      </w:pPr>
      <w:r w:rsidRPr="000815C0">
        <w:t>In 2017, the Bureau waived the short form tariff review plan filing requirement in its entirety, finding that the “factors needed to calculate three of the most common exogenous cost adjustments—regulatory fees, TRS fees, and NANPA expenses—will not be available prior to the short form filing deadline,” so the short form tariff review plan would be of little value to the Commission.</w:t>
      </w:r>
      <w:r>
        <w:rPr>
          <w:sz w:val="20"/>
          <w:vertAlign w:val="superscript"/>
        </w:rPr>
        <w:footnoteReference w:id="20"/>
      </w:r>
      <w:r w:rsidRPr="000815C0">
        <w:t xml:space="preserve">  The Bureau found multiple reasons to waive the short form tariff review plan requirement again in 2018 and 2019, including that: (1) it was unlikely that the necessary information would be available by the required filing date; and (2) exogenous cost data contained in the short form tariff review plan would be included with the information filed directly prior to the annual filing effective date (assuming the availability of such data), at which time the information could be reviewed by the Commission and interested parties.</w:t>
      </w:r>
      <w:r>
        <w:rPr>
          <w:sz w:val="20"/>
          <w:vertAlign w:val="superscript"/>
        </w:rPr>
        <w:footnoteReference w:id="21"/>
      </w:r>
      <w:r w:rsidRPr="000815C0">
        <w:t xml:space="preserve">    </w:t>
      </w:r>
    </w:p>
    <w:p w:rsidR="000815C0" w:rsidRPr="000815C0" w:rsidP="0088086F">
      <w:pPr>
        <w:pStyle w:val="ParaNum"/>
      </w:pPr>
      <w:r w:rsidRPr="000815C0">
        <w:t xml:space="preserve">In the </w:t>
      </w:r>
      <w:r w:rsidRPr="000815C0">
        <w:rPr>
          <w:i/>
        </w:rPr>
        <w:t>Notice</w:t>
      </w:r>
      <w:r w:rsidRPr="000815C0">
        <w:t>, the Commission recognized that the value of the short form tariff review plan has declined.  This is because the complexity and number of interstate access tariff filings has decreased over the last decade as the scope of services subject to price cap regulation has narrowed.</w:t>
      </w:r>
      <w:r>
        <w:rPr>
          <w:sz w:val="20"/>
          <w:vertAlign w:val="superscript"/>
        </w:rPr>
        <w:footnoteReference w:id="22"/>
      </w:r>
      <w:r w:rsidRPr="000815C0">
        <w:t xml:space="preserve">  In light of the Commission’s experience that waiving the short form tariff review plan requirement had not negatively affected the ability of interested parties and staff to review tariffs in a timely fashion, the Commission proposed to eliminate it as unnecessary and unduly burdensome.</w:t>
      </w:r>
      <w:r>
        <w:rPr>
          <w:sz w:val="20"/>
          <w:vertAlign w:val="superscript"/>
        </w:rPr>
        <w:footnoteReference w:id="23"/>
      </w:r>
      <w:r w:rsidRPr="000815C0">
        <w:t xml:space="preserve">  </w:t>
      </w:r>
    </w:p>
    <w:p w:rsidR="000815C0" w:rsidRPr="000815C0" w:rsidP="0088086F">
      <w:pPr>
        <w:pStyle w:val="Heading1"/>
      </w:pPr>
      <w:r w:rsidRPr="000815C0">
        <w:t xml:space="preserve">Discussion </w:t>
      </w:r>
    </w:p>
    <w:p w:rsidR="000815C0" w:rsidRPr="000815C0" w:rsidP="0088086F">
      <w:pPr>
        <w:pStyle w:val="ParaNum"/>
      </w:pPr>
      <w:r w:rsidRPr="000815C0">
        <w:t xml:space="preserve">We received no opposition to the proposals set forth in the </w:t>
      </w:r>
      <w:r w:rsidRPr="000815C0">
        <w:rPr>
          <w:i/>
        </w:rPr>
        <w:t>Notice</w:t>
      </w:r>
      <w:r w:rsidRPr="000815C0">
        <w:t>.  Instead, commenters all agree that, in their experience, the ease of making and reviewing electronic tariff filings obviates the need for the prohibition on carriers</w:t>
      </w:r>
      <w:r w:rsidR="00B77451">
        <w:t>’</w:t>
      </w:r>
      <w:r w:rsidRPr="000815C0">
        <w:t xml:space="preserve"> cross-referencing their own or their affiliates’ tariffs and the need for the short form tariff review plan.</w:t>
      </w:r>
      <w:r>
        <w:rPr>
          <w:sz w:val="20"/>
          <w:vertAlign w:val="superscript"/>
        </w:rPr>
        <w:footnoteReference w:id="24"/>
      </w:r>
      <w:r w:rsidRPr="000815C0">
        <w:t xml:space="preserve">  We therefore amend our rules to reduce unnecessary filing burdens </w:t>
      </w:r>
      <w:r w:rsidR="00F171C6">
        <w:t xml:space="preserve">and </w:t>
      </w:r>
      <w:r w:rsidRPr="000815C0">
        <w:t xml:space="preserve">to allow stakeholders to benefit from current technology.   </w:t>
      </w:r>
    </w:p>
    <w:p w:rsidR="000815C0" w:rsidRPr="000815C0" w:rsidP="0088086F">
      <w:pPr>
        <w:pStyle w:val="Heading2"/>
      </w:pPr>
      <w:r w:rsidRPr="000815C0">
        <w:t xml:space="preserve">Updating and Amending Tariff Cross-Referencing Rules </w:t>
      </w:r>
    </w:p>
    <w:p w:rsidR="000815C0" w:rsidRPr="000815C0" w:rsidP="0088086F">
      <w:pPr>
        <w:pStyle w:val="ParaNum"/>
      </w:pPr>
      <w:r w:rsidRPr="000815C0">
        <w:t>First, we amend our tariffing rules to allow carriers to cross-reference their own and their affiliates’ tariffs.  Comments in the record unanimously support amending section 61.74 of our rules to permit carriers to cross-reference their own and their affiliates’ tariff filings.</w:t>
      </w:r>
      <w:r>
        <w:rPr>
          <w:sz w:val="20"/>
          <w:vertAlign w:val="superscript"/>
        </w:rPr>
        <w:footnoteReference w:id="25"/>
      </w:r>
      <w:r w:rsidRPr="000815C0">
        <w:t xml:space="preserve">  We agree with the commenters that those modifications are justified because the prohibition on a carrier’s tariff cross-referencing that carrier’s tariffs and those of its affiliates no longer serves a functional purpose, in light of the ease with which the public can now access and search tariffs.</w:t>
      </w:r>
      <w:r>
        <w:rPr>
          <w:sz w:val="20"/>
          <w:vertAlign w:val="superscript"/>
        </w:rPr>
        <w:footnoteReference w:id="26"/>
      </w:r>
      <w:r w:rsidRPr="000815C0">
        <w:t xml:space="preserve">  </w:t>
      </w:r>
    </w:p>
    <w:p w:rsidR="000815C0" w:rsidRPr="000815C0" w:rsidP="0088086F">
      <w:pPr>
        <w:pStyle w:val="ParaNum"/>
      </w:pPr>
      <w:r w:rsidRPr="000815C0">
        <w:t>Moreover, as commenters explain, the current obligation to seek and receive special permission to cross-reference a carrier’s own tariffs imposes unnecessary costs on the carriers that file those requests and on the Commission staff that consider and act on those requests.</w:t>
      </w:r>
      <w:r>
        <w:rPr>
          <w:sz w:val="20"/>
          <w:vertAlign w:val="superscript"/>
        </w:rPr>
        <w:footnoteReference w:id="27"/>
      </w:r>
      <w:r w:rsidRPr="000815C0">
        <w:t xml:space="preserve">  The need to request special permission also harms competition by “impinging the carriers’ ability to quickly respond to customers’ demands,” and by forcing carriers to “telegraph a planned tariff filing.”</w:t>
      </w:r>
      <w:r>
        <w:rPr>
          <w:sz w:val="20"/>
          <w:vertAlign w:val="superscript"/>
        </w:rPr>
        <w:footnoteReference w:id="28"/>
      </w:r>
      <w:r w:rsidRPr="000815C0">
        <w:t xml:space="preserve">  Furthermore, there is no record of any negative consequences arising from previous grants of special permission.</w:t>
      </w:r>
      <w:r w:rsidRPr="000815C0">
        <w:rPr>
          <w:vertAlign w:val="superscript"/>
        </w:rPr>
        <w:t xml:space="preserve"> </w:t>
      </w:r>
    </w:p>
    <w:p w:rsidR="000815C0" w:rsidRPr="000815C0" w:rsidP="0088086F">
      <w:pPr>
        <w:pStyle w:val="ParaNum"/>
      </w:pPr>
      <w:r w:rsidRPr="000815C0">
        <w:t xml:space="preserve">We therefore amend section 61.74 as proposed in the </w:t>
      </w:r>
      <w:r w:rsidRPr="000815C0">
        <w:rPr>
          <w:i/>
        </w:rPr>
        <w:t>Notice</w:t>
      </w:r>
      <w:r w:rsidRPr="000815C0">
        <w:t xml:space="preserve"> to expressly allow a carrier to reference other tariffs issued by the carrier or any of its affiliates.  To effectuate our decision to allow carriers to cross-reference their own and their affiliates’ tariffs, we also amend section 61.54 of our rules, which applies to the composition of tariffs, and has been interpreted as prohibiting a carrier’s tariff from referring to rates in other tariffs.</w:t>
      </w:r>
      <w:r>
        <w:rPr>
          <w:sz w:val="20"/>
          <w:vertAlign w:val="superscript"/>
        </w:rPr>
        <w:footnoteReference w:id="29"/>
      </w:r>
      <w:r w:rsidRPr="000815C0">
        <w:t xml:space="preserve">  We do so by adding a subsection (k) which specifies that “[n]otwithstanding any other provisions in [that] section, tariff publications filed by a carrier may reference other tariff publications filed by that carrier or its affiliates.”</w:t>
      </w:r>
      <w:r>
        <w:rPr>
          <w:sz w:val="20"/>
          <w:vertAlign w:val="superscript"/>
        </w:rPr>
        <w:footnoteReference w:id="30"/>
      </w:r>
      <w:r w:rsidRPr="000815C0">
        <w:t xml:space="preserve"> </w:t>
      </w:r>
    </w:p>
    <w:p w:rsidR="000815C0" w:rsidRPr="000815C0" w:rsidP="0088086F">
      <w:pPr>
        <w:pStyle w:val="ParaNum"/>
      </w:pPr>
      <w:r w:rsidRPr="000815C0">
        <w:t xml:space="preserve">The rationale for amending section 61.54 is identical to the rationale for amending section 61.74:  There are clear benefits, and no drawbacks, to allowing a carrier’s tariff to refer to other tariffs filed by that carrier and its affiliates.  Our amendment to section 61.54 is necessary to ensure </w:t>
      </w:r>
      <w:r w:rsidRPr="000815C0">
        <w:t>consistency between the rules that govern tariff filings.  Given that all parties to this proceeding that commented on the cross-referencing issue support our decision to allow carriers to cross-reference their own and their affiliates’ tariffs, it follows that the record supports our decision to amend section 61.54 to achieve the desired result.</w:t>
      </w:r>
      <w:r>
        <w:rPr>
          <w:sz w:val="20"/>
          <w:vertAlign w:val="superscript"/>
        </w:rPr>
        <w:footnoteReference w:id="31"/>
      </w:r>
      <w:r w:rsidRPr="000815C0">
        <w:t xml:space="preserve">    </w:t>
      </w:r>
    </w:p>
    <w:p w:rsidR="000815C0" w:rsidRPr="000815C0" w:rsidP="0088086F">
      <w:pPr>
        <w:pStyle w:val="Heading2"/>
      </w:pPr>
      <w:r w:rsidRPr="000815C0">
        <w:t>Eliminating Advanced Filing of Materials that Support Interstate Access Tariffs for Price Cap LECs</w:t>
      </w:r>
    </w:p>
    <w:p w:rsidR="000815C0" w:rsidRPr="000815C0" w:rsidP="0088086F">
      <w:pPr>
        <w:pStyle w:val="ParaNum"/>
      </w:pPr>
      <w:r w:rsidRPr="000815C0">
        <w:t xml:space="preserve">As proposed in the </w:t>
      </w:r>
      <w:r w:rsidRPr="000815C0">
        <w:rPr>
          <w:i/>
        </w:rPr>
        <w:t>Notice</w:t>
      </w:r>
      <w:r w:rsidRPr="000815C0">
        <w:t>, and supported by the record, we also eliminate the requirement that price cap LECs file short form tariff review plans 90 days before their annual interstate access tariff filings are effective.</w:t>
      </w:r>
      <w:r>
        <w:rPr>
          <w:sz w:val="20"/>
          <w:vertAlign w:val="superscript"/>
        </w:rPr>
        <w:footnoteReference w:id="32"/>
      </w:r>
      <w:r w:rsidRPr="000815C0">
        <w:t xml:space="preserve">  Consistent with the view of all parties that commented on this issue , we find that the filing of short form tariff review plans is no longer necessary and is unduly burdensome.</w:t>
      </w:r>
      <w:r>
        <w:rPr>
          <w:sz w:val="20"/>
          <w:vertAlign w:val="superscript"/>
        </w:rPr>
        <w:footnoteReference w:id="33"/>
      </w:r>
      <w:r w:rsidRPr="000815C0">
        <w:t xml:space="preserve"> </w:t>
      </w:r>
    </w:p>
    <w:p w:rsidR="000815C0" w:rsidRPr="000815C0" w:rsidP="0088086F">
      <w:pPr>
        <w:pStyle w:val="ParaNum"/>
      </w:pPr>
      <w:r w:rsidRPr="000815C0">
        <w:t>As Verizon explains, the decreased complexity of the annual filings obviates the need for early notice of the information contained in the short form tariff review plan.</w:t>
      </w:r>
      <w:r>
        <w:rPr>
          <w:sz w:val="20"/>
          <w:vertAlign w:val="superscript"/>
        </w:rPr>
        <w:footnoteReference w:id="34"/>
      </w:r>
      <w:r w:rsidRPr="000815C0">
        <w:t xml:space="preserve">  AT&amp;T also points out that, even when the required data are available by the filing deadline, some of the information may later change, forcing carriers to redo their calculations before they submit their annual access tariff filings.</w:t>
      </w:r>
      <w:r>
        <w:rPr>
          <w:sz w:val="20"/>
          <w:vertAlign w:val="superscript"/>
        </w:rPr>
        <w:footnoteReference w:id="35"/>
      </w:r>
      <w:r w:rsidRPr="000815C0">
        <w:t xml:space="preserve">  Both AT&amp;T and Frontier argue that the lack of data and/or use of temporary or preliminary factors render the short form tariff review plan of little practical value.</w:t>
      </w:r>
      <w:r>
        <w:rPr>
          <w:sz w:val="20"/>
          <w:vertAlign w:val="superscript"/>
        </w:rPr>
        <w:footnoteReference w:id="36"/>
      </w:r>
    </w:p>
    <w:p w:rsidR="000815C0" w:rsidRPr="000815C0" w:rsidP="0088086F">
      <w:pPr>
        <w:pStyle w:val="ParaNum"/>
      </w:pPr>
      <w:r w:rsidRPr="000815C0">
        <w:t>Notably, commenters agree that there have been no adverse consequences from the suspension of the requirement in recent years to prepare and file a short form tariff review plan.</w:t>
      </w:r>
      <w:r>
        <w:rPr>
          <w:sz w:val="20"/>
          <w:vertAlign w:val="superscript"/>
        </w:rPr>
        <w:footnoteReference w:id="37"/>
      </w:r>
      <w:r w:rsidRPr="000815C0">
        <w:t xml:space="preserve">  As Verizon, for example, explains, the waivers of the entire filing requirement “did not impede parties’ ability to review the annual filings.”</w:t>
      </w:r>
      <w:r>
        <w:rPr>
          <w:sz w:val="20"/>
          <w:vertAlign w:val="superscript"/>
        </w:rPr>
        <w:footnoteReference w:id="38"/>
      </w:r>
      <w:r w:rsidRPr="000815C0">
        <w:t xml:space="preserve">  Frontier agrees that there is no evidence that the Bureau’s previous waivers of the filing requirement caused any harm.</w:t>
      </w:r>
      <w:r>
        <w:rPr>
          <w:sz w:val="20"/>
          <w:vertAlign w:val="superscript"/>
        </w:rPr>
        <w:footnoteReference w:id="39"/>
      </w:r>
    </w:p>
    <w:p w:rsidR="000815C0" w:rsidRPr="000815C0" w:rsidP="000259C4">
      <w:pPr>
        <w:pStyle w:val="ParaNum"/>
        <w:widowControl/>
      </w:pPr>
      <w:r w:rsidRPr="000815C0">
        <w:t>Although the short form tariff review plan filing serves little, if any, useful purpose, it requires effort from the filing carriers.  Parties estimate that the time required to prepare and file the short form tariff review plan can range from 40 to 160 hours.</w:t>
      </w:r>
      <w:r>
        <w:rPr>
          <w:sz w:val="20"/>
          <w:vertAlign w:val="superscript"/>
        </w:rPr>
        <w:footnoteReference w:id="40"/>
      </w:r>
      <w:r w:rsidRPr="000815C0">
        <w:t xml:space="preserve">  Also, as CenturyLink explains, the timing of the short form tariff review plan is inconvenient, requiring that carriers and the Commission expend resources completing and reviewing the short form tariff review plan at a time “when the larger [a]nnual [f]iling needs the greater attention.”</w:t>
      </w:r>
      <w:r>
        <w:rPr>
          <w:sz w:val="20"/>
          <w:vertAlign w:val="superscript"/>
        </w:rPr>
        <w:footnoteReference w:id="41"/>
      </w:r>
      <w:r w:rsidRPr="000815C0">
        <w:t xml:space="preserve">  Thus, the current rule requiring price cap carriers to file short form tariff review plans is burdensome and provides little benefit, if any, especially given that the remaining annual filing notice requirements “will provide adequate time for the Commission and the industry to </w:t>
      </w:r>
      <w:r w:rsidRPr="000815C0">
        <w:t>review carrier tariff filings.”</w:t>
      </w:r>
      <w:r>
        <w:rPr>
          <w:sz w:val="20"/>
          <w:vertAlign w:val="superscript"/>
        </w:rPr>
        <w:footnoteReference w:id="42"/>
      </w:r>
      <w:r w:rsidRPr="000815C0">
        <w:t xml:space="preserve">  As Frontier aptly explains, eliminating the short form tariff review plan “will free up valuable carrier resources with no discernable downside for Commission staff.”</w:t>
      </w:r>
      <w:r>
        <w:rPr>
          <w:sz w:val="20"/>
          <w:vertAlign w:val="superscript"/>
        </w:rPr>
        <w:footnoteReference w:id="43"/>
      </w:r>
      <w:r w:rsidRPr="000815C0">
        <w:t xml:space="preserve">  </w:t>
      </w:r>
    </w:p>
    <w:p w:rsidR="000815C0" w:rsidRPr="000815C0" w:rsidP="0088086F">
      <w:pPr>
        <w:pStyle w:val="Heading2"/>
      </w:pPr>
      <w:r w:rsidRPr="000815C0">
        <w:t>Effective Date and Sunsetting of Interim Waiver of the Prohibition on Referencing Other Tariffs</w:t>
      </w:r>
    </w:p>
    <w:p w:rsidR="000815C0" w:rsidRPr="000815C0" w:rsidP="0088086F">
      <w:pPr>
        <w:pStyle w:val="ParaNum"/>
      </w:pPr>
      <w:r w:rsidRPr="000815C0">
        <w:t>Because both the prohibition on a carrier cross-referencing its own tariffs and those of its affiliates and the short form tariff review plan requirement no longer serve any useful purpose, we see no reason to delay the effective date of today’s rule changes.</w:t>
      </w:r>
      <w:r>
        <w:rPr>
          <w:sz w:val="20"/>
          <w:vertAlign w:val="superscript"/>
        </w:rPr>
        <w:footnoteReference w:id="44"/>
      </w:r>
      <w:r w:rsidRPr="000815C0">
        <w:t xml:space="preserve">  In the </w:t>
      </w:r>
      <w:r w:rsidRPr="000815C0">
        <w:rPr>
          <w:i/>
        </w:rPr>
        <w:t>Notice</w:t>
      </w:r>
      <w:r w:rsidRPr="000815C0">
        <w:t>, the Commission proposed that the rule changes would take effect 30 days after Federal Register publication of a summary of this Report and Order.</w:t>
      </w:r>
      <w:r>
        <w:rPr>
          <w:sz w:val="20"/>
          <w:vertAlign w:val="superscript"/>
        </w:rPr>
        <w:footnoteReference w:id="45"/>
      </w:r>
      <w:r w:rsidRPr="000815C0">
        <w:t xml:space="preserve">  No commenters opposed this proposal, which we now adopt.</w:t>
      </w:r>
      <w:r>
        <w:rPr>
          <w:sz w:val="20"/>
          <w:vertAlign w:val="superscript"/>
        </w:rPr>
        <w:footnoteReference w:id="46"/>
      </w:r>
    </w:p>
    <w:p w:rsidR="000815C0" w:rsidRPr="000815C0" w:rsidP="0088086F">
      <w:pPr>
        <w:pStyle w:val="ParaNum"/>
      </w:pPr>
      <w:r w:rsidRPr="000815C0">
        <w:t>Finally, the interim waiver the Commission granted to all carriers of the prohibition on cross-referencing their own tariffs and those of their affiliates will end 30 days after Federal Register publication of a summary of this Report and Order, when the revised rules become effective.</w:t>
      </w:r>
      <w:r>
        <w:rPr>
          <w:sz w:val="20"/>
          <w:vertAlign w:val="superscript"/>
        </w:rPr>
        <w:footnoteReference w:id="47"/>
      </w:r>
    </w:p>
    <w:p w:rsidR="000815C0" w:rsidRPr="000815C0" w:rsidP="0088086F">
      <w:pPr>
        <w:pStyle w:val="Heading1"/>
      </w:pPr>
      <w:r w:rsidRPr="000815C0">
        <w:t>PROCEDURAL ISSUES</w:t>
      </w:r>
    </w:p>
    <w:p w:rsidR="000815C0" w:rsidRPr="000815C0" w:rsidP="0088086F">
      <w:pPr>
        <w:pStyle w:val="ParaNum"/>
      </w:pPr>
      <w:r w:rsidRPr="000815C0">
        <w:rPr>
          <w:i/>
        </w:rPr>
        <w:t xml:space="preserve">Paperwork Reduction Act.  </w:t>
      </w:r>
      <w:r w:rsidRPr="000815C0">
        <w:t>This document eliminates certain information collection requirements but does not contain any new or modified information collection requirements within the meaning of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w:t>
      </w:r>
      <w:r>
        <w:rPr>
          <w:sz w:val="20"/>
          <w:vertAlign w:val="superscript"/>
        </w:rPr>
        <w:footnoteReference w:id="48"/>
      </w:r>
    </w:p>
    <w:p w:rsidR="000815C0" w:rsidRPr="000815C0" w:rsidP="000259C4">
      <w:pPr>
        <w:pStyle w:val="ParaNum"/>
        <w:widowControl/>
      </w:pPr>
      <w:r w:rsidRPr="000815C0">
        <w:rPr>
          <w:i/>
        </w:rPr>
        <w:t>Final Regulatory Flexibility Certification</w:t>
      </w:r>
      <w:r w:rsidRPr="000815C0">
        <w:t>.  The Regulatory Flexibility Act of 1980, as amended (RFA),</w:t>
      </w:r>
      <w:r>
        <w:rPr>
          <w:sz w:val="20"/>
          <w:vertAlign w:val="superscript"/>
        </w:rPr>
        <w:footnoteReference w:id="49"/>
      </w:r>
      <w:r w:rsidRPr="000815C0">
        <w:t xml:space="preserve"> requires that a regulatory flexibility analysis be prepared for notice-and-comment rulemaking proceedings, unless the agency certifies that “the rule will not, if promulgated, have a significant economic impact on a substantial number of small entities.”</w:t>
      </w:r>
      <w:r>
        <w:rPr>
          <w:sz w:val="20"/>
          <w:vertAlign w:val="superscript"/>
        </w:rPr>
        <w:footnoteReference w:id="50"/>
      </w:r>
      <w:r w:rsidRPr="000815C0">
        <w:t xml:space="preserve">  The RFA generally defines the term “small entity” as having the same meaning as the terms “small business,” “small organization,” and “small governmental jurisdiction.”</w:t>
      </w:r>
      <w:r>
        <w:rPr>
          <w:sz w:val="20"/>
          <w:vertAlign w:val="superscript"/>
        </w:rPr>
        <w:footnoteReference w:id="51"/>
      </w:r>
      <w:r w:rsidRPr="000815C0">
        <w:t xml:space="preserve">  In addition, the term “small business” has the same meaning as the term “small business concern” under the Small Business Act.</w:t>
      </w:r>
      <w:r>
        <w:rPr>
          <w:sz w:val="20"/>
          <w:vertAlign w:val="superscript"/>
        </w:rPr>
        <w:footnoteReference w:id="52"/>
      </w:r>
      <w:r w:rsidRPr="000815C0">
        <w:t xml:space="preserve">  A “small business concern” is one which: </w:t>
      </w:r>
      <w:r w:rsidRPr="000815C0">
        <w:t>(1) is independently owned and operated; (2) is not dominant in its field of operation; and (3) satisfies any additional criteria established by the Small Business Administration (SBA).</w:t>
      </w:r>
      <w:r>
        <w:rPr>
          <w:sz w:val="20"/>
          <w:vertAlign w:val="superscript"/>
        </w:rPr>
        <w:footnoteReference w:id="53"/>
      </w:r>
      <w:r w:rsidRPr="000815C0">
        <w:t xml:space="preserve"> </w:t>
      </w:r>
    </w:p>
    <w:p w:rsidR="000815C0" w:rsidRPr="000815C0" w:rsidP="0088086F">
      <w:pPr>
        <w:pStyle w:val="ParaNum"/>
      </w:pPr>
      <w:r w:rsidRPr="000815C0">
        <w:t xml:space="preserve">The Commission included an Initial Regulatory Flexibility </w:t>
      </w:r>
      <w:r w:rsidR="00F171C6">
        <w:t>Certification</w:t>
      </w:r>
      <w:r w:rsidRPr="000815C0">
        <w:t xml:space="preserve"> in the </w:t>
      </w:r>
      <w:r w:rsidRPr="000815C0">
        <w:rPr>
          <w:i/>
        </w:rPr>
        <w:t>Notice</w:t>
      </w:r>
      <w:r w:rsidRPr="000815C0">
        <w:t>, and received no comments addressing this issue.</w:t>
      </w:r>
    </w:p>
    <w:p w:rsidR="000815C0" w:rsidRPr="000815C0" w:rsidP="0088086F">
      <w:pPr>
        <w:pStyle w:val="ParaNum"/>
      </w:pPr>
      <w:r w:rsidRPr="000815C0">
        <w:t>In this Report and Order, we amend two of the Commission’s tariff rules by adding sections 61.54(k) and 61.74(b), and eliminate one tariff rule, section 61.49(k), to minimize burdens associated with filing tariffs, as part of the Commission’s efforts to reduce unnecessary regulations that no longer serve the public interest.</w:t>
      </w:r>
      <w:r>
        <w:rPr>
          <w:sz w:val="20"/>
          <w:vertAlign w:val="superscript"/>
        </w:rPr>
        <w:footnoteReference w:id="54"/>
      </w:r>
      <w:r w:rsidRPr="000815C0">
        <w:t xml:space="preserve">  The addition of sections 61.54(k) and 61.74(b) is procedural in nature, and the impact is minor.  These revisions impact large and small telephone companies.  The elimination of section 61.49(k) impacts only price cap LECs for services that continue to be subject to price cap regulation, and any impact of this rule change is minor.  Price cap LECs are some of the largest telephone companies.  Therefore, we certify that the rule amendments will not have a significant economic impact on a substantial number of small entities.</w:t>
      </w:r>
    </w:p>
    <w:p w:rsidR="000815C0" w:rsidRPr="000815C0" w:rsidP="0088086F">
      <w:pPr>
        <w:pStyle w:val="ParaNum"/>
      </w:pPr>
      <w:r w:rsidRPr="000815C0">
        <w:t>The Commission will send a copy of the Report and Order, including a copy of this Final Regulatory Flexibility Certification, in a report to Congress pursuant to the Congressional Review Act.</w:t>
      </w:r>
      <w:r>
        <w:rPr>
          <w:sz w:val="20"/>
          <w:vertAlign w:val="superscript"/>
        </w:rPr>
        <w:footnoteReference w:id="55"/>
      </w:r>
      <w:r w:rsidRPr="000815C0">
        <w:t xml:space="preserve">  In addition, the Report and Order and this final certification will be sent to the Chief Counsel for Advocacy of the SBA, and will be published in the Federal Register.</w:t>
      </w:r>
      <w:r>
        <w:rPr>
          <w:sz w:val="20"/>
          <w:vertAlign w:val="superscript"/>
        </w:rPr>
        <w:footnoteReference w:id="56"/>
      </w:r>
      <w:r w:rsidRPr="000815C0">
        <w:t xml:space="preserve"> </w:t>
      </w:r>
    </w:p>
    <w:p w:rsidR="000815C0" w:rsidRPr="000815C0" w:rsidP="0088086F">
      <w:pPr>
        <w:pStyle w:val="ParaNum"/>
      </w:pPr>
      <w:r w:rsidRPr="000815C0">
        <w:rPr>
          <w:i/>
        </w:rPr>
        <w:t>Congressional Review Act</w:t>
      </w:r>
      <w:r w:rsidRPr="000815C0">
        <w:t xml:space="preserve">.  The Commission </w:t>
      </w:r>
      <w:r w:rsidR="00F171C6">
        <w:t xml:space="preserve">has determined, and </w:t>
      </w:r>
      <w:r w:rsidRPr="000815C0">
        <w:t xml:space="preserve">the Administrator of the Office of Information and Regulatory Affairs, Office of Management and Budget, </w:t>
      </w:r>
      <w:r w:rsidR="00F171C6">
        <w:t>concurs that</w:t>
      </w:r>
      <w:r w:rsidRPr="000815C0">
        <w:t xml:space="preserve"> th</w:t>
      </w:r>
      <w:r w:rsidR="00E51F3A">
        <w:t>ese</w:t>
      </w:r>
      <w:r w:rsidRPr="000815C0">
        <w:t xml:space="preserve"> rule</w:t>
      </w:r>
      <w:r w:rsidR="00E51F3A">
        <w:t>s</w:t>
      </w:r>
      <w:r w:rsidRPr="000815C0">
        <w:t xml:space="preserve"> </w:t>
      </w:r>
      <w:r w:rsidR="00E51F3A">
        <w:t>are “</w:t>
      </w:r>
      <w:r w:rsidRPr="000815C0">
        <w:t>non-major</w:t>
      </w:r>
      <w:r w:rsidR="00E51F3A">
        <w:t>”</w:t>
      </w:r>
      <w:r w:rsidRPr="000815C0">
        <w:t xml:space="preserve"> under the Congressional Review Act, 5 U.S.C. § 804(2).  The Commission will send a copy of this Report and Order to Congress and the Government Accountability Office pursuant to 5 U.S.C. § 801(a)(1)(A).</w:t>
      </w:r>
    </w:p>
    <w:p w:rsidR="000815C0" w:rsidRPr="000815C0" w:rsidP="0088086F">
      <w:pPr>
        <w:pStyle w:val="Heading1"/>
      </w:pPr>
      <w:r w:rsidRPr="000815C0">
        <w:t>ORDERING CLAUSES</w:t>
      </w:r>
    </w:p>
    <w:p w:rsidR="000815C0" w:rsidRPr="000815C0" w:rsidP="00994885">
      <w:pPr>
        <w:pStyle w:val="ParaNum"/>
      </w:pPr>
      <w:bookmarkStart w:id="19" w:name="_Hlk3531576"/>
      <w:r w:rsidRPr="000815C0">
        <w:t>Accordingly, IT IS ORDERED that, pursuant to the authority contained in sections 1, 2, 4(i)-(j), and 201-203 of the Communications Act of 1934, as amended, 47 U.S.C. §§ 151, 152, 154(i)-(j), 201-203, this Report and Order IS ADOPTED.</w:t>
      </w:r>
    </w:p>
    <w:bookmarkEnd w:id="19"/>
    <w:p w:rsidR="000815C0" w:rsidRPr="000815C0" w:rsidP="00994885">
      <w:pPr>
        <w:pStyle w:val="ParaNum"/>
      </w:pPr>
      <w:r w:rsidRPr="000815C0">
        <w:t xml:space="preserve">IT IS FURTHER ORDERED that this Report and Order SHALL BE EFFECTIVE thirty (30) days after publication of a summary in the Federal Register.    </w:t>
      </w:r>
    </w:p>
    <w:p w:rsidR="000815C0" w:rsidRPr="000815C0" w:rsidP="00994885">
      <w:pPr>
        <w:pStyle w:val="ParaNum"/>
      </w:pPr>
      <w:r w:rsidRPr="000815C0">
        <w:t>IT IS FURTHER ORDERED that part 61 of the Commission’s rules, 47 CFR part 61, IS AMENDED as set forth in Appendix A, and such rule amendments SHALL BE EFFECTIVE thirty (30) days after publication of a summary of the Report and Order in the Federal Register.</w:t>
      </w:r>
    </w:p>
    <w:p w:rsidR="000815C0" w:rsidRPr="000815C0" w:rsidP="00994885">
      <w:pPr>
        <w:pStyle w:val="ParaNum"/>
      </w:pPr>
      <w:r w:rsidRPr="000815C0">
        <w:t xml:space="preserve">IT IS FURTHER ORDERED that the interim waiver of the prohibition on a carrier’s tariff referencing the carrier’s other tariff publications and tariffs of its affiliates, as adopted in the </w:t>
      </w:r>
      <w:r w:rsidRPr="000815C0">
        <w:rPr>
          <w:i/>
        </w:rPr>
        <w:t>Notice</w:t>
      </w:r>
      <w:r w:rsidRPr="000815C0">
        <w:t>, WILL END thirty (30) days after a summary of this Report and Order is published in the Federal Register.</w:t>
      </w:r>
    </w:p>
    <w:p w:rsidR="000815C0" w:rsidP="00994885">
      <w:pPr>
        <w:pStyle w:val="ParaNum"/>
      </w:pPr>
      <w:r w:rsidRPr="000815C0">
        <w:t>IT IS FURTHER ORDERED that the Motion to Accept Late-Filed Comments filed by AT&amp;T IS DISMISSED AS MOOT.</w:t>
      </w:r>
    </w:p>
    <w:p w:rsidR="00A849A4" w:rsidP="00A849A4">
      <w:pPr>
        <w:pStyle w:val="ParaNum"/>
        <w:widowControl/>
        <w:numPr>
          <w:ilvl w:val="0"/>
          <w:numId w:val="0"/>
        </w:numPr>
        <w:ind w:left="720"/>
      </w:pPr>
    </w:p>
    <w:p w:rsidR="000815C0" w:rsidP="00A849A4">
      <w:pPr>
        <w:pStyle w:val="ParaNum"/>
        <w:widowControl/>
      </w:pPr>
      <w:r w:rsidRPr="000815C0">
        <w:t>IT IS FURTHER ORDERED that the Commission’s Consumer and Governmental Affairs Bureau, Reference Information Center, SHALL SEND a copy of this Report and Order, including the Final Regulatory Flexibility Certification, to the Chief Counsel for Advocacy of the Small Business Administration.</w:t>
      </w:r>
    </w:p>
    <w:p w:rsidR="00994885" w:rsidRPr="000815C0" w:rsidP="00994885">
      <w:pPr>
        <w:pStyle w:val="ParaNum"/>
        <w:numPr>
          <w:ilvl w:val="0"/>
          <w:numId w:val="0"/>
        </w:numPr>
      </w:pPr>
    </w:p>
    <w:p w:rsidR="00994885" w:rsidP="0017296B">
      <w:r>
        <w:tab/>
      </w:r>
      <w:r>
        <w:tab/>
      </w:r>
      <w:r>
        <w:tab/>
      </w:r>
      <w:r>
        <w:tab/>
      </w:r>
      <w:r>
        <w:tab/>
      </w:r>
      <w:r>
        <w:tab/>
        <w:t>FEDERAL COMMUNICATIONS COMMISSION</w:t>
      </w:r>
    </w:p>
    <w:p w:rsidR="00994885" w:rsidP="0017296B"/>
    <w:p w:rsidR="00994885" w:rsidP="0017296B"/>
    <w:p w:rsidR="00994885" w:rsidP="0017296B"/>
    <w:p w:rsidR="00994885" w:rsidP="0017296B"/>
    <w:p w:rsidR="00994885" w:rsidP="0017296B">
      <w:r>
        <w:tab/>
      </w:r>
      <w:r>
        <w:tab/>
      </w:r>
      <w:r>
        <w:tab/>
      </w:r>
      <w:r>
        <w:tab/>
      </w:r>
      <w:r>
        <w:tab/>
      </w:r>
      <w:r>
        <w:tab/>
        <w:t>Marlene H. Dortch</w:t>
      </w:r>
    </w:p>
    <w:p w:rsidR="00994885" w:rsidP="0017296B">
      <w:r>
        <w:tab/>
      </w:r>
      <w:r>
        <w:tab/>
      </w:r>
      <w:r>
        <w:tab/>
      </w:r>
      <w:r>
        <w:tab/>
      </w:r>
      <w:r>
        <w:tab/>
      </w:r>
      <w:r>
        <w:tab/>
        <w:t>Secretary</w:t>
      </w:r>
    </w:p>
    <w:p w:rsidR="008F194A" w:rsidP="00994885">
      <w:pPr>
        <w:jc w:val="center"/>
        <w:rPr>
          <w:b/>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bookmarkStart w:id="20" w:name="_Hlk3798534"/>
    </w:p>
    <w:p w:rsidR="000815C0" w:rsidRPr="000815C0" w:rsidP="00994885">
      <w:pPr>
        <w:jc w:val="center"/>
        <w:rPr>
          <w:b/>
        </w:rPr>
      </w:pPr>
      <w:r w:rsidRPr="000815C0">
        <w:rPr>
          <w:b/>
        </w:rPr>
        <w:t>APPENDIX</w:t>
      </w:r>
    </w:p>
    <w:p w:rsidR="000815C0" w:rsidRPr="000815C0" w:rsidP="000815C0">
      <w:pPr>
        <w:rPr>
          <w:b/>
        </w:rPr>
      </w:pPr>
    </w:p>
    <w:p w:rsidR="000815C0" w:rsidRPr="000815C0" w:rsidP="004D1759">
      <w:pPr>
        <w:jc w:val="center"/>
        <w:rPr>
          <w:b/>
        </w:rPr>
      </w:pPr>
      <w:r w:rsidRPr="000815C0">
        <w:rPr>
          <w:b/>
        </w:rPr>
        <w:t>Final Rules</w:t>
      </w:r>
    </w:p>
    <w:p w:rsidR="000815C0" w:rsidRPr="000815C0" w:rsidP="000815C0"/>
    <w:p w:rsidR="000815C0" w:rsidRPr="000815C0" w:rsidP="000815C0">
      <w:r w:rsidRPr="000815C0">
        <w:t>For the reasons discussed in the preamble, the Federal Communications Commission amends 47 CFR part 61 as follows:</w:t>
      </w:r>
    </w:p>
    <w:p w:rsidR="000815C0" w:rsidRPr="000815C0" w:rsidP="000815C0"/>
    <w:p w:rsidR="000815C0" w:rsidRPr="000815C0" w:rsidP="004D1759">
      <w:pPr>
        <w:jc w:val="center"/>
        <w:rPr>
          <w:b/>
          <w:bCs/>
        </w:rPr>
      </w:pPr>
      <w:r w:rsidRPr="000815C0">
        <w:rPr>
          <w:b/>
          <w:bCs/>
        </w:rPr>
        <w:t>PART 61—TARIFFS</w:t>
      </w:r>
    </w:p>
    <w:p w:rsidR="000815C0" w:rsidRPr="000815C0" w:rsidP="000815C0">
      <w:pPr>
        <w:rPr>
          <w:bCs/>
        </w:rPr>
      </w:pPr>
    </w:p>
    <w:p w:rsidR="000815C0" w:rsidRPr="000815C0" w:rsidP="00A07B8D">
      <w:pPr>
        <w:numPr>
          <w:ilvl w:val="0"/>
          <w:numId w:val="7"/>
        </w:numPr>
        <w:rPr>
          <w:bCs/>
        </w:rPr>
      </w:pPr>
      <w:r w:rsidRPr="000815C0">
        <w:rPr>
          <w:bCs/>
        </w:rPr>
        <w:t xml:space="preserve">The authority </w:t>
      </w:r>
      <w:r w:rsidRPr="00A07B8D">
        <w:t>citation</w:t>
      </w:r>
      <w:r w:rsidRPr="000815C0">
        <w:rPr>
          <w:bCs/>
        </w:rPr>
        <w:t xml:space="preserve"> for part 61 continues to read as follows:</w:t>
      </w:r>
    </w:p>
    <w:p w:rsidR="000815C0" w:rsidRPr="000815C0" w:rsidP="000815C0">
      <w:r w:rsidRPr="000815C0">
        <w:rPr>
          <w:bCs/>
        </w:rPr>
        <w:t>A</w:t>
      </w:r>
      <w:r w:rsidR="00A07B8D">
        <w:rPr>
          <w:bCs/>
        </w:rPr>
        <w:t>uthority</w:t>
      </w:r>
      <w:r w:rsidRPr="000815C0">
        <w:rPr>
          <w:bCs/>
        </w:rPr>
        <w:t xml:space="preserve">:  </w:t>
      </w:r>
      <w:r w:rsidRPr="000815C0">
        <w:t>47 U.S.C. 151, 154(</w:t>
      </w:r>
      <w:r w:rsidRPr="000815C0">
        <w:t>i</w:t>
      </w:r>
      <w:r w:rsidRPr="000815C0">
        <w:t>), 154(j), 201-205</w:t>
      </w:r>
      <w:r w:rsidR="001F151D">
        <w:t>,</w:t>
      </w:r>
      <w:r w:rsidRPr="000815C0">
        <w:t xml:space="preserve"> 403, unless otherwise noted.</w:t>
      </w:r>
    </w:p>
    <w:p w:rsidR="000815C0" w:rsidRPr="000815C0" w:rsidP="000815C0"/>
    <w:p w:rsidR="000815C0" w:rsidP="00A07B8D">
      <w:pPr>
        <w:numPr>
          <w:ilvl w:val="0"/>
          <w:numId w:val="7"/>
        </w:numPr>
        <w:rPr>
          <w:bCs/>
        </w:rPr>
      </w:pPr>
      <w:r w:rsidRPr="000815C0">
        <w:t xml:space="preserve">Amend </w:t>
      </w:r>
      <w:r w:rsidRPr="000815C0">
        <w:rPr>
          <w:bCs/>
        </w:rPr>
        <w:t>§ 61.49 by removing and reserving paragraph (k).</w:t>
      </w:r>
    </w:p>
    <w:p w:rsidR="00994885" w:rsidRPr="000815C0" w:rsidP="000815C0">
      <w:pPr>
        <w:rPr>
          <w:bCs/>
        </w:rPr>
      </w:pPr>
    </w:p>
    <w:p w:rsidR="000815C0" w:rsidRPr="000815C0" w:rsidP="000815C0">
      <w:pPr>
        <w:rPr>
          <w:b/>
          <w:bCs/>
          <w:u w:val="single"/>
        </w:rPr>
      </w:pPr>
      <w:r w:rsidRPr="000815C0">
        <w:rPr>
          <w:b/>
          <w:bCs/>
          <w:u w:val="single"/>
        </w:rPr>
        <w:t>§ 61.49  Supporting information to be submitted with letters of transmittal for tariffs of carriers subject to price cap regulation.</w:t>
      </w:r>
    </w:p>
    <w:p w:rsidR="000815C0" w:rsidRPr="000815C0" w:rsidP="000815C0">
      <w:r w:rsidRPr="000815C0">
        <w:t xml:space="preserve">* * * * * </w:t>
      </w:r>
    </w:p>
    <w:p w:rsidR="000815C0" w:rsidRPr="000815C0" w:rsidP="000815C0">
      <w:r w:rsidRPr="000815C0">
        <w:t xml:space="preserve">(k) [Reserved] </w:t>
      </w:r>
    </w:p>
    <w:p w:rsidR="000815C0" w:rsidRPr="000815C0" w:rsidP="000815C0"/>
    <w:p w:rsidR="000815C0" w:rsidP="007756CB">
      <w:pPr>
        <w:numPr>
          <w:ilvl w:val="0"/>
          <w:numId w:val="7"/>
        </w:numPr>
      </w:pPr>
      <w:r w:rsidRPr="000815C0">
        <w:t>Amend § 61.54 by adding new paragraph (k) to read as follows:</w:t>
      </w:r>
    </w:p>
    <w:p w:rsidR="00994885" w:rsidRPr="000815C0" w:rsidP="000815C0"/>
    <w:p w:rsidR="000815C0" w:rsidRPr="000815C0" w:rsidP="000815C0">
      <w:pPr>
        <w:rPr>
          <w:b/>
          <w:u w:val="single"/>
        </w:rPr>
      </w:pPr>
      <w:r w:rsidRPr="000815C0">
        <w:rPr>
          <w:b/>
          <w:u w:val="single"/>
        </w:rPr>
        <w:t>§ 61.54  Composition of tariffs.</w:t>
      </w:r>
    </w:p>
    <w:p w:rsidR="000815C0" w:rsidRPr="000815C0" w:rsidP="000815C0">
      <w:r w:rsidRPr="000815C0">
        <w:t xml:space="preserve">* * * * * </w:t>
      </w:r>
    </w:p>
    <w:p w:rsidR="000815C0" w:rsidRPr="000815C0" w:rsidP="000815C0">
      <w:r w:rsidRPr="000815C0">
        <w:t>(k) Notwithstanding any other provisions in this section, tariff publications filed by a carrier may reference other tariff publications filed by that carrier or its affiliates.</w:t>
      </w:r>
    </w:p>
    <w:p w:rsidR="000815C0" w:rsidRPr="000815C0" w:rsidP="000815C0"/>
    <w:p w:rsidR="000815C0" w:rsidP="007756CB">
      <w:pPr>
        <w:numPr>
          <w:ilvl w:val="0"/>
          <w:numId w:val="7"/>
        </w:numPr>
        <w:rPr>
          <w:bCs/>
        </w:rPr>
      </w:pPr>
      <w:r w:rsidRPr="000815C0">
        <w:rPr>
          <w:bCs/>
        </w:rPr>
        <w:t xml:space="preserve">Amend § </w:t>
      </w:r>
      <w:r w:rsidRPr="007756CB">
        <w:t>61</w:t>
      </w:r>
      <w:r w:rsidRPr="000815C0">
        <w:rPr>
          <w:bCs/>
        </w:rPr>
        <w:t xml:space="preserve">.74 by </w:t>
      </w:r>
      <w:r w:rsidRPr="000815C0">
        <w:rPr>
          <w:bCs/>
        </w:rPr>
        <w:t>redesignating</w:t>
      </w:r>
      <w:r w:rsidRPr="000815C0">
        <w:rPr>
          <w:bCs/>
        </w:rPr>
        <w:t xml:space="preserve"> paragraphs (</w:t>
      </w:r>
      <w:r w:rsidR="001F151D">
        <w:rPr>
          <w:bCs/>
        </w:rPr>
        <w:t>b</w:t>
      </w:r>
      <w:r w:rsidRPr="000815C0">
        <w:rPr>
          <w:bCs/>
        </w:rPr>
        <w:t>) to (e) as paragraphs (</w:t>
      </w:r>
      <w:r w:rsidR="001F151D">
        <w:rPr>
          <w:bCs/>
        </w:rPr>
        <w:t>c</w:t>
      </w:r>
      <w:r w:rsidRPr="000815C0">
        <w:rPr>
          <w:bCs/>
        </w:rPr>
        <w:t>) to (f), and adding new paragraph (b) to read as follows:</w:t>
      </w:r>
    </w:p>
    <w:p w:rsidR="00994885" w:rsidRPr="000815C0" w:rsidP="000815C0">
      <w:pPr>
        <w:rPr>
          <w:bCs/>
        </w:rPr>
      </w:pPr>
    </w:p>
    <w:p w:rsidR="000815C0" w:rsidRPr="000815C0" w:rsidP="000815C0">
      <w:pPr>
        <w:rPr>
          <w:b/>
          <w:bCs/>
        </w:rPr>
      </w:pPr>
      <w:r w:rsidRPr="000815C0">
        <w:rPr>
          <w:bCs/>
        </w:rPr>
        <w:t xml:space="preserve"> </w:t>
      </w:r>
      <w:r w:rsidRPr="000815C0">
        <w:rPr>
          <w:b/>
          <w:u w:val="single"/>
        </w:rPr>
        <w:t xml:space="preserve">§ </w:t>
      </w:r>
      <w:r w:rsidRPr="000815C0">
        <w:rPr>
          <w:b/>
          <w:bCs/>
          <w:u w:val="single"/>
        </w:rPr>
        <w:t>61.74  References to other instruments</w:t>
      </w:r>
      <w:r w:rsidRPr="000815C0">
        <w:rPr>
          <w:b/>
          <w:bCs/>
        </w:rPr>
        <w:t xml:space="preserve">. </w:t>
      </w:r>
    </w:p>
    <w:p w:rsidR="000815C0" w:rsidRPr="000815C0" w:rsidP="000815C0">
      <w:pPr>
        <w:rPr>
          <w:bCs/>
        </w:rPr>
      </w:pPr>
      <w:bookmarkStart w:id="21" w:name="_Hlk511309780"/>
      <w:r w:rsidRPr="000815C0">
        <w:rPr>
          <w:bCs/>
        </w:rPr>
        <w:t>* * * * *</w:t>
      </w:r>
    </w:p>
    <w:p w:rsidR="000815C0" w:rsidRPr="000815C0" w:rsidP="000815C0">
      <w:pPr>
        <w:rPr>
          <w:bCs/>
        </w:rPr>
      </w:pPr>
      <w:bookmarkStart w:id="22" w:name="_Hlk512240677"/>
      <w:bookmarkEnd w:id="21"/>
      <w:r w:rsidRPr="000815C0">
        <w:rPr>
          <w:bCs/>
        </w:rPr>
        <w:t>(b) Tariff publications filed by a carrier may reference other tariff publications filed by that carrier or its affiliates.</w:t>
      </w:r>
    </w:p>
    <w:p w:rsidR="000815C0" w:rsidRPr="000815C0" w:rsidP="000815C0">
      <w:pPr>
        <w:rPr>
          <w:bCs/>
        </w:rPr>
      </w:pPr>
      <w:r w:rsidRPr="000815C0">
        <w:rPr>
          <w:bCs/>
        </w:rPr>
        <w:t>* * * * *</w:t>
      </w:r>
    </w:p>
    <w:bookmarkEnd w:id="0"/>
    <w:bookmarkEnd w:id="20"/>
    <w:bookmarkEnd w:id="22"/>
    <w:p w:rsidR="000815C0" w:rsidRPr="000815C0" w:rsidP="000815C0"/>
    <w:p w:rsidR="00AC4E69" w:rsidP="000815C0">
      <w:pPr>
        <w:sectPr w:rsidSect="00FA637F">
          <w:endnotePr>
            <w:numFmt w:val="decimal"/>
          </w:endnotePr>
          <w:pgSz w:w="12240" w:h="15840"/>
          <w:pgMar w:top="1440" w:right="1440" w:bottom="720" w:left="1440" w:header="720" w:footer="720" w:gutter="0"/>
          <w:cols w:space="720"/>
          <w:noEndnote/>
          <w:titlePg/>
        </w:sectPr>
      </w:pPr>
    </w:p>
    <w:p w:rsidR="007871C7" w:rsidRPr="007871C7" w:rsidP="007871C7">
      <w:pPr>
        <w:jc w:val="center"/>
        <w:rPr>
          <w:rFonts w:ascii="Times New Roman Bold" w:hAnsi="Times New Roman Bold"/>
          <w:b/>
          <w:bCs/>
          <w:caps/>
        </w:rPr>
      </w:pPr>
      <w:r w:rsidRPr="007871C7">
        <w:rPr>
          <w:rFonts w:ascii="Times New Roman Bold" w:hAnsi="Times New Roman Bold"/>
          <w:b/>
          <w:bCs/>
          <w:caps/>
        </w:rPr>
        <w:t>Statement of</w:t>
      </w:r>
    </w:p>
    <w:p w:rsidR="007871C7" w:rsidRPr="007871C7" w:rsidP="007871C7">
      <w:pPr>
        <w:spacing w:after="240"/>
        <w:jc w:val="center"/>
        <w:rPr>
          <w:rFonts w:ascii="Times New Roman Bold" w:hAnsi="Times New Roman Bold"/>
          <w:b/>
          <w:bCs/>
          <w:caps/>
        </w:rPr>
      </w:pPr>
      <w:r w:rsidRPr="007871C7">
        <w:rPr>
          <w:rFonts w:ascii="Times New Roman Bold" w:hAnsi="Times New Roman Bold"/>
          <w:b/>
          <w:bCs/>
          <w:caps/>
        </w:rPr>
        <w:t>chairman ajit pai</w:t>
      </w:r>
    </w:p>
    <w:p w:rsidR="007871C7" w:rsidRPr="007871C7" w:rsidP="007871C7">
      <w:pPr>
        <w:spacing w:after="240"/>
        <w:ind w:left="720" w:hanging="720"/>
      </w:pPr>
      <w:r w:rsidRPr="007871C7">
        <w:rPr>
          <w:iCs/>
        </w:rPr>
        <w:t>Re:</w:t>
      </w:r>
      <w:r w:rsidRPr="007871C7">
        <w:tab/>
      </w:r>
      <w:r w:rsidRPr="007871C7">
        <w:rPr>
          <w:i/>
        </w:rPr>
        <w:t>Reform of Certain Part 61 Tariff Rules</w:t>
      </w:r>
      <w:r w:rsidRPr="007871C7">
        <w:t xml:space="preserve">, WC Docket No. 18-276; </w:t>
      </w:r>
      <w:r w:rsidRPr="007871C7">
        <w:rPr>
          <w:i/>
        </w:rPr>
        <w:t>Petitions for Limited Waiver of 61.74(a)</w:t>
      </w:r>
      <w:r w:rsidRPr="007871C7">
        <w:t>, WC Docket No. 17-308.</w:t>
      </w:r>
    </w:p>
    <w:p w:rsidR="007871C7" w:rsidRPr="007871C7" w:rsidP="007871C7">
      <w:pPr>
        <w:spacing w:after="120"/>
        <w:ind w:firstLine="720"/>
      </w:pPr>
      <w:r w:rsidRPr="007871C7">
        <w:t xml:space="preserve">In the 1999 movie </w:t>
      </w:r>
      <w:r w:rsidRPr="007871C7">
        <w:rPr>
          <w:i/>
        </w:rPr>
        <w:t>Office Space</w:t>
      </w:r>
      <w:r w:rsidRPr="007871C7">
        <w:t>, Peter Gibbons, played by Ron Livingston, is stuck in a soul-crushing job at an inefficient tech company.  His circumstance is most memorably illustrated by the number of times he’s badgered by management for incorrectly filing mindless paperwork called TPS Reports.</w:t>
      </w:r>
      <w:r>
        <w:rPr>
          <w:vertAlign w:val="superscript"/>
        </w:rPr>
        <w:footnoteReference w:id="57"/>
      </w:r>
      <w:r w:rsidRPr="007871C7">
        <w:t xml:space="preserve">  </w:t>
      </w:r>
    </w:p>
    <w:p w:rsidR="007871C7" w:rsidRPr="007871C7" w:rsidP="007871C7">
      <w:pPr>
        <w:spacing w:after="120"/>
        <w:ind w:firstLine="720"/>
      </w:pPr>
      <w:r w:rsidRPr="007871C7">
        <w:t xml:space="preserve">We don’t have TPS Reports here at the FCC, but we do require carriers to file needless paperwork called the “short form TRP.”  Under our current rules, price cap carriers must submit certain supporting information—known as a “short form tariff review plan,” or TRP—90 days before their annual access charge filings are effective.  But early submission of this information is no longer necessary given the ease of reviewing electronic filings and the decrease in the complexity of annual access charge filings over time.  So, in today’s </w:t>
      </w:r>
      <w:r w:rsidRPr="007871C7">
        <w:rPr>
          <w:i/>
        </w:rPr>
        <w:t>Order,</w:t>
      </w:r>
      <w:r w:rsidRPr="007871C7">
        <w:t xml:space="preserve"> we eliminate the short form TRP filing requirement.</w:t>
      </w:r>
    </w:p>
    <w:p w:rsidR="007871C7" w:rsidRPr="007871C7" w:rsidP="007871C7">
      <w:pPr>
        <w:spacing w:after="120"/>
        <w:ind w:firstLine="720"/>
      </w:pPr>
      <w:r w:rsidRPr="007871C7">
        <w:t>We also amend decades-old rules that ban cross-referencing between tariffs.  Today’s amendments allow a carrier to cross-reference its own tariffs and those of its affiliates.  Such cross-references were difficult to follow when these often-massive tariffs were filed in paper form, but they can now be easily accessed electronically by clicking on a hyperlink.</w:t>
      </w:r>
    </w:p>
    <w:p w:rsidR="007871C7" w:rsidRPr="007871C7" w:rsidP="007871C7">
      <w:pPr>
        <w:spacing w:after="120"/>
        <w:ind w:firstLine="720"/>
      </w:pPr>
      <w:r w:rsidRPr="007871C7">
        <w:t>In short, when it comes to eliminating outdated rules, this Commission has gotten the memo.  For their great work in bringing our tariff filing rules into the digital age, I’d like to thank Irina Asoskov, Susan Bahr, Robin Cohn, Amy Goodman, Lisa Hone, Kris Monteith, and Gil Strobel of the Wireline Competition Bureau; Dick Kwiatkowski of the Office of Economics and Analytics; and Valerie Hill, Rick Mallen, and Bill Richardson of the Office of General Counsel.</w:t>
      </w:r>
    </w:p>
    <w:p w:rsidR="007871C7" w:rsidP="007871C7">
      <w:pPr>
        <w:sectPr w:rsidSect="007871C7">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pPr>
    </w:p>
    <w:p w:rsidR="007871C7" w:rsidRPr="007871C7" w:rsidP="007871C7">
      <w:pPr>
        <w:jc w:val="center"/>
        <w:rPr>
          <w:b/>
        </w:rPr>
      </w:pPr>
      <w:r w:rsidRPr="007871C7">
        <w:rPr>
          <w:b/>
        </w:rPr>
        <w:t>STATEMENT OF</w:t>
      </w:r>
    </w:p>
    <w:p w:rsidR="007871C7" w:rsidRPr="007871C7" w:rsidP="007871C7">
      <w:pPr>
        <w:spacing w:after="240"/>
        <w:jc w:val="center"/>
        <w:rPr>
          <w:b/>
        </w:rPr>
      </w:pPr>
      <w:r w:rsidRPr="007871C7">
        <w:rPr>
          <w:b/>
        </w:rPr>
        <w:t>COMMISSIONER MICHAEL O’RIELLY</w:t>
      </w:r>
    </w:p>
    <w:p w:rsidR="007871C7" w:rsidRPr="007871C7" w:rsidP="00757DED">
      <w:pPr>
        <w:spacing w:after="240"/>
        <w:ind w:left="720" w:hanging="720"/>
      </w:pPr>
      <w:r w:rsidRPr="007871C7">
        <w:t>Re:</w:t>
      </w:r>
      <w:r w:rsidRPr="007871C7">
        <w:tab/>
      </w:r>
      <w:r w:rsidRPr="007871C7">
        <w:rPr>
          <w:i/>
        </w:rPr>
        <w:t>Reform of Certain Part 61 Tariff Rules</w:t>
      </w:r>
      <w:r w:rsidRPr="007871C7">
        <w:t xml:space="preserve">, WC Docket No. 18-276; </w:t>
      </w:r>
      <w:r w:rsidRPr="007871C7">
        <w:rPr>
          <w:i/>
        </w:rPr>
        <w:t>Petitions for Limited Waiver of Rule 61.74(a)</w:t>
      </w:r>
      <w:r w:rsidRPr="007871C7">
        <w:t>, WC Docket No. 17-308.</w:t>
      </w:r>
    </w:p>
    <w:p w:rsidR="007871C7" w:rsidRPr="007871C7" w:rsidP="007871C7">
      <w:pPr>
        <w:spacing w:after="120"/>
        <w:ind w:firstLine="720"/>
      </w:pPr>
      <w:r w:rsidRPr="007871C7">
        <w:t>Kudos to the Chairman for his continued efforts to modernize and reform our existing regulations.  Here, the anachronistic tariff cross-referencing ban and a similarly outdated filing requirement for price cap carriers are rightfully set for the dust bin.  To the extent that these reforms eliminate unnecessary burdens for those that prepare such tariffs, it’s hard to imagine any downside, especially since not one soul raised an objection in the record.</w:t>
      </w:r>
    </w:p>
    <w:p w:rsidR="007871C7" w:rsidRPr="007871C7" w:rsidP="007871C7">
      <w:pPr>
        <w:spacing w:after="120"/>
        <w:ind w:firstLine="720"/>
      </w:pPr>
      <w:r w:rsidRPr="007871C7">
        <w:t xml:space="preserve">At the same time, put me down as someone who is open to much broader reforms and the comprehensive elimination of unnecessary tariff rules.  The whole concept of tariffing is antiquated, inefficient, generally irrelevant, and helps preserve outdated communications networks at the expense of modern architecture and deployment.  One example that deserves exploration and serious consideration for quick implementation involves transit service.  That is, to the extent we can work through issues related to transit responsibility and path choice, as some have suggested, we could and should completely </w:t>
      </w:r>
      <w:r w:rsidRPr="007871C7">
        <w:t>detariff</w:t>
      </w:r>
      <w:r w:rsidRPr="007871C7">
        <w:t xml:space="preserve"> transit services.  This idea is far from radical and can be done without creating perverse consequences—all to the benefit of American consumers in the long run.    </w:t>
      </w:r>
    </w:p>
    <w:p w:rsidR="007871C7" w:rsidRPr="007871C7" w:rsidP="007871C7">
      <w:pPr>
        <w:ind w:firstLine="720"/>
      </w:pPr>
      <w:r w:rsidRPr="007871C7">
        <w:t xml:space="preserve">And, the same goes for many other aspects of tariffing.  Out they should go, too.  All we need to do is overcome the regulatory inertia of the status quo and grab the opportunity to put this entire structure in our rearview mirror.  </w:t>
      </w:r>
    </w:p>
    <w:p w:rsidR="007871C7" w:rsidRPr="007871C7" w:rsidP="007871C7"/>
    <w:p w:rsidR="007871C7" w:rsidRPr="007871C7" w:rsidP="007871C7"/>
    <w:p w:rsidR="00412FC5" w:rsidRPr="000815C0" w:rsidP="000815C0"/>
    <w:sectPr w:rsidSect="00933484">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161D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7270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7270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15C0">
      <w:r>
        <w:separator/>
      </w:r>
    </w:p>
  </w:footnote>
  <w:footnote w:type="continuationSeparator" w:id="1">
    <w:p w:rsidR="000815C0" w:rsidP="00C721AC">
      <w:pPr>
        <w:spacing w:before="120"/>
        <w:rPr>
          <w:sz w:val="20"/>
        </w:rPr>
      </w:pPr>
      <w:r>
        <w:rPr>
          <w:sz w:val="20"/>
        </w:rPr>
        <w:t xml:space="preserve">(Continued from previous page)  </w:t>
      </w:r>
      <w:r>
        <w:rPr>
          <w:sz w:val="20"/>
        </w:rPr>
        <w:separator/>
      </w:r>
    </w:p>
  </w:footnote>
  <w:footnote w:type="continuationNotice" w:id="2">
    <w:p w:rsidR="000815C0" w:rsidP="00C721AC">
      <w:pPr>
        <w:jc w:val="right"/>
        <w:rPr>
          <w:sz w:val="20"/>
        </w:rPr>
      </w:pPr>
      <w:r>
        <w:rPr>
          <w:sz w:val="20"/>
        </w:rPr>
        <w:t>(continued….)</w:t>
      </w:r>
    </w:p>
  </w:footnote>
  <w:footnote w:id="3">
    <w:p w:rsidR="000815C0" w:rsidP="000815C0">
      <w:pPr>
        <w:pStyle w:val="FootnoteText"/>
      </w:pPr>
      <w:r>
        <w:rPr>
          <w:rStyle w:val="FootnoteReference"/>
        </w:rPr>
        <w:footnoteRef/>
      </w:r>
      <w:r>
        <w:t xml:space="preserve"> </w:t>
      </w:r>
      <w:r w:rsidRPr="00752FEA">
        <w:rPr>
          <w:i/>
        </w:rPr>
        <w:t>Reform of Certain Part 61 Tariff Rules; Petitions for Limited Waiver of Rule 61.74(a)</w:t>
      </w:r>
      <w:r>
        <w:t>, WC Docket Nos. 18-276 and 17-308, Notice of Proposed Rulemaking and Interim Waiver Order, 33 FCC Rcd 10212, 10212, para. 1 (2018) (</w:t>
      </w:r>
      <w:r w:rsidRPr="00583E14">
        <w:rPr>
          <w:i/>
        </w:rPr>
        <w:t>Notice</w:t>
      </w:r>
      <w:r>
        <w:t>).</w:t>
      </w:r>
    </w:p>
  </w:footnote>
  <w:footnote w:id="4">
    <w:p w:rsidR="000815C0" w:rsidRPr="00AA142D" w:rsidP="000815C0">
      <w:pPr>
        <w:pStyle w:val="FootnoteText"/>
      </w:pPr>
      <w:r>
        <w:rPr>
          <w:rStyle w:val="FootnoteReference"/>
        </w:rPr>
        <w:footnoteRef/>
      </w:r>
      <w:r>
        <w:t xml:space="preserve"> </w:t>
      </w:r>
      <w:bookmarkStart w:id="3" w:name="_Hlk14022387"/>
      <w:r>
        <w:t xml:space="preserve">47 CFR </w:t>
      </w:r>
      <w:r w:rsidRPr="0047081B">
        <w:t>§§ 61.54, 61.74(a)</w:t>
      </w:r>
      <w:r>
        <w:t xml:space="preserve">; </w:t>
      </w:r>
      <w:r>
        <w:rPr>
          <w:i/>
        </w:rPr>
        <w:t>infra</w:t>
      </w:r>
      <w:r>
        <w:t xml:space="preserve"> Appx. A, 47 CFR </w:t>
      </w:r>
      <w:bookmarkStart w:id="4" w:name="_Hlk13576290"/>
      <w:r w:rsidRPr="0047081B">
        <w:t>§§ 61.54</w:t>
      </w:r>
      <w:r>
        <w:t>(k)</w:t>
      </w:r>
      <w:r w:rsidRPr="0047081B">
        <w:t>, 61.74(</w:t>
      </w:r>
      <w:r>
        <w:t>b</w:t>
      </w:r>
      <w:r w:rsidRPr="0047081B">
        <w:t>)</w:t>
      </w:r>
      <w:bookmarkEnd w:id="3"/>
      <w:bookmarkEnd w:id="4"/>
      <w:r w:rsidRPr="0047081B">
        <w:t>.</w:t>
      </w:r>
      <w:r w:rsidRPr="00C13878">
        <w:t xml:space="preserve">  </w:t>
      </w:r>
    </w:p>
  </w:footnote>
  <w:footnote w:id="5">
    <w:p w:rsidR="000815C0" w:rsidP="000815C0">
      <w:pPr>
        <w:pStyle w:val="FootnoteText"/>
      </w:pPr>
      <w:r w:rsidRPr="002E0C5E">
        <w:rPr>
          <w:vertAlign w:val="superscript"/>
        </w:rPr>
        <w:footnoteRef/>
      </w:r>
      <w:r w:rsidRPr="0063431E">
        <w:rPr>
          <w:i/>
        </w:rPr>
        <w:t xml:space="preserve"> </w:t>
      </w:r>
      <w:bookmarkStart w:id="6" w:name="_Hlk13824543"/>
      <w:r w:rsidRPr="001C69FA">
        <w:t>47 CFR § 61.</w:t>
      </w:r>
      <w:r>
        <w:t>49</w:t>
      </w:r>
      <w:r w:rsidRPr="001C69FA">
        <w:t>(</w:t>
      </w:r>
      <w:r>
        <w:t>k</w:t>
      </w:r>
      <w:r w:rsidRPr="001C69FA">
        <w:t>)</w:t>
      </w:r>
      <w:r>
        <w:t xml:space="preserve">; </w:t>
      </w:r>
      <w:r w:rsidRPr="00996154">
        <w:rPr>
          <w:i/>
        </w:rPr>
        <w:t>infra</w:t>
      </w:r>
      <w:r>
        <w:t xml:space="preserve"> Appx. A, 47 CFR § 61.49(k)</w:t>
      </w:r>
      <w:r w:rsidRPr="001C69FA">
        <w:t>.</w:t>
      </w:r>
      <w:bookmarkEnd w:id="6"/>
    </w:p>
  </w:footnote>
  <w:footnote w:id="6">
    <w:p w:rsidR="000815C0" w:rsidP="000815C0">
      <w:pPr>
        <w:pStyle w:val="FootnoteText"/>
      </w:pPr>
      <w:r>
        <w:rPr>
          <w:rStyle w:val="FootnoteReference"/>
        </w:rPr>
        <w:footnoteRef/>
      </w:r>
      <w:r>
        <w:t xml:space="preserve"> </w:t>
      </w:r>
      <w:r>
        <w:rPr>
          <w:i/>
        </w:rPr>
        <w:t>Notice</w:t>
      </w:r>
      <w:r>
        <w:t xml:space="preserve">, </w:t>
      </w:r>
      <w:bookmarkStart w:id="7" w:name="_Hlk17220552"/>
      <w:r>
        <w:t>33 FCC Rcd at 10212, para. 1</w:t>
      </w:r>
      <w:bookmarkEnd w:id="7"/>
      <w:r>
        <w:t xml:space="preserve">; </w:t>
      </w:r>
      <w:r>
        <w:rPr>
          <w:i/>
        </w:rPr>
        <w:t>s</w:t>
      </w:r>
      <w:r w:rsidRPr="00C13878">
        <w:rPr>
          <w:i/>
        </w:rPr>
        <w:t xml:space="preserve">ee </w:t>
      </w:r>
      <w:r w:rsidRPr="00D06961">
        <w:t xml:space="preserve">AT&amp;T </w:t>
      </w:r>
      <w:r>
        <w:t xml:space="preserve">Services, Inc. (AT&amp;T) </w:t>
      </w:r>
      <w:r w:rsidRPr="00D06961">
        <w:rPr>
          <w:i/>
        </w:rPr>
        <w:t>Ex Parte</w:t>
      </w:r>
      <w:r w:rsidRPr="00D06961">
        <w:t xml:space="preserve"> Comments at 3; CenturyLink Comments at 2; Frontier </w:t>
      </w:r>
      <w:r>
        <w:t xml:space="preserve">Communications (Frontier) </w:t>
      </w:r>
      <w:r w:rsidRPr="00D06961">
        <w:t>Comments at 1-2; ITTA</w:t>
      </w:r>
      <w:r>
        <w:t xml:space="preserve"> – The Voice of America’s Broadband Providers</w:t>
      </w:r>
      <w:r w:rsidRPr="00D06961">
        <w:t xml:space="preserve"> </w:t>
      </w:r>
      <w:r>
        <w:t xml:space="preserve">(ITTA) Comments </w:t>
      </w:r>
      <w:r w:rsidRPr="00D06961">
        <w:t>at 2 &amp; n.10; Tyler Swanson Comments at 1; Verizon Comments at 2</w:t>
      </w:r>
      <w:r>
        <w:t>.</w:t>
      </w:r>
      <w:r w:rsidRPr="00C13878">
        <w:rPr>
          <w:i/>
        </w:rPr>
        <w:t xml:space="preserve"> </w:t>
      </w:r>
      <w:r w:rsidRPr="00C13878">
        <w:t xml:space="preserve"> </w:t>
      </w:r>
      <w:r>
        <w:t xml:space="preserve">AT&amp;T filed comments after the comment deadline along with a Motion for Acceptance of Late-Filed Comments, WC Docket Nos. 18-276 and 17-308 (filed Jan. 2, 2019) (AT&amp;T Motion).  We consider AT&amp;T’s late-filed comments as an </w:t>
      </w:r>
      <w:r>
        <w:rPr>
          <w:i/>
        </w:rPr>
        <w:t>ex parte</w:t>
      </w:r>
      <w:r>
        <w:t xml:space="preserve"> submission in this </w:t>
      </w:r>
      <w:r>
        <w:t>proceeding, and</w:t>
      </w:r>
      <w:r>
        <w:t xml:space="preserve"> dismiss the AT&amp;T Motion as moot. </w:t>
      </w:r>
    </w:p>
  </w:footnote>
  <w:footnote w:id="7">
    <w:p w:rsidR="000815C0" w:rsidP="000815C0">
      <w:pPr>
        <w:pStyle w:val="FootnoteText"/>
      </w:pPr>
      <w:r w:rsidRPr="00923D39">
        <w:rPr>
          <w:rStyle w:val="FootnoteReference"/>
        </w:rPr>
        <w:footnoteRef/>
      </w:r>
      <w:r w:rsidRPr="00923D39">
        <w:t xml:space="preserve"> </w:t>
      </w:r>
      <w:r w:rsidRPr="00923D39">
        <w:rPr>
          <w:i/>
        </w:rPr>
        <w:t>Notice</w:t>
      </w:r>
      <w:r w:rsidRPr="00923D39">
        <w:t>, 33 FCC Rcd at 10213-14, paras. 3, 8.</w:t>
      </w:r>
    </w:p>
  </w:footnote>
  <w:footnote w:id="8">
    <w:p w:rsidR="000815C0" w:rsidP="000815C0">
      <w:pPr>
        <w:pStyle w:val="FootnoteText"/>
      </w:pPr>
      <w:r>
        <w:rPr>
          <w:rStyle w:val="FootnoteReference"/>
        </w:rPr>
        <w:footnoteRef/>
      </w:r>
      <w:r>
        <w:t xml:space="preserve"> ITTA Comments at 1.</w:t>
      </w:r>
    </w:p>
  </w:footnote>
  <w:footnote w:id="9">
    <w:p w:rsidR="000815C0" w:rsidRPr="00F92D8F" w:rsidP="000815C0">
      <w:pPr>
        <w:pStyle w:val="FootnoteText"/>
      </w:pPr>
      <w:r>
        <w:rPr>
          <w:rStyle w:val="FootnoteReference"/>
        </w:rPr>
        <w:footnoteRef/>
      </w:r>
      <w:r>
        <w:t xml:space="preserve"> FCC, Part 61—Tariffs, 5 Fed. Reg. 5082, 5083 (Dec. 14, 1940) (adopting section 61.74); FCC, Title 47—Telecommunications, 4 Fed. Reg. 2287, 2289 (June 7, 1939) (adopting section 223.05(g)</w:t>
      </w:r>
      <w:r w:rsidR="00F171C6">
        <w:t>,</w:t>
      </w:r>
      <w:r>
        <w:t xml:space="preserve"> which is now contained in section 61.54); 47 CFR §§ 61.54, 61.74; </w:t>
      </w:r>
      <w:r>
        <w:rPr>
          <w:i/>
        </w:rPr>
        <w:t xml:space="preserve">see </w:t>
      </w:r>
      <w:r w:rsidRPr="008C2509">
        <w:rPr>
          <w:i/>
        </w:rPr>
        <w:t>Amendment of Parts 1 and 61 of the Commission’s Rules</w:t>
      </w:r>
      <w:r w:rsidRPr="008C2509">
        <w:t>, CC Docket No. 83-992, Report and Order, 98 F.C.C.2d 855, 865, paras. 40-41 (1984)</w:t>
      </w:r>
      <w:r>
        <w:t xml:space="preserve"> (</w:t>
      </w:r>
      <w:r>
        <w:rPr>
          <w:i/>
        </w:rPr>
        <w:t>Amendment of Parts 1 and 61 of the Commission’s Rules</w:t>
      </w:r>
      <w:r>
        <w:t>)</w:t>
      </w:r>
      <w:r w:rsidRPr="008C2509">
        <w:t xml:space="preserve"> (</w:t>
      </w:r>
      <w:r>
        <w:t xml:space="preserve">recognizing that section </w:t>
      </w:r>
      <w:r w:rsidRPr="008C2509">
        <w:t>61.54</w:t>
      </w:r>
      <w:r w:rsidRPr="00923D39">
        <w:t>(j) prohibits</w:t>
      </w:r>
      <w:r>
        <w:t xml:space="preserve"> a </w:t>
      </w:r>
      <w:r w:rsidRPr="008C2509">
        <w:t xml:space="preserve">carrier’s tariff </w:t>
      </w:r>
      <w:r>
        <w:t xml:space="preserve">from </w:t>
      </w:r>
      <w:r w:rsidRPr="008C2509">
        <w:t>refer</w:t>
      </w:r>
      <w:r>
        <w:t>ring</w:t>
      </w:r>
      <w:r w:rsidRPr="008C2509">
        <w:t xml:space="preserve"> to the rates in another tariff); </w:t>
      </w:r>
      <w:bookmarkStart w:id="9" w:name="_Hlk19696584"/>
      <w:r w:rsidRPr="008C2509">
        <w:rPr>
          <w:i/>
        </w:rPr>
        <w:t>AT&amp;T Picturephone(r) Meeting Service</w:t>
      </w:r>
      <w:bookmarkEnd w:id="9"/>
      <w:r w:rsidRPr="008C2509">
        <w:t>, Memorandum Opinion and Order, 84 F.C.C.2d 322, 333-34, para. 31 (1981)</w:t>
      </w:r>
      <w:r>
        <w:t xml:space="preserve"> (</w:t>
      </w:r>
      <w:r w:rsidRPr="008C2509">
        <w:rPr>
          <w:i/>
        </w:rPr>
        <w:t>AT&amp;T Picturephone(r) Meeting Service</w:t>
      </w:r>
      <w:r>
        <w:t xml:space="preserve">). </w:t>
      </w:r>
      <w:r w:rsidRPr="008C2509">
        <w:t xml:space="preserve"> </w:t>
      </w:r>
      <w:r>
        <w:t xml:space="preserve">  </w:t>
      </w:r>
    </w:p>
  </w:footnote>
  <w:footnote w:id="10">
    <w:p w:rsidR="000815C0" w:rsidRPr="00387978" w:rsidP="000815C0">
      <w:pPr>
        <w:pStyle w:val="FootnoteText"/>
      </w:pPr>
      <w:r w:rsidRPr="00387978">
        <w:rPr>
          <w:rStyle w:val="FootnoteReference"/>
        </w:rPr>
        <w:footnoteRef/>
      </w:r>
      <w:r w:rsidRPr="00387978">
        <w:t xml:space="preserve"> </w:t>
      </w:r>
      <w:r>
        <w:t xml:space="preserve">Frontier Comments at 1; </w:t>
      </w:r>
      <w:r w:rsidRPr="009A42DA">
        <w:rPr>
          <w:i/>
        </w:rPr>
        <w:t>see also</w:t>
      </w:r>
      <w:r>
        <w:t xml:space="preserve"> </w:t>
      </w:r>
      <w:r w:rsidRPr="009A42DA">
        <w:t>Verizon Comments at 2; ITTA Comments at 1; CenturyLink Comments at 2</w:t>
      </w:r>
      <w:r>
        <w:t xml:space="preserve">; </w:t>
      </w:r>
      <w:r w:rsidRPr="00755F7C">
        <w:rPr>
          <w:i/>
        </w:rPr>
        <w:t xml:space="preserve">Electronic Tariff Filing System </w:t>
      </w:r>
      <w:r w:rsidRPr="003A19C5">
        <w:t>(</w:t>
      </w:r>
      <w:r w:rsidRPr="00755F7C">
        <w:rPr>
          <w:i/>
        </w:rPr>
        <w:t>ETFS)</w:t>
      </w:r>
      <w:r>
        <w:t xml:space="preserve">, Order, 13 FCC Rcd 12335 (CCB 1998) (establishing mandatory electronic tariff filing for incumbent </w:t>
      </w:r>
      <w:r w:rsidR="00F171C6">
        <w:t>local exchange carriers</w:t>
      </w:r>
      <w:r>
        <w:t xml:space="preserve">); FCC, </w:t>
      </w:r>
      <w:r w:rsidRPr="00F76E78">
        <w:rPr>
          <w:i/>
        </w:rPr>
        <w:t>Electronic Tariff Filing System</w:t>
      </w:r>
      <w:r w:rsidRPr="000238FA">
        <w:t xml:space="preserve">, </w:t>
      </w:r>
      <w:hyperlink r:id="rId1" w:history="1">
        <w:r w:rsidRPr="000238FA">
          <w:rPr>
            <w:rStyle w:val="Hyperlink"/>
          </w:rPr>
          <w:t>https://apps.fcc.gov/etfs/etfsHome.action</w:t>
        </w:r>
      </w:hyperlink>
      <w:r>
        <w:t xml:space="preserve"> (last visited </w:t>
      </w:r>
      <w:r w:rsidR="00F171C6">
        <w:t>Oct. 2</w:t>
      </w:r>
      <w:r w:rsidR="00513362">
        <w:t>4</w:t>
      </w:r>
      <w:r>
        <w:t xml:space="preserve">, 2019).  The electronic filing requirement was extended to apply to all carriers in 2011.  </w:t>
      </w:r>
      <w:r w:rsidRPr="00B509DE">
        <w:rPr>
          <w:i/>
        </w:rPr>
        <w:t>Electronic Tariff Filing System</w:t>
      </w:r>
      <w:r>
        <w:t>, WC Docket No. 10-141, Report and Order, 26 FCC Rcd. 8884, 8886, para. 6 (2011).</w:t>
      </w:r>
    </w:p>
  </w:footnote>
  <w:footnote w:id="11">
    <w:p w:rsidR="000815C0" w:rsidP="000815C0">
      <w:pPr>
        <w:pStyle w:val="FootnoteText"/>
      </w:pPr>
      <w:r>
        <w:rPr>
          <w:rStyle w:val="FootnoteReference"/>
        </w:rPr>
        <w:footnoteRef/>
      </w:r>
      <w:r>
        <w:t xml:space="preserve"> </w:t>
      </w:r>
      <w:r w:rsidRPr="00640673">
        <w:rPr>
          <w:i/>
        </w:rPr>
        <w:t>Notice</w:t>
      </w:r>
      <w:r w:rsidRPr="00640673">
        <w:t>, 33 FCC Rcd at 10213, para. 5</w:t>
      </w:r>
      <w:r>
        <w:t xml:space="preserve">; </w:t>
      </w:r>
      <w:r>
        <w:rPr>
          <w:i/>
        </w:rPr>
        <w:t xml:space="preserve">see </w:t>
      </w:r>
      <w:r>
        <w:t>Verizon Comments at 2.</w:t>
      </w:r>
    </w:p>
  </w:footnote>
  <w:footnote w:id="12">
    <w:p w:rsidR="000815C0" w:rsidP="000815C0">
      <w:pPr>
        <w:pStyle w:val="FootnoteText"/>
      </w:pPr>
      <w:r>
        <w:rPr>
          <w:rStyle w:val="FootnoteReference"/>
        </w:rPr>
        <w:footnoteRef/>
      </w:r>
      <w:r>
        <w:t xml:space="preserve"> </w:t>
      </w:r>
      <w:bookmarkStart w:id="10" w:name="_Hlk19550669"/>
      <w:r w:rsidRPr="005811FD">
        <w:rPr>
          <w:i/>
        </w:rPr>
        <w:t>Notice</w:t>
      </w:r>
      <w:r>
        <w:t>, 33 FCC Rcd at 10213, para. 5</w:t>
      </w:r>
      <w:bookmarkStart w:id="11" w:name="_Hlk19550556"/>
      <w:r>
        <w:t>.</w:t>
      </w:r>
      <w:bookmarkEnd w:id="10"/>
    </w:p>
    <w:bookmarkEnd w:id="11"/>
  </w:footnote>
  <w:footnote w:id="13">
    <w:p w:rsidR="000815C0" w:rsidP="000815C0">
      <w:pPr>
        <w:pStyle w:val="FootnoteText"/>
      </w:pPr>
      <w:r>
        <w:rPr>
          <w:rStyle w:val="FootnoteReference"/>
        </w:rPr>
        <w:footnoteRef/>
      </w:r>
      <w:r>
        <w:t xml:space="preserve"> </w:t>
      </w:r>
      <w:r w:rsidRPr="002C5F51">
        <w:rPr>
          <w:i/>
        </w:rPr>
        <w:t>Id</w:t>
      </w:r>
      <w:r>
        <w:t>.</w:t>
      </w:r>
      <w:r w:rsidRPr="00AD41CF">
        <w:t xml:space="preserve"> at </w:t>
      </w:r>
      <w:r>
        <w:t xml:space="preserve">10213, </w:t>
      </w:r>
      <w:r w:rsidRPr="00AD41CF">
        <w:t>1021</w:t>
      </w:r>
      <w:r>
        <w:t>6-17</w:t>
      </w:r>
      <w:r w:rsidRPr="00AD41CF">
        <w:t>, para</w:t>
      </w:r>
      <w:r>
        <w:t>s</w:t>
      </w:r>
      <w:r w:rsidRPr="00AD41CF">
        <w:t xml:space="preserve">. </w:t>
      </w:r>
      <w:r>
        <w:t>3, 14-18.</w:t>
      </w:r>
    </w:p>
  </w:footnote>
  <w:footnote w:id="14">
    <w:p w:rsidR="000815C0" w:rsidP="000815C0">
      <w:pPr>
        <w:pStyle w:val="FootnoteText"/>
      </w:pPr>
      <w:r>
        <w:rPr>
          <w:rStyle w:val="FootnoteReference"/>
        </w:rPr>
        <w:footnoteRef/>
      </w:r>
      <w:r>
        <w:rPr>
          <w:color w:val="3D3D3D"/>
          <w:shd w:val="clear" w:color="auto" w:fill="FFFFFF"/>
        </w:rPr>
        <w:t xml:space="preserve"> </w:t>
      </w:r>
      <w:r w:rsidRPr="006317E3">
        <w:rPr>
          <w:i/>
        </w:rPr>
        <w:t>See</w:t>
      </w:r>
      <w:r>
        <w:t xml:space="preserve"> </w:t>
      </w:r>
      <w:r w:rsidRPr="006317E3">
        <w:rPr>
          <w:i/>
        </w:rPr>
        <w:t>Access Tariff Filing Schedules</w:t>
      </w:r>
      <w:r>
        <w:t>, CC Docket No. 88-286, Report and Order, 3 FCC Rcd 5495, 5498, paras. 24-25 (1988).</w:t>
      </w:r>
    </w:p>
  </w:footnote>
  <w:footnote w:id="15">
    <w:p w:rsidR="000815C0" w:rsidP="000815C0">
      <w:pPr>
        <w:pStyle w:val="FootnoteText"/>
      </w:pPr>
      <w:r>
        <w:rPr>
          <w:rStyle w:val="FootnoteReference"/>
        </w:rPr>
        <w:footnoteRef/>
      </w:r>
      <w:r>
        <w:t xml:space="preserve"> </w:t>
      </w:r>
      <w:r w:rsidRPr="001800C0">
        <w:rPr>
          <w:i/>
        </w:rPr>
        <w:t>Notice</w:t>
      </w:r>
      <w:r w:rsidRPr="001800C0">
        <w:t>, 33 FCC Rcd at 10214, para. 9</w:t>
      </w:r>
      <w:r>
        <w:t xml:space="preserve">; </w:t>
      </w:r>
      <w:r>
        <w:rPr>
          <w:i/>
        </w:rPr>
        <w:t>see</w:t>
      </w:r>
      <w:r w:rsidRPr="001800C0">
        <w:t xml:space="preserve"> 47 U.S.C. § 204(a)(3)</w:t>
      </w:r>
      <w:r>
        <w:t xml:space="preserve">; </w:t>
      </w:r>
      <w:r w:rsidRPr="00C52908">
        <w:rPr>
          <w:i/>
        </w:rPr>
        <w:t>Implementation of Section 402(b)(1)(A) of the Telecommunications Act of 1996</w:t>
      </w:r>
      <w:r w:rsidRPr="00244445">
        <w:t>, CC Docket No. 96-187, Report and Order, 12 FCC Rcd 2170</w:t>
      </w:r>
      <w:r>
        <w:t>, 2172-73, 2219, paras. 2, 102</w:t>
      </w:r>
      <w:r w:rsidRPr="00244445">
        <w:t xml:space="preserve"> (1997)</w:t>
      </w:r>
      <w:r>
        <w:rPr>
          <w:color w:val="3D3D3D"/>
          <w:shd w:val="clear" w:color="auto" w:fill="FFFFFF"/>
        </w:rPr>
        <w:t>.</w:t>
      </w:r>
    </w:p>
  </w:footnote>
  <w:footnote w:id="16">
    <w:p w:rsidR="000815C0" w:rsidRPr="00C153F3" w:rsidP="000815C0">
      <w:pPr>
        <w:pStyle w:val="FootnoteText"/>
      </w:pPr>
      <w:r>
        <w:rPr>
          <w:rStyle w:val="FootnoteReference"/>
        </w:rPr>
        <w:footnoteRef/>
      </w:r>
      <w:r>
        <w:t xml:space="preserve"> </w:t>
      </w:r>
      <w:bookmarkStart w:id="12" w:name="_Hlk19554669"/>
      <w:r>
        <w:rPr>
          <w:i/>
        </w:rPr>
        <w:t>Notice</w:t>
      </w:r>
      <w:r w:rsidRPr="0048076F">
        <w:t>,</w:t>
      </w:r>
      <w:r>
        <w:rPr>
          <w:i/>
        </w:rPr>
        <w:t xml:space="preserve"> </w:t>
      </w:r>
      <w:r>
        <w:t>33 FCC Rcd at 10214, para. 10</w:t>
      </w:r>
      <w:bookmarkEnd w:id="12"/>
      <w:r>
        <w:t>.</w:t>
      </w:r>
    </w:p>
  </w:footnote>
  <w:footnote w:id="17">
    <w:p w:rsidR="000815C0" w:rsidP="000815C0">
      <w:pPr>
        <w:pStyle w:val="FootnoteText"/>
      </w:pPr>
      <w:r>
        <w:rPr>
          <w:rStyle w:val="FootnoteReference"/>
        </w:rPr>
        <w:footnoteRef/>
      </w:r>
      <w:r>
        <w:t xml:space="preserve"> </w:t>
      </w:r>
      <w:r w:rsidRPr="00062A22">
        <w:rPr>
          <w:i/>
        </w:rPr>
        <w:t>Id</w:t>
      </w:r>
      <w:r w:rsidRPr="009C578E">
        <w:t>.</w:t>
      </w:r>
      <w:r>
        <w:t xml:space="preserve">  Although the short form tariff review plan formerly included data pertaining to non-exogenous cost data, the requirement to provide such information has been waived since 2014.  </w:t>
      </w:r>
      <w:r w:rsidRPr="0048772B">
        <w:rPr>
          <w:i/>
        </w:rPr>
        <w:t>See, e.g.</w:t>
      </w:r>
      <w:r w:rsidRPr="0048772B">
        <w:t>,</w:t>
      </w:r>
      <w:r w:rsidRPr="0048772B">
        <w:rPr>
          <w:i/>
        </w:rPr>
        <w:t xml:space="preserve"> July 1, 2014 Annual</w:t>
      </w:r>
      <w:r w:rsidRPr="00DA12EE">
        <w:rPr>
          <w:i/>
        </w:rPr>
        <w:t xml:space="preserve"> Access Charge Tariff Filings</w:t>
      </w:r>
      <w:r>
        <w:t>, WC Docket No. 14-48, Order, 29 FCC Rcd 3133, 3135-36, para. 6 (WCB 2014) (</w:t>
      </w:r>
      <w:r>
        <w:rPr>
          <w:i/>
        </w:rPr>
        <w:t>2014 Annual Access Charge Filing Order</w:t>
      </w:r>
      <w:r>
        <w:t>).</w:t>
      </w:r>
    </w:p>
  </w:footnote>
  <w:footnote w:id="18">
    <w:p w:rsidR="000815C0" w:rsidP="000815C0">
      <w:pPr>
        <w:pStyle w:val="FootnoteText"/>
      </w:pPr>
      <w:r>
        <w:rPr>
          <w:rStyle w:val="FootnoteReference"/>
        </w:rPr>
        <w:footnoteRef/>
      </w:r>
      <w:r>
        <w:t xml:space="preserve"> </w:t>
      </w:r>
      <w:r>
        <w:rPr>
          <w:i/>
        </w:rPr>
        <w:t xml:space="preserve">See, </w:t>
      </w:r>
      <w:r w:rsidRPr="00FA5DB8">
        <w:rPr>
          <w:i/>
        </w:rPr>
        <w:t>e.g.</w:t>
      </w:r>
      <w:r>
        <w:t xml:space="preserve">, </w:t>
      </w:r>
      <w:r w:rsidRPr="00FA5DB8">
        <w:rPr>
          <w:i/>
        </w:rPr>
        <w:t>July 3, 2012 Annual Access Charge Tariff Filings</w:t>
      </w:r>
      <w:r>
        <w:t xml:space="preserve">, Order, 27 FCC Rcd 2981, 2983-84, para. 5 (WCB 2012); </w:t>
      </w:r>
      <w:r w:rsidRPr="00F138A2">
        <w:rPr>
          <w:i/>
        </w:rPr>
        <w:t>Material to Be Filed in Support of 2013 Annual Access Tariff Filings</w:t>
      </w:r>
      <w:r>
        <w:t>, WC Docket No. 13-76, Order, 28 FCC Rcd 5224, 5226, paras. 6-7 (WCB 2013).</w:t>
      </w:r>
    </w:p>
  </w:footnote>
  <w:footnote w:id="19">
    <w:p w:rsidR="000815C0" w:rsidP="000815C0">
      <w:pPr>
        <w:pStyle w:val="FootnoteText"/>
      </w:pPr>
      <w:r>
        <w:rPr>
          <w:rStyle w:val="FootnoteReference"/>
        </w:rPr>
        <w:footnoteRef/>
      </w:r>
      <w:r>
        <w:t xml:space="preserve"> </w:t>
      </w:r>
      <w:r>
        <w:rPr>
          <w:i/>
        </w:rPr>
        <w:t>2014 Annual Access Charge Filing Order</w:t>
      </w:r>
      <w:r>
        <w:t xml:space="preserve">, 29 FCC Rcd at 3135-36, para. 6.  </w:t>
      </w:r>
      <w:bookmarkStart w:id="13" w:name="_Hlk19628629"/>
    </w:p>
    <w:bookmarkEnd w:id="13"/>
  </w:footnote>
  <w:footnote w:id="20">
    <w:p w:rsidR="000815C0" w:rsidP="000815C0">
      <w:pPr>
        <w:pStyle w:val="FootnoteText"/>
      </w:pPr>
      <w:r>
        <w:rPr>
          <w:rStyle w:val="FootnoteReference"/>
        </w:rPr>
        <w:footnoteRef/>
      </w:r>
      <w:r>
        <w:t xml:space="preserve"> </w:t>
      </w:r>
      <w:r w:rsidRPr="00D453FC">
        <w:rPr>
          <w:i/>
        </w:rPr>
        <w:t>Materials to Be Filed in Support of 2017 Annual Access Tariff Filings</w:t>
      </w:r>
      <w:r>
        <w:t xml:space="preserve">, WC Docket No. 17-65, Order, 32 FCC Rcd 3878, 3878-79, paras. 2-3 (WCB 2017).  </w:t>
      </w:r>
      <w:r w:rsidRPr="005B739A">
        <w:rPr>
          <w:szCs w:val="22"/>
        </w:rPr>
        <w:t xml:space="preserve">The Bureau also </w:t>
      </w:r>
      <w:r>
        <w:rPr>
          <w:szCs w:val="22"/>
        </w:rPr>
        <w:t>acknowledged</w:t>
      </w:r>
      <w:r w:rsidRPr="005B739A">
        <w:rPr>
          <w:szCs w:val="22"/>
        </w:rPr>
        <w:t xml:space="preserve"> that “there is a legitimate question as to whether the short form </w:t>
      </w:r>
      <w:r w:rsidRPr="00683F21">
        <w:rPr>
          <w:szCs w:val="22"/>
        </w:rPr>
        <w:t xml:space="preserve">[tariff review plan] </w:t>
      </w:r>
      <w:r w:rsidRPr="005B739A">
        <w:rPr>
          <w:szCs w:val="22"/>
        </w:rPr>
        <w:t>serves a necessary purpose given its limited utility and [the Bureau’s] collection of exogenous cost information in the long form</w:t>
      </w:r>
      <w:r>
        <w:rPr>
          <w:szCs w:val="22"/>
        </w:rPr>
        <w:t xml:space="preserve"> [tariff review plan</w:t>
      </w:r>
      <w:r w:rsidRPr="005B739A">
        <w:rPr>
          <w:szCs w:val="22"/>
        </w:rPr>
        <w:t>s</w:t>
      </w:r>
      <w:r>
        <w:rPr>
          <w:szCs w:val="22"/>
        </w:rPr>
        <w:t>]</w:t>
      </w:r>
      <w:r w:rsidRPr="005B739A">
        <w:rPr>
          <w:szCs w:val="22"/>
        </w:rPr>
        <w:t>.”</w:t>
      </w:r>
      <w:r>
        <w:rPr>
          <w:szCs w:val="22"/>
        </w:rPr>
        <w:t xml:space="preserve">  </w:t>
      </w:r>
      <w:r>
        <w:rPr>
          <w:i/>
          <w:szCs w:val="22"/>
        </w:rPr>
        <w:t>Id</w:t>
      </w:r>
      <w:r>
        <w:rPr>
          <w:szCs w:val="22"/>
        </w:rPr>
        <w:t>.</w:t>
      </w:r>
    </w:p>
  </w:footnote>
  <w:footnote w:id="21">
    <w:p w:rsidR="000815C0" w:rsidRPr="00142B87" w:rsidP="000815C0">
      <w:pPr>
        <w:pStyle w:val="FootnoteText"/>
      </w:pPr>
      <w:r>
        <w:rPr>
          <w:rStyle w:val="FootnoteReference"/>
        </w:rPr>
        <w:footnoteRef/>
      </w:r>
      <w:r>
        <w:t xml:space="preserve"> </w:t>
      </w:r>
      <w:r w:rsidRPr="00BB2D77">
        <w:rPr>
          <w:i/>
        </w:rPr>
        <w:t>July 1, 2019 Annual Access Charge Tariff Filing</w:t>
      </w:r>
      <w:r w:rsidRPr="00BB2D77">
        <w:t xml:space="preserve">, WC Docket No. 19-47, Order, </w:t>
      </w:r>
      <w:r w:rsidRPr="001A4D6F">
        <w:t>34 FCC Rcd 2067, 2070, para. 9</w:t>
      </w:r>
      <w:r w:rsidRPr="00BB2D77">
        <w:t xml:space="preserve"> (WCB 2019)</w:t>
      </w:r>
      <w:r>
        <w:t xml:space="preserve">; </w:t>
      </w:r>
      <w:r w:rsidRPr="00BB2D77">
        <w:rPr>
          <w:i/>
        </w:rPr>
        <w:t>July 1, 2018 Annual Access Charge Tariff Filing</w:t>
      </w:r>
      <w:r w:rsidRPr="00BB2D77">
        <w:t>, WC Docket No. 18-100, Order, 33 FCC Rcd 3497, 3499-3500, paras. 6-7 (WCB 2018)</w:t>
      </w:r>
      <w:r>
        <w:t>.</w:t>
      </w:r>
    </w:p>
  </w:footnote>
  <w:footnote w:id="22">
    <w:p w:rsidR="000815C0" w:rsidP="000815C0">
      <w:pPr>
        <w:pStyle w:val="FootnoteText"/>
      </w:pPr>
      <w:r>
        <w:rPr>
          <w:rStyle w:val="FootnoteReference"/>
        </w:rPr>
        <w:footnoteRef/>
      </w:r>
      <w:r>
        <w:t xml:space="preserve"> </w:t>
      </w:r>
      <w:r w:rsidRPr="00923D39">
        <w:rPr>
          <w:i/>
        </w:rPr>
        <w:t>Notice</w:t>
      </w:r>
      <w:r w:rsidRPr="00923D39">
        <w:t>,</w:t>
      </w:r>
      <w:r w:rsidRPr="00923D39">
        <w:rPr>
          <w:i/>
        </w:rPr>
        <w:t xml:space="preserve"> </w:t>
      </w:r>
      <w:r w:rsidRPr="00923D39">
        <w:t>33 FCC Rcd at 10215, para. 11</w:t>
      </w:r>
      <w:r w:rsidRPr="00652B4A">
        <w:t>.</w:t>
      </w:r>
    </w:p>
  </w:footnote>
  <w:footnote w:id="23">
    <w:p w:rsidR="000815C0" w:rsidP="000815C0">
      <w:pPr>
        <w:pStyle w:val="FootnoteText"/>
      </w:pPr>
      <w:r>
        <w:rPr>
          <w:rStyle w:val="FootnoteReference"/>
        </w:rPr>
        <w:footnoteRef/>
      </w:r>
      <w:r>
        <w:t xml:space="preserve"> </w:t>
      </w:r>
      <w:r w:rsidRPr="007633A1">
        <w:rPr>
          <w:i/>
        </w:rPr>
        <w:t>Id</w:t>
      </w:r>
      <w:r>
        <w:t>. at 1021, para. 8.</w:t>
      </w:r>
    </w:p>
  </w:footnote>
  <w:footnote w:id="24">
    <w:p w:rsidR="000815C0" w:rsidP="000815C0">
      <w:pPr>
        <w:pStyle w:val="FootnoteText"/>
      </w:pPr>
      <w:r>
        <w:rPr>
          <w:rStyle w:val="FootnoteReference"/>
        </w:rPr>
        <w:footnoteRef/>
      </w:r>
      <w:r>
        <w:t xml:space="preserve"> Some commenters provided input on only one issue and some commented on both.  </w:t>
      </w:r>
      <w:r w:rsidRPr="00586B08">
        <w:t>Frontier Comments</w:t>
      </w:r>
      <w:r>
        <w:t xml:space="preserve"> at 2</w:t>
      </w:r>
      <w:r w:rsidRPr="00586B08">
        <w:t xml:space="preserve">; AT&amp;T </w:t>
      </w:r>
      <w:bookmarkStart w:id="14" w:name="_Hlk19792903"/>
      <w:r w:rsidRPr="00586B08">
        <w:rPr>
          <w:i/>
        </w:rPr>
        <w:t xml:space="preserve">Ex Parte </w:t>
      </w:r>
      <w:bookmarkEnd w:id="14"/>
      <w:r w:rsidRPr="00586B08">
        <w:t>Comments</w:t>
      </w:r>
      <w:r>
        <w:t xml:space="preserve"> at 3</w:t>
      </w:r>
      <w:r w:rsidRPr="00586B08">
        <w:t>; CenturyLink Comments</w:t>
      </w:r>
      <w:r>
        <w:t xml:space="preserve"> at 2-3; Verizon Comments at 2-5 (all commenting on both issues presented in the </w:t>
      </w:r>
      <w:r w:rsidRPr="00652B4A">
        <w:rPr>
          <w:i/>
        </w:rPr>
        <w:t>Notice</w:t>
      </w:r>
      <w:r>
        <w:t xml:space="preserve">).  ITTA Comments at 1; Tyler Swanson Comments at 1 (both commenting only on the </w:t>
      </w:r>
      <w:r w:rsidRPr="00652B4A">
        <w:t>tariff cross-referencing</w:t>
      </w:r>
      <w:r>
        <w:t xml:space="preserve"> issue). </w:t>
      </w:r>
    </w:p>
  </w:footnote>
  <w:footnote w:id="25">
    <w:p w:rsidR="000815C0" w:rsidP="000815C0">
      <w:pPr>
        <w:pStyle w:val="FootnoteText"/>
      </w:pPr>
      <w:r>
        <w:rPr>
          <w:rStyle w:val="FootnoteReference"/>
        </w:rPr>
        <w:footnoteRef/>
      </w:r>
      <w:r>
        <w:t xml:space="preserve"> </w:t>
      </w:r>
      <w:r w:rsidRPr="00586B08">
        <w:t xml:space="preserve">Frontier Comments at 1-2; AT&amp;T </w:t>
      </w:r>
      <w:r w:rsidRPr="00586B08">
        <w:rPr>
          <w:i/>
        </w:rPr>
        <w:t xml:space="preserve">Ex Parte </w:t>
      </w:r>
      <w:r w:rsidRPr="00586B08">
        <w:t>Comments at 3; CenturyLink Comments at 2; ITTA Comments at 1-3; Tyler Swanson Comments at 1; Verizon Comments at 1-3.</w:t>
      </w:r>
    </w:p>
  </w:footnote>
  <w:footnote w:id="26">
    <w:p w:rsidR="000815C0" w:rsidRPr="0047081B" w:rsidP="000815C0">
      <w:pPr>
        <w:pStyle w:val="FootnoteText"/>
      </w:pPr>
      <w:r w:rsidRPr="0047081B">
        <w:rPr>
          <w:rStyle w:val="FootnoteReference"/>
        </w:rPr>
        <w:footnoteRef/>
      </w:r>
      <w:r w:rsidRPr="0047081B">
        <w:t xml:space="preserve"> </w:t>
      </w:r>
      <w:r w:rsidRPr="0047081B">
        <w:rPr>
          <w:i/>
        </w:rPr>
        <w:t>See</w:t>
      </w:r>
      <w:r w:rsidRPr="0047081B">
        <w:t xml:space="preserve"> Frontier Comments at 1-2; AT&amp;T </w:t>
      </w:r>
      <w:r w:rsidRPr="0047081B">
        <w:rPr>
          <w:i/>
        </w:rPr>
        <w:t xml:space="preserve">Ex Parte </w:t>
      </w:r>
      <w:r w:rsidRPr="0047081B">
        <w:t>Comments at 3;Verizon Comments at 1-3.</w:t>
      </w:r>
      <w:r>
        <w:t xml:space="preserve">  </w:t>
      </w:r>
      <w:bookmarkStart w:id="15" w:name="_Hlk19784303"/>
      <w:r w:rsidRPr="007E3BDD">
        <w:t xml:space="preserve">We do not adopt ITTA’s recommendation that we eliminate entirely the cross-referencing prohibition.  ITTA Comments at 3.  There is no evidence in the record of the benefits and drawbacks to allowing unaffiliated carriers to cross-reference each other’s tariffs.  Also, the </w:t>
      </w:r>
      <w:r w:rsidRPr="007E3BDD">
        <w:rPr>
          <w:i/>
        </w:rPr>
        <w:t>Notice</w:t>
      </w:r>
      <w:r w:rsidRPr="007E3BDD">
        <w:t xml:space="preserve"> only sought comment on amending the cross-referencing rules with respect to carriers’ own and their affiliates’ tariff filings.  </w:t>
      </w:r>
      <w:r w:rsidRPr="007E3BDD">
        <w:rPr>
          <w:i/>
        </w:rPr>
        <w:t>See Notice</w:t>
      </w:r>
      <w:r w:rsidRPr="007E3BDD">
        <w:t>, 33 FCC Rcd at 10213-14, paras. 3-7.</w:t>
      </w:r>
      <w:bookmarkEnd w:id="15"/>
    </w:p>
  </w:footnote>
  <w:footnote w:id="27">
    <w:p w:rsidR="000815C0" w:rsidP="000815C0">
      <w:pPr>
        <w:pStyle w:val="FootnoteText"/>
      </w:pPr>
      <w:r>
        <w:rPr>
          <w:rStyle w:val="FootnoteReference"/>
        </w:rPr>
        <w:footnoteRef/>
      </w:r>
      <w:r>
        <w:t xml:space="preserve"> Frontier Comments at 1-2; </w:t>
      </w:r>
      <w:r>
        <w:rPr>
          <w:i/>
        </w:rPr>
        <w:t xml:space="preserve">see </w:t>
      </w:r>
      <w:r w:rsidRPr="007E3BDD">
        <w:t xml:space="preserve">AT&amp;T </w:t>
      </w:r>
      <w:r w:rsidRPr="007E3BDD">
        <w:rPr>
          <w:i/>
        </w:rPr>
        <w:t xml:space="preserve">Ex Parte </w:t>
      </w:r>
      <w:r w:rsidRPr="007E3BDD">
        <w:t xml:space="preserve">Comments at 3; </w:t>
      </w:r>
      <w:r>
        <w:t xml:space="preserve">CenturyLink Comments at 2; </w:t>
      </w:r>
      <w:r w:rsidRPr="007E3BDD">
        <w:t>ITTA Comments at 2</w:t>
      </w:r>
      <w:r>
        <w:t>-3; Tyler Swanson Comments at 1; Verizon Comments at 2-3.</w:t>
      </w:r>
    </w:p>
  </w:footnote>
  <w:footnote w:id="28">
    <w:p w:rsidR="000815C0" w:rsidP="000815C0">
      <w:pPr>
        <w:pStyle w:val="FootnoteText"/>
      </w:pPr>
      <w:r>
        <w:rPr>
          <w:rStyle w:val="FootnoteReference"/>
        </w:rPr>
        <w:footnoteRef/>
      </w:r>
      <w:r>
        <w:t xml:space="preserve"> </w:t>
      </w:r>
      <w:r w:rsidRPr="002E5181">
        <w:t xml:space="preserve">AT&amp;T </w:t>
      </w:r>
      <w:r w:rsidRPr="002E5181">
        <w:rPr>
          <w:i/>
        </w:rPr>
        <w:t xml:space="preserve">Ex Parte </w:t>
      </w:r>
      <w:r w:rsidRPr="002E5181">
        <w:t>Comments at 3</w:t>
      </w:r>
      <w:r>
        <w:t xml:space="preserve">; </w:t>
      </w:r>
      <w:r w:rsidRPr="002E5181">
        <w:t>Verizon Comments at 3</w:t>
      </w:r>
      <w:r>
        <w:t>.</w:t>
      </w:r>
    </w:p>
  </w:footnote>
  <w:footnote w:id="29">
    <w:p w:rsidR="000815C0" w:rsidRPr="008C2509" w:rsidP="000815C0">
      <w:pPr>
        <w:pStyle w:val="FootnoteText"/>
      </w:pPr>
      <w:r w:rsidRPr="008C2509">
        <w:rPr>
          <w:rStyle w:val="FootnoteReference"/>
        </w:rPr>
        <w:footnoteRef/>
      </w:r>
      <w:r w:rsidRPr="008C2509">
        <w:t xml:space="preserve"> </w:t>
      </w:r>
      <w:bookmarkStart w:id="16" w:name="_Hlk19551924"/>
      <w:r w:rsidRPr="008C2509">
        <w:t xml:space="preserve">47 CFR § 61.54; </w:t>
      </w:r>
      <w:bookmarkStart w:id="17" w:name="_Hlk19696198"/>
      <w:r w:rsidRPr="008C2509">
        <w:rPr>
          <w:i/>
        </w:rPr>
        <w:t>Amendment of Parts 1 and 61 of the Commission’s Rules</w:t>
      </w:r>
      <w:r w:rsidRPr="008C2509">
        <w:t>, 98 F.C.C.2d</w:t>
      </w:r>
      <w:r>
        <w:t xml:space="preserve"> at</w:t>
      </w:r>
      <w:r w:rsidRPr="008C2509">
        <w:t xml:space="preserve"> 865, paras. 40-41</w:t>
      </w:r>
      <w:r>
        <w:t>;</w:t>
      </w:r>
      <w:r w:rsidRPr="008C2509">
        <w:t xml:space="preserve"> </w:t>
      </w:r>
      <w:r w:rsidRPr="008C2509">
        <w:rPr>
          <w:i/>
        </w:rPr>
        <w:t>AT&amp;T Picturephone(r) Meeting Service</w:t>
      </w:r>
      <w:r w:rsidRPr="008C2509">
        <w:t xml:space="preserve">, 84 F.C.C.2d </w:t>
      </w:r>
      <w:r>
        <w:t>at</w:t>
      </w:r>
      <w:r w:rsidRPr="008C2509">
        <w:t xml:space="preserve"> 333-34, para. 31</w:t>
      </w:r>
      <w:bookmarkStart w:id="18" w:name="_Hlk19696366"/>
      <w:bookmarkEnd w:id="17"/>
      <w:r w:rsidRPr="008C2509">
        <w:t>.</w:t>
      </w:r>
    </w:p>
    <w:bookmarkEnd w:id="16"/>
    <w:bookmarkEnd w:id="18"/>
  </w:footnote>
  <w:footnote w:id="30">
    <w:p w:rsidR="000815C0" w:rsidP="000815C0">
      <w:pPr>
        <w:pStyle w:val="FootnoteText"/>
      </w:pPr>
      <w:r w:rsidRPr="008C2509">
        <w:rPr>
          <w:rStyle w:val="FootnoteReference"/>
        </w:rPr>
        <w:footnoteRef/>
      </w:r>
      <w:r w:rsidRPr="008C2509">
        <w:t xml:space="preserve"> </w:t>
      </w:r>
      <w:r w:rsidRPr="008C2509">
        <w:rPr>
          <w:i/>
        </w:rPr>
        <w:t>Infra</w:t>
      </w:r>
      <w:r w:rsidRPr="008C2509">
        <w:t xml:space="preserve"> Appx. A, 47 CFR § 61.54(k).</w:t>
      </w:r>
    </w:p>
  </w:footnote>
  <w:footnote w:id="31">
    <w:p w:rsidR="000815C0" w:rsidP="000815C0">
      <w:pPr>
        <w:pStyle w:val="FootnoteText"/>
      </w:pPr>
      <w:r>
        <w:rPr>
          <w:rStyle w:val="FootnoteReference"/>
        </w:rPr>
        <w:footnoteRef/>
      </w:r>
      <w:r>
        <w:t xml:space="preserve"> </w:t>
      </w:r>
      <w:r w:rsidRPr="002D4C81">
        <w:rPr>
          <w:i/>
        </w:rPr>
        <w:t>See</w:t>
      </w:r>
      <w:r>
        <w:t xml:space="preserve"> </w:t>
      </w:r>
      <w:r w:rsidRPr="00FC7FE7">
        <w:t xml:space="preserve">AT&amp;T </w:t>
      </w:r>
      <w:r w:rsidRPr="00FC7FE7">
        <w:rPr>
          <w:i/>
        </w:rPr>
        <w:t>Ex Parte</w:t>
      </w:r>
      <w:r>
        <w:t xml:space="preserve"> Comments at 3; </w:t>
      </w:r>
      <w:r w:rsidRPr="00387978">
        <w:t>CenturyLink</w:t>
      </w:r>
      <w:r>
        <w:t xml:space="preserve"> Comments at </w:t>
      </w:r>
      <w:r w:rsidRPr="00387978">
        <w:t>2; Frontier</w:t>
      </w:r>
      <w:r>
        <w:t xml:space="preserve"> Comments at </w:t>
      </w:r>
      <w:r w:rsidRPr="00387978">
        <w:t>1</w:t>
      </w:r>
      <w:r>
        <w:t>-2</w:t>
      </w:r>
      <w:r w:rsidRPr="00387978">
        <w:t>; ITTA</w:t>
      </w:r>
      <w:r>
        <w:t xml:space="preserve"> Comments at </w:t>
      </w:r>
      <w:r w:rsidRPr="00387978">
        <w:t>2</w:t>
      </w:r>
      <w:r w:rsidR="00B152DD">
        <w:t>-3</w:t>
      </w:r>
      <w:r w:rsidRPr="00387978">
        <w:t>; Tyler Swanson</w:t>
      </w:r>
      <w:r>
        <w:t xml:space="preserve"> Comments at </w:t>
      </w:r>
      <w:r w:rsidRPr="00387978">
        <w:t>1</w:t>
      </w:r>
      <w:r>
        <w:t xml:space="preserve">; </w:t>
      </w:r>
      <w:r w:rsidRPr="00387978">
        <w:t>Verizon</w:t>
      </w:r>
      <w:r>
        <w:t xml:space="preserve"> Comments at </w:t>
      </w:r>
      <w:r w:rsidRPr="00387978">
        <w:t>2</w:t>
      </w:r>
      <w:r>
        <w:t>.</w:t>
      </w:r>
    </w:p>
  </w:footnote>
  <w:footnote w:id="32">
    <w:p w:rsidR="000815C0" w:rsidP="000815C0">
      <w:pPr>
        <w:pStyle w:val="FootnoteText"/>
      </w:pPr>
      <w:r>
        <w:rPr>
          <w:rStyle w:val="FootnoteReference"/>
        </w:rPr>
        <w:footnoteRef/>
      </w:r>
      <w:r>
        <w:t xml:space="preserve"> </w:t>
      </w:r>
      <w:r w:rsidRPr="00312717">
        <w:rPr>
          <w:i/>
        </w:rPr>
        <w:t>Notice</w:t>
      </w:r>
      <w:r w:rsidRPr="00312717">
        <w:t xml:space="preserve">, 33 FCC Rcd at 10214, para. </w:t>
      </w:r>
      <w:r>
        <w:t xml:space="preserve">8; </w:t>
      </w:r>
      <w:r w:rsidRPr="00DB360D">
        <w:rPr>
          <w:i/>
        </w:rPr>
        <w:t>infra</w:t>
      </w:r>
      <w:r w:rsidRPr="00DB360D">
        <w:t xml:space="preserve"> </w:t>
      </w:r>
      <w:r w:rsidRPr="008C2509">
        <w:t>Appx. A, 47 CFR § 61.49(k).</w:t>
      </w:r>
      <w:r w:rsidRPr="00995E52">
        <w:t xml:space="preserve">  </w:t>
      </w:r>
    </w:p>
  </w:footnote>
  <w:footnote w:id="33">
    <w:p w:rsidR="000815C0" w:rsidP="000815C0">
      <w:pPr>
        <w:pStyle w:val="FootnoteText"/>
      </w:pPr>
      <w:r>
        <w:rPr>
          <w:rStyle w:val="FootnoteReference"/>
        </w:rPr>
        <w:footnoteRef/>
      </w:r>
      <w:r>
        <w:t xml:space="preserve"> </w:t>
      </w:r>
      <w:r w:rsidRPr="005A2FFC">
        <w:t xml:space="preserve">AT&amp;T </w:t>
      </w:r>
      <w:r w:rsidRPr="005A2FFC">
        <w:rPr>
          <w:i/>
        </w:rPr>
        <w:t>Ex Parte</w:t>
      </w:r>
      <w:r w:rsidRPr="005A2FFC">
        <w:t xml:space="preserve"> Comments at 3; CenturyLink Comments at 2; Frontier Comments at 2; Verizon Comments at 3.</w:t>
      </w:r>
    </w:p>
  </w:footnote>
  <w:footnote w:id="34">
    <w:p w:rsidR="000815C0" w:rsidP="000815C0">
      <w:pPr>
        <w:pStyle w:val="FootnoteText"/>
      </w:pPr>
      <w:r>
        <w:rPr>
          <w:rStyle w:val="FootnoteReference"/>
        </w:rPr>
        <w:footnoteRef/>
      </w:r>
      <w:r>
        <w:t xml:space="preserve"> Verizon Comments at 4.  </w:t>
      </w:r>
      <w:r w:rsidRPr="00EA6DDB">
        <w:t xml:space="preserve">CenturyLink asserts that there is no evidence of harm from the waivers that were granted.  CenturyLink Comments at 3.  </w:t>
      </w:r>
    </w:p>
  </w:footnote>
  <w:footnote w:id="35">
    <w:p w:rsidR="000815C0" w:rsidRPr="00387978" w:rsidP="000815C0">
      <w:pPr>
        <w:pStyle w:val="FootnoteText"/>
      </w:pPr>
      <w:r w:rsidRPr="00387978">
        <w:rPr>
          <w:rStyle w:val="FootnoteReference"/>
        </w:rPr>
        <w:footnoteRef/>
      </w:r>
      <w:r w:rsidRPr="00387978">
        <w:t xml:space="preserve"> AT&amp;T</w:t>
      </w:r>
      <w:r>
        <w:t xml:space="preserve"> </w:t>
      </w:r>
      <w:r w:rsidRPr="00B669AC">
        <w:rPr>
          <w:i/>
        </w:rPr>
        <w:t>Ex Parte</w:t>
      </w:r>
      <w:r>
        <w:t xml:space="preserve"> Comments at </w:t>
      </w:r>
      <w:r w:rsidRPr="00387978">
        <w:t>4.</w:t>
      </w:r>
    </w:p>
  </w:footnote>
  <w:footnote w:id="36">
    <w:p w:rsidR="000815C0" w:rsidP="000815C0">
      <w:pPr>
        <w:pStyle w:val="FootnoteText"/>
      </w:pPr>
      <w:r>
        <w:rPr>
          <w:rStyle w:val="FootnoteReference"/>
        </w:rPr>
        <w:footnoteRef/>
      </w:r>
      <w:r w:rsidRPr="00387978">
        <w:t xml:space="preserve"> </w:t>
      </w:r>
      <w:r w:rsidRPr="007633A1">
        <w:rPr>
          <w:i/>
        </w:rPr>
        <w:t>Id</w:t>
      </w:r>
      <w:r>
        <w:t xml:space="preserve">. at </w:t>
      </w:r>
      <w:r w:rsidRPr="00387978">
        <w:t>4</w:t>
      </w:r>
      <w:r>
        <w:t>;</w:t>
      </w:r>
      <w:r w:rsidRPr="00387978">
        <w:t xml:space="preserve"> Frontier</w:t>
      </w:r>
      <w:r>
        <w:t xml:space="preserve"> Comments at </w:t>
      </w:r>
      <w:r w:rsidRPr="00387978">
        <w:t>2</w:t>
      </w:r>
      <w:r>
        <w:t xml:space="preserve">.  </w:t>
      </w:r>
    </w:p>
  </w:footnote>
  <w:footnote w:id="37">
    <w:p w:rsidR="000815C0" w:rsidRPr="001A4D6F" w:rsidP="000815C0">
      <w:pPr>
        <w:pStyle w:val="FootnoteText"/>
      </w:pPr>
      <w:r>
        <w:rPr>
          <w:rStyle w:val="FootnoteReference"/>
        </w:rPr>
        <w:footnoteRef/>
      </w:r>
      <w:r>
        <w:t xml:space="preserve"> </w:t>
      </w:r>
      <w:r w:rsidRPr="001A4D6F">
        <w:rPr>
          <w:i/>
        </w:rPr>
        <w:t>E.g.</w:t>
      </w:r>
      <w:r w:rsidRPr="001A4D6F">
        <w:t>, CenturyLink Comments at 3.</w:t>
      </w:r>
    </w:p>
  </w:footnote>
  <w:footnote w:id="38">
    <w:p w:rsidR="000815C0" w:rsidP="000815C0">
      <w:pPr>
        <w:pStyle w:val="FootnoteText"/>
      </w:pPr>
      <w:r>
        <w:rPr>
          <w:rStyle w:val="FootnoteReference"/>
        </w:rPr>
        <w:footnoteRef/>
      </w:r>
      <w:r w:rsidRPr="00387978">
        <w:t xml:space="preserve"> Verizon</w:t>
      </w:r>
      <w:r>
        <w:t xml:space="preserve"> Comments at </w:t>
      </w:r>
      <w:r w:rsidRPr="00387978">
        <w:t>4</w:t>
      </w:r>
      <w:r>
        <w:t>.</w:t>
      </w:r>
    </w:p>
  </w:footnote>
  <w:footnote w:id="39">
    <w:p w:rsidR="000815C0" w:rsidP="000815C0">
      <w:pPr>
        <w:pStyle w:val="FootnoteText"/>
      </w:pPr>
      <w:r>
        <w:rPr>
          <w:rStyle w:val="FootnoteReference"/>
        </w:rPr>
        <w:footnoteRef/>
      </w:r>
      <w:r>
        <w:t xml:space="preserve"> Frontier Comments at 2 n.5.</w:t>
      </w:r>
    </w:p>
  </w:footnote>
  <w:footnote w:id="40">
    <w:p w:rsidR="000815C0" w:rsidP="000815C0">
      <w:pPr>
        <w:pStyle w:val="FootnoteText"/>
      </w:pPr>
      <w:r>
        <w:rPr>
          <w:rStyle w:val="FootnoteReference"/>
        </w:rPr>
        <w:footnoteRef/>
      </w:r>
      <w:r w:rsidRPr="00387978">
        <w:t xml:space="preserve"> </w:t>
      </w:r>
      <w:r w:rsidRPr="007633A1">
        <w:rPr>
          <w:i/>
        </w:rPr>
        <w:t>Id</w:t>
      </w:r>
      <w:r>
        <w:t xml:space="preserve">. at </w:t>
      </w:r>
      <w:r w:rsidRPr="00387978">
        <w:t>2 (40 hours</w:t>
      </w:r>
      <w:r>
        <w:t xml:space="preserve"> or more</w:t>
      </w:r>
      <w:r w:rsidRPr="00387978">
        <w:t>); Verizon</w:t>
      </w:r>
      <w:r>
        <w:t xml:space="preserve"> Comments at </w:t>
      </w:r>
      <w:r w:rsidRPr="00387978">
        <w:t>5 (160 hours).</w:t>
      </w:r>
    </w:p>
  </w:footnote>
  <w:footnote w:id="41">
    <w:p w:rsidR="000815C0" w:rsidP="000815C0">
      <w:pPr>
        <w:pStyle w:val="FootnoteText"/>
      </w:pPr>
      <w:r>
        <w:rPr>
          <w:rStyle w:val="FootnoteReference"/>
        </w:rPr>
        <w:footnoteRef/>
      </w:r>
      <w:r w:rsidRPr="00387978">
        <w:t xml:space="preserve"> CenturyLink</w:t>
      </w:r>
      <w:r>
        <w:t xml:space="preserve"> Comments at </w:t>
      </w:r>
      <w:r w:rsidRPr="00387978">
        <w:t>3.</w:t>
      </w:r>
    </w:p>
  </w:footnote>
  <w:footnote w:id="42">
    <w:p w:rsidR="000815C0" w:rsidP="000815C0">
      <w:pPr>
        <w:pStyle w:val="FootnoteText"/>
      </w:pPr>
      <w:r>
        <w:rPr>
          <w:rStyle w:val="FootnoteReference"/>
        </w:rPr>
        <w:footnoteRef/>
      </w:r>
      <w:r w:rsidRPr="00387978">
        <w:t xml:space="preserve"> </w:t>
      </w:r>
      <w:r w:rsidRPr="0052259B">
        <w:rPr>
          <w:i/>
        </w:rPr>
        <w:t>Id</w:t>
      </w:r>
      <w:r>
        <w:t>.</w:t>
      </w:r>
    </w:p>
  </w:footnote>
  <w:footnote w:id="43">
    <w:p w:rsidR="000815C0" w:rsidP="000815C0">
      <w:pPr>
        <w:pStyle w:val="FootnoteText"/>
      </w:pPr>
      <w:r>
        <w:rPr>
          <w:rStyle w:val="FootnoteReference"/>
        </w:rPr>
        <w:footnoteRef/>
      </w:r>
      <w:r>
        <w:t xml:space="preserve"> Frontier Comments at 2.</w:t>
      </w:r>
    </w:p>
  </w:footnote>
  <w:footnote w:id="44">
    <w:p w:rsidR="000815C0" w:rsidP="000815C0">
      <w:pPr>
        <w:pStyle w:val="FootnoteText"/>
      </w:pPr>
      <w:r>
        <w:rPr>
          <w:rStyle w:val="FootnoteReference"/>
        </w:rPr>
        <w:footnoteRef/>
      </w:r>
      <w:r>
        <w:t xml:space="preserve"> </w:t>
      </w:r>
      <w:r w:rsidRPr="000B3F0E">
        <w:rPr>
          <w:i/>
        </w:rPr>
        <w:t xml:space="preserve">See </w:t>
      </w:r>
      <w:r w:rsidRPr="003437AE">
        <w:t xml:space="preserve">AT&amp;T </w:t>
      </w:r>
      <w:r w:rsidRPr="003437AE">
        <w:rPr>
          <w:i/>
        </w:rPr>
        <w:t>Ex Parte</w:t>
      </w:r>
      <w:r w:rsidRPr="003437AE">
        <w:t xml:space="preserve"> Comments at 1 (stating the rules have “outlived their needs or purpose”)</w:t>
      </w:r>
      <w:r>
        <w:t>.</w:t>
      </w:r>
    </w:p>
  </w:footnote>
  <w:footnote w:id="45">
    <w:p w:rsidR="000815C0" w:rsidP="000815C0">
      <w:pPr>
        <w:pStyle w:val="FootnoteText"/>
      </w:pPr>
      <w:r>
        <w:rPr>
          <w:rStyle w:val="FootnoteReference"/>
        </w:rPr>
        <w:footnoteRef/>
      </w:r>
      <w:r>
        <w:t xml:space="preserve"> </w:t>
      </w:r>
      <w:r w:rsidRPr="005166D9">
        <w:rPr>
          <w:i/>
        </w:rPr>
        <w:t>Notice</w:t>
      </w:r>
      <w:r>
        <w:t>, 33 FCC Rcd at 10216, para. 14.</w:t>
      </w:r>
    </w:p>
  </w:footnote>
  <w:footnote w:id="46">
    <w:p w:rsidR="000815C0" w:rsidP="000815C0">
      <w:pPr>
        <w:pStyle w:val="FootnoteText"/>
      </w:pPr>
      <w:r>
        <w:rPr>
          <w:rStyle w:val="FootnoteReference"/>
        </w:rPr>
        <w:footnoteRef/>
      </w:r>
      <w:r>
        <w:t xml:space="preserve"> </w:t>
      </w:r>
      <w:r>
        <w:rPr>
          <w:i/>
        </w:rPr>
        <w:t xml:space="preserve">See </w:t>
      </w:r>
      <w:r>
        <w:t>ITTA Comments at 3 (requesting that we implement the rule change as “quickly as permissible”).</w:t>
      </w:r>
    </w:p>
  </w:footnote>
  <w:footnote w:id="47">
    <w:p w:rsidR="000815C0" w:rsidP="000815C0">
      <w:pPr>
        <w:pStyle w:val="FootnoteText"/>
      </w:pPr>
      <w:r>
        <w:rPr>
          <w:rStyle w:val="FootnoteReference"/>
        </w:rPr>
        <w:footnoteRef/>
      </w:r>
      <w:r>
        <w:t xml:space="preserve"> </w:t>
      </w:r>
      <w:r w:rsidRPr="00DD3B61">
        <w:rPr>
          <w:i/>
        </w:rPr>
        <w:t>Notice</w:t>
      </w:r>
      <w:r>
        <w:t>, 33 FCC Rcd at 10216-17, paras. 15-18 (granting the waiver, in part, in response to petitions filed by Verizon and AT&amp;T).</w:t>
      </w:r>
    </w:p>
  </w:footnote>
  <w:footnote w:id="48">
    <w:p w:rsidR="000815C0" w:rsidRPr="00386892" w:rsidP="000815C0">
      <w:pPr>
        <w:pStyle w:val="FootnoteText"/>
      </w:pPr>
      <w:r w:rsidRPr="00386892">
        <w:rPr>
          <w:rStyle w:val="FootnoteReference"/>
        </w:rPr>
        <w:footnoteRef/>
      </w:r>
      <w:r w:rsidRPr="00386892">
        <w:t xml:space="preserve"> </w:t>
      </w:r>
      <w:r w:rsidRPr="00386892">
        <w:rPr>
          <w:i/>
        </w:rPr>
        <w:t>S</w:t>
      </w:r>
      <w:r w:rsidRPr="00386892">
        <w:rPr>
          <w:i/>
          <w:iCs/>
          <w:color w:val="000033"/>
        </w:rPr>
        <w:t xml:space="preserve">ee </w:t>
      </w:r>
      <w:r w:rsidRPr="00386892">
        <w:rPr>
          <w:color w:val="000033"/>
        </w:rPr>
        <w:t>44 U.S.C. § 3506(c)(4).</w:t>
      </w:r>
    </w:p>
  </w:footnote>
  <w:footnote w:id="49">
    <w:p w:rsidR="000815C0" w:rsidP="000815C0">
      <w:pPr>
        <w:pStyle w:val="FootnoteText"/>
      </w:pPr>
      <w:r>
        <w:rPr>
          <w:rStyle w:val="FootnoteReference"/>
        </w:rPr>
        <w:footnoteRef/>
      </w:r>
      <w:r>
        <w:t xml:space="preserve"> The </w:t>
      </w:r>
      <w:r w:rsidRPr="00652B4A">
        <w:t>RFA, 5 U.S.C. §§ 601-612, has been amended by the Small Business Regulatory Enforcement Fairness Act of 1996 (SBREFA), Pub. L. No. 104-121</w:t>
      </w:r>
      <w:r>
        <w:t>, Title II, 110 Stat. 857 (1996).</w:t>
      </w:r>
    </w:p>
  </w:footnote>
  <w:footnote w:id="50">
    <w:p w:rsidR="000815C0" w:rsidP="000815C0">
      <w:pPr>
        <w:pStyle w:val="FootnoteText"/>
      </w:pPr>
      <w:r>
        <w:rPr>
          <w:rStyle w:val="FootnoteReference"/>
        </w:rPr>
        <w:footnoteRef/>
      </w:r>
      <w:r>
        <w:t xml:space="preserve"> 5 U.S.C. § 605(b).</w:t>
      </w:r>
    </w:p>
  </w:footnote>
  <w:footnote w:id="51">
    <w:p w:rsidR="000815C0" w:rsidP="000815C0">
      <w:pPr>
        <w:pStyle w:val="FootnoteText"/>
      </w:pPr>
      <w:r>
        <w:rPr>
          <w:rStyle w:val="FootnoteReference"/>
        </w:rPr>
        <w:footnoteRef/>
      </w:r>
      <w:r>
        <w:t xml:space="preserve"> 5 U.S.C. § 601(6).</w:t>
      </w:r>
    </w:p>
  </w:footnote>
  <w:footnote w:id="52">
    <w:p w:rsidR="000815C0" w:rsidP="000815C0">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3">
    <w:p w:rsidR="000815C0" w:rsidP="000815C0">
      <w:pPr>
        <w:pStyle w:val="FootnoteText"/>
      </w:pPr>
      <w:r>
        <w:rPr>
          <w:rStyle w:val="FootnoteReference"/>
        </w:rPr>
        <w:footnoteRef/>
      </w:r>
      <w:r>
        <w:t xml:space="preserve"> 15 U.S.C. § 632.</w:t>
      </w:r>
    </w:p>
  </w:footnote>
  <w:footnote w:id="54">
    <w:p w:rsidR="000815C0" w:rsidP="000815C0">
      <w:pPr>
        <w:pStyle w:val="FootnoteText"/>
      </w:pPr>
      <w:r>
        <w:rPr>
          <w:rStyle w:val="FootnoteReference"/>
        </w:rPr>
        <w:footnoteRef/>
      </w:r>
      <w:r>
        <w:t xml:space="preserve"> </w:t>
      </w:r>
      <w:r>
        <w:rPr>
          <w:i/>
        </w:rPr>
        <w:t>I</w:t>
      </w:r>
      <w:r w:rsidRPr="008D6F4A">
        <w:rPr>
          <w:i/>
        </w:rPr>
        <w:t>nfra</w:t>
      </w:r>
      <w:r>
        <w:t xml:space="preserve"> Appx. A</w:t>
      </w:r>
      <w:r w:rsidRPr="00B35625">
        <w:t xml:space="preserve">, </w:t>
      </w:r>
      <w:r>
        <w:t>47 CFR §§ 61.49(k)</w:t>
      </w:r>
      <w:r w:rsidRPr="00B35625">
        <w:t xml:space="preserve">, </w:t>
      </w:r>
      <w:r>
        <w:t xml:space="preserve">61.54(k), </w:t>
      </w:r>
      <w:r w:rsidRPr="00B35625">
        <w:t>61.74(</w:t>
      </w:r>
      <w:r>
        <w:t>b</w:t>
      </w:r>
      <w:r w:rsidRPr="00B35625">
        <w:t>).</w:t>
      </w:r>
    </w:p>
  </w:footnote>
  <w:footnote w:id="55">
    <w:p w:rsidR="000815C0" w:rsidP="000815C0">
      <w:pPr>
        <w:pStyle w:val="FootnoteText"/>
      </w:pPr>
      <w:r>
        <w:rPr>
          <w:rStyle w:val="FootnoteReference"/>
        </w:rPr>
        <w:footnoteRef/>
      </w:r>
      <w:r>
        <w:t xml:space="preserve"> </w:t>
      </w:r>
      <w:r w:rsidRPr="000248E1">
        <w:rPr>
          <w:i/>
        </w:rPr>
        <w:t>See</w:t>
      </w:r>
      <w:r>
        <w:t xml:space="preserve"> 5 U.S.C. § 801(a)(1)(A).</w:t>
      </w:r>
    </w:p>
  </w:footnote>
  <w:footnote w:id="56">
    <w:p w:rsidR="000815C0" w:rsidP="000815C0">
      <w:pPr>
        <w:pStyle w:val="FootnoteText"/>
      </w:pPr>
      <w:r>
        <w:rPr>
          <w:rStyle w:val="FootnoteReference"/>
        </w:rPr>
        <w:footnoteRef/>
      </w:r>
      <w:r>
        <w:t xml:space="preserve"> </w:t>
      </w:r>
      <w:r w:rsidRPr="000248E1">
        <w:rPr>
          <w:i/>
        </w:rPr>
        <w:t>See</w:t>
      </w:r>
      <w:r>
        <w:t xml:space="preserve"> 5 U.S.C. § 605(b).</w:t>
      </w:r>
    </w:p>
  </w:footnote>
  <w:footnote w:id="57">
    <w:p w:rsidR="007871C7" w:rsidP="007871C7">
      <w:pPr>
        <w:pStyle w:val="FootnoteText"/>
      </w:pPr>
      <w:r>
        <w:rPr>
          <w:rStyle w:val="FootnoteReference"/>
        </w:rPr>
        <w:footnoteRef/>
      </w:r>
      <w:r>
        <w:t xml:space="preserve"> </w:t>
      </w:r>
      <w:r w:rsidRPr="009F402F">
        <w:rPr>
          <w:i/>
        </w:rPr>
        <w:t>Office Space</w:t>
      </w:r>
      <w:r>
        <w:t xml:space="preserve"> Movie Clip – “Did You Get the Memo?” </w:t>
      </w:r>
      <w:hyperlink r:id="rId2" w:history="1">
        <w:r>
          <w:rPr>
            <w:rStyle w:val="Hyperlink"/>
          </w:rPr>
          <w:t>https://www.youtube.com/watch?v=jsLUidiYm0w</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D1759">
      <w:t>FCC 19-107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D1759">
      <w:rPr>
        <w:spacing w:val="-2"/>
      </w:rPr>
      <w:t>FCC 19-107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933484">
      <w:rPr>
        <w:spacing w:val="-2"/>
      </w:rPr>
      <w:t>FCC 19-107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4150F93"/>
    <w:multiLevelType w:val="hybridMultilevel"/>
    <w:tmpl w:val="5FC479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C0"/>
    <w:rsid w:val="00014819"/>
    <w:rsid w:val="000238FA"/>
    <w:rsid w:val="000248E1"/>
    <w:rsid w:val="000259C4"/>
    <w:rsid w:val="00036039"/>
    <w:rsid w:val="00037F90"/>
    <w:rsid w:val="000469CE"/>
    <w:rsid w:val="000515AC"/>
    <w:rsid w:val="00062A22"/>
    <w:rsid w:val="00074758"/>
    <w:rsid w:val="000815C0"/>
    <w:rsid w:val="000875BF"/>
    <w:rsid w:val="00096D8C"/>
    <w:rsid w:val="000B3F0E"/>
    <w:rsid w:val="000C0B65"/>
    <w:rsid w:val="000E05FE"/>
    <w:rsid w:val="000E3D42"/>
    <w:rsid w:val="000E4A9B"/>
    <w:rsid w:val="001119DF"/>
    <w:rsid w:val="00122BD5"/>
    <w:rsid w:val="0013380B"/>
    <w:rsid w:val="00133F79"/>
    <w:rsid w:val="00142B87"/>
    <w:rsid w:val="0017296B"/>
    <w:rsid w:val="001800C0"/>
    <w:rsid w:val="00184289"/>
    <w:rsid w:val="00184D49"/>
    <w:rsid w:val="00194A66"/>
    <w:rsid w:val="001A1FD9"/>
    <w:rsid w:val="001A22D4"/>
    <w:rsid w:val="001A4D6F"/>
    <w:rsid w:val="001C69FA"/>
    <w:rsid w:val="001D6BCF"/>
    <w:rsid w:val="001E01CA"/>
    <w:rsid w:val="001F151D"/>
    <w:rsid w:val="00244445"/>
    <w:rsid w:val="00275CF5"/>
    <w:rsid w:val="0028301F"/>
    <w:rsid w:val="00285017"/>
    <w:rsid w:val="002A2D2E"/>
    <w:rsid w:val="002A684D"/>
    <w:rsid w:val="002C00E8"/>
    <w:rsid w:val="002C5F51"/>
    <w:rsid w:val="002D4C81"/>
    <w:rsid w:val="002E5181"/>
    <w:rsid w:val="00312717"/>
    <w:rsid w:val="00343749"/>
    <w:rsid w:val="003437AE"/>
    <w:rsid w:val="003660ED"/>
    <w:rsid w:val="00375B00"/>
    <w:rsid w:val="00386892"/>
    <w:rsid w:val="00387978"/>
    <w:rsid w:val="003A19C5"/>
    <w:rsid w:val="003B0550"/>
    <w:rsid w:val="003B685E"/>
    <w:rsid w:val="003B694F"/>
    <w:rsid w:val="003F171C"/>
    <w:rsid w:val="0040500C"/>
    <w:rsid w:val="00412FC5"/>
    <w:rsid w:val="00422276"/>
    <w:rsid w:val="004242F1"/>
    <w:rsid w:val="00445A00"/>
    <w:rsid w:val="00451B0F"/>
    <w:rsid w:val="0047081B"/>
    <w:rsid w:val="0048076F"/>
    <w:rsid w:val="0048772B"/>
    <w:rsid w:val="004C2EE3"/>
    <w:rsid w:val="004D1759"/>
    <w:rsid w:val="004E4A22"/>
    <w:rsid w:val="00511968"/>
    <w:rsid w:val="00513362"/>
    <w:rsid w:val="005161DE"/>
    <w:rsid w:val="005166D9"/>
    <w:rsid w:val="0052259B"/>
    <w:rsid w:val="0055614C"/>
    <w:rsid w:val="005623F9"/>
    <w:rsid w:val="00566D06"/>
    <w:rsid w:val="005811FD"/>
    <w:rsid w:val="00583C69"/>
    <w:rsid w:val="00583E14"/>
    <w:rsid w:val="00586B08"/>
    <w:rsid w:val="005A2FFC"/>
    <w:rsid w:val="005B739A"/>
    <w:rsid w:val="005E14C2"/>
    <w:rsid w:val="00607BA5"/>
    <w:rsid w:val="0061180A"/>
    <w:rsid w:val="00626EB6"/>
    <w:rsid w:val="006317E3"/>
    <w:rsid w:val="0063431E"/>
    <w:rsid w:val="00640673"/>
    <w:rsid w:val="00652B4A"/>
    <w:rsid w:val="00655D03"/>
    <w:rsid w:val="00683388"/>
    <w:rsid w:val="00683F21"/>
    <w:rsid w:val="00683F84"/>
    <w:rsid w:val="006A6A81"/>
    <w:rsid w:val="006C316F"/>
    <w:rsid w:val="006F7393"/>
    <w:rsid w:val="0070224F"/>
    <w:rsid w:val="007115F7"/>
    <w:rsid w:val="00752FEA"/>
    <w:rsid w:val="00755F7C"/>
    <w:rsid w:val="00757DED"/>
    <w:rsid w:val="007633A1"/>
    <w:rsid w:val="007756CB"/>
    <w:rsid w:val="00785689"/>
    <w:rsid w:val="007871C7"/>
    <w:rsid w:val="0079754B"/>
    <w:rsid w:val="007A1E6D"/>
    <w:rsid w:val="007B0EB2"/>
    <w:rsid w:val="007E3BDD"/>
    <w:rsid w:val="00810B6F"/>
    <w:rsid w:val="00822CE0"/>
    <w:rsid w:val="00831EA8"/>
    <w:rsid w:val="00841AB1"/>
    <w:rsid w:val="0088086F"/>
    <w:rsid w:val="008C2509"/>
    <w:rsid w:val="008C2B4C"/>
    <w:rsid w:val="008C68F1"/>
    <w:rsid w:val="008D6F4A"/>
    <w:rsid w:val="008F194A"/>
    <w:rsid w:val="00921803"/>
    <w:rsid w:val="00923D39"/>
    <w:rsid w:val="00926503"/>
    <w:rsid w:val="00933484"/>
    <w:rsid w:val="00953FF3"/>
    <w:rsid w:val="00963601"/>
    <w:rsid w:val="009726D8"/>
    <w:rsid w:val="00994885"/>
    <w:rsid w:val="00995E52"/>
    <w:rsid w:val="00996154"/>
    <w:rsid w:val="00997537"/>
    <w:rsid w:val="009A42DA"/>
    <w:rsid w:val="009C578E"/>
    <w:rsid w:val="009D7308"/>
    <w:rsid w:val="009F402F"/>
    <w:rsid w:val="009F76DB"/>
    <w:rsid w:val="00A07B8D"/>
    <w:rsid w:val="00A32C3B"/>
    <w:rsid w:val="00A40FD7"/>
    <w:rsid w:val="00A45F4F"/>
    <w:rsid w:val="00A600A9"/>
    <w:rsid w:val="00A849A4"/>
    <w:rsid w:val="00AA142D"/>
    <w:rsid w:val="00AA55B7"/>
    <w:rsid w:val="00AA5B9E"/>
    <w:rsid w:val="00AB2407"/>
    <w:rsid w:val="00AB53DF"/>
    <w:rsid w:val="00AC4E69"/>
    <w:rsid w:val="00AC5855"/>
    <w:rsid w:val="00AD41CF"/>
    <w:rsid w:val="00B07E5C"/>
    <w:rsid w:val="00B152DD"/>
    <w:rsid w:val="00B35625"/>
    <w:rsid w:val="00B509DE"/>
    <w:rsid w:val="00B669AC"/>
    <w:rsid w:val="00B77451"/>
    <w:rsid w:val="00B811F7"/>
    <w:rsid w:val="00BA5DC6"/>
    <w:rsid w:val="00BA6196"/>
    <w:rsid w:val="00BB2D77"/>
    <w:rsid w:val="00BC6D8C"/>
    <w:rsid w:val="00C049D1"/>
    <w:rsid w:val="00C11418"/>
    <w:rsid w:val="00C13878"/>
    <w:rsid w:val="00C153F3"/>
    <w:rsid w:val="00C34006"/>
    <w:rsid w:val="00C36B4C"/>
    <w:rsid w:val="00C426B1"/>
    <w:rsid w:val="00C52908"/>
    <w:rsid w:val="00C66160"/>
    <w:rsid w:val="00C721AC"/>
    <w:rsid w:val="00C90D6A"/>
    <w:rsid w:val="00CA247E"/>
    <w:rsid w:val="00CA6D21"/>
    <w:rsid w:val="00CC72B6"/>
    <w:rsid w:val="00CF16ED"/>
    <w:rsid w:val="00D0218D"/>
    <w:rsid w:val="00D06961"/>
    <w:rsid w:val="00D25FB5"/>
    <w:rsid w:val="00D44223"/>
    <w:rsid w:val="00D453FC"/>
    <w:rsid w:val="00DA12EE"/>
    <w:rsid w:val="00DA2529"/>
    <w:rsid w:val="00DB130A"/>
    <w:rsid w:val="00DB2EBB"/>
    <w:rsid w:val="00DB360D"/>
    <w:rsid w:val="00DC10A1"/>
    <w:rsid w:val="00DC160C"/>
    <w:rsid w:val="00DC4907"/>
    <w:rsid w:val="00DC655F"/>
    <w:rsid w:val="00DD0B59"/>
    <w:rsid w:val="00DD3B61"/>
    <w:rsid w:val="00DD7EBD"/>
    <w:rsid w:val="00DE394B"/>
    <w:rsid w:val="00DF62B6"/>
    <w:rsid w:val="00E07225"/>
    <w:rsid w:val="00E51F3A"/>
    <w:rsid w:val="00E5409F"/>
    <w:rsid w:val="00E56A07"/>
    <w:rsid w:val="00E72709"/>
    <w:rsid w:val="00EA6DDB"/>
    <w:rsid w:val="00EB61B2"/>
    <w:rsid w:val="00EE6488"/>
    <w:rsid w:val="00F021FA"/>
    <w:rsid w:val="00F138A2"/>
    <w:rsid w:val="00F171C6"/>
    <w:rsid w:val="00F62E97"/>
    <w:rsid w:val="00F64209"/>
    <w:rsid w:val="00F76E78"/>
    <w:rsid w:val="00F80A03"/>
    <w:rsid w:val="00F82B61"/>
    <w:rsid w:val="00F92D8F"/>
    <w:rsid w:val="00F93BF5"/>
    <w:rsid w:val="00FA5DB8"/>
    <w:rsid w:val="00FA637F"/>
    <w:rsid w:val="00FC7F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490CE60-581A-4CA7-BCB0-AA0F8749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D7"/>
    <w:pPr>
      <w:widowControl w:val="0"/>
    </w:pPr>
    <w:rPr>
      <w:snapToGrid w:val="0"/>
      <w:kern w:val="28"/>
      <w:sz w:val="22"/>
    </w:rPr>
  </w:style>
  <w:style w:type="paragraph" w:styleId="Heading1">
    <w:name w:val="heading 1"/>
    <w:basedOn w:val="Normal"/>
    <w:next w:val="ParaNum"/>
    <w:qFormat/>
    <w:rsid w:val="00A40FD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40FD7"/>
    <w:pPr>
      <w:keepNext/>
      <w:numPr>
        <w:ilvl w:val="1"/>
        <w:numId w:val="3"/>
      </w:numPr>
      <w:spacing w:after="120"/>
      <w:outlineLvl w:val="1"/>
    </w:pPr>
    <w:rPr>
      <w:b/>
    </w:rPr>
  </w:style>
  <w:style w:type="paragraph" w:styleId="Heading3">
    <w:name w:val="heading 3"/>
    <w:basedOn w:val="Normal"/>
    <w:next w:val="ParaNum"/>
    <w:qFormat/>
    <w:rsid w:val="00A40FD7"/>
    <w:pPr>
      <w:keepNext/>
      <w:numPr>
        <w:ilvl w:val="2"/>
        <w:numId w:val="3"/>
      </w:numPr>
      <w:tabs>
        <w:tab w:val="left" w:pos="2160"/>
      </w:tabs>
      <w:spacing w:after="120"/>
      <w:outlineLvl w:val="2"/>
    </w:pPr>
    <w:rPr>
      <w:b/>
    </w:rPr>
  </w:style>
  <w:style w:type="paragraph" w:styleId="Heading4">
    <w:name w:val="heading 4"/>
    <w:basedOn w:val="Normal"/>
    <w:next w:val="ParaNum"/>
    <w:qFormat/>
    <w:rsid w:val="00A40FD7"/>
    <w:pPr>
      <w:keepNext/>
      <w:numPr>
        <w:ilvl w:val="3"/>
        <w:numId w:val="3"/>
      </w:numPr>
      <w:tabs>
        <w:tab w:val="left" w:pos="2880"/>
      </w:tabs>
      <w:spacing w:after="120"/>
      <w:outlineLvl w:val="3"/>
    </w:pPr>
    <w:rPr>
      <w:b/>
    </w:rPr>
  </w:style>
  <w:style w:type="paragraph" w:styleId="Heading5">
    <w:name w:val="heading 5"/>
    <w:basedOn w:val="Normal"/>
    <w:next w:val="ParaNum"/>
    <w:qFormat/>
    <w:rsid w:val="00A40FD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40FD7"/>
    <w:pPr>
      <w:numPr>
        <w:ilvl w:val="5"/>
        <w:numId w:val="3"/>
      </w:numPr>
      <w:tabs>
        <w:tab w:val="left" w:pos="4320"/>
      </w:tabs>
      <w:spacing w:after="120"/>
      <w:outlineLvl w:val="5"/>
    </w:pPr>
    <w:rPr>
      <w:b/>
    </w:rPr>
  </w:style>
  <w:style w:type="paragraph" w:styleId="Heading7">
    <w:name w:val="heading 7"/>
    <w:basedOn w:val="Normal"/>
    <w:next w:val="ParaNum"/>
    <w:qFormat/>
    <w:rsid w:val="00A40FD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40FD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40FD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40F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0FD7"/>
  </w:style>
  <w:style w:type="paragraph" w:customStyle="1" w:styleId="ParaNum">
    <w:name w:val="ParaNum"/>
    <w:basedOn w:val="Normal"/>
    <w:rsid w:val="00A40FD7"/>
    <w:pPr>
      <w:numPr>
        <w:numId w:val="2"/>
      </w:numPr>
      <w:tabs>
        <w:tab w:val="clear" w:pos="1080"/>
        <w:tab w:val="num" w:pos="1440"/>
      </w:tabs>
      <w:spacing w:after="120"/>
    </w:pPr>
  </w:style>
  <w:style w:type="paragraph" w:styleId="EndnoteText">
    <w:name w:val="endnote text"/>
    <w:basedOn w:val="Normal"/>
    <w:semiHidden/>
    <w:rsid w:val="00A40FD7"/>
    <w:rPr>
      <w:sz w:val="20"/>
    </w:rPr>
  </w:style>
  <w:style w:type="character" w:styleId="EndnoteReference">
    <w:name w:val="endnote reference"/>
    <w:semiHidden/>
    <w:rsid w:val="00A40FD7"/>
    <w:rPr>
      <w:vertAlign w:val="superscript"/>
    </w:rPr>
  </w:style>
  <w:style w:type="paragraph" w:styleId="FootnoteText">
    <w:name w:val="footnote text"/>
    <w:rsid w:val="00A40FD7"/>
    <w:pPr>
      <w:spacing w:after="120"/>
    </w:pPr>
  </w:style>
  <w:style w:type="character" w:styleId="FootnoteReference">
    <w:name w:val="footnote reference"/>
    <w:rsid w:val="00A40FD7"/>
    <w:rPr>
      <w:rFonts w:ascii="Times New Roman" w:hAnsi="Times New Roman"/>
      <w:dstrike w:val="0"/>
      <w:color w:val="auto"/>
      <w:sz w:val="20"/>
      <w:vertAlign w:val="superscript"/>
    </w:rPr>
  </w:style>
  <w:style w:type="paragraph" w:styleId="TOC1">
    <w:name w:val="toc 1"/>
    <w:basedOn w:val="Normal"/>
    <w:next w:val="Normal"/>
    <w:semiHidden/>
    <w:rsid w:val="00A40FD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40FD7"/>
    <w:pPr>
      <w:tabs>
        <w:tab w:val="left" w:pos="720"/>
        <w:tab w:val="right" w:leader="dot" w:pos="9360"/>
      </w:tabs>
      <w:suppressAutoHyphens/>
      <w:ind w:left="720" w:right="720" w:hanging="360"/>
    </w:pPr>
    <w:rPr>
      <w:noProof/>
    </w:rPr>
  </w:style>
  <w:style w:type="paragraph" w:styleId="TOC3">
    <w:name w:val="toc 3"/>
    <w:basedOn w:val="Normal"/>
    <w:next w:val="Normal"/>
    <w:semiHidden/>
    <w:rsid w:val="00A40FD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40FD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40FD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40FD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40FD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40FD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40FD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40FD7"/>
    <w:pPr>
      <w:tabs>
        <w:tab w:val="right" w:pos="9360"/>
      </w:tabs>
      <w:suppressAutoHyphens/>
    </w:pPr>
  </w:style>
  <w:style w:type="character" w:customStyle="1" w:styleId="EquationCaption">
    <w:name w:val="_Equation Caption"/>
    <w:rsid w:val="00A40FD7"/>
  </w:style>
  <w:style w:type="paragraph" w:styleId="Header">
    <w:name w:val="header"/>
    <w:basedOn w:val="Normal"/>
    <w:autoRedefine/>
    <w:rsid w:val="00A40FD7"/>
    <w:pPr>
      <w:tabs>
        <w:tab w:val="center" w:pos="4680"/>
        <w:tab w:val="right" w:pos="9360"/>
      </w:tabs>
    </w:pPr>
    <w:rPr>
      <w:b/>
    </w:rPr>
  </w:style>
  <w:style w:type="paragraph" w:styleId="Footer">
    <w:name w:val="footer"/>
    <w:basedOn w:val="Normal"/>
    <w:link w:val="FooterChar"/>
    <w:uiPriority w:val="99"/>
    <w:rsid w:val="00A40FD7"/>
    <w:pPr>
      <w:tabs>
        <w:tab w:val="center" w:pos="4320"/>
        <w:tab w:val="right" w:pos="8640"/>
      </w:tabs>
    </w:pPr>
  </w:style>
  <w:style w:type="character" w:styleId="PageNumber">
    <w:name w:val="page number"/>
    <w:basedOn w:val="DefaultParagraphFont"/>
    <w:rsid w:val="00A40FD7"/>
  </w:style>
  <w:style w:type="paragraph" w:styleId="BlockText">
    <w:name w:val="Block Text"/>
    <w:basedOn w:val="Normal"/>
    <w:rsid w:val="00A40FD7"/>
    <w:pPr>
      <w:spacing w:after="240"/>
      <w:ind w:left="1440" w:right="1440"/>
    </w:pPr>
  </w:style>
  <w:style w:type="paragraph" w:customStyle="1" w:styleId="Paratitle">
    <w:name w:val="Para title"/>
    <w:basedOn w:val="Normal"/>
    <w:rsid w:val="00A40FD7"/>
    <w:pPr>
      <w:tabs>
        <w:tab w:val="center" w:pos="9270"/>
      </w:tabs>
      <w:spacing w:after="240"/>
    </w:pPr>
    <w:rPr>
      <w:spacing w:val="-2"/>
    </w:rPr>
  </w:style>
  <w:style w:type="paragraph" w:customStyle="1" w:styleId="Bullet">
    <w:name w:val="Bullet"/>
    <w:basedOn w:val="Normal"/>
    <w:rsid w:val="00A40FD7"/>
    <w:pPr>
      <w:tabs>
        <w:tab w:val="left" w:pos="2160"/>
      </w:tabs>
      <w:spacing w:after="220"/>
      <w:ind w:left="2160" w:hanging="720"/>
    </w:pPr>
  </w:style>
  <w:style w:type="paragraph" w:customStyle="1" w:styleId="TableFormat">
    <w:name w:val="TableFormat"/>
    <w:basedOn w:val="Bullet"/>
    <w:rsid w:val="00A40FD7"/>
    <w:pPr>
      <w:tabs>
        <w:tab w:val="clear" w:pos="2160"/>
        <w:tab w:val="left" w:pos="5040"/>
      </w:tabs>
      <w:ind w:left="5040" w:hanging="3600"/>
    </w:pPr>
  </w:style>
  <w:style w:type="paragraph" w:customStyle="1" w:styleId="TOCTitle">
    <w:name w:val="TOC Title"/>
    <w:basedOn w:val="Normal"/>
    <w:rsid w:val="00A40FD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40FD7"/>
    <w:pPr>
      <w:jc w:val="center"/>
    </w:pPr>
    <w:rPr>
      <w:rFonts w:ascii="Times New Roman Bold" w:hAnsi="Times New Roman Bold"/>
      <w:b/>
      <w:bCs/>
      <w:caps/>
      <w:szCs w:val="22"/>
    </w:rPr>
  </w:style>
  <w:style w:type="character" w:styleId="Hyperlink">
    <w:name w:val="Hyperlink"/>
    <w:rsid w:val="00A40FD7"/>
    <w:rPr>
      <w:color w:val="0000FF"/>
      <w:u w:val="single"/>
    </w:rPr>
  </w:style>
  <w:style w:type="character" w:customStyle="1" w:styleId="FooterChar">
    <w:name w:val="Footer Char"/>
    <w:link w:val="Footer"/>
    <w:uiPriority w:val="99"/>
    <w:rsid w:val="00A40FD7"/>
    <w:rPr>
      <w:snapToGrid w:val="0"/>
      <w:kern w:val="28"/>
      <w:sz w:val="22"/>
    </w:rPr>
  </w:style>
  <w:style w:type="character" w:styleId="FollowedHyperlink">
    <w:name w:val="FollowedHyperlink"/>
    <w:rsid w:val="00F171C6"/>
    <w:rPr>
      <w:color w:val="954F72"/>
      <w:u w:val="single"/>
    </w:rPr>
  </w:style>
  <w:style w:type="paragraph" w:styleId="BalloonText">
    <w:name w:val="Balloon Text"/>
    <w:basedOn w:val="Normal"/>
    <w:link w:val="BalloonTextChar"/>
    <w:rsid w:val="006C316F"/>
    <w:rPr>
      <w:rFonts w:ascii="Segoe UI" w:hAnsi="Segoe UI" w:cs="Segoe UI"/>
      <w:sz w:val="18"/>
      <w:szCs w:val="18"/>
    </w:rPr>
  </w:style>
  <w:style w:type="character" w:customStyle="1" w:styleId="BalloonTextChar">
    <w:name w:val="Balloon Text Char"/>
    <w:link w:val="BalloonText"/>
    <w:rsid w:val="006C316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etfs/etfsHome.action" TargetMode="External" /><Relationship Id="rId2" Type="http://schemas.openxmlformats.org/officeDocument/2006/relationships/hyperlink" Target="https://www.youtube.com/watch?v=jsLUidiYm0w"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