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B3ADF" w:rsidRPr="00F104F1" w:rsidP="00EB3ADF" w14:paraId="49A29D12" w14:textId="77777777">
      <w:pPr>
        <w:jc w:val="center"/>
        <w:rPr>
          <w:rFonts w:ascii="Times New Roman" w:hAnsi="Times New Roman"/>
          <w:b/>
        </w:rPr>
      </w:pPr>
      <w:r w:rsidRPr="00F104F1">
        <w:rPr>
          <w:rFonts w:ascii="Times New Roman" w:hAnsi="Times New Roman"/>
          <w:b/>
        </w:rPr>
        <w:t xml:space="preserve">STATEMENT OF </w:t>
      </w:r>
    </w:p>
    <w:p w:rsidR="00EB3ADF" w:rsidRPr="00F104F1" w:rsidP="00EB3ADF" w14:paraId="7E70A0D7" w14:textId="77777777">
      <w:pPr>
        <w:jc w:val="center"/>
        <w:rPr>
          <w:rFonts w:ascii="Times New Roman" w:hAnsi="Times New Roman"/>
          <w:b/>
        </w:rPr>
      </w:pPr>
      <w:r w:rsidRPr="00F104F1">
        <w:rPr>
          <w:rFonts w:ascii="Times New Roman" w:hAnsi="Times New Roman"/>
          <w:b/>
        </w:rPr>
        <w:t>COMMISSIONER MICHAEL O’RIELLY</w:t>
      </w:r>
    </w:p>
    <w:p w:rsidR="00EB3ADF" w:rsidRPr="00F104F1" w:rsidP="00EB3ADF" w14:paraId="41D74820" w14:textId="77777777">
      <w:pPr>
        <w:jc w:val="center"/>
        <w:rPr>
          <w:rFonts w:ascii="Times New Roman" w:hAnsi="Times New Roman"/>
          <w:b/>
        </w:rPr>
      </w:pPr>
    </w:p>
    <w:p w:rsidR="00EB3ADF" w:rsidP="00EB3ADF" w14:paraId="7AF6BC61" w14:textId="77777777">
      <w:pPr>
        <w:ind w:left="720"/>
        <w:rPr>
          <w:rFonts w:ascii="Times New Roman" w:hAnsi="Times New Roman"/>
        </w:rPr>
      </w:pPr>
      <w:r w:rsidRPr="00F104F1">
        <w:rPr>
          <w:rFonts w:ascii="Times New Roman" w:hAnsi="Times New Roman"/>
        </w:rPr>
        <w:t>Re:</w:t>
      </w:r>
      <w:r w:rsidRPr="00F104F1">
        <w:rPr>
          <w:rFonts w:ascii="Times New Roman" w:hAnsi="Times New Roman"/>
        </w:rPr>
        <w:tab/>
      </w:r>
      <w:r>
        <w:rPr>
          <w:rFonts w:ascii="Times New Roman" w:hAnsi="Times New Roman"/>
          <w:i/>
        </w:rPr>
        <w:t>Modernizing Suspension and Debarment Rules</w:t>
      </w:r>
      <w:r>
        <w:rPr>
          <w:rFonts w:ascii="Times New Roman" w:hAnsi="Times New Roman"/>
        </w:rPr>
        <w:t xml:space="preserve">, Docket No. GN 19-309. </w:t>
      </w:r>
    </w:p>
    <w:p w:rsidR="00EB3ADF" w:rsidP="00EB3ADF" w14:paraId="66A5BD63" w14:textId="77777777">
      <w:pPr>
        <w:rPr>
          <w:rFonts w:ascii="Times New Roman" w:hAnsi="Times New Roman"/>
        </w:rPr>
      </w:pPr>
    </w:p>
    <w:p w:rsidR="00EB3ADF" w:rsidP="00EB3ADF" w14:paraId="7F5F6B62" w14:textId="77777777">
      <w:pPr>
        <w:ind w:firstLine="720"/>
        <w:rPr>
          <w:rFonts w:ascii="Times New Roman" w:hAnsi="Times New Roman"/>
        </w:rPr>
      </w:pPr>
      <w:r w:rsidRPr="00351712">
        <w:rPr>
          <w:rFonts w:ascii="Times New Roman" w:hAnsi="Times New Roman"/>
        </w:rPr>
        <w:t>I f</w:t>
      </w:r>
      <w:bookmarkStart w:id="0" w:name="_GoBack"/>
      <w:bookmarkEnd w:id="0"/>
      <w:r w:rsidRPr="00351712">
        <w:rPr>
          <w:rFonts w:ascii="Times New Roman" w:hAnsi="Times New Roman"/>
        </w:rPr>
        <w:t xml:space="preserve">ully support </w:t>
      </w:r>
      <w:r>
        <w:rPr>
          <w:rFonts w:ascii="Times New Roman" w:hAnsi="Times New Roman"/>
        </w:rPr>
        <w:t>this</w:t>
      </w:r>
      <w:r w:rsidRPr="00351712">
        <w:rPr>
          <w:rFonts w:ascii="Times New Roman" w:hAnsi="Times New Roman"/>
        </w:rPr>
        <w:t xml:space="preserve"> proposal to streamline </w:t>
      </w:r>
      <w:r>
        <w:rPr>
          <w:rFonts w:ascii="Times New Roman" w:hAnsi="Times New Roman"/>
        </w:rPr>
        <w:t xml:space="preserve">and strengthen </w:t>
      </w:r>
      <w:r w:rsidRPr="00351712">
        <w:rPr>
          <w:rFonts w:ascii="Times New Roman" w:hAnsi="Times New Roman"/>
        </w:rPr>
        <w:t>our suspension and debarment rules</w:t>
      </w:r>
      <w:r>
        <w:rPr>
          <w:rFonts w:ascii="Times New Roman" w:hAnsi="Times New Roman"/>
        </w:rPr>
        <w:t>,</w:t>
      </w:r>
      <w:r w:rsidRPr="00351712">
        <w:rPr>
          <w:rFonts w:ascii="Times New Roman" w:hAnsi="Times New Roman"/>
        </w:rPr>
        <w:t xml:space="preserve"> </w:t>
      </w:r>
      <w:r>
        <w:rPr>
          <w:rFonts w:ascii="Times New Roman" w:hAnsi="Times New Roman"/>
        </w:rPr>
        <w:t xml:space="preserve">generally consistent </w:t>
      </w:r>
      <w:r w:rsidRPr="00351712">
        <w:rPr>
          <w:rFonts w:ascii="Times New Roman" w:hAnsi="Times New Roman"/>
        </w:rPr>
        <w:t xml:space="preserve">with the Office of Management and Budget </w:t>
      </w:r>
      <w:r>
        <w:rPr>
          <w:rFonts w:ascii="Times New Roman" w:hAnsi="Times New Roman"/>
        </w:rPr>
        <w:t xml:space="preserve">(OMB) </w:t>
      </w:r>
      <w:r w:rsidRPr="00351712">
        <w:rPr>
          <w:rFonts w:ascii="Times New Roman" w:hAnsi="Times New Roman"/>
        </w:rPr>
        <w:t>Guidelines.  In addition to harmonizing our rules with th</w:t>
      </w:r>
      <w:r>
        <w:rPr>
          <w:rFonts w:ascii="Times New Roman" w:hAnsi="Times New Roman"/>
        </w:rPr>
        <w:t xml:space="preserve">ose of the </w:t>
      </w:r>
      <w:r w:rsidRPr="00351712">
        <w:rPr>
          <w:rFonts w:ascii="Times New Roman" w:hAnsi="Times New Roman"/>
        </w:rPr>
        <w:t xml:space="preserve">rest of the federal government, expansion of our authority to suspend or debar offending parties through adoption of the </w:t>
      </w:r>
      <w:r>
        <w:rPr>
          <w:rFonts w:ascii="Times New Roman" w:hAnsi="Times New Roman"/>
        </w:rPr>
        <w:t>G</w:t>
      </w:r>
      <w:r w:rsidRPr="00351712">
        <w:rPr>
          <w:rFonts w:ascii="Times New Roman" w:hAnsi="Times New Roman"/>
        </w:rPr>
        <w:t>uidelines should also help protect the integrity of the Commission’s subsidy programs and ratepayers’ hard-earned investments.  The Commission has a</w:t>
      </w:r>
      <w:r>
        <w:rPr>
          <w:rFonts w:ascii="Times New Roman" w:hAnsi="Times New Roman"/>
        </w:rPr>
        <w:t xml:space="preserve"> fundamental </w:t>
      </w:r>
      <w:r w:rsidRPr="00351712">
        <w:rPr>
          <w:rFonts w:ascii="Times New Roman" w:hAnsi="Times New Roman"/>
        </w:rPr>
        <w:t>duty to eliminate waste, fraud, and abuse</w:t>
      </w:r>
      <w:r>
        <w:rPr>
          <w:rFonts w:ascii="Times New Roman" w:hAnsi="Times New Roman"/>
        </w:rPr>
        <w:t xml:space="preserve"> within </w:t>
      </w:r>
      <w:r>
        <w:rPr>
          <w:rFonts w:ascii="Times New Roman" w:hAnsi="Times New Roman"/>
        </w:rPr>
        <w:t>all of</w:t>
      </w:r>
      <w:r>
        <w:rPr>
          <w:rFonts w:ascii="Times New Roman" w:hAnsi="Times New Roman"/>
        </w:rPr>
        <w:t xml:space="preserve"> our programs </w:t>
      </w:r>
      <w:r w:rsidRPr="00351712">
        <w:rPr>
          <w:rFonts w:ascii="Times New Roman" w:hAnsi="Times New Roman"/>
        </w:rPr>
        <w:t>and the more tools in our arsenal to do so, the better.</w:t>
      </w:r>
      <w:r>
        <w:rPr>
          <w:rFonts w:ascii="Times New Roman" w:hAnsi="Times New Roman"/>
        </w:rPr>
        <w:t xml:space="preserve"> </w:t>
      </w:r>
    </w:p>
    <w:p w:rsidR="00EB3ADF" w:rsidRPr="00351712" w:rsidP="00EB3ADF" w14:paraId="0AA78870" w14:textId="77777777">
      <w:pPr>
        <w:ind w:firstLine="720"/>
        <w:rPr>
          <w:rFonts w:ascii="Times New Roman" w:hAnsi="Times New Roman"/>
        </w:rPr>
      </w:pPr>
      <w:r>
        <w:rPr>
          <w:rFonts w:ascii="Times New Roman" w:hAnsi="Times New Roman"/>
        </w:rPr>
        <w:t xml:space="preserve"> </w:t>
      </w:r>
    </w:p>
    <w:p w:rsidR="00EB3ADF" w:rsidRPr="002E7CA8" w:rsidP="00EB3ADF" w14:paraId="5829F1A6" w14:textId="77777777">
      <w:pPr>
        <w:ind w:firstLine="720"/>
        <w:rPr>
          <w:rFonts w:ascii="Times New Roman" w:hAnsi="Times New Roman"/>
        </w:rPr>
      </w:pPr>
      <w:r w:rsidRPr="00351712">
        <w:rPr>
          <w:rFonts w:ascii="Times New Roman" w:hAnsi="Times New Roman"/>
        </w:rPr>
        <w:t>Adoption of the OMB Guidelines would enable the Commission to engage in suspension or debarment procedures more expeditiously than under our current rules.  However, our mandate to act expeditiously should work both ways, and</w:t>
      </w:r>
      <w:r>
        <w:rPr>
          <w:rFonts w:ascii="Times New Roman" w:hAnsi="Times New Roman"/>
        </w:rPr>
        <w:t>,</w:t>
      </w:r>
      <w:r w:rsidRPr="00351712">
        <w:rPr>
          <w:rFonts w:ascii="Times New Roman" w:hAnsi="Times New Roman"/>
        </w:rPr>
        <w:t xml:space="preserve"> </w:t>
      </w:r>
      <w:r>
        <w:rPr>
          <w:rFonts w:ascii="Times New Roman" w:hAnsi="Times New Roman"/>
        </w:rPr>
        <w:t>like in the supply chain item where we included language to provide more certainty for those listed as designated entities, th</w:t>
      </w:r>
      <w:r w:rsidRPr="00351712">
        <w:rPr>
          <w:rFonts w:ascii="Times New Roman" w:hAnsi="Times New Roman"/>
        </w:rPr>
        <w:t xml:space="preserve">e Commission shouldn’t be able to indefinitely delay responding to a party’s Petition for Reconsideration or Application for Review in response to a suspension or </w:t>
      </w:r>
      <w:r w:rsidRPr="002E7CA8">
        <w:rPr>
          <w:rFonts w:ascii="Times New Roman" w:hAnsi="Times New Roman"/>
        </w:rPr>
        <w:t xml:space="preserve">debarment.  Otherwise, we could be creating regulatory quicksand, punishing subjected entities without proper due process.  I am therefore grateful to the Chairman and his staff for adding language to the draft seeking comment on implementing a deadline by which the debarring or suspending official </w:t>
      </w:r>
      <w:r>
        <w:rPr>
          <w:rFonts w:ascii="Times New Roman" w:hAnsi="Times New Roman"/>
        </w:rPr>
        <w:t xml:space="preserve">or the Commission </w:t>
      </w:r>
      <w:r w:rsidRPr="002E7CA8">
        <w:rPr>
          <w:rFonts w:ascii="Times New Roman" w:hAnsi="Times New Roman"/>
        </w:rPr>
        <w:t xml:space="preserve">would be required to act.  While I suspect we are going to need more certainty than “make every effort” as contemplated in the text, it appropriately opens the door for discussion.  </w:t>
      </w:r>
      <w:r>
        <w:rPr>
          <w:rFonts w:ascii="Times New Roman" w:hAnsi="Times New Roman"/>
        </w:rPr>
        <w:t>A time limitation is</w:t>
      </w:r>
      <w:r w:rsidRPr="002E7CA8">
        <w:rPr>
          <w:rFonts w:ascii="Times New Roman" w:hAnsi="Times New Roman"/>
        </w:rPr>
        <w:t xml:space="preserve"> necessary as a matter of good governance and to protect parties’ ability to seek judicial review.  While I have full confidence in this Commission’s staff, such </w:t>
      </w:r>
      <w:r>
        <w:rPr>
          <w:rFonts w:ascii="Times New Roman" w:hAnsi="Times New Roman"/>
        </w:rPr>
        <w:t>measures</w:t>
      </w:r>
      <w:r w:rsidRPr="002E7CA8">
        <w:rPr>
          <w:rFonts w:ascii="Times New Roman" w:hAnsi="Times New Roman"/>
        </w:rPr>
        <w:t xml:space="preserve"> are necessary to prevent future potentially </w:t>
      </w:r>
      <w:r>
        <w:rPr>
          <w:rFonts w:ascii="Times New Roman" w:hAnsi="Times New Roman"/>
        </w:rPr>
        <w:t xml:space="preserve">questionable staff </w:t>
      </w:r>
      <w:r w:rsidRPr="002E7CA8">
        <w:rPr>
          <w:rFonts w:ascii="Times New Roman" w:hAnsi="Times New Roman"/>
        </w:rPr>
        <w:t xml:space="preserve">from abusing power and leaving affected parties without viable options to move forward.  </w:t>
      </w:r>
    </w:p>
    <w:p w:rsidR="00EB3ADF" w:rsidRPr="002E7CA8" w:rsidP="00EB3ADF" w14:paraId="5C2859A6" w14:textId="77777777">
      <w:pPr>
        <w:ind w:firstLine="720"/>
        <w:rPr>
          <w:rFonts w:ascii="Times New Roman" w:hAnsi="Times New Roman"/>
        </w:rPr>
      </w:pPr>
    </w:p>
    <w:p w:rsidR="00EB3ADF" w:rsidRPr="002E7CA8" w:rsidP="00EB3ADF" w14:paraId="1304282C" w14:textId="77777777">
      <w:pPr>
        <w:ind w:firstLine="720"/>
      </w:pPr>
      <w:r w:rsidRPr="002E7CA8">
        <w:rPr>
          <w:rFonts w:ascii="Times New Roman" w:hAnsi="Times New Roman"/>
        </w:rPr>
        <w:t xml:space="preserve">I also thank the Chair for clarifying that serious and repeat violations of Commission rules, including our prohibitions against “slamming” and “cramming,” would fall within the ambit of the Guidelines.  In the past, I’ve spoken out in favor of the need for expanded authority to combat such activity, since imposing fines is often inadequate and futile.  In turn, I have advocated for the ability to revoke a provider’s section 214 authorization in such instances—and understand that Commissioner </w:t>
      </w:r>
      <w:r w:rsidRPr="002E7CA8">
        <w:rPr>
          <w:rFonts w:ascii="Times New Roman" w:hAnsi="Times New Roman"/>
        </w:rPr>
        <w:t>Rosenworcel</w:t>
      </w:r>
      <w:r w:rsidRPr="002E7CA8">
        <w:rPr>
          <w:rFonts w:ascii="Times New Roman" w:hAnsi="Times New Roman"/>
        </w:rPr>
        <w:t xml:space="preserve"> and former Commissioner Clyburn have pushed for the same.  While I would have preferred to include section 214 authorizations within the scope of covered transactions in the present instance, the additional authority that the Guidelines would provide to punish slamming and cramming is at least a step in the right direction. </w:t>
      </w:r>
      <w:r>
        <w:rPr>
          <w:rFonts w:ascii="Times New Roman" w:hAnsi="Times New Roman"/>
        </w:rPr>
        <w:t xml:space="preserve"> It also</w:t>
      </w:r>
      <w:r w:rsidRPr="002E7CA8">
        <w:rPr>
          <w:rFonts w:ascii="Times New Roman" w:hAnsi="Times New Roman"/>
        </w:rPr>
        <w:t xml:space="preserve"> means</w:t>
      </w:r>
      <w:r>
        <w:rPr>
          <w:rFonts w:ascii="Times New Roman" w:hAnsi="Times New Roman"/>
        </w:rPr>
        <w:t xml:space="preserve"> that</w:t>
      </w:r>
      <w:r w:rsidRPr="002E7CA8">
        <w:rPr>
          <w:rFonts w:ascii="Times New Roman" w:hAnsi="Times New Roman"/>
        </w:rPr>
        <w:t xml:space="preserve"> I will continue my push to </w:t>
      </w:r>
      <w:r>
        <w:rPr>
          <w:rFonts w:ascii="Times New Roman" w:hAnsi="Times New Roman"/>
        </w:rPr>
        <w:t xml:space="preserve">disqualify </w:t>
      </w:r>
      <w:r w:rsidRPr="002E7CA8">
        <w:rPr>
          <w:rFonts w:ascii="Times New Roman" w:hAnsi="Times New Roman"/>
        </w:rPr>
        <w:t xml:space="preserve">those abusing </w:t>
      </w:r>
      <w:r>
        <w:rPr>
          <w:rFonts w:ascii="Times New Roman" w:hAnsi="Times New Roman"/>
        </w:rPr>
        <w:t>Commission rules from our</w:t>
      </w:r>
      <w:r w:rsidRPr="002E7CA8">
        <w:rPr>
          <w:rFonts w:ascii="Times New Roman" w:hAnsi="Times New Roman"/>
        </w:rPr>
        <w:t xml:space="preserve"> authorization processes.  </w:t>
      </w:r>
    </w:p>
    <w:p w:rsidR="00EB3ADF" w:rsidP="00EB3ADF" w14:paraId="2185E4EC" w14:textId="77777777">
      <w:pPr>
        <w:ind w:firstLine="720"/>
        <w:rPr>
          <w:rFonts w:ascii="Times New Roman" w:hAnsi="Times New Roman"/>
        </w:rPr>
      </w:pPr>
      <w:r w:rsidRPr="002E7CA8">
        <w:rPr>
          <w:rFonts w:ascii="Times New Roman" w:hAnsi="Times New Roman"/>
        </w:rPr>
        <w:t xml:space="preserve"> </w:t>
      </w:r>
    </w:p>
    <w:p w:rsidR="00EB3ADF" w:rsidP="00EB3ADF" w14:paraId="28ABE968" w14:textId="77777777">
      <w:pPr>
        <w:ind w:firstLine="720"/>
        <w:rPr>
          <w:rFonts w:ascii="Times New Roman" w:hAnsi="Times New Roman"/>
        </w:rPr>
      </w:pPr>
      <w:r w:rsidRPr="00351712">
        <w:rPr>
          <w:rFonts w:ascii="Times New Roman" w:hAnsi="Times New Roman"/>
        </w:rPr>
        <w:t>Finally, I would highlight the need to carefully consider separation of powers</w:t>
      </w:r>
      <w:r>
        <w:rPr>
          <w:rFonts w:ascii="Times New Roman" w:hAnsi="Times New Roman"/>
        </w:rPr>
        <w:t xml:space="preserve"> principles</w:t>
      </w:r>
      <w:r w:rsidRPr="00351712">
        <w:rPr>
          <w:rFonts w:ascii="Times New Roman" w:hAnsi="Times New Roman"/>
        </w:rPr>
        <w:t xml:space="preserve"> and neutrality concerns in determining which entity should be responsible for designating suspensions or debarment</w:t>
      </w:r>
      <w:r>
        <w:rPr>
          <w:rFonts w:ascii="Times New Roman" w:hAnsi="Times New Roman"/>
        </w:rPr>
        <w:t>s</w:t>
      </w:r>
      <w:r w:rsidRPr="00351712">
        <w:rPr>
          <w:rFonts w:ascii="Times New Roman" w:hAnsi="Times New Roman"/>
        </w:rPr>
        <w:t>.  While the Enforcement Bureau currently occupies that role, it can only pursue a suspension or d</w:t>
      </w:r>
      <w:r>
        <w:rPr>
          <w:rFonts w:ascii="Times New Roman" w:hAnsi="Times New Roman"/>
        </w:rPr>
        <w:t>e</w:t>
      </w:r>
      <w:r w:rsidRPr="00351712">
        <w:rPr>
          <w:rFonts w:ascii="Times New Roman" w:hAnsi="Times New Roman"/>
        </w:rPr>
        <w:t xml:space="preserve">barment action following a court judgment or conviction, and thus exercises its role in a non-discretionary and largely ministerial manner.  Adoption of the OMB </w:t>
      </w:r>
      <w:r>
        <w:rPr>
          <w:rFonts w:ascii="Times New Roman" w:hAnsi="Times New Roman"/>
        </w:rPr>
        <w:t>G</w:t>
      </w:r>
      <w:r w:rsidRPr="00351712">
        <w:rPr>
          <w:rFonts w:ascii="Times New Roman" w:hAnsi="Times New Roman"/>
        </w:rPr>
        <w:t xml:space="preserve">uidelines would render this role much more adjudicatory and discretionary, which would in turn raise concerns over concentrating the functions of designating suspensions or debarments and prosecuting or investigating the underlying conduct </w:t>
      </w:r>
      <w:r>
        <w:rPr>
          <w:rFonts w:ascii="Times New Roman" w:hAnsi="Times New Roman"/>
        </w:rPr>
        <w:t>with</w:t>
      </w:r>
      <w:r w:rsidRPr="00351712">
        <w:rPr>
          <w:rFonts w:ascii="Times New Roman" w:hAnsi="Times New Roman"/>
        </w:rPr>
        <w:t>in the same entity</w:t>
      </w:r>
      <w:r>
        <w:rPr>
          <w:rFonts w:ascii="Times New Roman" w:hAnsi="Times New Roman"/>
        </w:rPr>
        <w:t>.  Granted, concentration of powers in the same hands is an issue that permeates the entire structure of federal independent agencies, but that is of course a topic for another day.</w:t>
      </w:r>
    </w:p>
    <w:p w:rsidR="00EB3ADF" w:rsidRPr="00351712" w:rsidP="00EB3ADF" w14:paraId="6626130B" w14:textId="77777777">
      <w:pPr>
        <w:ind w:firstLine="720"/>
        <w:rPr>
          <w:rFonts w:ascii="Times New Roman" w:hAnsi="Times New Roman"/>
        </w:rPr>
      </w:pPr>
    </w:p>
    <w:p w:rsidR="00EB3ADF" w:rsidRPr="00351712" w:rsidP="00EB3ADF" w14:paraId="5DB58C26" w14:textId="77777777">
      <w:pPr>
        <w:ind w:firstLine="720"/>
        <w:rPr>
          <w:rFonts w:ascii="Times New Roman" w:hAnsi="Times New Roman"/>
        </w:rPr>
      </w:pPr>
      <w:r w:rsidRPr="00351712">
        <w:rPr>
          <w:rFonts w:ascii="Times New Roman" w:hAnsi="Times New Roman"/>
        </w:rPr>
        <w:t>I vote to approve.</w:t>
      </w:r>
    </w:p>
    <w:p w:rsidR="002C00E8" w:rsidRPr="00EB3ADF" w:rsidP="00EB3ADF"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873B5" w14:paraId="4FCC7222" w14:textId="7C402D4B">
    <w:pPr>
      <w:pStyle w:val="Heade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0873B5" w:rsidP="000873B5" w14:paraId="4B4B4FC3" w14:textId="44FB5F38">
    <w:pPr>
      <w:pStyle w:val="Heade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0873B5" w:rsidR="00183637">
      <w:tab/>
      <w:t>Federal Communications Commission</w:t>
    </w:r>
    <w:r w:rsidRPr="000873B5" w:rsidR="00183637">
      <w:tab/>
    </w:r>
    <w:r w:rsidRPr="000873B5" w:rsidR="00D6752B">
      <w:rPr>
        <w:spacing w:val="-2"/>
      </w:rPr>
      <w:t>FCC 19-</w:t>
    </w:r>
    <w:r w:rsidRPr="000873B5"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3B5"/>
    <w:rsid w:val="000875BF"/>
    <w:rsid w:val="00096D8C"/>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2E7CA8"/>
    <w:rsid w:val="00343749"/>
    <w:rsid w:val="00351712"/>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810B6F"/>
    <w:rsid w:val="00822CE0"/>
    <w:rsid w:val="00841AB1"/>
    <w:rsid w:val="0087590D"/>
    <w:rsid w:val="008B6189"/>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B3ADF"/>
    <w:rsid w:val="00EE6488"/>
    <w:rsid w:val="00F021FA"/>
    <w:rsid w:val="00F104F1"/>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873B5"/>
    <w:pPr>
      <w:tabs>
        <w:tab w:val="center" w:pos="4680"/>
        <w:tab w:val="right" w:pos="9360"/>
      </w:tabs>
    </w:pPr>
    <w:rPr>
      <w:rFonts w:ascii="Times New Roman" w:hAnsi="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