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165EAA" w14:paraId="3B53727E" w14:textId="77777777">
      <w:pPr>
        <w:jc w:val="center"/>
        <w:rPr>
          <w:b/>
        </w:rPr>
      </w:pPr>
      <w:r w:rsidRPr="00165EAA">
        <w:rPr>
          <w:rFonts w:ascii="Times New Roman Bold" w:hAnsi="Times New Roman Bold"/>
          <w:b/>
          <w:kern w:val="0"/>
        </w:rPr>
        <w:t>Before</w:t>
      </w:r>
      <w:r w:rsidRPr="00165EAA">
        <w:rPr>
          <w:b/>
        </w:rPr>
        <w:t xml:space="preserve"> the</w:t>
      </w:r>
    </w:p>
    <w:p w:rsidR="00921803" w:rsidP="00921803" w14:paraId="0B5C259E" w14:textId="77777777">
      <w:pPr>
        <w:pStyle w:val="StyleBoldCentered"/>
      </w:pPr>
      <w:r>
        <w:t>F</w:t>
      </w:r>
      <w:r>
        <w:rPr>
          <w:caps w:val="0"/>
        </w:rPr>
        <w:t>ederal Communications Commission</w:t>
      </w:r>
    </w:p>
    <w:p w:rsidR="004C2EE3" w:rsidP="00096D8C" w14:paraId="691BC9B4" w14:textId="77777777">
      <w:pPr>
        <w:pStyle w:val="StyleBoldCentered"/>
      </w:pPr>
      <w:r>
        <w:rPr>
          <w:caps w:val="0"/>
        </w:rPr>
        <w:t>Washington, D.C. 20554</w:t>
      </w:r>
    </w:p>
    <w:p w:rsidR="004C2EE3" w:rsidP="0070224F" w14:paraId="6A15FE24" w14:textId="77777777"/>
    <w:p w:rsidR="004C2EE3" w:rsidP="0070224F" w14:paraId="68C39FAA" w14:textId="77777777"/>
    <w:tbl>
      <w:tblPr>
        <w:tblW w:w="0" w:type="auto"/>
        <w:tblLayout w:type="fixed"/>
        <w:tblLook w:val="0000"/>
      </w:tblPr>
      <w:tblGrid>
        <w:gridCol w:w="4698"/>
        <w:gridCol w:w="630"/>
        <w:gridCol w:w="4248"/>
      </w:tblGrid>
      <w:tr w14:paraId="3F2857D8" w14:textId="77777777">
        <w:tblPrEx>
          <w:tblW w:w="0" w:type="auto"/>
          <w:tblLayout w:type="fixed"/>
          <w:tblLook w:val="0000"/>
        </w:tblPrEx>
        <w:tc>
          <w:tcPr>
            <w:tcW w:w="4698" w:type="dxa"/>
          </w:tcPr>
          <w:p w:rsidR="004C2EE3" w14:paraId="33D12EE0" w14:textId="77777777">
            <w:pPr>
              <w:tabs>
                <w:tab w:val="center" w:pos="4680"/>
              </w:tabs>
              <w:suppressAutoHyphens/>
              <w:rPr>
                <w:spacing w:val="-2"/>
              </w:rPr>
            </w:pPr>
            <w:r>
              <w:rPr>
                <w:spacing w:val="-2"/>
              </w:rPr>
              <w:t>In the Matter of</w:t>
            </w:r>
          </w:p>
          <w:p w:rsidR="004C2EE3" w14:paraId="7B001359" w14:textId="77777777">
            <w:pPr>
              <w:tabs>
                <w:tab w:val="center" w:pos="4680"/>
              </w:tabs>
              <w:suppressAutoHyphens/>
              <w:rPr>
                <w:spacing w:val="-2"/>
              </w:rPr>
            </w:pPr>
          </w:p>
          <w:p w:rsidR="004C2EE3" w:rsidRPr="007115F7" w:rsidP="007115F7" w14:paraId="4CF34494" w14:textId="77777777">
            <w:pPr>
              <w:tabs>
                <w:tab w:val="center" w:pos="4680"/>
              </w:tabs>
              <w:suppressAutoHyphens/>
              <w:rPr>
                <w:spacing w:val="-2"/>
              </w:rPr>
            </w:pPr>
            <w:r>
              <w:rPr>
                <w:spacing w:val="-2"/>
              </w:rPr>
              <w:t>Fac</w:t>
            </w:r>
            <w:r w:rsidR="00F87B6F">
              <w:rPr>
                <w:spacing w:val="-2"/>
              </w:rPr>
              <w:t>ilitating</w:t>
            </w:r>
            <w:r>
              <w:rPr>
                <w:spacing w:val="-2"/>
              </w:rPr>
              <w:t xml:space="preserve"> </w:t>
            </w:r>
            <w:r w:rsidR="00770621">
              <w:rPr>
                <w:spacing w:val="-2"/>
              </w:rPr>
              <w:t xml:space="preserve">Shared </w:t>
            </w:r>
            <w:r w:rsidR="008F457D">
              <w:rPr>
                <w:spacing w:val="-2"/>
              </w:rPr>
              <w:t>Use</w:t>
            </w:r>
            <w:r w:rsidR="00CD1D63">
              <w:rPr>
                <w:spacing w:val="-2"/>
              </w:rPr>
              <w:t xml:space="preserve"> in the 3.</w:t>
            </w:r>
            <w:r w:rsidR="00C40E87">
              <w:rPr>
                <w:spacing w:val="-2"/>
              </w:rPr>
              <w:t>1</w:t>
            </w:r>
            <w:r w:rsidR="00CD1D63">
              <w:rPr>
                <w:spacing w:val="-2"/>
              </w:rPr>
              <w:t>-3.5</w:t>
            </w:r>
            <w:r w:rsidR="002607A6">
              <w:rPr>
                <w:spacing w:val="-2"/>
              </w:rPr>
              <w:t>5</w:t>
            </w:r>
            <w:r w:rsidR="00CD1D63">
              <w:rPr>
                <w:spacing w:val="-2"/>
              </w:rPr>
              <w:t xml:space="preserve"> GHz Band</w:t>
            </w:r>
          </w:p>
        </w:tc>
        <w:tc>
          <w:tcPr>
            <w:tcW w:w="630" w:type="dxa"/>
          </w:tcPr>
          <w:p w:rsidR="004C2EE3" w14:paraId="2B9AB65C" w14:textId="77777777">
            <w:pPr>
              <w:tabs>
                <w:tab w:val="center" w:pos="4680"/>
              </w:tabs>
              <w:suppressAutoHyphens/>
              <w:rPr>
                <w:b/>
                <w:spacing w:val="-2"/>
              </w:rPr>
            </w:pPr>
            <w:r>
              <w:rPr>
                <w:b/>
                <w:spacing w:val="-2"/>
              </w:rPr>
              <w:t>)</w:t>
            </w:r>
          </w:p>
          <w:p w:rsidR="004C2EE3" w14:paraId="6952C408" w14:textId="77777777">
            <w:pPr>
              <w:tabs>
                <w:tab w:val="center" w:pos="4680"/>
              </w:tabs>
              <w:suppressAutoHyphens/>
              <w:rPr>
                <w:b/>
                <w:spacing w:val="-2"/>
              </w:rPr>
            </w:pPr>
            <w:r>
              <w:rPr>
                <w:b/>
                <w:spacing w:val="-2"/>
              </w:rPr>
              <w:t>)</w:t>
            </w:r>
          </w:p>
          <w:p w:rsidR="004C2EE3" w14:paraId="2737543A" w14:textId="77777777">
            <w:pPr>
              <w:tabs>
                <w:tab w:val="center" w:pos="4680"/>
              </w:tabs>
              <w:suppressAutoHyphens/>
              <w:rPr>
                <w:b/>
                <w:spacing w:val="-2"/>
              </w:rPr>
            </w:pPr>
            <w:r>
              <w:rPr>
                <w:b/>
                <w:spacing w:val="-2"/>
              </w:rPr>
              <w:t>)</w:t>
            </w:r>
          </w:p>
          <w:p w:rsidR="004C2EE3" w14:paraId="10A70F70" w14:textId="77777777">
            <w:pPr>
              <w:tabs>
                <w:tab w:val="center" w:pos="4680"/>
              </w:tabs>
              <w:suppressAutoHyphens/>
              <w:rPr>
                <w:b/>
                <w:spacing w:val="-2"/>
              </w:rPr>
            </w:pPr>
            <w:r>
              <w:rPr>
                <w:b/>
                <w:spacing w:val="-2"/>
              </w:rPr>
              <w:t>)</w:t>
            </w:r>
          </w:p>
          <w:p w:rsidR="004C2EE3" w14:paraId="7407F169" w14:textId="77777777">
            <w:pPr>
              <w:tabs>
                <w:tab w:val="center" w:pos="4680"/>
              </w:tabs>
              <w:suppressAutoHyphens/>
              <w:rPr>
                <w:b/>
                <w:spacing w:val="-2"/>
              </w:rPr>
            </w:pPr>
            <w:r>
              <w:rPr>
                <w:b/>
                <w:spacing w:val="-2"/>
              </w:rPr>
              <w:t>)</w:t>
            </w:r>
          </w:p>
          <w:p w:rsidR="004C2EE3" w14:paraId="6FC52C0C" w14:textId="77777777">
            <w:pPr>
              <w:tabs>
                <w:tab w:val="center" w:pos="4680"/>
              </w:tabs>
              <w:suppressAutoHyphens/>
              <w:rPr>
                <w:spacing w:val="-2"/>
              </w:rPr>
            </w:pPr>
            <w:r>
              <w:rPr>
                <w:b/>
                <w:spacing w:val="-2"/>
              </w:rPr>
              <w:t>)</w:t>
            </w:r>
          </w:p>
        </w:tc>
        <w:tc>
          <w:tcPr>
            <w:tcW w:w="4248" w:type="dxa"/>
          </w:tcPr>
          <w:p w:rsidR="004C2EE3" w14:paraId="7A37BF91" w14:textId="77777777">
            <w:pPr>
              <w:tabs>
                <w:tab w:val="center" w:pos="4680"/>
              </w:tabs>
              <w:suppressAutoHyphens/>
              <w:rPr>
                <w:spacing w:val="-2"/>
              </w:rPr>
            </w:pPr>
          </w:p>
          <w:p w:rsidR="004C2EE3" w14:paraId="47BD1D94" w14:textId="77777777">
            <w:pPr>
              <w:pStyle w:val="TOAHeading"/>
              <w:tabs>
                <w:tab w:val="center" w:pos="4680"/>
                <w:tab w:val="clear" w:pos="9360"/>
              </w:tabs>
              <w:rPr>
                <w:spacing w:val="-2"/>
              </w:rPr>
            </w:pPr>
          </w:p>
          <w:p w:rsidR="004C2EE3" w14:paraId="3D249301" w14:textId="4175BAA6">
            <w:pPr>
              <w:tabs>
                <w:tab w:val="center" w:pos="4680"/>
              </w:tabs>
              <w:suppressAutoHyphens/>
              <w:rPr>
                <w:spacing w:val="-2"/>
              </w:rPr>
            </w:pPr>
            <w:r>
              <w:rPr>
                <w:spacing w:val="-2"/>
              </w:rPr>
              <w:t>WT Docket No. 19-</w:t>
            </w:r>
            <w:r w:rsidR="00154945">
              <w:rPr>
                <w:spacing w:val="-2"/>
              </w:rPr>
              <w:t>348</w:t>
            </w:r>
          </w:p>
        </w:tc>
      </w:tr>
    </w:tbl>
    <w:p w:rsidR="004C2EE3" w:rsidP="0070224F" w14:paraId="09BEC214" w14:textId="77777777"/>
    <w:p w:rsidR="00841AB1" w:rsidP="00F021FA" w14:paraId="76282D1D" w14:textId="77777777">
      <w:pPr>
        <w:pStyle w:val="StyleBoldCentered"/>
      </w:pPr>
      <w:r>
        <w:t>Notice of Proposed Rulemaking</w:t>
      </w:r>
    </w:p>
    <w:p w:rsidR="004C2EE3" w14:paraId="7E57A60C" w14:textId="77777777">
      <w:pPr>
        <w:tabs>
          <w:tab w:val="left" w:pos="-720"/>
        </w:tabs>
        <w:suppressAutoHyphens/>
        <w:spacing w:line="227" w:lineRule="auto"/>
        <w:rPr>
          <w:spacing w:val="-2"/>
        </w:rPr>
      </w:pPr>
    </w:p>
    <w:p w:rsidR="004C2EE3" w:rsidP="00133F79" w14:paraId="038A0596" w14:textId="75D63CD2">
      <w:pPr>
        <w:tabs>
          <w:tab w:val="left" w:pos="720"/>
          <w:tab w:val="right" w:pos="9360"/>
        </w:tabs>
        <w:suppressAutoHyphens/>
        <w:spacing w:line="227" w:lineRule="auto"/>
        <w:rPr>
          <w:spacing w:val="-2"/>
        </w:rPr>
      </w:pPr>
      <w:r>
        <w:rPr>
          <w:b/>
          <w:spacing w:val="-2"/>
        </w:rPr>
        <w:t xml:space="preserve">Adopted:  </w:t>
      </w:r>
      <w:r w:rsidR="00D15CCA">
        <w:rPr>
          <w:b/>
          <w:spacing w:val="-2"/>
        </w:rPr>
        <w:t>December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15CCA">
        <w:rPr>
          <w:b/>
          <w:spacing w:val="-2"/>
        </w:rPr>
        <w:t>December 16, 2019</w:t>
      </w:r>
    </w:p>
    <w:p w:rsidR="00822CE0" w14:paraId="6104FC45" w14:textId="77777777"/>
    <w:p w:rsidR="004C2EE3" w14:paraId="174EC66D" w14:textId="6A83D525">
      <w:pPr>
        <w:rPr>
          <w:spacing w:val="-2"/>
        </w:rPr>
      </w:pPr>
    </w:p>
    <w:p w:rsidR="00DC2F9D" w:rsidP="00DC2F9D" w14:paraId="7224AF24" w14:textId="77777777">
      <w:pPr>
        <w:widowControl/>
        <w:autoSpaceDE w:val="0"/>
        <w:autoSpaceDN w:val="0"/>
        <w:adjustRightInd w:val="0"/>
        <w:rPr>
          <w:rFonts w:ascii="TimesNewRomanPS-BoldMT" w:hAnsi="TimesNewRomanPS-BoldMT" w:cs="TimesNewRomanPS-BoldMT"/>
          <w:b/>
          <w:bCs/>
          <w:snapToGrid/>
          <w:kern w:val="0"/>
          <w:szCs w:val="22"/>
        </w:rPr>
      </w:pPr>
      <w:r>
        <w:rPr>
          <w:rFonts w:ascii="TimesNewRomanPS-BoldMT" w:hAnsi="TimesNewRomanPS-BoldMT" w:cs="TimesNewRomanPS-BoldMT"/>
          <w:b/>
          <w:bCs/>
          <w:snapToGrid/>
          <w:kern w:val="0"/>
          <w:szCs w:val="22"/>
        </w:rPr>
        <w:t>Comment Date: (</w:t>
      </w:r>
      <w:r w:rsidR="002327E0">
        <w:rPr>
          <w:rFonts w:ascii="TimesNewRomanPS-BoldMT" w:hAnsi="TimesNewRomanPS-BoldMT" w:cs="TimesNewRomanPS-BoldMT"/>
          <w:b/>
          <w:bCs/>
          <w:snapToGrid/>
          <w:kern w:val="0"/>
          <w:szCs w:val="22"/>
        </w:rPr>
        <w:t xml:space="preserve">30 </w:t>
      </w:r>
      <w:r>
        <w:rPr>
          <w:rFonts w:ascii="TimesNewRomanPS-BoldMT" w:hAnsi="TimesNewRomanPS-BoldMT" w:cs="TimesNewRomanPS-BoldMT"/>
          <w:b/>
          <w:bCs/>
          <w:snapToGrid/>
          <w:kern w:val="0"/>
          <w:szCs w:val="22"/>
        </w:rPr>
        <w:t>days after Federal Register publication)</w:t>
      </w:r>
    </w:p>
    <w:p w:rsidR="00604E46" w:rsidP="00604E46" w14:paraId="045FF5E3" w14:textId="0CEA479E">
      <w:pPr>
        <w:rPr>
          <w:rFonts w:ascii="TimesNewRomanPS-BoldMT" w:hAnsi="TimesNewRomanPS-BoldMT" w:cs="TimesNewRomanPS-BoldMT"/>
          <w:b/>
          <w:bCs/>
          <w:snapToGrid/>
          <w:kern w:val="0"/>
          <w:szCs w:val="22"/>
        </w:rPr>
      </w:pPr>
      <w:r>
        <w:rPr>
          <w:rFonts w:ascii="TimesNewRomanPS-BoldMT" w:hAnsi="TimesNewRomanPS-BoldMT" w:cs="TimesNewRomanPS-BoldMT"/>
          <w:b/>
          <w:snapToGrid/>
          <w:kern w:val="0"/>
          <w:szCs w:val="22"/>
        </w:rPr>
        <w:t xml:space="preserve">Reply Comment Date: </w:t>
      </w:r>
      <w:r w:rsidR="001A7D4B">
        <w:rPr>
          <w:rFonts w:ascii="TimesNewRomanPS-BoldMT" w:hAnsi="TimesNewRomanPS-BoldMT" w:cs="TimesNewRomanPS-BoldMT"/>
          <w:b/>
          <w:snapToGrid/>
          <w:kern w:val="0"/>
          <w:szCs w:val="22"/>
        </w:rPr>
        <w:t>(</w:t>
      </w:r>
      <w:r w:rsidR="002327E0">
        <w:rPr>
          <w:rFonts w:ascii="TimesNewRomanPS-BoldMT" w:hAnsi="TimesNewRomanPS-BoldMT" w:cs="TimesNewRomanPS-BoldMT"/>
          <w:b/>
          <w:bCs/>
          <w:snapToGrid/>
          <w:kern w:val="0"/>
          <w:szCs w:val="22"/>
        </w:rPr>
        <w:t xml:space="preserve">60 </w:t>
      </w:r>
      <w:r w:rsidR="00DC2F9D">
        <w:rPr>
          <w:rFonts w:ascii="TimesNewRomanPS-BoldMT" w:hAnsi="TimesNewRomanPS-BoldMT" w:cs="TimesNewRomanPS-BoldMT"/>
          <w:b/>
          <w:bCs/>
          <w:snapToGrid/>
          <w:kern w:val="0"/>
          <w:szCs w:val="22"/>
        </w:rPr>
        <w:t xml:space="preserve">days after </w:t>
      </w:r>
      <w:r>
        <w:rPr>
          <w:rFonts w:ascii="TimesNewRomanPS-BoldMT" w:hAnsi="TimesNewRomanPS-BoldMT" w:cs="TimesNewRomanPS-BoldMT"/>
          <w:b/>
          <w:snapToGrid/>
          <w:kern w:val="0"/>
          <w:szCs w:val="22"/>
        </w:rPr>
        <w:t>Federal Register</w:t>
      </w:r>
      <w:r w:rsidR="00DC2F9D">
        <w:rPr>
          <w:rFonts w:ascii="TimesNewRomanPS-BoldMT" w:hAnsi="TimesNewRomanPS-BoldMT" w:cs="TimesNewRomanPS-BoldMT"/>
          <w:b/>
          <w:bCs/>
          <w:snapToGrid/>
          <w:kern w:val="0"/>
          <w:szCs w:val="22"/>
        </w:rPr>
        <w:t xml:space="preserve"> publication</w:t>
      </w:r>
      <w:r w:rsidR="001A7D4B">
        <w:rPr>
          <w:rFonts w:ascii="TimesNewRomanPS-BoldMT" w:hAnsi="TimesNewRomanPS-BoldMT" w:cs="TimesNewRomanPS-BoldMT"/>
          <w:b/>
          <w:bCs/>
          <w:snapToGrid/>
          <w:kern w:val="0"/>
          <w:szCs w:val="22"/>
        </w:rPr>
        <w:t>)</w:t>
      </w:r>
    </w:p>
    <w:p w:rsidR="00193BF2" w:rsidP="00604E46" w14:paraId="12CA3CA9" w14:textId="7385E513">
      <w:pPr>
        <w:rPr>
          <w:rFonts w:ascii="TimesNewRomanPS-BoldMT" w:hAnsi="TimesNewRomanPS-BoldMT" w:cs="TimesNewRomanPS-BoldMT"/>
          <w:b/>
          <w:bCs/>
          <w:snapToGrid/>
          <w:kern w:val="0"/>
          <w:szCs w:val="22"/>
        </w:rPr>
      </w:pPr>
    </w:p>
    <w:p w:rsidR="00193BF2" w:rsidRPr="00BA3DE2" w:rsidP="00193BF2" w14:paraId="45C09883" w14:textId="77777777">
      <w:pPr>
        <w:rPr>
          <w:spacing w:val="-2"/>
        </w:rPr>
      </w:pPr>
      <w:r>
        <w:t xml:space="preserve">By the </w:t>
      </w:r>
      <w:r>
        <w:rPr>
          <w:spacing w:val="-2"/>
        </w:rPr>
        <w:t xml:space="preserve">Commission: </w:t>
      </w:r>
      <w:r w:rsidRPr="00BA3DE2">
        <w:rPr>
          <w:spacing w:val="-2"/>
        </w:rPr>
        <w:t xml:space="preserve">Chairman Pai and Commissioners O’Rielly, Carr, Rosenworcel and Starks issuing separate statements. </w:t>
      </w:r>
    </w:p>
    <w:p w:rsidR="00193BF2" w:rsidP="00604E46" w14:paraId="72B20741" w14:textId="77777777">
      <w:pPr>
        <w:rPr>
          <w:rFonts w:ascii="TimesNewRomanPS-BoldMT" w:hAnsi="TimesNewRomanPS-BoldMT" w:cs="TimesNewRomanPS-BoldMT"/>
          <w:b/>
          <w:snapToGrid/>
          <w:kern w:val="0"/>
          <w:szCs w:val="22"/>
        </w:rPr>
      </w:pPr>
    </w:p>
    <w:p w:rsidR="00DC2F9D" w:rsidP="00DC2F9D" w14:paraId="7068B80A" w14:textId="77777777">
      <w:pPr>
        <w:rPr>
          <w:spacing w:val="-2"/>
        </w:rPr>
      </w:pPr>
    </w:p>
    <w:p w:rsidR="00412FC5" w:rsidP="00C36B4C" w14:paraId="7C6948C5" w14:textId="77777777">
      <w:pPr>
        <w:pStyle w:val="Heading1"/>
      </w:pPr>
      <w:r>
        <w:t>Introduction</w:t>
      </w:r>
      <w:r w:rsidR="00147C68">
        <w:t xml:space="preserve"> </w:t>
      </w:r>
    </w:p>
    <w:p w:rsidR="00C314F1" w:rsidP="00FE65F6" w14:paraId="6E19B88E" w14:textId="60E2008E">
      <w:pPr>
        <w:pStyle w:val="ParaNum"/>
        <w:tabs>
          <w:tab w:val="clear" w:pos="1080"/>
        </w:tabs>
      </w:pPr>
      <w:r>
        <w:t xml:space="preserve">In </w:t>
      </w:r>
      <w:r w:rsidR="001F0F93">
        <w:t>this Notice of Proposed Rulemaking (Notice)</w:t>
      </w:r>
      <w:r w:rsidR="00B95AE1">
        <w:t xml:space="preserve">, </w:t>
      </w:r>
      <w:r w:rsidR="00BA7D9E">
        <w:t>we</w:t>
      </w:r>
      <w:r w:rsidR="000E2282">
        <w:t xml:space="preserve"> propose to</w:t>
      </w:r>
      <w:r w:rsidR="003D7B8E">
        <w:t xml:space="preserve"> </w:t>
      </w:r>
      <w:r w:rsidRPr="004C2C0D" w:rsidR="00E5392B">
        <w:t>remov</w:t>
      </w:r>
      <w:r w:rsidR="00E5392B">
        <w:t>e</w:t>
      </w:r>
      <w:r w:rsidRPr="004C2C0D" w:rsidR="00E5392B">
        <w:t xml:space="preserve"> the existing non-federal</w:t>
      </w:r>
      <w:r w:rsidR="007B5047">
        <w:t xml:space="preserve"> secondary</w:t>
      </w:r>
      <w:r w:rsidRPr="004C2C0D" w:rsidR="00E5392B">
        <w:t xml:space="preserve"> </w:t>
      </w:r>
      <w:r w:rsidR="00BE2141">
        <w:t xml:space="preserve">radiolocation and amateur </w:t>
      </w:r>
      <w:r w:rsidRPr="004C2C0D" w:rsidR="00E5392B">
        <w:t>allocation</w:t>
      </w:r>
      <w:r w:rsidR="00F87B6F">
        <w:t>s</w:t>
      </w:r>
      <w:r w:rsidR="00E5392B">
        <w:t xml:space="preserve"> in the 3.3-3.55 GH</w:t>
      </w:r>
      <w:r w:rsidR="002B7D39">
        <w:t>z</w:t>
      </w:r>
      <w:r w:rsidR="00E5392B">
        <w:t xml:space="preserve"> band and </w:t>
      </w:r>
      <w:r w:rsidR="004F60C4">
        <w:t xml:space="preserve">to </w:t>
      </w:r>
      <w:r w:rsidR="00E5392B">
        <w:t>relocate</w:t>
      </w:r>
      <w:r w:rsidRPr="004C2C0D" w:rsidR="002F768E">
        <w:t xml:space="preserve"> incumbent non-federal operations out of the band</w:t>
      </w:r>
      <w:r w:rsidR="00244CC5">
        <w:t xml:space="preserve">, in order to prepare the band for possible </w:t>
      </w:r>
      <w:r w:rsidR="00661DB1">
        <w:t>expanded</w:t>
      </w:r>
      <w:r w:rsidR="00244CC5">
        <w:t xml:space="preserve"> commercial</w:t>
      </w:r>
      <w:r w:rsidR="00A814AF">
        <w:t xml:space="preserve"> wireless</w:t>
      </w:r>
      <w:r w:rsidR="00244CC5">
        <w:t xml:space="preserve"> </w:t>
      </w:r>
      <w:r w:rsidR="00661DB1">
        <w:t>use</w:t>
      </w:r>
      <w:r w:rsidR="00ED3BBE">
        <w:t xml:space="preserve">. </w:t>
      </w:r>
      <w:r w:rsidR="005B7E68">
        <w:t xml:space="preserve"> </w:t>
      </w:r>
      <w:r w:rsidR="00983B37">
        <w:t>We</w:t>
      </w:r>
      <w:r w:rsidR="00F87B6F">
        <w:t xml:space="preserve"> also seek comment on relo</w:t>
      </w:r>
      <w:r w:rsidR="00F94162">
        <w:t xml:space="preserve">cation </w:t>
      </w:r>
      <w:r w:rsidR="00F304B9">
        <w:t xml:space="preserve">options </w:t>
      </w:r>
      <w:r w:rsidR="00395246">
        <w:t>and transition mechanism</w:t>
      </w:r>
      <w:r w:rsidR="0070500C">
        <w:t>s</w:t>
      </w:r>
      <w:r w:rsidR="00395246">
        <w:t xml:space="preserve"> </w:t>
      </w:r>
      <w:r w:rsidR="00F304B9">
        <w:t>for</w:t>
      </w:r>
      <w:r w:rsidR="00F94162">
        <w:t xml:space="preserve"> </w:t>
      </w:r>
      <w:r w:rsidR="007B5047">
        <w:t xml:space="preserve">incumbent </w:t>
      </w:r>
      <w:r w:rsidR="00F94162">
        <w:t xml:space="preserve">non-federal </w:t>
      </w:r>
      <w:r w:rsidR="00F304B9">
        <w:t>operations.</w:t>
      </w:r>
      <w:r>
        <w:t xml:space="preserve">  </w:t>
      </w:r>
      <w:r w:rsidR="00EA4ABA">
        <w:t>This Notice</w:t>
      </w:r>
      <w:r w:rsidR="00FA4F41">
        <w:t xml:space="preserve"> is consistent with the Commission’s responsibilities,</w:t>
      </w:r>
      <w:r w:rsidR="00164DE0">
        <w:t xml:space="preserve"> a</w:t>
      </w:r>
      <w:r w:rsidR="00FA4F41">
        <w:t xml:space="preserve">s </w:t>
      </w:r>
      <w:r w:rsidR="00F06A64">
        <w:t xml:space="preserve">specified </w:t>
      </w:r>
      <w:r w:rsidR="00FA4F41">
        <w:t>in the MOBILE NOW Act</w:t>
      </w:r>
      <w:r w:rsidR="00015971">
        <w:t>,</w:t>
      </w:r>
      <w:r w:rsidR="00FA4F41">
        <w:t xml:space="preserve"> to </w:t>
      </w:r>
      <w:r w:rsidR="00B540AD">
        <w:t xml:space="preserve">identify spectrum </w:t>
      </w:r>
      <w:r w:rsidR="00351A64">
        <w:t xml:space="preserve">for new mobile and fixed wireless use and, specifically, to </w:t>
      </w:r>
      <w:r w:rsidR="00E5797D">
        <w:t xml:space="preserve">work </w:t>
      </w:r>
      <w:r w:rsidR="00351A64">
        <w:t xml:space="preserve">in consultation </w:t>
      </w:r>
      <w:r w:rsidR="00E5797D">
        <w:t xml:space="preserve">with the National Telecommunications and Information Administration (NTIA) to </w:t>
      </w:r>
      <w:r w:rsidR="00FF71A2">
        <w:t xml:space="preserve">evaluate </w:t>
      </w:r>
      <w:r w:rsidR="005A45F4">
        <w:t>the feasibility of allowing commercial wireless services to share use of spectrum between 3.1 and 3.55 GHz</w:t>
      </w:r>
      <w:r w:rsidR="00164DE0">
        <w:t>.</w:t>
      </w:r>
      <w:r w:rsidR="005A45F4">
        <w:t xml:space="preserve"> </w:t>
      </w:r>
      <w:r w:rsidR="000B2235">
        <w:t xml:space="preserve"> </w:t>
      </w:r>
      <w:r w:rsidR="00164DE0">
        <w:t xml:space="preserve">By proposing to </w:t>
      </w:r>
      <w:r w:rsidR="002D3D72">
        <w:t xml:space="preserve">delete the </w:t>
      </w:r>
      <w:r w:rsidR="006F1AD2">
        <w:t>existing non-federal</w:t>
      </w:r>
      <w:r w:rsidR="00BE2141">
        <w:t xml:space="preserve"> </w:t>
      </w:r>
      <w:r w:rsidR="002D3D72">
        <w:t>secondary allocations from the 3.3-3.55 GHz band in the Table of Frequency Allocations</w:t>
      </w:r>
      <w:r w:rsidR="00BE2141">
        <w:t xml:space="preserve">, we </w:t>
      </w:r>
      <w:r w:rsidR="00AA5A2D">
        <w:t xml:space="preserve">are taking an important </w:t>
      </w:r>
      <w:r w:rsidR="00FF2C68">
        <w:t xml:space="preserve">initial </w:t>
      </w:r>
      <w:r w:rsidR="00AA5A2D">
        <w:t xml:space="preserve">step towards </w:t>
      </w:r>
      <w:r w:rsidR="009F3BFD">
        <w:t>satisfying Congress’s directive</w:t>
      </w:r>
      <w:r w:rsidR="00C967AE">
        <w:t>s</w:t>
      </w:r>
      <w:r w:rsidR="009F3BFD">
        <w:t xml:space="preserve"> and </w:t>
      </w:r>
      <w:r w:rsidR="00AA5A2D">
        <w:t xml:space="preserve">making </w:t>
      </w:r>
      <w:r w:rsidR="009F3BFD">
        <w:t>as</w:t>
      </w:r>
      <w:r w:rsidR="00C967AE">
        <w:t xml:space="preserve"> much as 250</w:t>
      </w:r>
      <w:r w:rsidR="00737190">
        <w:t> </w:t>
      </w:r>
      <w:r w:rsidR="00C967AE">
        <w:t>megahertz of spectrum</w:t>
      </w:r>
      <w:r w:rsidR="00AA5A2D">
        <w:t xml:space="preserve"> </w:t>
      </w:r>
      <w:r w:rsidR="00BC5C61">
        <w:t>from th</w:t>
      </w:r>
      <w:r w:rsidR="005D37FE">
        <w:t>is</w:t>
      </w:r>
      <w:r w:rsidR="00BC5C61">
        <w:t xml:space="preserve"> band potentially </w:t>
      </w:r>
      <w:r w:rsidR="00AA5A2D">
        <w:t xml:space="preserve">available for </w:t>
      </w:r>
      <w:r w:rsidR="009519B7">
        <w:t>advanced wireless services</w:t>
      </w:r>
      <w:r w:rsidR="007241FB">
        <w:t>, including 5G</w:t>
      </w:r>
      <w:r w:rsidR="009519B7">
        <w:t>, the next generation of wireless connectivity</w:t>
      </w:r>
      <w:r w:rsidR="0093242B">
        <w:t>.</w:t>
      </w:r>
    </w:p>
    <w:p w:rsidR="001505EB" w:rsidP="001505EB" w14:paraId="6BCA1DB0" w14:textId="77777777">
      <w:pPr>
        <w:pStyle w:val="Heading1"/>
      </w:pPr>
      <w:r>
        <w:t>Background</w:t>
      </w:r>
    </w:p>
    <w:p w:rsidR="008C3A3E" w:rsidP="006931E7" w14:paraId="43E1DDC0" w14:textId="77777777">
      <w:pPr>
        <w:pStyle w:val="ParaNum"/>
        <w:widowControl/>
        <w:tabs>
          <w:tab w:val="clear" w:pos="1080"/>
          <w:tab w:val="num" w:pos="1440"/>
        </w:tabs>
      </w:pPr>
      <w:r w:rsidRPr="00E36371">
        <w:t>Congress addressed the pressing need for additional spectrum for wireless broadband in the Fiscal Year 2018 omnibus spending bill, signed into law in March 2018, which includes the MOBILE NOW Act under Title VI of RAY BAUM’S Act.</w:t>
      </w:r>
      <w:r>
        <w:rPr>
          <w:rStyle w:val="FootnoteReference"/>
        </w:rPr>
        <w:footnoteReference w:id="3"/>
      </w:r>
      <w:r>
        <w:t xml:space="preserve"> </w:t>
      </w:r>
      <w:r w:rsidRPr="00E36371">
        <w:t xml:space="preserve"> </w:t>
      </w:r>
      <w:r w:rsidR="00714916">
        <w:t xml:space="preserve">In light of the importance of making spectrum </w:t>
      </w:r>
      <w:r w:rsidRPr="00E36371">
        <w:t>available for new technologies and maintain</w:t>
      </w:r>
      <w:r w:rsidR="00714916">
        <w:t>ing</w:t>
      </w:r>
      <w:r w:rsidRPr="00E36371">
        <w:t xml:space="preserve"> America’s leadership position in the future of communications technology</w:t>
      </w:r>
      <w:r w:rsidR="00714916">
        <w:t>,</w:t>
      </w:r>
      <w:r w:rsidRPr="00E36371">
        <w:t xml:space="preserve"> the Act mandate</w:t>
      </w:r>
      <w:r w:rsidR="00C06824">
        <w:t>s</w:t>
      </w:r>
      <w:r w:rsidRPr="00E36371">
        <w:t xml:space="preserve"> that the</w:t>
      </w:r>
      <w:r>
        <w:t xml:space="preserve"> Secretary of Commerce, working through NTIA</w:t>
      </w:r>
      <w:r w:rsidR="009276BC">
        <w:t xml:space="preserve">: </w:t>
      </w:r>
      <w:r w:rsidR="006D3F73">
        <w:t>(1)</w:t>
      </w:r>
      <w:r>
        <w:t xml:space="preserve"> </w:t>
      </w:r>
      <w:r w:rsidR="004E1040">
        <w:t xml:space="preserve">submit, </w:t>
      </w:r>
      <w:r w:rsidR="00BF7A60">
        <w:t xml:space="preserve">in consultation </w:t>
      </w:r>
      <w:r w:rsidR="00857308">
        <w:t xml:space="preserve">with </w:t>
      </w:r>
      <w:r>
        <w:t>the Commission</w:t>
      </w:r>
      <w:r w:rsidR="006C1F5A">
        <w:t xml:space="preserve"> and the head of each affected Federal agency (or a designee thereof)</w:t>
      </w:r>
      <w:r w:rsidR="006D3F73">
        <w:t>,</w:t>
      </w:r>
      <w:r>
        <w:t xml:space="preserve"> a report by March 23, 2020 </w:t>
      </w:r>
      <w:r w:rsidR="00C9224F">
        <w:t xml:space="preserve">on the feasibility of </w:t>
      </w:r>
      <w:r w:rsidR="008621E9">
        <w:t xml:space="preserve">“allowing commercial wireless service, </w:t>
      </w:r>
      <w:r w:rsidR="008621E9">
        <w:t xml:space="preserve">licensed or unlicensed, to share use of the frequencies between 3100 megahertz and </w:t>
      </w:r>
      <w:r w:rsidR="008D1865">
        <w:t>3550 megahertz</w:t>
      </w:r>
      <w:r w:rsidR="00326D56">
        <w:t>,</w:t>
      </w:r>
      <w:r w:rsidR="008D1865">
        <w:t>”</w:t>
      </w:r>
      <w:r>
        <w:rPr>
          <w:rStyle w:val="FootnoteReference"/>
        </w:rPr>
        <w:footnoteReference w:id="4"/>
      </w:r>
      <w:r w:rsidR="008D1865">
        <w:t xml:space="preserve"> </w:t>
      </w:r>
      <w:r>
        <w:t xml:space="preserve">and </w:t>
      </w:r>
      <w:r w:rsidR="00C16EAE">
        <w:t>(</w:t>
      </w:r>
      <w:r>
        <w:t xml:space="preserve">2) identify </w:t>
      </w:r>
      <w:r w:rsidR="00434FAE">
        <w:t xml:space="preserve">with the Commission </w:t>
      </w:r>
      <w:r>
        <w:t>“at least 255 megahertz of Federal and non-Federal spectrum for mobile and fixed wireless broadband use” by December 31, 2022.</w:t>
      </w:r>
      <w:r>
        <w:rPr>
          <w:rStyle w:val="FootnoteReference"/>
        </w:rPr>
        <w:footnoteReference w:id="5"/>
      </w:r>
      <w:r w:rsidR="002B7D39">
        <w:t xml:space="preserve"> </w:t>
      </w:r>
      <w:r w:rsidR="00B60D9D">
        <w:t xml:space="preserve"> </w:t>
      </w:r>
      <w:r w:rsidR="00BC3A50">
        <w:t>With respect to this second obligation of NTIA and the Commission, t</w:t>
      </w:r>
      <w:r w:rsidR="00C7562D">
        <w:t>he Act further specifies that</w:t>
      </w:r>
      <w:r w:rsidR="00D90F59">
        <w:t xml:space="preserve"> not less than</w:t>
      </w:r>
      <w:r w:rsidR="00C7562D">
        <w:t xml:space="preserve"> “100 megahertz below the fre</w:t>
      </w:r>
      <w:r w:rsidR="00E72D73">
        <w:t xml:space="preserve">quency of </w:t>
      </w:r>
      <w:r w:rsidR="00211275">
        <w:t xml:space="preserve">6000 </w:t>
      </w:r>
      <w:r w:rsidR="00E72D73">
        <w:t>megahertz shall be i</w:t>
      </w:r>
      <w:r w:rsidR="000C08F1">
        <w:t>dentified for</w:t>
      </w:r>
      <w:r w:rsidR="00211275">
        <w:t xml:space="preserve"> use on an exclusive, licensed basis for commercial mobile use, pursuant to the Commission’s authority to implement such licensing in a flexible manner</w:t>
      </w:r>
      <w:r w:rsidR="00754D9E">
        <w:t>”</w:t>
      </w:r>
      <w:r>
        <w:rPr>
          <w:rStyle w:val="FootnoteReference"/>
        </w:rPr>
        <w:footnoteReference w:id="6"/>
      </w:r>
      <w:r w:rsidR="00BC3A50">
        <w:t xml:space="preserve"> </w:t>
      </w:r>
      <w:r w:rsidR="00542C62">
        <w:t>a</w:t>
      </w:r>
      <w:r w:rsidR="00BC3A50">
        <w:t>nd “subject to pote</w:t>
      </w:r>
      <w:r w:rsidR="00045D18">
        <w:t>ntial continued use of such spectrum by incumbent Federal entities</w:t>
      </w:r>
      <w:r w:rsidR="00D90F59">
        <w:t xml:space="preserve"> in designated geographic areas</w:t>
      </w:r>
      <w:r w:rsidR="00045D18">
        <w:t>” in accordance with specified terms of the Act</w:t>
      </w:r>
      <w:r w:rsidR="00FC7762">
        <w:t xml:space="preserve"> and not less than “100 megahertz below the frequency of 8000 megahertz shall be identified for use on an unlicensed basis</w:t>
      </w:r>
      <w:r w:rsidR="00045D18">
        <w:t>.</w:t>
      </w:r>
      <w:r w:rsidR="008F205E">
        <w:t>”</w:t>
      </w:r>
      <w:r>
        <w:rPr>
          <w:rStyle w:val="FootnoteReference"/>
        </w:rPr>
        <w:footnoteReference w:id="7"/>
      </w:r>
    </w:p>
    <w:p w:rsidR="006F1116" w:rsidRPr="000D4671" w:rsidP="00531C63" w14:paraId="4B04EF7B" w14:textId="77777777">
      <w:pPr>
        <w:pStyle w:val="ParaNum"/>
        <w:widowControl/>
        <w:tabs>
          <w:tab w:val="clear" w:pos="1080"/>
          <w:tab w:val="num" w:pos="1440"/>
        </w:tabs>
        <w:rPr>
          <w:szCs w:val="22"/>
        </w:rPr>
      </w:pPr>
      <w:r w:rsidRPr="000D4671">
        <w:rPr>
          <w:szCs w:val="22"/>
        </w:rPr>
        <w:t>Of the frequencies between 3100 MHz and 3550 MHz, NTIA has identified the top 100 megahertz in the 3.45-3.55 GHz band as the most promising portion for sharing in the near term and is conducting a feasibility assessment in collaboration with the Department of Defense (DOD), and</w:t>
      </w:r>
      <w:r w:rsidRPr="000D4671">
        <w:rPr>
          <w:szCs w:val="22"/>
        </w:rPr>
        <w:t xml:space="preserve"> </w:t>
      </w:r>
      <w:r w:rsidRPr="000D4671">
        <w:rPr>
          <w:szCs w:val="22"/>
        </w:rPr>
        <w:t>continues to study the feasibility of sharing in the entire 3.1-3.55 GHz band with existing and future federal users.</w:t>
      </w:r>
      <w:r>
        <w:rPr>
          <w:rStyle w:val="FootnoteReference"/>
          <w:sz w:val="22"/>
          <w:szCs w:val="22"/>
        </w:rPr>
        <w:footnoteReference w:id="8"/>
      </w:r>
      <w:r w:rsidRPr="000D4671">
        <w:rPr>
          <w:szCs w:val="22"/>
        </w:rPr>
        <w:t xml:space="preserve">  The report on the 3.1-3.55 GHz band must include:  “(1) [a]n assessment of the operations of Federal entities that operate Federal Government stations authorized to use the frequencies . . .”; (2) “[a]n assessment of the possible impacts of such sharing on Federal and non-Federal users already operating on the frequencies . . .”; (3) “[t]he criteria that may be necessary to ensure shared licensed or unlicensed services would not cause harmful interference to Federal or non-Federal users already operating in the frequencies . . .” and (4) “[i]f such sharing is feasible, an identification of which of the frequencies described in that subsection are most suitable for sharing with commercial wireless services through the assignment of new licenses by competitive bidding, for sharing with unlicensed operations, or through a combination of licensing and unlicensed operations.”</w:t>
      </w:r>
      <w:r>
        <w:rPr>
          <w:rStyle w:val="FootnoteReference"/>
          <w:sz w:val="22"/>
          <w:szCs w:val="22"/>
        </w:rPr>
        <w:footnoteReference w:id="9"/>
      </w:r>
      <w:r w:rsidRPr="000D4671">
        <w:rPr>
          <w:szCs w:val="22"/>
        </w:rPr>
        <w:t xml:space="preserve">  </w:t>
      </w:r>
      <w:r w:rsidRPr="000D4671">
        <w:rPr>
          <w:szCs w:val="22"/>
          <w:shd w:val="clear" w:color="auto" w:fill="FFFFFF"/>
        </w:rPr>
        <w:t xml:space="preserve">Once NTIA has submitted the report, “[t]he </w:t>
      </w:r>
      <w:r w:rsidRPr="000D4671">
        <w:rPr>
          <w:szCs w:val="22"/>
        </w:rPr>
        <w:t>Commission, in consultation with the NTIA, shall seek public comment on the repor[t] . . . .”</w:t>
      </w:r>
      <w:r>
        <w:rPr>
          <w:rStyle w:val="FootnoteReference"/>
          <w:sz w:val="22"/>
          <w:szCs w:val="22"/>
        </w:rPr>
        <w:footnoteReference w:id="10"/>
      </w:r>
    </w:p>
    <w:p w:rsidR="00820B85" w:rsidP="008D7763" w14:paraId="17642EA2" w14:textId="77777777">
      <w:pPr>
        <w:pStyle w:val="ParaNum"/>
        <w:widowControl/>
        <w:tabs>
          <w:tab w:val="clear" w:pos="1080"/>
        </w:tabs>
      </w:pPr>
      <w:r>
        <w:t xml:space="preserve">Currently, the entire </w:t>
      </w:r>
      <w:r w:rsidR="006D2210">
        <w:t xml:space="preserve">3.1-3.55 GHz band is allocated for </w:t>
      </w:r>
      <w:r w:rsidR="003628AB">
        <w:t>both</w:t>
      </w:r>
      <w:r w:rsidR="006D2210">
        <w:t xml:space="preserve"> federal </w:t>
      </w:r>
      <w:r w:rsidR="00B2791F">
        <w:t>and non-</w:t>
      </w:r>
      <w:r w:rsidR="00E721B5">
        <w:t>federa</w:t>
      </w:r>
      <w:r w:rsidR="007A3F68">
        <w:t>l r</w:t>
      </w:r>
      <w:r w:rsidR="00E721B5">
        <w:t>adiolocation</w:t>
      </w:r>
      <w:r w:rsidR="003628AB">
        <w:t xml:space="preserve"> </w:t>
      </w:r>
      <w:r w:rsidR="006F7CA7">
        <w:t>services, with</w:t>
      </w:r>
      <w:r w:rsidR="00E93638">
        <w:t xml:space="preserve"> </w:t>
      </w:r>
      <w:r w:rsidR="006F7CA7">
        <w:t>n</w:t>
      </w:r>
      <w:r w:rsidRPr="004E4070" w:rsidR="006F7CA7">
        <w:t>on</w:t>
      </w:r>
      <w:r w:rsidR="006F7CA7">
        <w:t>-federal users operating on a secondary basis to federal radiolocation services</w:t>
      </w:r>
      <w:r w:rsidR="00390D23">
        <w:t>, which have a primary allocation</w:t>
      </w:r>
      <w:r w:rsidR="006F7CA7">
        <w:t>.</w:t>
      </w:r>
      <w:r>
        <w:rPr>
          <w:rStyle w:val="FootnoteReference"/>
          <w:szCs w:val="22"/>
        </w:rPr>
        <w:footnoteReference w:id="11"/>
      </w:r>
      <w:bookmarkStart w:id="0" w:name="_Hlk22236921"/>
      <w:r w:rsidR="006D1E7A">
        <w:t xml:space="preserve">  </w:t>
      </w:r>
      <w:r w:rsidR="00BF3C66">
        <w:t>The federal radiolocation allocation is one piece of a broader federal primary allocation for radiolocation in the 2.9-3.65 GHz band.</w:t>
      </w:r>
      <w:r>
        <w:rPr>
          <w:rStyle w:val="FootnoteReference"/>
        </w:rPr>
        <w:footnoteReference w:id="12"/>
      </w:r>
      <w:r w:rsidR="00BF3C66">
        <w:t xml:space="preserve">  </w:t>
      </w:r>
      <w:r w:rsidRPr="00912200" w:rsidR="00BF3C66">
        <w:t xml:space="preserve">The DOD operates high-powered defense radar systems on fixed, mobile, shipborne, and airborne platforms in this band. </w:t>
      </w:r>
      <w:r w:rsidR="00BF3C66">
        <w:t xml:space="preserve"> </w:t>
      </w:r>
      <w:r w:rsidRPr="00912200" w:rsidR="00BF3C66">
        <w:t xml:space="preserve">These radar systems are used in conjunction with weapons control systems and for the detection and tracking of air </w:t>
      </w:r>
      <w:r w:rsidRPr="00912200" w:rsidR="00BF3C66">
        <w:t xml:space="preserve">and surface targets. </w:t>
      </w:r>
      <w:r w:rsidR="00BF3C66">
        <w:t xml:space="preserve"> </w:t>
      </w:r>
      <w:r w:rsidRPr="00912200" w:rsidR="00BF3C66">
        <w:t>The DOD also operates radar systems used for fleet air defense, missile and gunfire control, bomb scoring, battlefield weapon locations, air traffic control, and range safety</w:t>
      </w:r>
      <w:r w:rsidR="00BF3C66">
        <w:t>.</w:t>
      </w:r>
      <w:r>
        <w:rPr>
          <w:rStyle w:val="FootnoteReference"/>
        </w:rPr>
        <w:footnoteReference w:id="13"/>
      </w:r>
    </w:p>
    <w:p w:rsidR="005134CF" w:rsidRPr="000568BE" w:rsidP="005134CF" w14:paraId="795DB45F" w14:textId="77777777">
      <w:pPr>
        <w:pStyle w:val="ParaNum"/>
        <w:tabs>
          <w:tab w:val="clear" w:pos="1080"/>
        </w:tabs>
      </w:pPr>
      <w:r>
        <w:t>In addition, t</w:t>
      </w:r>
      <w:r w:rsidR="004830D9">
        <w:t xml:space="preserve">he </w:t>
      </w:r>
      <w:r w:rsidR="006D1E7A">
        <w:t xml:space="preserve">3.3-3.5 GHz </w:t>
      </w:r>
      <w:r w:rsidR="004830D9">
        <w:t>band</w:t>
      </w:r>
      <w:r w:rsidR="008641E1">
        <w:t xml:space="preserve"> </w:t>
      </w:r>
      <w:r w:rsidR="006D1E7A">
        <w:t xml:space="preserve">is allocated for non-federal amateur use and </w:t>
      </w:r>
      <w:r w:rsidR="004830D9">
        <w:t xml:space="preserve">the </w:t>
      </w:r>
      <w:r w:rsidR="006D1E7A">
        <w:t>3.5-3.55</w:t>
      </w:r>
      <w:r w:rsidR="002636AD">
        <w:t> </w:t>
      </w:r>
      <w:r w:rsidR="006D1E7A">
        <w:t xml:space="preserve">GHz </w:t>
      </w:r>
      <w:r w:rsidR="004830D9">
        <w:t xml:space="preserve">band </w:t>
      </w:r>
      <w:r w:rsidR="006D1E7A">
        <w:t>is allocated for federal aeronautical radionavigation services.</w:t>
      </w:r>
      <w:r>
        <w:rPr>
          <w:rStyle w:val="FootnoteReference"/>
        </w:rPr>
        <w:footnoteReference w:id="14"/>
      </w:r>
      <w:r w:rsidR="006D1E7A">
        <w:t xml:space="preserve"> </w:t>
      </w:r>
      <w:bookmarkEnd w:id="0"/>
      <w:r w:rsidRPr="00791F9E" w:rsidR="004E4070">
        <w:rPr>
          <w:szCs w:val="22"/>
        </w:rPr>
        <w:t xml:space="preserve"> </w:t>
      </w:r>
      <w:r w:rsidR="0041039B">
        <w:rPr>
          <w:szCs w:val="22"/>
        </w:rPr>
        <w:t>Between 3.3 and 3.55</w:t>
      </w:r>
      <w:r w:rsidR="00FC6661">
        <w:rPr>
          <w:szCs w:val="22"/>
        </w:rPr>
        <w:t> </w:t>
      </w:r>
      <w:r w:rsidR="0041039B">
        <w:rPr>
          <w:szCs w:val="22"/>
        </w:rPr>
        <w:t>GHz</w:t>
      </w:r>
      <w:r w:rsidR="004830D9">
        <w:rPr>
          <w:szCs w:val="22"/>
        </w:rPr>
        <w:t>,</w:t>
      </w:r>
      <w:r w:rsidR="0041039B">
        <w:rPr>
          <w:szCs w:val="22"/>
        </w:rPr>
        <w:t xml:space="preserve"> </w:t>
      </w:r>
      <w:r w:rsidR="0041039B">
        <w:t>t</w:t>
      </w:r>
      <w:r w:rsidRPr="004E4070" w:rsidR="0041039B">
        <w:t>here</w:t>
      </w:r>
      <w:r w:rsidRPr="00185C11" w:rsidR="0041039B">
        <w:t xml:space="preserve"> are </w:t>
      </w:r>
      <w:r w:rsidR="009519B7">
        <w:t xml:space="preserve">only </w:t>
      </w:r>
      <w:r w:rsidR="00913FF0">
        <w:t xml:space="preserve">eight </w:t>
      </w:r>
      <w:r w:rsidR="0041039B">
        <w:t>active</w:t>
      </w:r>
      <w:r w:rsidRPr="00185C11" w:rsidR="0041039B">
        <w:t xml:space="preserve"> licenses </w:t>
      </w:r>
      <w:r w:rsidR="0041039B">
        <w:t>being used for a variety of commercial and industrial radiolocation services, such as</w:t>
      </w:r>
      <w:r w:rsidR="0041039B">
        <w:rPr>
          <w:szCs w:val="22"/>
        </w:rPr>
        <w:t xml:space="preserve"> </w:t>
      </w:r>
      <w:r w:rsidRPr="00185C11" w:rsidR="0041039B">
        <w:rPr>
          <w:szCs w:val="22"/>
        </w:rPr>
        <w:t xml:space="preserve">doppler radar to provide weather information to </w:t>
      </w:r>
      <w:r w:rsidR="0088742B">
        <w:rPr>
          <w:szCs w:val="22"/>
        </w:rPr>
        <w:t xml:space="preserve">broadcast </w:t>
      </w:r>
      <w:r w:rsidRPr="00185C11" w:rsidR="0041039B">
        <w:rPr>
          <w:szCs w:val="22"/>
        </w:rPr>
        <w:t>viewers</w:t>
      </w:r>
      <w:r w:rsidR="0041039B">
        <w:rPr>
          <w:szCs w:val="22"/>
        </w:rPr>
        <w:t>.</w:t>
      </w:r>
      <w:r>
        <w:rPr>
          <w:rStyle w:val="FootnoteReference"/>
        </w:rPr>
        <w:footnoteReference w:id="15"/>
      </w:r>
      <w:r w:rsidRPr="00185C11" w:rsidR="0041039B">
        <w:t xml:space="preserve"> </w:t>
      </w:r>
      <w:r w:rsidRPr="00185C11" w:rsidR="0041039B">
        <w:rPr>
          <w:szCs w:val="22"/>
        </w:rPr>
        <w:t xml:space="preserve"> </w:t>
      </w:r>
      <w:r w:rsidRPr="006B79C3" w:rsidR="0041039B">
        <w:rPr>
          <w:szCs w:val="22"/>
        </w:rPr>
        <w:t xml:space="preserve">Non-federal transmitters operating </w:t>
      </w:r>
      <w:r w:rsidR="0041039B">
        <w:rPr>
          <w:szCs w:val="22"/>
        </w:rPr>
        <w:t>between</w:t>
      </w:r>
      <w:r w:rsidRPr="006B79C3" w:rsidR="0041039B">
        <w:rPr>
          <w:szCs w:val="22"/>
        </w:rPr>
        <w:t xml:space="preserve"> 3.3-3.5 GHz</w:t>
      </w:r>
      <w:r w:rsidR="00BF3C66">
        <w:rPr>
          <w:szCs w:val="22"/>
        </w:rPr>
        <w:t xml:space="preserve"> are limited to survey operations and</w:t>
      </w:r>
      <w:r w:rsidRPr="006B79C3" w:rsidR="0041039B">
        <w:rPr>
          <w:szCs w:val="22"/>
        </w:rPr>
        <w:t xml:space="preserve"> cannot exceed a peak power of 5 watts into the antenna.</w:t>
      </w:r>
      <w:r>
        <w:rPr>
          <w:szCs w:val="22"/>
          <w:vertAlign w:val="superscript"/>
        </w:rPr>
        <w:footnoteReference w:id="16"/>
      </w:r>
      <w:r w:rsidRPr="00BF17C1" w:rsidR="0041039B">
        <w:t xml:space="preserve"> </w:t>
      </w:r>
      <w:r w:rsidR="00AE3E8E">
        <w:t xml:space="preserve"> </w:t>
      </w:r>
      <w:r>
        <w:t xml:space="preserve">From 3.1-3.3 GHz, the </w:t>
      </w:r>
      <w:r w:rsidR="00C56FC1">
        <w:t>band</w:t>
      </w:r>
      <w:r>
        <w:t xml:space="preserve"> </w:t>
      </w:r>
      <w:r w:rsidR="00C56FC1">
        <w:t xml:space="preserve">is </w:t>
      </w:r>
      <w:r>
        <w:t>allocated for space research (active) and earth exploration satellite (active)</w:t>
      </w:r>
      <w:r w:rsidR="005A1EE2">
        <w:t xml:space="preserve"> in addition to radiolocation services</w:t>
      </w:r>
      <w:r>
        <w:t>.</w:t>
      </w:r>
      <w:r>
        <w:rPr>
          <w:rStyle w:val="FootnoteReference"/>
        </w:rPr>
        <w:footnoteReference w:id="17"/>
      </w:r>
      <w:r w:rsidRPr="00D369A9">
        <w:rPr>
          <w:szCs w:val="22"/>
        </w:rPr>
        <w:t xml:space="preserve">  </w:t>
      </w:r>
      <w:r w:rsidRPr="00791F9E">
        <w:rPr>
          <w:szCs w:val="22"/>
        </w:rPr>
        <w:t xml:space="preserve">There are </w:t>
      </w:r>
      <w:r w:rsidRPr="00791F9E" w:rsidR="002E27C2">
        <w:rPr>
          <w:szCs w:val="22"/>
        </w:rPr>
        <w:t>1</w:t>
      </w:r>
      <w:r w:rsidR="002E27C2">
        <w:rPr>
          <w:szCs w:val="22"/>
        </w:rPr>
        <w:t>7</w:t>
      </w:r>
      <w:r w:rsidRPr="00791F9E" w:rsidR="002E27C2">
        <w:rPr>
          <w:szCs w:val="22"/>
        </w:rPr>
        <w:t xml:space="preserve"> </w:t>
      </w:r>
      <w:r w:rsidRPr="00791F9E">
        <w:rPr>
          <w:szCs w:val="22"/>
        </w:rPr>
        <w:t>non-federal radiolocation</w:t>
      </w:r>
      <w:r w:rsidRPr="000F097F">
        <w:rPr>
          <w:szCs w:val="22"/>
        </w:rPr>
        <w:t xml:space="preserve"> licenses </w:t>
      </w:r>
      <w:r>
        <w:rPr>
          <w:szCs w:val="22"/>
        </w:rPr>
        <w:t>below 3.3 GHz</w:t>
      </w:r>
      <w:r w:rsidRPr="000F097F">
        <w:rPr>
          <w:szCs w:val="22"/>
        </w:rPr>
        <w:t xml:space="preserve">, </w:t>
      </w:r>
      <w:r>
        <w:rPr>
          <w:szCs w:val="22"/>
        </w:rPr>
        <w:t>held by power companies and municipalities</w:t>
      </w:r>
      <w:r w:rsidRPr="00CF1AFB">
        <w:rPr>
          <w:szCs w:val="22"/>
        </w:rPr>
        <w:t>.</w:t>
      </w:r>
      <w:r>
        <w:rPr>
          <w:rStyle w:val="FootnoteReference"/>
          <w:szCs w:val="22"/>
        </w:rPr>
        <w:footnoteReference w:id="18"/>
      </w:r>
    </w:p>
    <w:p w:rsidR="000568BE" w:rsidRPr="005134CF" w:rsidP="00AC7E5C" w14:paraId="1ADD9135" w14:textId="77777777">
      <w:pPr>
        <w:pStyle w:val="ParaNum"/>
        <w:tabs>
          <w:tab w:val="clear" w:pos="1080"/>
        </w:tabs>
      </w:pPr>
      <w:bookmarkStart w:id="1" w:name="_Hlk24896376"/>
      <w:r>
        <w:rPr>
          <w:szCs w:val="22"/>
        </w:rPr>
        <w:t xml:space="preserve">Finally, </w:t>
      </w:r>
      <w:r w:rsidR="00B4780F">
        <w:rPr>
          <w:szCs w:val="22"/>
        </w:rPr>
        <w:t>we note t</w:t>
      </w:r>
      <w:r w:rsidR="00D30A90">
        <w:rPr>
          <w:szCs w:val="22"/>
        </w:rPr>
        <w:t xml:space="preserve">hat among the non-federal users already operating on these frequencies </w:t>
      </w:r>
      <w:r>
        <w:rPr>
          <w:szCs w:val="22"/>
        </w:rPr>
        <w:t xml:space="preserve">are </w:t>
      </w:r>
      <w:r w:rsidR="000830C2">
        <w:rPr>
          <w:szCs w:val="22"/>
        </w:rPr>
        <w:t>hun</w:t>
      </w:r>
      <w:r w:rsidR="0050122F">
        <w:rPr>
          <w:szCs w:val="22"/>
        </w:rPr>
        <w:t>dreds of</w:t>
      </w:r>
      <w:r>
        <w:rPr>
          <w:szCs w:val="22"/>
        </w:rPr>
        <w:t xml:space="preserve"> experimental </w:t>
      </w:r>
      <w:r w:rsidR="00B704E3">
        <w:rPr>
          <w:szCs w:val="22"/>
        </w:rPr>
        <w:t xml:space="preserve">licenses, </w:t>
      </w:r>
      <w:r w:rsidR="00005FF8">
        <w:rPr>
          <w:szCs w:val="22"/>
        </w:rPr>
        <w:t xml:space="preserve">including </w:t>
      </w:r>
      <w:r>
        <w:rPr>
          <w:szCs w:val="22"/>
        </w:rPr>
        <w:t xml:space="preserve">special temporary authorizations </w:t>
      </w:r>
      <w:r w:rsidR="00317F3A">
        <w:rPr>
          <w:szCs w:val="22"/>
        </w:rPr>
        <w:t>(STAs)</w:t>
      </w:r>
      <w:r w:rsidR="00005FF8">
        <w:rPr>
          <w:szCs w:val="22"/>
        </w:rPr>
        <w:t>,</w:t>
      </w:r>
      <w:r w:rsidR="00317F3A">
        <w:rPr>
          <w:szCs w:val="22"/>
        </w:rPr>
        <w:t xml:space="preserve"> </w:t>
      </w:r>
      <w:r>
        <w:rPr>
          <w:szCs w:val="22"/>
        </w:rPr>
        <w:t>active throughout the 3.1-3.55 GHz band</w:t>
      </w:r>
      <w:r w:rsidR="006031E1">
        <w:rPr>
          <w:szCs w:val="22"/>
        </w:rPr>
        <w:t>.</w:t>
      </w:r>
      <w:r>
        <w:rPr>
          <w:rStyle w:val="FootnoteReference"/>
          <w:szCs w:val="22"/>
        </w:rPr>
        <w:footnoteReference w:id="19"/>
      </w:r>
      <w:r w:rsidR="006031E1">
        <w:rPr>
          <w:szCs w:val="22"/>
        </w:rPr>
        <w:t xml:space="preserve"> </w:t>
      </w:r>
      <w:r>
        <w:rPr>
          <w:szCs w:val="22"/>
        </w:rPr>
        <w:t xml:space="preserve"> </w:t>
      </w:r>
      <w:r w:rsidR="005022F8">
        <w:rPr>
          <w:szCs w:val="22"/>
        </w:rPr>
        <w:t xml:space="preserve">These </w:t>
      </w:r>
      <w:r w:rsidR="00EF404A">
        <w:t xml:space="preserve">licenses and STAs, pursuant to part 5 of the Commission’s rules, </w:t>
      </w:r>
      <w:r w:rsidRPr="00AA5E7C" w:rsidR="00EF404A">
        <w:rPr>
          <w:szCs w:val="22"/>
        </w:rPr>
        <w:t>may be granted for a broad range of research and experimentation</w:t>
      </w:r>
      <w:r w:rsidR="00EF404A">
        <w:rPr>
          <w:szCs w:val="22"/>
        </w:rPr>
        <w:t xml:space="preserve"> purposes but such operations </w:t>
      </w:r>
      <w:r w:rsidR="005022F8">
        <w:rPr>
          <w:szCs w:val="22"/>
        </w:rPr>
        <w:t xml:space="preserve">are </w:t>
      </w:r>
      <w:r>
        <w:rPr>
          <w:szCs w:val="22"/>
        </w:rPr>
        <w:t xml:space="preserve">on a </w:t>
      </w:r>
      <w:r w:rsidRPr="00C735D8">
        <w:rPr>
          <w:szCs w:val="22"/>
        </w:rPr>
        <w:t>non-interference basis</w:t>
      </w:r>
      <w:r>
        <w:rPr>
          <w:szCs w:val="22"/>
        </w:rPr>
        <w:t xml:space="preserve"> (i.e., if </w:t>
      </w:r>
      <w:r w:rsidR="00EF404A">
        <w:rPr>
          <w:szCs w:val="22"/>
        </w:rPr>
        <w:t>an experimental</w:t>
      </w:r>
      <w:r>
        <w:rPr>
          <w:szCs w:val="22"/>
        </w:rPr>
        <w:t xml:space="preserve"> facility should</w:t>
      </w:r>
      <w:r w:rsidRPr="00C84A6E" w:rsidR="00C84A6E">
        <w:rPr>
          <w:szCs w:val="22"/>
        </w:rPr>
        <w:t xml:space="preserve"> cause interference, the </w:t>
      </w:r>
      <w:r w:rsidR="00EF404A">
        <w:rPr>
          <w:szCs w:val="22"/>
        </w:rPr>
        <w:t>licensee</w:t>
      </w:r>
      <w:r w:rsidRPr="00C84A6E" w:rsidR="00EF404A">
        <w:rPr>
          <w:szCs w:val="22"/>
        </w:rPr>
        <w:t xml:space="preserve"> </w:t>
      </w:r>
      <w:r w:rsidRPr="00C84A6E" w:rsidR="00C84A6E">
        <w:rPr>
          <w:szCs w:val="22"/>
        </w:rPr>
        <w:t>is required to discontinue operation</w:t>
      </w:r>
      <w:r>
        <w:rPr>
          <w:szCs w:val="22"/>
        </w:rPr>
        <w:t>)</w:t>
      </w:r>
      <w:r w:rsidRPr="00C735D8">
        <w:rPr>
          <w:szCs w:val="22"/>
        </w:rPr>
        <w:t>.</w:t>
      </w:r>
      <w:bookmarkEnd w:id="1"/>
      <w:r>
        <w:rPr>
          <w:rStyle w:val="FootnoteReference"/>
          <w:szCs w:val="22"/>
        </w:rPr>
        <w:footnoteReference w:id="20"/>
      </w:r>
      <w:r w:rsidRPr="00C735D8">
        <w:rPr>
          <w:szCs w:val="22"/>
        </w:rPr>
        <w:t xml:space="preserve">  </w:t>
      </w:r>
      <w:r w:rsidR="00B71998">
        <w:rPr>
          <w:szCs w:val="22"/>
        </w:rPr>
        <w:t xml:space="preserve">Many of </w:t>
      </w:r>
      <w:r w:rsidR="00E036DC">
        <w:rPr>
          <w:szCs w:val="22"/>
        </w:rPr>
        <w:t>the recurring STAs in the band enable short-term</w:t>
      </w:r>
      <w:r w:rsidR="00371FD2">
        <w:rPr>
          <w:szCs w:val="22"/>
        </w:rPr>
        <w:t xml:space="preserve"> </w:t>
      </w:r>
      <w:r w:rsidR="00116763">
        <w:rPr>
          <w:szCs w:val="22"/>
        </w:rPr>
        <w:t xml:space="preserve">use </w:t>
      </w:r>
      <w:r w:rsidR="00E036DC">
        <w:rPr>
          <w:szCs w:val="22"/>
        </w:rPr>
        <w:t xml:space="preserve">of </w:t>
      </w:r>
      <w:r w:rsidR="00116763">
        <w:rPr>
          <w:szCs w:val="22"/>
        </w:rPr>
        <w:t>the</w:t>
      </w:r>
      <w:r w:rsidR="00E036DC">
        <w:rPr>
          <w:szCs w:val="22"/>
        </w:rPr>
        <w:t>se</w:t>
      </w:r>
      <w:r w:rsidR="00116763">
        <w:rPr>
          <w:szCs w:val="22"/>
        </w:rPr>
        <w:t xml:space="preserve"> </w:t>
      </w:r>
      <w:r w:rsidR="00E036DC">
        <w:rPr>
          <w:szCs w:val="22"/>
        </w:rPr>
        <w:t xml:space="preserve">or other frequencies </w:t>
      </w:r>
      <w:r w:rsidR="00116763">
        <w:rPr>
          <w:szCs w:val="22"/>
        </w:rPr>
        <w:t xml:space="preserve">to add additional capacity </w:t>
      </w:r>
      <w:r w:rsidR="00044048">
        <w:rPr>
          <w:szCs w:val="22"/>
        </w:rPr>
        <w:t>during</w:t>
      </w:r>
      <w:r w:rsidR="00116763">
        <w:rPr>
          <w:szCs w:val="22"/>
        </w:rPr>
        <w:t xml:space="preserve"> sporting events.</w:t>
      </w:r>
      <w:r>
        <w:rPr>
          <w:rStyle w:val="FootnoteReference"/>
          <w:szCs w:val="22"/>
        </w:rPr>
        <w:footnoteReference w:id="21"/>
      </w:r>
    </w:p>
    <w:p w:rsidR="001B2F57" w:rsidRPr="00304A9B" w:rsidP="008D7763" w14:paraId="411858EC" w14:textId="593C3DBF">
      <w:pPr>
        <w:pStyle w:val="ParaNum"/>
        <w:widowControl/>
        <w:tabs>
          <w:tab w:val="clear" w:pos="1080"/>
        </w:tabs>
      </w:pPr>
      <w:r>
        <w:t xml:space="preserve">In light of the </w:t>
      </w:r>
      <w:r w:rsidR="00E24319">
        <w:t xml:space="preserve">foregoing </w:t>
      </w:r>
      <w:r>
        <w:t xml:space="preserve">statutory </w:t>
      </w:r>
      <w:r w:rsidR="003971E3">
        <w:t xml:space="preserve">provisions </w:t>
      </w:r>
      <w:r w:rsidR="00980DE5">
        <w:t>contained in the MOBILE NOW Act</w:t>
      </w:r>
      <w:r>
        <w:t xml:space="preserve">, </w:t>
      </w:r>
      <w:r w:rsidR="00587115">
        <w:t xml:space="preserve">the </w:t>
      </w:r>
      <w:r w:rsidR="00777599">
        <w:t>Wireless Telecommunications</w:t>
      </w:r>
      <w:r w:rsidR="00B37629">
        <w:t xml:space="preserve"> Bureau</w:t>
      </w:r>
      <w:r w:rsidR="00777599">
        <w:t xml:space="preserve"> </w:t>
      </w:r>
      <w:r>
        <w:t xml:space="preserve">in February </w:t>
      </w:r>
      <w:r w:rsidR="000516B5">
        <w:t>2019</w:t>
      </w:r>
      <w:r w:rsidR="00B37629">
        <w:t xml:space="preserve"> </w:t>
      </w:r>
      <w:r>
        <w:t xml:space="preserve">imposed a freeze </w:t>
      </w:r>
      <w:r w:rsidRPr="00306121">
        <w:t>on accept</w:t>
      </w:r>
      <w:r>
        <w:t>ing</w:t>
      </w:r>
      <w:r w:rsidRPr="00306121">
        <w:t xml:space="preserve"> and processing </w:t>
      </w:r>
      <w:r>
        <w:t xml:space="preserve">applications </w:t>
      </w:r>
      <w:r w:rsidRPr="00306121">
        <w:t>for new or expanded part 90 Radiolocation Service operations in the 3.1-3.55 GHz band</w:t>
      </w:r>
      <w:r>
        <w:t xml:space="preserve"> to </w:t>
      </w:r>
      <w:r>
        <w:t>“maintain a stable spectral environment in a band that is under active consideration for possible alternative use.”</w:t>
      </w:r>
      <w:r>
        <w:rPr>
          <w:rStyle w:val="FootnoteReference"/>
        </w:rPr>
        <w:footnoteReference w:id="22"/>
      </w:r>
    </w:p>
    <w:p w:rsidR="001505EB" w:rsidP="00827C56" w14:paraId="5E183830" w14:textId="77777777">
      <w:pPr>
        <w:pStyle w:val="Heading1"/>
      </w:pPr>
      <w:r>
        <w:t>discussion</w:t>
      </w:r>
    </w:p>
    <w:p w:rsidR="00F53C76" w:rsidP="00FE65F6" w14:paraId="62307D33" w14:textId="7719B362">
      <w:pPr>
        <w:pStyle w:val="ParaNum"/>
        <w:tabs>
          <w:tab w:val="clear" w:pos="1080"/>
        </w:tabs>
      </w:pPr>
      <w:r>
        <w:t>In this Notice</w:t>
      </w:r>
      <w:r w:rsidR="000B4E9E">
        <w:t xml:space="preserve">, we </w:t>
      </w:r>
      <w:r w:rsidR="002536EF">
        <w:t xml:space="preserve">propose to </w:t>
      </w:r>
      <w:r w:rsidR="002F768E">
        <w:t>remove the non-federal allocations for the 3.3-3.55 GHz band and relocate incumbent non-federal users out of the band</w:t>
      </w:r>
      <w:r w:rsidR="00573BAE">
        <w:t xml:space="preserve">. </w:t>
      </w:r>
      <w:r w:rsidR="00251432">
        <w:t xml:space="preserve"> </w:t>
      </w:r>
      <w:r w:rsidR="00EE3328">
        <w:t>We note that 3.3-3.55 GHz has been the focus for 5G use by standards setting organizations and in other countries, and we thus believe our focus on this band would promote international harmonization.</w:t>
      </w:r>
      <w:r>
        <w:rPr>
          <w:rStyle w:val="FootnoteReference"/>
        </w:rPr>
        <w:footnoteReference w:id="23"/>
      </w:r>
      <w:r w:rsidR="00EE3328">
        <w:t xml:space="preserve">  </w:t>
      </w:r>
      <w:r w:rsidRPr="008517EF" w:rsidR="008517EF">
        <w:t>We also note that NTIA has identified the top 100 megahertz in the 3.45-3.55 GHz band as the most promising portion for making new spectrum available for commercial use, and we therefore expect that band will be our first priority.</w:t>
      </w:r>
      <w:r w:rsidR="008517EF">
        <w:t xml:space="preserve">  </w:t>
      </w:r>
      <w:r w:rsidRPr="00873667" w:rsidR="00873667">
        <w:t xml:space="preserve">We also seek comment </w:t>
      </w:r>
      <w:r w:rsidR="003612F0">
        <w:t xml:space="preserve">on </w:t>
      </w:r>
      <w:r w:rsidR="00A87006">
        <w:t xml:space="preserve">transition and protection mechanisms for </w:t>
      </w:r>
      <w:r w:rsidR="002F768E">
        <w:t xml:space="preserve">non-federal </w:t>
      </w:r>
      <w:r w:rsidR="00A87006">
        <w:t>incumbent operators</w:t>
      </w:r>
      <w:r w:rsidR="001E2E25">
        <w:t>.</w:t>
      </w:r>
    </w:p>
    <w:p w:rsidR="00E54A29" w:rsidP="00E54A29" w14:paraId="793FFFB7" w14:textId="77777777">
      <w:pPr>
        <w:pStyle w:val="Heading2"/>
      </w:pPr>
      <w:r>
        <w:t xml:space="preserve">Removal of Non-Federal </w:t>
      </w:r>
      <w:r>
        <w:t>Allocation</w:t>
      </w:r>
      <w:r>
        <w:t>s</w:t>
      </w:r>
    </w:p>
    <w:p w:rsidR="003823FD" w:rsidP="00766F03" w14:paraId="274208CB" w14:textId="77777777">
      <w:pPr>
        <w:pStyle w:val="ParaNum"/>
        <w:tabs>
          <w:tab w:val="clear" w:pos="1080"/>
        </w:tabs>
      </w:pPr>
      <w:r>
        <w:t xml:space="preserve">We propose to </w:t>
      </w:r>
      <w:r w:rsidRPr="00B403CF">
        <w:t xml:space="preserve">eliminate </w:t>
      </w:r>
      <w:r>
        <w:t xml:space="preserve">the non-federal radiolocation services </w:t>
      </w:r>
      <w:r w:rsidR="007120D8">
        <w:t xml:space="preserve">allocation </w:t>
      </w:r>
      <w:r>
        <w:t xml:space="preserve">in </w:t>
      </w:r>
      <w:r w:rsidR="0072734F">
        <w:t>the</w:t>
      </w:r>
      <w:r>
        <w:t xml:space="preserve"> </w:t>
      </w:r>
      <w:r w:rsidRPr="00773593">
        <w:t>3.3-3.5</w:t>
      </w:r>
      <w:r w:rsidR="0005744B">
        <w:t>5</w:t>
      </w:r>
      <w:r w:rsidR="00252F24">
        <w:t> </w:t>
      </w:r>
      <w:r w:rsidRPr="00773593">
        <w:t>GH</w:t>
      </w:r>
      <w:r>
        <w:t xml:space="preserve">z </w:t>
      </w:r>
      <w:r w:rsidR="0072734F">
        <w:t xml:space="preserve">band </w:t>
      </w:r>
      <w:r>
        <w:t xml:space="preserve">and the non-federal amateur allocation in </w:t>
      </w:r>
      <w:r w:rsidR="0072734F">
        <w:t xml:space="preserve">the </w:t>
      </w:r>
      <w:r>
        <w:t>3.3-3.5 GHz</w:t>
      </w:r>
      <w:r w:rsidR="00BA5E2F">
        <w:t>.</w:t>
      </w:r>
      <w:r>
        <w:rPr>
          <w:rStyle w:val="FootnoteReference"/>
        </w:rPr>
        <w:footnoteReference w:id="24"/>
      </w:r>
      <w:r w:rsidR="0072734F">
        <w:t xml:space="preserve"> </w:t>
      </w:r>
      <w:r w:rsidR="00A97974">
        <w:t xml:space="preserve"> </w:t>
      </w:r>
      <w:r w:rsidR="00486253">
        <w:t>O</w:t>
      </w:r>
      <w:r w:rsidRPr="004A4575" w:rsidR="007515B1">
        <w:t>ur proposed</w:t>
      </w:r>
      <w:r w:rsidR="00FF46DA">
        <w:t xml:space="preserve"> </w:t>
      </w:r>
      <w:r w:rsidR="00252F24">
        <w:t xml:space="preserve">removal </w:t>
      </w:r>
      <w:r w:rsidRPr="009E740E">
        <w:t xml:space="preserve">is </w:t>
      </w:r>
      <w:r w:rsidR="004657AA">
        <w:t>an initial</w:t>
      </w:r>
      <w:r w:rsidRPr="009E740E">
        <w:t xml:space="preserve"> step </w:t>
      </w:r>
      <w:r>
        <w:t>to</w:t>
      </w:r>
      <w:r w:rsidR="00585AC6">
        <w:t xml:space="preserve">ward </w:t>
      </w:r>
      <w:r w:rsidR="00D176D0">
        <w:t xml:space="preserve">potential </w:t>
      </w:r>
      <w:r w:rsidR="00FF46DA">
        <w:t>future</w:t>
      </w:r>
      <w:r>
        <w:t xml:space="preserve"> shared use </w:t>
      </w:r>
      <w:r w:rsidR="00585AC6">
        <w:t xml:space="preserve">between </w:t>
      </w:r>
      <w:r w:rsidR="005900BB">
        <w:t xml:space="preserve">federal operations </w:t>
      </w:r>
      <w:r w:rsidR="00F3456B">
        <w:t xml:space="preserve">and </w:t>
      </w:r>
      <w:r w:rsidR="005900BB">
        <w:t xml:space="preserve">flexible use commercial </w:t>
      </w:r>
      <w:r w:rsidR="00F8076B">
        <w:t>services</w:t>
      </w:r>
      <w:r w:rsidR="00486253">
        <w:t xml:space="preserve">, </w:t>
      </w:r>
      <w:r w:rsidR="00233663">
        <w:t xml:space="preserve">in furtherance of our </w:t>
      </w:r>
      <w:r w:rsidR="004A6EAC">
        <w:t xml:space="preserve">obligations </w:t>
      </w:r>
      <w:r w:rsidR="00233663">
        <w:t xml:space="preserve">under the MOBILE NOW </w:t>
      </w:r>
      <w:r w:rsidR="00BB4798">
        <w:t>Act to identify spectrum for mobile and fixed wireless use</w:t>
      </w:r>
      <w:r w:rsidR="00883528">
        <w:t xml:space="preserve"> and </w:t>
      </w:r>
      <w:r w:rsidR="00BB4798">
        <w:t xml:space="preserve">to </w:t>
      </w:r>
      <w:r w:rsidR="00104CAC">
        <w:t>wo</w:t>
      </w:r>
      <w:r w:rsidR="00BB4798">
        <w:t xml:space="preserve">rk with NTIA </w:t>
      </w:r>
      <w:r w:rsidR="00104CAC">
        <w:t xml:space="preserve">to evaluate this band for </w:t>
      </w:r>
      <w:r w:rsidR="002A285D">
        <w:t xml:space="preserve">potential </w:t>
      </w:r>
      <w:r w:rsidR="00104CAC">
        <w:t>shared use</w:t>
      </w:r>
      <w:r w:rsidR="00FF46DA">
        <w:t xml:space="preserve">.  </w:t>
      </w:r>
      <w:r w:rsidR="00BC1ADA">
        <w:t>As the Commission has recognized in other proceedings, m</w:t>
      </w:r>
      <w:r w:rsidRPr="00A4191C" w:rsidR="00A4191C">
        <w:t xml:space="preserve">id-band spectrum is well-suited for next generation wireless broadband services </w:t>
      </w:r>
      <w:r w:rsidR="00BC1ADA">
        <w:t>given</w:t>
      </w:r>
      <w:r w:rsidRPr="00A4191C" w:rsidR="00A4191C">
        <w:t xml:space="preserve"> the combination of favorable propagation characteristics (</w:t>
      </w:r>
      <w:r w:rsidR="00AC5E5D">
        <w:t xml:space="preserve">as </w:t>
      </w:r>
      <w:r w:rsidRPr="00A4191C" w:rsidR="00A4191C">
        <w:t>compared to high bands) and the opportunity for additional channel re-use (as compared to low bands).</w:t>
      </w:r>
      <w:r>
        <w:rPr>
          <w:rStyle w:val="FootnoteReference"/>
        </w:rPr>
        <w:footnoteReference w:id="25"/>
      </w:r>
      <w:r w:rsidRPr="00A4191C" w:rsidR="00A4191C">
        <w:t xml:space="preserve">  </w:t>
      </w:r>
      <w:r w:rsidR="00395586">
        <w:t>As a general matter</w:t>
      </w:r>
      <w:r w:rsidR="002F6195">
        <w:t xml:space="preserve">, the Commission </w:t>
      </w:r>
      <w:r w:rsidR="00395586">
        <w:t>considers clearing spectrum for flexible use to be a priority when it is feasible to do so.</w:t>
      </w:r>
      <w:r w:rsidR="002F6195">
        <w:t xml:space="preserve">  Where it has not been feasible, the Commission has attempted to introduce sharing.  </w:t>
      </w:r>
      <w:r w:rsidR="00AE10B1">
        <w:t>As demonstrated by the commercial interest in the adjacent 3.5 GHz band, as well as the extensive use of experimental licenses and STAs operating in the 3.1-3.55 GHz band throughout 2019, flexible-use operations in the 3 GHz band hold substantial promise.</w:t>
      </w:r>
      <w:r>
        <w:rPr>
          <w:rStyle w:val="FootnoteReference"/>
        </w:rPr>
        <w:footnoteReference w:id="26"/>
      </w:r>
      <w:r w:rsidR="00785AD3">
        <w:t xml:space="preserve"> </w:t>
      </w:r>
    </w:p>
    <w:p w:rsidR="00AD6406" w:rsidP="00F11F54" w14:paraId="2B580A38" w14:textId="77777777">
      <w:pPr>
        <w:pStyle w:val="ParaNum"/>
        <w:tabs>
          <w:tab w:val="clear" w:pos="1080"/>
        </w:tabs>
      </w:pPr>
      <w:r>
        <w:t xml:space="preserve">By taking the initial step needed to clear the band of </w:t>
      </w:r>
      <w:r w:rsidR="00F63678">
        <w:t xml:space="preserve">allocations for </w:t>
      </w:r>
      <w:r>
        <w:t>non-federal incumbents, we</w:t>
      </w:r>
      <w:r w:rsidR="00DA3230">
        <w:t xml:space="preserve"> </w:t>
      </w:r>
      <w:r>
        <w:t>further our</w:t>
      </w:r>
      <w:r w:rsidR="009653E0">
        <w:t xml:space="preserve"> continued efforts to make more </w:t>
      </w:r>
      <w:r>
        <w:t>mid-band</w:t>
      </w:r>
      <w:r w:rsidR="009653E0">
        <w:t xml:space="preserve"> spectrum </w:t>
      </w:r>
      <w:r w:rsidR="00F63678">
        <w:t xml:space="preserve">potentially </w:t>
      </w:r>
      <w:r w:rsidR="009653E0">
        <w:t>available to support next generation wireless networks</w:t>
      </w:r>
      <w:r w:rsidR="00986CC3">
        <w:t>—consistent with the mandate of the MOBILE NOW Act</w:t>
      </w:r>
      <w:r w:rsidRPr="00181893" w:rsidR="009653E0">
        <w:t>.  We seek comment on this proposal.</w:t>
      </w:r>
    </w:p>
    <w:p w:rsidR="00834A5A" w:rsidP="00165049" w14:paraId="6B8CE234" w14:textId="77777777">
      <w:pPr>
        <w:pStyle w:val="Heading2"/>
      </w:pPr>
      <w:r>
        <w:t xml:space="preserve">Future of Incumbent </w:t>
      </w:r>
      <w:r w:rsidR="008862D8">
        <w:t xml:space="preserve">Non-Federal </w:t>
      </w:r>
      <w:r>
        <w:t>Operations</w:t>
      </w:r>
    </w:p>
    <w:p w:rsidR="00230DF4" w:rsidP="006A1294" w14:paraId="16CED942" w14:textId="30039F21">
      <w:pPr>
        <w:pStyle w:val="ParaNum"/>
        <w:tabs>
          <w:tab w:val="clear" w:pos="1080"/>
        </w:tabs>
      </w:pPr>
      <w:r>
        <w:t>W</w:t>
      </w:r>
      <w:r w:rsidR="00D46EB2">
        <w:t>e</w:t>
      </w:r>
      <w:r w:rsidR="002246C1">
        <w:t xml:space="preserve"> </w:t>
      </w:r>
      <w:r w:rsidR="00D46EB2">
        <w:t xml:space="preserve">seek comment on </w:t>
      </w:r>
      <w:r w:rsidR="00585AC6">
        <w:t xml:space="preserve">appropriate </w:t>
      </w:r>
      <w:r w:rsidR="00CB775C">
        <w:t>relocation options for</w:t>
      </w:r>
      <w:r w:rsidR="00B317CD">
        <w:t xml:space="preserve"> </w:t>
      </w:r>
      <w:r w:rsidR="00332B5E">
        <w:t xml:space="preserve">incumbent </w:t>
      </w:r>
      <w:r w:rsidR="00B317CD">
        <w:t xml:space="preserve">non-federal </w:t>
      </w:r>
      <w:r w:rsidR="00B11861">
        <w:t>users</w:t>
      </w:r>
      <w:r w:rsidR="00340495">
        <w:t>, either</w:t>
      </w:r>
      <w:r w:rsidR="00B11861">
        <w:t xml:space="preserve"> </w:t>
      </w:r>
      <w:r w:rsidR="00684C5A">
        <w:t xml:space="preserve">to </w:t>
      </w:r>
      <w:r w:rsidR="009B30C2">
        <w:t>the 3.1-</w:t>
      </w:r>
      <w:r w:rsidR="00B11861">
        <w:t>3.3 GHz</w:t>
      </w:r>
      <w:r w:rsidR="00BE5A71">
        <w:t xml:space="preserve"> </w:t>
      </w:r>
      <w:r w:rsidR="009B30C2">
        <w:t xml:space="preserve">band </w:t>
      </w:r>
      <w:r w:rsidR="000B6105">
        <w:t xml:space="preserve">or </w:t>
      </w:r>
      <w:r w:rsidR="00F91D59">
        <w:t>to</w:t>
      </w:r>
      <w:r w:rsidR="000B6105">
        <w:t xml:space="preserve"> other </w:t>
      </w:r>
      <w:r w:rsidR="009B30C2">
        <w:t>frequencies</w:t>
      </w:r>
      <w:r w:rsidR="00875FD7">
        <w:t xml:space="preserve">. </w:t>
      </w:r>
      <w:r w:rsidR="00CC0347">
        <w:t xml:space="preserve"> </w:t>
      </w:r>
      <w:r w:rsidR="00CE60BB">
        <w:t xml:space="preserve">Which other </w:t>
      </w:r>
      <w:r w:rsidR="00DB53A3">
        <w:t>frequencies</w:t>
      </w:r>
      <w:r w:rsidR="00CE60BB">
        <w:t xml:space="preserve"> might be appropriate </w:t>
      </w:r>
      <w:r w:rsidR="00DB53A3">
        <w:t xml:space="preserve">to accommodate the </w:t>
      </w:r>
      <w:r w:rsidR="004172F9">
        <w:t>current and fu</w:t>
      </w:r>
      <w:r w:rsidR="00CE22CA">
        <w:t xml:space="preserve">ture </w:t>
      </w:r>
      <w:r w:rsidR="00DB53A3">
        <w:t xml:space="preserve">uses of the band?  </w:t>
      </w:r>
      <w:r w:rsidR="00496668">
        <w:t>S</w:t>
      </w:r>
      <w:r w:rsidR="00346D83">
        <w:t>hould</w:t>
      </w:r>
      <w:r w:rsidR="00B55878">
        <w:t xml:space="preserve"> we consider different </w:t>
      </w:r>
      <w:r w:rsidR="000B103D">
        <w:t>frequencies</w:t>
      </w:r>
      <w:r w:rsidR="00346D83">
        <w:t xml:space="preserve"> for </w:t>
      </w:r>
      <w:r w:rsidR="00980DE5">
        <w:t xml:space="preserve">different </w:t>
      </w:r>
      <w:r w:rsidR="00346D83">
        <w:t>licensees</w:t>
      </w:r>
      <w:r w:rsidR="000B103D">
        <w:t xml:space="preserve"> depending on their specific needs?</w:t>
      </w:r>
      <w:r w:rsidR="00346D83">
        <w:t xml:space="preserve"> </w:t>
      </w:r>
      <w:r w:rsidR="00E97013">
        <w:t xml:space="preserve"> </w:t>
      </w:r>
      <w:r w:rsidR="000B103D">
        <w:t>F</w:t>
      </w:r>
      <w:r w:rsidR="00346D83">
        <w:t xml:space="preserve">or example, </w:t>
      </w:r>
      <w:r w:rsidR="00F3587B">
        <w:t xml:space="preserve">are there different considerations that </w:t>
      </w:r>
      <w:r w:rsidR="005675D5">
        <w:t xml:space="preserve">we </w:t>
      </w:r>
      <w:r w:rsidR="00F3587B">
        <w:t>should take into account</w:t>
      </w:r>
      <w:r w:rsidR="00346D83">
        <w:t xml:space="preserve"> in </w:t>
      </w:r>
      <w:r w:rsidR="002810EF">
        <w:t xml:space="preserve">considering </w:t>
      </w:r>
      <w:r w:rsidR="00C73102">
        <w:t>alternate frequencies</w:t>
      </w:r>
      <w:r w:rsidR="00A91F25">
        <w:t xml:space="preserve"> for </w:t>
      </w:r>
      <w:r w:rsidR="00C73102">
        <w:t>the</w:t>
      </w:r>
      <w:r w:rsidR="00A91F25">
        <w:t xml:space="preserve"> relatively low-power </w:t>
      </w:r>
      <w:r w:rsidR="00346D83">
        <w:t xml:space="preserve">operations in </w:t>
      </w:r>
      <w:r w:rsidR="000B103D">
        <w:t>t</w:t>
      </w:r>
      <w:r w:rsidR="00346D83">
        <w:t xml:space="preserve">he 3.3-3.5 GHz band and </w:t>
      </w:r>
      <w:r w:rsidR="00D80C1A">
        <w:t xml:space="preserve">the </w:t>
      </w:r>
      <w:r w:rsidR="00346D83">
        <w:t xml:space="preserve">high-power weather radar operations in </w:t>
      </w:r>
      <w:r w:rsidR="000B103D">
        <w:t>t</w:t>
      </w:r>
      <w:r w:rsidR="00346D83">
        <w:t xml:space="preserve">he 3.5-3.55 GHz band?  </w:t>
      </w:r>
      <w:r w:rsidR="00773778">
        <w:t xml:space="preserve">We </w:t>
      </w:r>
      <w:r w:rsidR="001F3C44">
        <w:t>believe</w:t>
      </w:r>
      <w:r w:rsidR="00773778">
        <w:t xml:space="preserve"> that </w:t>
      </w:r>
      <w:r w:rsidR="00992B38">
        <w:t>moving the high-power weather radar</w:t>
      </w:r>
      <w:r w:rsidR="00C843FB">
        <w:t>s</w:t>
      </w:r>
      <w:r w:rsidR="00992B38">
        <w:t xml:space="preserve"> </w:t>
      </w:r>
      <w:r w:rsidR="00C843FB">
        <w:t xml:space="preserve">in particular </w:t>
      </w:r>
      <w:r w:rsidR="001F3C44">
        <w:t xml:space="preserve">may </w:t>
      </w:r>
      <w:r w:rsidR="006D318F">
        <w:t xml:space="preserve">benefit operations in the </w:t>
      </w:r>
      <w:r w:rsidR="003128B1">
        <w:t>adjacent</w:t>
      </w:r>
      <w:r w:rsidR="00752612">
        <w:t xml:space="preserve"> </w:t>
      </w:r>
      <w:r w:rsidR="00614493">
        <w:t>3.55-3.7 GHz band</w:t>
      </w:r>
      <w:r w:rsidR="009B64B7">
        <w:t xml:space="preserve"> </w:t>
      </w:r>
      <w:r w:rsidR="003128B1">
        <w:t>b</w:t>
      </w:r>
      <w:r w:rsidR="006D318F">
        <w:t>y</w:t>
      </w:r>
      <w:r w:rsidR="003128B1">
        <w:t xml:space="preserve"> minimizing </w:t>
      </w:r>
      <w:r w:rsidR="00614493">
        <w:t xml:space="preserve">the </w:t>
      </w:r>
      <w:r w:rsidR="003128B1">
        <w:t xml:space="preserve">potential for </w:t>
      </w:r>
      <w:r w:rsidR="006D318F">
        <w:t xml:space="preserve">harmful </w:t>
      </w:r>
      <w:r w:rsidR="003128B1">
        <w:t>interfer</w:t>
      </w:r>
      <w:r w:rsidR="008B49DE">
        <w:t>e</w:t>
      </w:r>
      <w:r w:rsidR="003128B1">
        <w:t>nce</w:t>
      </w:r>
      <w:r w:rsidR="006D318F">
        <w:t xml:space="preserve"> from th</w:t>
      </w:r>
      <w:r w:rsidR="00C843FB">
        <w:t xml:space="preserve">e </w:t>
      </w:r>
      <w:r w:rsidR="00D3303B">
        <w:t xml:space="preserve">non-federal </w:t>
      </w:r>
      <w:r w:rsidR="00C843FB">
        <w:t>radars</w:t>
      </w:r>
      <w:r w:rsidR="00614493">
        <w:t xml:space="preserve"> to Citizens Broadband Radio Service operations</w:t>
      </w:r>
      <w:r w:rsidR="009B64B7">
        <w:t>.</w:t>
      </w:r>
      <w:r>
        <w:rPr>
          <w:rStyle w:val="FootnoteReference"/>
        </w:rPr>
        <w:footnoteReference w:id="27"/>
      </w:r>
      <w:r w:rsidR="009A003D">
        <w:t xml:space="preserve"> </w:t>
      </w:r>
      <w:r w:rsidR="009B64B7">
        <w:t xml:space="preserve"> </w:t>
      </w:r>
    </w:p>
    <w:p w:rsidR="00DA62E1" w:rsidP="006A1294" w14:paraId="18716FE7" w14:textId="117F550A">
      <w:pPr>
        <w:pStyle w:val="ParaNum"/>
        <w:tabs>
          <w:tab w:val="clear" w:pos="1080"/>
        </w:tabs>
      </w:pPr>
      <w:r>
        <w:t xml:space="preserve">We seek comment </w:t>
      </w:r>
      <w:r w:rsidR="00EA1853">
        <w:t xml:space="preserve">on </w:t>
      </w:r>
      <w:r>
        <w:t xml:space="preserve">relocating </w:t>
      </w:r>
      <w:r w:rsidR="009B64B7">
        <w:t xml:space="preserve">non-federal licensees </w:t>
      </w:r>
      <w:r w:rsidR="00303BED">
        <w:t xml:space="preserve">to </w:t>
      </w:r>
      <w:r w:rsidR="00763529">
        <w:t xml:space="preserve">another band.  What band would be most appropriate?  For example, if we relocated them to </w:t>
      </w:r>
      <w:r w:rsidR="00303BED">
        <w:t>the</w:t>
      </w:r>
      <w:r w:rsidR="0011265E">
        <w:t xml:space="preserve"> 3.1-3.3</w:t>
      </w:r>
      <w:r w:rsidR="0090759D">
        <w:t xml:space="preserve"> </w:t>
      </w:r>
      <w:r w:rsidR="00C63042">
        <w:t xml:space="preserve">GHz </w:t>
      </w:r>
      <w:r w:rsidR="0090759D">
        <w:t>band</w:t>
      </w:r>
      <w:r w:rsidR="00763529">
        <w:t>, we would</w:t>
      </w:r>
      <w:r w:rsidR="00975E03">
        <w:t xml:space="preserve"> propose </w:t>
      </w:r>
      <w:r w:rsidR="00AD0325">
        <w:t xml:space="preserve">that </w:t>
      </w:r>
      <w:r w:rsidR="009B64B7">
        <w:t>they</w:t>
      </w:r>
      <w:r w:rsidR="00F71CAA">
        <w:t xml:space="preserve"> would continue to operate on a secondary basis to</w:t>
      </w:r>
      <w:r w:rsidR="00875FD7">
        <w:t xml:space="preserve"> </w:t>
      </w:r>
      <w:r w:rsidR="002B6F0B">
        <w:t>federal operations</w:t>
      </w:r>
      <w:r w:rsidR="009B30C2">
        <w:t xml:space="preserve">, consistent with the </w:t>
      </w:r>
      <w:r w:rsidR="00C453A4">
        <w:t>current allocations in the band</w:t>
      </w:r>
      <w:r w:rsidR="008C6F90">
        <w:t>.</w:t>
      </w:r>
      <w:r w:rsidR="005767F6">
        <w:t xml:space="preserve">  </w:t>
      </w:r>
      <w:r w:rsidR="00850217">
        <w:t>We seek comment on whether this proposal is the most efficient and appropriate scheme for future use of the band.</w:t>
      </w:r>
      <w:r w:rsidR="008517EF">
        <w:t xml:space="preserve">  </w:t>
      </w:r>
      <w:r w:rsidR="007B50CB">
        <w:t xml:space="preserve">We also seek comment on how best to balance the interests of existing licensees in the 3.3-3.55 GHz band with </w:t>
      </w:r>
      <w:r w:rsidR="00D40A65">
        <w:t>potentially preparing</w:t>
      </w:r>
      <w:r w:rsidR="007B50CB">
        <w:t xml:space="preserve"> the band for po</w:t>
      </w:r>
      <w:r w:rsidR="00D40A65">
        <w:t>ssible</w:t>
      </w:r>
      <w:r w:rsidR="007B50CB">
        <w:t xml:space="preserve"> future shared use between federal incumbents and commercial wireless services</w:t>
      </w:r>
      <w:r w:rsidR="00CD168A">
        <w:t>, if feasible</w:t>
      </w:r>
      <w:r w:rsidR="007B50CB">
        <w:t xml:space="preserve">.  </w:t>
      </w:r>
      <w:r w:rsidR="00D3303B">
        <w:t>And we seek comment on how to ensure that non-federal secondary operations in the 3.1</w:t>
      </w:r>
      <w:r w:rsidR="00787C24">
        <w:t>-</w:t>
      </w:r>
      <w:r w:rsidR="00D3303B">
        <w:t xml:space="preserve">3.3 GHz band will continue to protect federal radar systems.  </w:t>
      </w:r>
      <w:r w:rsidR="00350C27">
        <w:t xml:space="preserve">Commenters should </w:t>
      </w:r>
      <w:r w:rsidR="002C1E53">
        <w:t>precisely describe proposed approaches and explain the costs and benefits of their proposals</w:t>
      </w:r>
      <w:r w:rsidR="007B50CB">
        <w:t>.</w:t>
      </w:r>
    </w:p>
    <w:p w:rsidR="006A1294" w:rsidRPr="006F2FCA" w:rsidP="006A1294" w14:paraId="52DEA9DD" w14:textId="77777777">
      <w:pPr>
        <w:pStyle w:val="ParaNum"/>
        <w:tabs>
          <w:tab w:val="clear" w:pos="1080"/>
        </w:tabs>
      </w:pPr>
      <w:r>
        <w:t>With respect to ama</w:t>
      </w:r>
      <w:r w:rsidR="008B6F2F">
        <w:t>teur operations, is there sufficient existing amateur spectrum in other bands that can support the operations currently conducted in the 3.</w:t>
      </w:r>
      <w:r w:rsidR="00E51667">
        <w:t>3</w:t>
      </w:r>
      <w:r w:rsidR="008B6F2F">
        <w:t>-3.5 GHz band?</w:t>
      </w:r>
      <w:r w:rsidR="00D46E42">
        <w:t xml:space="preserve"> </w:t>
      </w:r>
      <w:r w:rsidR="00BF4D87">
        <w:t xml:space="preserve"> </w:t>
      </w:r>
      <w:r w:rsidR="00D46E42">
        <w:t>We note that the 3.40-3.41 GHz segment is designated for communications to and from amateur satellites.</w:t>
      </w:r>
      <w:r>
        <w:rPr>
          <w:rStyle w:val="FootnoteReference"/>
        </w:rPr>
        <w:footnoteReference w:id="28"/>
      </w:r>
      <w:r w:rsidR="00D46E42">
        <w:t xml:space="preserve">  We seek comment on</w:t>
      </w:r>
      <w:r w:rsidR="00B621BE">
        <w:t>:</w:t>
      </w:r>
      <w:r w:rsidR="00D46E42">
        <w:t xml:space="preserve"> the extent to which the band is used for this purpose</w:t>
      </w:r>
      <w:r w:rsidR="00B621BE">
        <w:t>,</w:t>
      </w:r>
      <w:r w:rsidR="00D46E42">
        <w:t xml:space="preserve"> whether existing satellites can operate on other </w:t>
      </w:r>
      <w:r w:rsidR="000C48C5">
        <w:t xml:space="preserve">amateur satellite </w:t>
      </w:r>
      <w:r w:rsidR="00D46E42">
        <w:t xml:space="preserve">bands, and </w:t>
      </w:r>
      <w:r w:rsidR="00240791">
        <w:t xml:space="preserve">on </w:t>
      </w:r>
      <w:r w:rsidR="00D46E42">
        <w:t>an appropriate timeframe for terminating these operations in this band.</w:t>
      </w:r>
    </w:p>
    <w:p w:rsidR="00764ED3" w:rsidP="008D7763" w14:paraId="43275EEC" w14:textId="77777777">
      <w:pPr>
        <w:pStyle w:val="ParaNum"/>
        <w:widowControl/>
        <w:tabs>
          <w:tab w:val="clear" w:pos="1080"/>
        </w:tabs>
      </w:pPr>
      <w:r>
        <w:t xml:space="preserve">We </w:t>
      </w:r>
      <w:r w:rsidR="006F5D9A">
        <w:t>also</w:t>
      </w:r>
      <w:r>
        <w:t xml:space="preserve"> seek comment </w:t>
      </w:r>
      <w:r w:rsidR="00322CF3">
        <w:t xml:space="preserve">generally </w:t>
      </w:r>
      <w:r>
        <w:t xml:space="preserve">on </w:t>
      </w:r>
      <w:r w:rsidR="0071058A">
        <w:t xml:space="preserve">the </w:t>
      </w:r>
      <w:r>
        <w:t xml:space="preserve">transition </w:t>
      </w:r>
      <w:r w:rsidR="0071058A">
        <w:t xml:space="preserve">mechanism and process </w:t>
      </w:r>
      <w:r>
        <w:t xml:space="preserve">for </w:t>
      </w:r>
      <w:r w:rsidR="00DC3A58">
        <w:t xml:space="preserve">relocating </w:t>
      </w:r>
      <w:r>
        <w:t xml:space="preserve">existing </w:t>
      </w:r>
      <w:r w:rsidR="00DC3A58">
        <w:t xml:space="preserve">non-federal </w:t>
      </w:r>
      <w:r>
        <w:t>users</w:t>
      </w:r>
      <w:r w:rsidR="00322CF3">
        <w:t>.</w:t>
      </w:r>
      <w:r>
        <w:t xml:space="preserve"> </w:t>
      </w:r>
      <w:r w:rsidR="006B0110">
        <w:t xml:space="preserve"> </w:t>
      </w:r>
      <w:r w:rsidR="00C11611">
        <w:t>How can the Commission</w:t>
      </w:r>
      <w:r w:rsidR="002E5701">
        <w:t xml:space="preserve"> expedite </w:t>
      </w:r>
      <w:r w:rsidR="005B2D29">
        <w:t xml:space="preserve">and </w:t>
      </w:r>
      <w:r w:rsidR="002E5701">
        <w:t>incentivize the transition of existing operations?</w:t>
      </w:r>
      <w:r w:rsidR="005A2AE4">
        <w:t xml:space="preserve">  </w:t>
      </w:r>
      <w:r w:rsidR="0071058A">
        <w:t>W</w:t>
      </w:r>
      <w:r>
        <w:t xml:space="preserve">hat </w:t>
      </w:r>
      <w:r w:rsidR="001801FB">
        <w:t>is a</w:t>
      </w:r>
      <w:r>
        <w:t xml:space="preserve"> reasonable</w:t>
      </w:r>
      <w:r w:rsidR="001801FB">
        <w:t xml:space="preserve"> timeframe</w:t>
      </w:r>
      <w:r>
        <w:t xml:space="preserve"> to transition </w:t>
      </w:r>
      <w:r w:rsidR="002E5701">
        <w:t xml:space="preserve">the </w:t>
      </w:r>
      <w:r>
        <w:t>operations</w:t>
      </w:r>
      <w:r w:rsidR="0071058A">
        <w:t>?</w:t>
      </w:r>
      <w:r w:rsidR="00BD0463">
        <w:t xml:space="preserve"> </w:t>
      </w:r>
      <w:r w:rsidR="0071058A">
        <w:t xml:space="preserve"> Should </w:t>
      </w:r>
      <w:r w:rsidR="00F55CA1">
        <w:t>these</w:t>
      </w:r>
      <w:r>
        <w:t xml:space="preserve"> licenses sunset at the end of the existing license term</w:t>
      </w:r>
      <w:r w:rsidR="002E5701">
        <w:t xml:space="preserve">, or at another </w:t>
      </w:r>
      <w:r w:rsidR="00C76980">
        <w:t>date certain</w:t>
      </w:r>
      <w:r w:rsidR="002E5701">
        <w:t>?</w:t>
      </w:r>
      <w:r w:rsidR="003A0754">
        <w:t xml:space="preserve"> </w:t>
      </w:r>
      <w:r w:rsidR="00E848CD">
        <w:t xml:space="preserve"> </w:t>
      </w:r>
      <w:r w:rsidR="00BC2C23">
        <w:t xml:space="preserve">What are the </w:t>
      </w:r>
      <w:r w:rsidRPr="00BC2C23" w:rsidR="0096295A">
        <w:t xml:space="preserve">potential costs to </w:t>
      </w:r>
      <w:r w:rsidRPr="00BC2C23" w:rsidR="00100742">
        <w:t xml:space="preserve">non-federal </w:t>
      </w:r>
      <w:r w:rsidRPr="00BC2C23" w:rsidR="00424AF1">
        <w:t xml:space="preserve">incumbent </w:t>
      </w:r>
      <w:r w:rsidRPr="00BC2C23" w:rsidR="0096295A">
        <w:t xml:space="preserve">licensees </w:t>
      </w:r>
      <w:r w:rsidR="005B7896">
        <w:t>to</w:t>
      </w:r>
      <w:r w:rsidRPr="00716CB9" w:rsidR="0096295A">
        <w:t xml:space="preserve"> </w:t>
      </w:r>
      <w:r w:rsidR="00BC2C23">
        <w:t>relocat</w:t>
      </w:r>
      <w:r w:rsidR="005B7896">
        <w:t>e their operations to another band</w:t>
      </w:r>
      <w:r w:rsidRPr="00BC2C23" w:rsidR="0096295A">
        <w:t xml:space="preserve"> as compared to the benefits of prep</w:t>
      </w:r>
      <w:r w:rsidRPr="00BC2C23" w:rsidR="00100742">
        <w:t>aring the band for future shared use</w:t>
      </w:r>
      <w:r w:rsidR="00BC2C23">
        <w:t>?</w:t>
      </w:r>
      <w:r w:rsidRPr="00BC2C23" w:rsidR="00D00B8D">
        <w:t xml:space="preserve">  </w:t>
      </w:r>
      <w:r w:rsidR="00AF63C4">
        <w:t xml:space="preserve">What technical characteristics of non-federal licensee’s equipment </w:t>
      </w:r>
      <w:r w:rsidR="00720FCF">
        <w:t>sh</w:t>
      </w:r>
      <w:r w:rsidR="00AF63C4">
        <w:t xml:space="preserve">ould factor into </w:t>
      </w:r>
      <w:r w:rsidR="00720FCF">
        <w:t xml:space="preserve">our </w:t>
      </w:r>
      <w:r w:rsidR="00AF63C4">
        <w:t>relocation consideration</w:t>
      </w:r>
      <w:r w:rsidR="00720FCF">
        <w:t>s</w:t>
      </w:r>
      <w:r w:rsidR="00AF63C4">
        <w:t xml:space="preserve"> (e.g., tunab</w:t>
      </w:r>
      <w:r w:rsidR="00B26CA7">
        <w:t>ility</w:t>
      </w:r>
      <w:r w:rsidR="00AF63C4">
        <w:t>, bandwidth, operational power, etc.)</w:t>
      </w:r>
      <w:r w:rsidR="0049137F">
        <w:t>?</w:t>
      </w:r>
      <w:r>
        <w:rPr>
          <w:rStyle w:val="FootnoteReference"/>
        </w:rPr>
        <w:footnoteReference w:id="29"/>
      </w:r>
      <w:r w:rsidR="0049137F">
        <w:t xml:space="preserve">  </w:t>
      </w:r>
      <w:r w:rsidRPr="00716CB9" w:rsidR="00EC587D">
        <w:t>How should non-federal incumbent</w:t>
      </w:r>
      <w:r w:rsidR="00BC2C23">
        <w:t xml:space="preserve"> licensees</w:t>
      </w:r>
      <w:r w:rsidRPr="00716CB9" w:rsidR="00EC587D">
        <w:t xml:space="preserve"> be </w:t>
      </w:r>
      <w:r w:rsidRPr="00716CB9" w:rsidR="00370A26">
        <w:t>compensated for their relocation</w:t>
      </w:r>
      <w:r w:rsidR="003470A8">
        <w:t xml:space="preserve"> costs</w:t>
      </w:r>
      <w:r w:rsidRPr="00716CB9" w:rsidR="00370A26">
        <w:t>?  Should</w:t>
      </w:r>
      <w:r w:rsidRPr="00716CB9" w:rsidR="00D00B8D">
        <w:t xml:space="preserve"> the</w:t>
      </w:r>
      <w:r w:rsidRPr="00716CB9" w:rsidR="00370A26">
        <w:t>ir</w:t>
      </w:r>
      <w:r w:rsidRPr="00716CB9" w:rsidR="00D00B8D">
        <w:t xml:space="preserve"> current status, i.e.</w:t>
      </w:r>
      <w:r w:rsidR="00424AF1">
        <w:t>,</w:t>
      </w:r>
      <w:r w:rsidRPr="00716CB9" w:rsidR="00D00B8D">
        <w:t xml:space="preserve"> secondary to fed</w:t>
      </w:r>
      <w:r w:rsidRPr="00716CB9" w:rsidR="00370A26">
        <w:t xml:space="preserve">eral </w:t>
      </w:r>
      <w:r w:rsidRPr="00716CB9" w:rsidR="00716CB9">
        <w:t>r</w:t>
      </w:r>
      <w:r w:rsidRPr="00716CB9" w:rsidR="00370A26">
        <w:t>adiolocation service</w:t>
      </w:r>
      <w:r w:rsidRPr="00716CB9" w:rsidR="00D00B8D">
        <w:t>s,</w:t>
      </w:r>
      <w:r>
        <w:rPr>
          <w:rStyle w:val="FootnoteReference"/>
        </w:rPr>
        <w:footnoteReference w:id="30"/>
      </w:r>
      <w:r w:rsidRPr="00716CB9" w:rsidR="00D00B8D">
        <w:t xml:space="preserve"> </w:t>
      </w:r>
      <w:r w:rsidRPr="00716CB9" w:rsidR="005C68DA">
        <w:t>factor into any relocation considerations</w:t>
      </w:r>
      <w:r w:rsidR="003470A8">
        <w:t>, including cost reimbursement</w:t>
      </w:r>
      <w:r w:rsidRPr="00716CB9" w:rsidR="005C68DA">
        <w:t>?</w:t>
      </w:r>
    </w:p>
    <w:p w:rsidR="006213CC" w:rsidP="006213CC" w14:paraId="58716331" w14:textId="77777777">
      <w:pPr>
        <w:pStyle w:val="Heading1"/>
      </w:pPr>
      <w:r>
        <w:t>Procedural Matters</w:t>
      </w:r>
    </w:p>
    <w:p w:rsidR="001B03C3" w:rsidRPr="008E100F" w:rsidP="00FE65F6" w14:paraId="10F73861" w14:textId="77777777">
      <w:pPr>
        <w:pStyle w:val="ParaNum"/>
        <w:tabs>
          <w:tab w:val="clear" w:pos="1080"/>
        </w:tabs>
        <w:rPr>
          <w:szCs w:val="22"/>
        </w:rPr>
      </w:pPr>
      <w:bookmarkStart w:id="2" w:name="_Toc351749803"/>
      <w:bookmarkStart w:id="3" w:name="_Toc351753287"/>
      <w:bookmarkStart w:id="4" w:name="_Toc351754323"/>
      <w:bookmarkStart w:id="5" w:name="_Toc353553266"/>
      <w:bookmarkStart w:id="6" w:name="_Toc353563291"/>
      <w:bookmarkStart w:id="7" w:name="_Toc354162298"/>
      <w:bookmarkStart w:id="8" w:name="_Toc354162358"/>
      <w:bookmarkStart w:id="9" w:name="_Toc354166959"/>
      <w:bookmarkStart w:id="10" w:name="_Toc354168160"/>
      <w:bookmarkStart w:id="11" w:name="_Toc355287719"/>
      <w:bookmarkStart w:id="12" w:name="_Toc355297652"/>
      <w:bookmarkStart w:id="13" w:name="_Toc356229301"/>
      <w:bookmarkStart w:id="14" w:name="_Toc356229785"/>
      <w:bookmarkStart w:id="15" w:name="_Toc356234205"/>
      <w:bookmarkStart w:id="16" w:name="_Toc356234737"/>
      <w:bookmarkStart w:id="17" w:name="_Toc356234922"/>
      <w:bookmarkStart w:id="18" w:name="_Toc356235131"/>
      <w:bookmarkStart w:id="19" w:name="_Toc356235257"/>
      <w:bookmarkStart w:id="20" w:name="_Toc356235333"/>
      <w:bookmarkStart w:id="21" w:name="_Toc356235410"/>
      <w:bookmarkStart w:id="22" w:name="_Toc356235500"/>
      <w:bookmarkStart w:id="23" w:name="_Toc356235581"/>
      <w:bookmarkStart w:id="24" w:name="_Toc356235633"/>
      <w:bookmarkStart w:id="25" w:name="_Toc356235709"/>
      <w:bookmarkStart w:id="26" w:name="_Toc356296770"/>
      <w:bookmarkStart w:id="27" w:name="_Toc356296901"/>
      <w:bookmarkStart w:id="28" w:name="_Toc356297008"/>
      <w:bookmarkStart w:id="29" w:name="_Toc356297067"/>
      <w:bookmarkStart w:id="30" w:name="_Toc356297185"/>
      <w:bookmarkStart w:id="31" w:name="_Toc356297237"/>
      <w:bookmarkStart w:id="32" w:name="_Toc356297322"/>
      <w:bookmarkStart w:id="33" w:name="_Toc356297946"/>
      <w:bookmarkStart w:id="34" w:name="_Toc356298105"/>
      <w:bookmarkStart w:id="35" w:name="_Toc356298370"/>
      <w:bookmarkStart w:id="36" w:name="_Toc356298543"/>
      <w:bookmarkStart w:id="37" w:name="_Toc356414484"/>
      <w:bookmarkStart w:id="38" w:name="_Toc358018566"/>
      <w:bookmarkStart w:id="39" w:name="_Toc359408106"/>
      <w:bookmarkStart w:id="40" w:name="_Toc359412276"/>
      <w:bookmarkStart w:id="41" w:name="_Toc359510824"/>
      <w:bookmarkStart w:id="42" w:name="_Toc359859157"/>
      <w:bookmarkStart w:id="43" w:name="_Toc359867638"/>
      <w:bookmarkStart w:id="44" w:name="_Toc359867710"/>
      <w:bookmarkStart w:id="45" w:name="_Toc359927955"/>
      <w:bookmarkStart w:id="46" w:name="_Toc359928911"/>
      <w:bookmarkStart w:id="47" w:name="_Toc360003272"/>
      <w:bookmarkStart w:id="48" w:name="_Toc360030540"/>
      <w:bookmarkStart w:id="49" w:name="_Toc360043879"/>
      <w:bookmarkStart w:id="50" w:name="_Toc360099352"/>
      <w:bookmarkStart w:id="51" w:name="_Toc360125733"/>
      <w:bookmarkStart w:id="52" w:name="_Toc360199872"/>
      <w:bookmarkStart w:id="53" w:name="_Toc362002195"/>
      <w:bookmarkStart w:id="54" w:name="_Toc362030714"/>
      <w:bookmarkStart w:id="55" w:name="_Toc362271738"/>
      <w:bookmarkStart w:id="56" w:name="_Toc362281503"/>
      <w:bookmarkStart w:id="57" w:name="_Toc362350625"/>
      <w:bookmarkStart w:id="58" w:name="_Toc362350939"/>
      <w:bookmarkStart w:id="59" w:name="_Toc362356402"/>
      <w:bookmarkStart w:id="60" w:name="_Toc467489470"/>
      <w:bookmarkStart w:id="61" w:name="_Toc467497776"/>
      <w:bookmarkStart w:id="62" w:name="_Toc467498418"/>
      <w:bookmarkStart w:id="63" w:name="_Toc467508745"/>
      <w:bookmarkStart w:id="64" w:name="_Toc467584155"/>
      <w:bookmarkStart w:id="65" w:name="_Toc467672071"/>
      <w:bookmarkStart w:id="66" w:name="_Toc468089574"/>
      <w:bookmarkStart w:id="67" w:name="_Toc468089958"/>
      <w:bookmarkStart w:id="68" w:name="_Toc469075360"/>
      <w:bookmarkStart w:id="69" w:name="_Toc469075935"/>
      <w:bookmarkStart w:id="70" w:name="_Toc469296263"/>
      <w:bookmarkStart w:id="71" w:name="_Toc469299339"/>
      <w:bookmarkStart w:id="72" w:name="_Toc469299866"/>
      <w:bookmarkStart w:id="73" w:name="_Toc501524496"/>
      <w:bookmarkStart w:id="74" w:name="_Toc503878840"/>
      <w:bookmarkStart w:id="75" w:name="_Toc506220561"/>
      <w:bookmarkStart w:id="76" w:name="_Toc512006175"/>
      <w:bookmarkStart w:id="77" w:name="_Toc514677037"/>
      <w:bookmarkStart w:id="78" w:name="_Toc514942397"/>
      <w:r w:rsidRPr="00187788">
        <w:rPr>
          <w:i/>
        </w:rPr>
        <w:t>Ex Parte</w:t>
      </w:r>
      <w:r w:rsidRPr="003B17F9">
        <w:t xml:space="preserve"> </w:t>
      </w:r>
      <w:r w:rsidRPr="00555F80">
        <w:rPr>
          <w:i/>
        </w:rPr>
        <w:t>Presentations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szCs w:val="22"/>
        </w:rPr>
        <w:t xml:space="preserve">. </w:t>
      </w:r>
      <w:r w:rsidRPr="008E100F">
        <w:rPr>
          <w:szCs w:val="22"/>
        </w:rPr>
        <w:t xml:space="preserve"> The proceedings shall be treated as a “permit-but-disclose” proceeding in accordance with the Commission’s </w:t>
      </w:r>
      <w:r w:rsidRPr="008E100F">
        <w:rPr>
          <w:i/>
          <w:iCs/>
          <w:szCs w:val="22"/>
        </w:rPr>
        <w:t xml:space="preserve">ex parte </w:t>
      </w:r>
      <w:r w:rsidRPr="008E100F">
        <w:rPr>
          <w:szCs w:val="22"/>
        </w:rPr>
        <w:t>rules.</w:t>
      </w:r>
      <w:r>
        <w:rPr>
          <w:szCs w:val="22"/>
          <w:vertAlign w:val="superscript"/>
        </w:rPr>
        <w:footnoteReference w:id="31"/>
      </w:r>
      <w:r w:rsidRPr="008E100F">
        <w:rPr>
          <w:szCs w:val="22"/>
        </w:rPr>
        <w:t xml:space="preserve">  Persons making </w:t>
      </w:r>
      <w:r w:rsidRPr="008E100F">
        <w:rPr>
          <w:i/>
          <w:szCs w:val="22"/>
        </w:rPr>
        <w:t xml:space="preserve">ex parte </w:t>
      </w:r>
      <w:r w:rsidRPr="008E100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E100F">
        <w:rPr>
          <w:i/>
          <w:iCs/>
          <w:szCs w:val="22"/>
        </w:rPr>
        <w:t xml:space="preserve">ex parte </w:t>
      </w:r>
      <w:r w:rsidRPr="008E100F">
        <w:rPr>
          <w:szCs w:val="22"/>
        </w:rPr>
        <w:t>presentations are reminded that memoranda summarizing the presentation must</w:t>
      </w:r>
      <w:r w:rsidR="009B14CC">
        <w:rPr>
          <w:szCs w:val="22"/>
        </w:rPr>
        <w:t>:</w:t>
      </w:r>
      <w:r w:rsidRPr="008E100F">
        <w:rPr>
          <w:szCs w:val="22"/>
        </w:rPr>
        <w:t xml:space="preserve"> (1) list all persons attending or otherwise participating in the meeting at which the </w:t>
      </w:r>
      <w:r w:rsidRPr="008E100F">
        <w:rPr>
          <w:i/>
          <w:iCs/>
          <w:szCs w:val="22"/>
        </w:rPr>
        <w:t xml:space="preserve">ex parte </w:t>
      </w:r>
      <w:r w:rsidRPr="008E100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E100F">
        <w:rPr>
          <w:i/>
          <w:iCs/>
          <w:szCs w:val="22"/>
        </w:rPr>
        <w:t xml:space="preserve">ex parte </w:t>
      </w:r>
      <w:r w:rsidRPr="008E100F">
        <w:rPr>
          <w:szCs w:val="22"/>
        </w:rPr>
        <w:t xml:space="preserve">meetings are deemed to be written </w:t>
      </w:r>
      <w:r w:rsidRPr="008E100F">
        <w:rPr>
          <w:i/>
          <w:iCs/>
          <w:szCs w:val="22"/>
        </w:rPr>
        <w:t>ex parte</w:t>
      </w:r>
      <w:r w:rsidRPr="008E100F">
        <w:rPr>
          <w:szCs w:val="22"/>
        </w:rPr>
        <w:t xml:space="preserve"> presentations and must be filed consistent with rule 1.1206(b).  In proceedings governed by rule 1.49(f) or for which the Commission has made available a method of electronic filing, written </w:t>
      </w:r>
      <w:r w:rsidRPr="008E100F">
        <w:rPr>
          <w:i/>
          <w:iCs/>
          <w:szCs w:val="22"/>
        </w:rPr>
        <w:t xml:space="preserve">ex parte </w:t>
      </w:r>
      <w:r w:rsidRPr="008E100F">
        <w:rPr>
          <w:szCs w:val="22"/>
        </w:rPr>
        <w:t xml:space="preserve">presentations and memoranda summarizing oral </w:t>
      </w:r>
      <w:r w:rsidRPr="008E100F">
        <w:rPr>
          <w:i/>
          <w:iCs/>
          <w:szCs w:val="22"/>
        </w:rPr>
        <w:t xml:space="preserve">ex parte </w:t>
      </w:r>
      <w:r w:rsidRPr="008E100F">
        <w:rPr>
          <w:szCs w:val="22"/>
        </w:rPr>
        <w:t>presentations, and all attachments thereto, must be filed through the electronic comment filing system available for that proceeding, and must be filed in their native format (</w:t>
      </w:r>
      <w:r w:rsidRPr="008E100F">
        <w:rPr>
          <w:i/>
          <w:iCs/>
          <w:szCs w:val="22"/>
        </w:rPr>
        <w:t>e.g.</w:t>
      </w:r>
      <w:r w:rsidRPr="008E100F">
        <w:rPr>
          <w:szCs w:val="22"/>
        </w:rPr>
        <w:t xml:space="preserve">, .doc, .xml, .ppt, searchable .pdf).  Participants in this proceeding should familiarize themselves with the Commission’s </w:t>
      </w:r>
      <w:r w:rsidRPr="008E100F">
        <w:rPr>
          <w:i/>
          <w:iCs/>
          <w:szCs w:val="22"/>
        </w:rPr>
        <w:t xml:space="preserve">ex parte </w:t>
      </w:r>
      <w:r w:rsidRPr="008E100F">
        <w:rPr>
          <w:szCs w:val="22"/>
        </w:rPr>
        <w:t>rules.</w:t>
      </w:r>
    </w:p>
    <w:p w:rsidR="001B03C3" w:rsidRPr="008E100F" w:rsidP="00FE65F6" w14:paraId="773A9217" w14:textId="77777777">
      <w:pPr>
        <w:pStyle w:val="ParaNum"/>
        <w:tabs>
          <w:tab w:val="clear" w:pos="1080"/>
        </w:tabs>
        <w:rPr>
          <w:szCs w:val="22"/>
        </w:rPr>
      </w:pPr>
      <w:bookmarkStart w:id="79" w:name="_Toc351749804"/>
      <w:bookmarkStart w:id="80" w:name="_Toc351753288"/>
      <w:bookmarkStart w:id="81" w:name="_Toc351754324"/>
      <w:bookmarkStart w:id="82" w:name="_Toc353553267"/>
      <w:bookmarkStart w:id="83" w:name="_Toc353563292"/>
      <w:bookmarkStart w:id="84" w:name="_Toc354162299"/>
      <w:bookmarkStart w:id="85" w:name="_Toc354162359"/>
      <w:bookmarkStart w:id="86" w:name="_Toc354166960"/>
      <w:bookmarkStart w:id="87" w:name="_Toc354168161"/>
      <w:bookmarkStart w:id="88" w:name="_Toc355287720"/>
      <w:bookmarkStart w:id="89" w:name="_Toc355297653"/>
      <w:bookmarkStart w:id="90" w:name="_Toc356229302"/>
      <w:bookmarkStart w:id="91" w:name="_Toc356229786"/>
      <w:bookmarkStart w:id="92" w:name="_Toc356234206"/>
      <w:bookmarkStart w:id="93" w:name="_Toc356234738"/>
      <w:bookmarkStart w:id="94" w:name="_Toc356234923"/>
      <w:bookmarkStart w:id="95" w:name="_Toc356235132"/>
      <w:bookmarkStart w:id="96" w:name="_Toc356235258"/>
      <w:bookmarkStart w:id="97" w:name="_Toc356235334"/>
      <w:bookmarkStart w:id="98" w:name="_Toc356235411"/>
      <w:bookmarkStart w:id="99" w:name="_Toc356235501"/>
      <w:bookmarkStart w:id="100" w:name="_Toc356235582"/>
      <w:bookmarkStart w:id="101" w:name="_Toc356235634"/>
      <w:bookmarkStart w:id="102" w:name="_Toc356235710"/>
      <w:bookmarkStart w:id="103" w:name="_Toc356296771"/>
      <w:bookmarkStart w:id="104" w:name="_Toc356296902"/>
      <w:bookmarkStart w:id="105" w:name="_Toc356297009"/>
      <w:bookmarkStart w:id="106" w:name="_Toc356297068"/>
      <w:bookmarkStart w:id="107" w:name="_Toc356297186"/>
      <w:bookmarkStart w:id="108" w:name="_Toc356297238"/>
      <w:bookmarkStart w:id="109" w:name="_Toc356297323"/>
      <w:bookmarkStart w:id="110" w:name="_Toc356297947"/>
      <w:bookmarkStart w:id="111" w:name="_Toc356298106"/>
      <w:bookmarkStart w:id="112" w:name="_Toc356298371"/>
      <w:bookmarkStart w:id="113" w:name="_Toc356298544"/>
      <w:bookmarkStart w:id="114" w:name="_Toc356414485"/>
      <w:bookmarkStart w:id="115" w:name="_Toc358018567"/>
      <w:bookmarkStart w:id="116" w:name="_Toc359408107"/>
      <w:bookmarkStart w:id="117" w:name="_Toc359412277"/>
      <w:bookmarkStart w:id="118" w:name="_Toc359510825"/>
      <w:bookmarkStart w:id="119" w:name="_Toc359859158"/>
      <w:bookmarkStart w:id="120" w:name="_Toc359867639"/>
      <w:bookmarkStart w:id="121" w:name="_Toc359867711"/>
      <w:bookmarkStart w:id="122" w:name="_Toc359927956"/>
      <w:bookmarkStart w:id="123" w:name="_Toc359928912"/>
      <w:bookmarkStart w:id="124" w:name="_Toc360003273"/>
      <w:bookmarkStart w:id="125" w:name="_Toc360030541"/>
      <w:bookmarkStart w:id="126" w:name="_Toc360043880"/>
      <w:bookmarkStart w:id="127" w:name="_Toc360099353"/>
      <w:bookmarkStart w:id="128" w:name="_Toc360125734"/>
      <w:bookmarkStart w:id="129" w:name="_Toc360199873"/>
      <w:bookmarkStart w:id="130" w:name="_Toc362002196"/>
      <w:bookmarkStart w:id="131" w:name="_Toc362030715"/>
      <w:bookmarkStart w:id="132" w:name="_Toc362271739"/>
      <w:bookmarkStart w:id="133" w:name="_Toc362281504"/>
      <w:bookmarkStart w:id="134" w:name="_Toc362350626"/>
      <w:bookmarkStart w:id="135" w:name="_Toc362350940"/>
      <w:bookmarkStart w:id="136" w:name="_Toc362356403"/>
      <w:bookmarkStart w:id="137" w:name="_Toc467489471"/>
      <w:bookmarkStart w:id="138" w:name="_Toc467497777"/>
      <w:bookmarkStart w:id="139" w:name="_Toc467498419"/>
      <w:bookmarkStart w:id="140" w:name="_Toc467508746"/>
      <w:bookmarkStart w:id="141" w:name="_Toc467584156"/>
      <w:bookmarkStart w:id="142" w:name="_Toc467672072"/>
      <w:bookmarkStart w:id="143" w:name="_Toc468089575"/>
      <w:bookmarkStart w:id="144" w:name="_Toc468089959"/>
      <w:bookmarkStart w:id="145" w:name="_Toc469075361"/>
      <w:bookmarkStart w:id="146" w:name="_Toc469075936"/>
      <w:bookmarkStart w:id="147" w:name="_Toc469296264"/>
      <w:bookmarkStart w:id="148" w:name="_Toc469299340"/>
      <w:bookmarkStart w:id="149" w:name="_Toc469299867"/>
      <w:bookmarkStart w:id="150" w:name="_Toc501524497"/>
      <w:bookmarkStart w:id="151" w:name="_Toc503878841"/>
      <w:bookmarkStart w:id="152" w:name="_Toc506220562"/>
      <w:bookmarkStart w:id="153" w:name="_Toc512006176"/>
      <w:bookmarkStart w:id="154" w:name="_Toc514677038"/>
      <w:bookmarkStart w:id="155" w:name="_Toc514942398"/>
      <w:r w:rsidRPr="00555F80">
        <w:rPr>
          <w:i/>
        </w:rPr>
        <w:t>Comment Period and Filing Procedures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 xml:space="preserve">. </w:t>
      </w:r>
      <w:r w:rsidRPr="008E100F">
        <w:rPr>
          <w:szCs w:val="22"/>
        </w:rPr>
        <w:t xml:space="preserve"> Pursuant to sections 1.415 and 1.419 of the Commission’s rules, 47 CFR §§ 1.415, 1.419, interested parties may file comments and reply comments on or before the </w:t>
      </w:r>
      <w:r w:rsidRPr="00FE65F6">
        <w:t>dates</w:t>
      </w:r>
      <w:r w:rsidRPr="008E100F">
        <w:rPr>
          <w:szCs w:val="22"/>
        </w:rPr>
        <w:t xml:space="preserve"> indicated on the first page of this document.  Comments may be filed using the Commission’s Electronic Comment Filing System (ECFS).  </w:t>
      </w:r>
      <w:r w:rsidRPr="008E100F">
        <w:rPr>
          <w:i/>
          <w:szCs w:val="22"/>
        </w:rPr>
        <w:t>See Electronic Filing of Documents in Rulemaking Proceedings</w:t>
      </w:r>
      <w:r w:rsidRPr="008E100F">
        <w:rPr>
          <w:szCs w:val="22"/>
        </w:rPr>
        <w:t>, 63 FR 24121 (1998).</w:t>
      </w:r>
    </w:p>
    <w:p w:rsidR="001B03C3" w:rsidRPr="008E100F" w:rsidP="001B03C3" w14:paraId="1D0366AE" w14:textId="77777777">
      <w:pPr>
        <w:pStyle w:val="ParaNum"/>
        <w:numPr>
          <w:ilvl w:val="0"/>
          <w:numId w:val="11"/>
        </w:numPr>
        <w:ind w:left="720"/>
      </w:pPr>
      <w:r w:rsidRPr="008E100F">
        <w:t xml:space="preserve">Electronic Filers: </w:t>
      </w:r>
      <w:r w:rsidR="00856AF0">
        <w:t xml:space="preserve"> </w:t>
      </w:r>
      <w:r w:rsidRPr="008E100F">
        <w:t xml:space="preserve">Comments may be filed electronically using the Internet by accessing the ECFS:  http://apps.fcc.gov/ecfs//.  </w:t>
      </w:r>
    </w:p>
    <w:p w:rsidR="001B03C3" w:rsidRPr="008E100F" w:rsidP="001B03C3" w14:paraId="2686F176" w14:textId="77777777">
      <w:pPr>
        <w:pStyle w:val="ParaNum"/>
        <w:numPr>
          <w:ilvl w:val="0"/>
          <w:numId w:val="11"/>
        </w:numPr>
        <w:ind w:left="720"/>
      </w:pPr>
      <w:r w:rsidRPr="008E100F">
        <w:t xml:space="preserve">Paper Filers: </w:t>
      </w:r>
      <w:r w:rsidR="007818D0">
        <w:t xml:space="preserve"> </w:t>
      </w:r>
      <w:r w:rsidRPr="008E100F">
        <w:t xml:space="preserve">Parties who choose to file by paper must file an original and one copy of each filing.  If more than one active docket or rulemaking number appears in the caption of this proceeding, filers must submit two additional copies for each additional docket or rulemaking </w:t>
      </w:r>
      <w:r w:rsidRPr="008E100F">
        <w:t>number.</w:t>
      </w:r>
    </w:p>
    <w:p w:rsidR="001B03C3" w:rsidRPr="008E100F" w:rsidP="001B03C3" w14:paraId="21EA03F3" w14:textId="77777777">
      <w:pPr>
        <w:pStyle w:val="ParaNum"/>
        <w:widowControl/>
        <w:numPr>
          <w:ilvl w:val="0"/>
          <w:numId w:val="0"/>
        </w:numPr>
        <w:ind w:left="720"/>
        <w:rPr>
          <w:szCs w:val="22"/>
        </w:rPr>
      </w:pPr>
      <w:r w:rsidRPr="008E100F">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B03C3" w:rsidRPr="008E100F" w:rsidP="001B03C3" w14:paraId="29A65114" w14:textId="77777777">
      <w:pPr>
        <w:pStyle w:val="ParaNum"/>
        <w:numPr>
          <w:ilvl w:val="0"/>
          <w:numId w:val="12"/>
        </w:numPr>
        <w:ind w:left="1440"/>
      </w:pPr>
      <w:r w:rsidRPr="008E100F">
        <w:t>All hand-delivered or messenger-delivered paper filings for the Commission’s Secretary must be delivered to FCC Headquarters at 445 12</w:t>
      </w:r>
      <w:r w:rsidRPr="008E100F">
        <w:rPr>
          <w:vertAlign w:val="superscript"/>
        </w:rPr>
        <w:t>th</w:t>
      </w:r>
      <w:r w:rsidRPr="008E100F">
        <w:t xml:space="preserve"> St., SW, Room TW-A325, Washington, DC 20554.  The filing hours are 8:00 a.m. to 7:00 p.m.  All hand deliveries must be held together with rubber bands or fasteners.  Any envelopes and boxes must be disposed of </w:t>
      </w:r>
      <w:r w:rsidRPr="008E100F">
        <w:rPr>
          <w:u w:val="single"/>
        </w:rPr>
        <w:t>before</w:t>
      </w:r>
      <w:r w:rsidRPr="008E100F">
        <w:t xml:space="preserve"> entering the building.  </w:t>
      </w:r>
    </w:p>
    <w:p w:rsidR="001B03C3" w:rsidRPr="008E100F" w:rsidP="001B03C3" w14:paraId="6C8130E6" w14:textId="77777777">
      <w:pPr>
        <w:pStyle w:val="ParaNum"/>
        <w:numPr>
          <w:ilvl w:val="0"/>
          <w:numId w:val="12"/>
        </w:numPr>
        <w:ind w:left="1440"/>
      </w:pPr>
      <w:r w:rsidRPr="008E100F">
        <w:t xml:space="preserve">Commercial overnight mail (other than U.S. Postal Service Express Mail and Priority Mail) must be sent to </w:t>
      </w:r>
      <w:r>
        <w:t>9050 Junction Drive, Annapolis Junction</w:t>
      </w:r>
      <w:r w:rsidRPr="008E100F">
        <w:t>, MD  207</w:t>
      </w:r>
      <w:r>
        <w:t>01</w:t>
      </w:r>
      <w:r w:rsidRPr="008E100F">
        <w:t>.</w:t>
      </w:r>
    </w:p>
    <w:p w:rsidR="001B03C3" w:rsidRPr="008E100F" w:rsidP="001B03C3" w14:paraId="333DD015" w14:textId="77777777">
      <w:pPr>
        <w:pStyle w:val="ParaNum"/>
        <w:numPr>
          <w:ilvl w:val="0"/>
          <w:numId w:val="12"/>
        </w:numPr>
        <w:ind w:left="1440"/>
      </w:pPr>
      <w:r w:rsidRPr="008E100F">
        <w:t>U.S. Postal Service first-class, Express, and Priority mail must be addressed to 445 12</w:t>
      </w:r>
      <w:r w:rsidRPr="008E100F">
        <w:rPr>
          <w:vertAlign w:val="superscript"/>
        </w:rPr>
        <w:t>th</w:t>
      </w:r>
      <w:r w:rsidRPr="008E100F">
        <w:t xml:space="preserve"> Street, SW, Washington DC  20554.</w:t>
      </w:r>
    </w:p>
    <w:p w:rsidR="001B03C3" w:rsidRPr="008E100F" w:rsidP="00FE65F6" w14:paraId="65647817" w14:textId="77777777">
      <w:pPr>
        <w:pStyle w:val="ParaNum"/>
        <w:tabs>
          <w:tab w:val="clear" w:pos="1080"/>
        </w:tabs>
        <w:rPr>
          <w:szCs w:val="22"/>
        </w:rPr>
      </w:pPr>
      <w:r w:rsidRPr="008E100F">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1B03C3" w:rsidRPr="008E100F" w:rsidP="00FE65F6" w14:paraId="5A5FE89D" w14:textId="77777777">
      <w:pPr>
        <w:pStyle w:val="ParaNum"/>
        <w:tabs>
          <w:tab w:val="clear" w:pos="1080"/>
        </w:tabs>
        <w:rPr>
          <w:szCs w:val="22"/>
        </w:rPr>
      </w:pPr>
      <w:r w:rsidRPr="008E100F">
        <w:rPr>
          <w:i/>
          <w:szCs w:val="22"/>
        </w:rPr>
        <w:t>Availability of Documents</w:t>
      </w:r>
      <w:r w:rsidRPr="008E100F">
        <w:rPr>
          <w:szCs w:val="22"/>
        </w:rPr>
        <w:t xml:space="preserve">.  Comments, reply comments, and </w:t>
      </w:r>
      <w:r w:rsidRPr="008E100F">
        <w:rPr>
          <w:i/>
          <w:szCs w:val="22"/>
        </w:rPr>
        <w:t>ex parte</w:t>
      </w:r>
      <w:r w:rsidRPr="008E100F">
        <w:rPr>
          <w:szCs w:val="22"/>
        </w:rPr>
        <w:t xml:space="preserve"> submissions will be available for public inspection during regular business hours in the FCC Reference Center, Federal Communications Commission, 445 12</w:t>
      </w:r>
      <w:r w:rsidRPr="008E100F">
        <w:rPr>
          <w:szCs w:val="22"/>
          <w:vertAlign w:val="superscript"/>
        </w:rPr>
        <w:t>th</w:t>
      </w:r>
      <w:r w:rsidRPr="008E100F">
        <w:rPr>
          <w:szCs w:val="22"/>
        </w:rPr>
        <w:t xml:space="preserve"> Street, S.W., Room CY-A257, Washington, </w:t>
      </w:r>
      <w:r w:rsidRPr="008E100F" w:rsidR="00882EF8">
        <w:rPr>
          <w:szCs w:val="22"/>
        </w:rPr>
        <w:t>D.C.</w:t>
      </w:r>
      <w:r w:rsidRPr="008E100F">
        <w:rPr>
          <w:szCs w:val="22"/>
        </w:rPr>
        <w:t xml:space="preserve">  These documents will also be available via ECFS.  Documents will be available electronically in ASCII, Microsoft Word, and/or Adobe Acrobat. </w:t>
      </w:r>
    </w:p>
    <w:p w:rsidR="001B03C3" w:rsidRPr="008E100F" w:rsidP="00FE65F6" w14:paraId="2C6BBC35" w14:textId="77777777">
      <w:pPr>
        <w:pStyle w:val="ParaNum"/>
        <w:tabs>
          <w:tab w:val="clear" w:pos="1080"/>
        </w:tabs>
        <w:rPr>
          <w:szCs w:val="22"/>
        </w:rPr>
      </w:pPr>
      <w:bookmarkStart w:id="156" w:name="_Toc351749805"/>
      <w:bookmarkStart w:id="157" w:name="_Toc351753289"/>
      <w:bookmarkStart w:id="158" w:name="_Toc351754325"/>
      <w:bookmarkStart w:id="159" w:name="_Toc353553268"/>
      <w:bookmarkStart w:id="160" w:name="_Toc353563293"/>
      <w:bookmarkStart w:id="161" w:name="_Toc354162300"/>
      <w:bookmarkStart w:id="162" w:name="_Toc354162360"/>
      <w:bookmarkStart w:id="163" w:name="_Toc354166961"/>
      <w:bookmarkStart w:id="164" w:name="_Toc354168162"/>
      <w:bookmarkStart w:id="165" w:name="_Toc355287721"/>
      <w:bookmarkStart w:id="166" w:name="_Toc355297654"/>
      <w:bookmarkStart w:id="167" w:name="_Toc356229303"/>
      <w:bookmarkStart w:id="168" w:name="_Toc356229787"/>
      <w:bookmarkStart w:id="169" w:name="_Toc356234207"/>
      <w:bookmarkStart w:id="170" w:name="_Toc356234739"/>
      <w:bookmarkStart w:id="171" w:name="_Toc356234924"/>
      <w:bookmarkStart w:id="172" w:name="_Toc356235133"/>
      <w:bookmarkStart w:id="173" w:name="_Toc356235259"/>
      <w:bookmarkStart w:id="174" w:name="_Toc356235335"/>
      <w:bookmarkStart w:id="175" w:name="_Toc356235412"/>
      <w:bookmarkStart w:id="176" w:name="_Toc356235502"/>
      <w:bookmarkStart w:id="177" w:name="_Toc356235583"/>
      <w:bookmarkStart w:id="178" w:name="_Toc356235635"/>
      <w:bookmarkStart w:id="179" w:name="_Toc356235711"/>
      <w:bookmarkStart w:id="180" w:name="_Toc356296772"/>
      <w:bookmarkStart w:id="181" w:name="_Toc356296903"/>
      <w:bookmarkStart w:id="182" w:name="_Toc356297010"/>
      <w:bookmarkStart w:id="183" w:name="_Toc356297069"/>
      <w:bookmarkStart w:id="184" w:name="_Toc356297187"/>
      <w:bookmarkStart w:id="185" w:name="_Toc356297239"/>
      <w:bookmarkStart w:id="186" w:name="_Toc356297324"/>
      <w:bookmarkStart w:id="187" w:name="_Toc356297948"/>
      <w:bookmarkStart w:id="188" w:name="_Toc356298107"/>
      <w:bookmarkStart w:id="189" w:name="_Toc356298372"/>
      <w:bookmarkStart w:id="190" w:name="_Toc356298545"/>
      <w:bookmarkStart w:id="191" w:name="_Toc356414486"/>
      <w:bookmarkStart w:id="192" w:name="_Toc358018568"/>
      <w:bookmarkStart w:id="193" w:name="_Toc359408108"/>
      <w:bookmarkStart w:id="194" w:name="_Toc359412278"/>
      <w:bookmarkStart w:id="195" w:name="_Toc359510826"/>
      <w:bookmarkStart w:id="196" w:name="_Toc359859159"/>
      <w:bookmarkStart w:id="197" w:name="_Toc359867640"/>
      <w:bookmarkStart w:id="198" w:name="_Toc359867712"/>
      <w:bookmarkStart w:id="199" w:name="_Toc359927957"/>
      <w:bookmarkStart w:id="200" w:name="_Toc359928913"/>
      <w:bookmarkStart w:id="201" w:name="_Toc360003274"/>
      <w:bookmarkStart w:id="202" w:name="_Toc360030542"/>
      <w:bookmarkStart w:id="203" w:name="_Toc360043881"/>
      <w:bookmarkStart w:id="204" w:name="_Toc360099354"/>
      <w:bookmarkStart w:id="205" w:name="_Toc360125735"/>
      <w:bookmarkStart w:id="206" w:name="_Toc360199874"/>
      <w:bookmarkStart w:id="207" w:name="_Toc362002197"/>
      <w:bookmarkStart w:id="208" w:name="_Toc362030716"/>
      <w:bookmarkStart w:id="209" w:name="_Toc362271740"/>
      <w:bookmarkStart w:id="210" w:name="_Toc362281505"/>
      <w:bookmarkStart w:id="211" w:name="_Toc362350627"/>
      <w:bookmarkStart w:id="212" w:name="_Toc362350941"/>
      <w:bookmarkStart w:id="213" w:name="_Toc362356404"/>
      <w:bookmarkStart w:id="214" w:name="_Toc467489472"/>
      <w:bookmarkStart w:id="215" w:name="_Toc467497778"/>
      <w:bookmarkStart w:id="216" w:name="_Toc467498420"/>
      <w:bookmarkStart w:id="217" w:name="_Toc467508747"/>
      <w:bookmarkStart w:id="218" w:name="_Toc467584157"/>
      <w:bookmarkStart w:id="219" w:name="_Toc467672073"/>
      <w:bookmarkStart w:id="220" w:name="_Toc468089576"/>
      <w:bookmarkStart w:id="221" w:name="_Toc468089960"/>
      <w:bookmarkStart w:id="222" w:name="_Toc469075362"/>
      <w:bookmarkStart w:id="223" w:name="_Toc469075937"/>
      <w:bookmarkStart w:id="224" w:name="_Toc469296265"/>
      <w:bookmarkStart w:id="225" w:name="_Toc469299341"/>
      <w:bookmarkStart w:id="226" w:name="_Toc469299868"/>
      <w:bookmarkStart w:id="227" w:name="_Toc501524498"/>
      <w:bookmarkStart w:id="228" w:name="_Toc503878842"/>
      <w:bookmarkStart w:id="229" w:name="_Toc506220563"/>
      <w:bookmarkStart w:id="230" w:name="_Toc512006177"/>
      <w:bookmarkStart w:id="231" w:name="_Toc514677039"/>
      <w:bookmarkStart w:id="232" w:name="_Toc514942399"/>
      <w:r w:rsidRPr="00555F80">
        <w:rPr>
          <w:i/>
        </w:rPr>
        <w:t>Initial Regulatory Flexibility Analysis</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szCs w:val="22"/>
        </w:rPr>
        <w:t xml:space="preserve">. </w:t>
      </w:r>
      <w:r w:rsidRPr="008E100F">
        <w:rPr>
          <w:szCs w:val="22"/>
        </w:rPr>
        <w:t xml:space="preserve"> As required by the Regulatory Flexibility Act</w:t>
      </w:r>
      <w:r w:rsidR="00754C2D">
        <w:rPr>
          <w:szCs w:val="22"/>
        </w:rPr>
        <w:t xml:space="preserve"> of 1980, as amended (RFA)</w:t>
      </w:r>
      <w:r w:rsidRPr="008E100F">
        <w:rPr>
          <w:szCs w:val="22"/>
        </w:rPr>
        <w:t>,</w:t>
      </w:r>
      <w:r>
        <w:rPr>
          <w:szCs w:val="22"/>
          <w:vertAlign w:val="superscript"/>
        </w:rPr>
        <w:footnoteReference w:id="32"/>
      </w:r>
      <w:r w:rsidRPr="008E100F">
        <w:rPr>
          <w:szCs w:val="22"/>
        </w:rPr>
        <w:t xml:space="preserve"> the Commission has </w:t>
      </w:r>
      <w:r w:rsidRPr="00FE65F6">
        <w:t>prepared</w:t>
      </w:r>
      <w:r w:rsidRPr="008E100F">
        <w:rPr>
          <w:szCs w:val="22"/>
        </w:rPr>
        <w:t xml:space="preserve"> an Initial Regulatory Flexibility Analysis (IRFA) of the possible significant economic impact on </w:t>
      </w:r>
      <w:r w:rsidR="00754C2D">
        <w:rPr>
          <w:szCs w:val="22"/>
        </w:rPr>
        <w:t xml:space="preserve">a substantial </w:t>
      </w:r>
      <w:r w:rsidR="001F220D">
        <w:rPr>
          <w:szCs w:val="22"/>
        </w:rPr>
        <w:t xml:space="preserve">number of </w:t>
      </w:r>
      <w:r w:rsidRPr="008E100F">
        <w:rPr>
          <w:szCs w:val="22"/>
        </w:rPr>
        <w:t xml:space="preserve">small entities of the policies and rules addressed in this </w:t>
      </w:r>
      <w:r w:rsidRPr="00852DB8" w:rsidR="001F220D">
        <w:rPr>
          <w:i/>
          <w:szCs w:val="22"/>
        </w:rPr>
        <w:t>Notice</w:t>
      </w:r>
      <w:r w:rsidRPr="008E100F">
        <w:rPr>
          <w:szCs w:val="22"/>
        </w:rPr>
        <w:t xml:space="preserve">.  The IRFA is set forth in Appendix </w:t>
      </w:r>
      <w:r w:rsidR="001F220D">
        <w:rPr>
          <w:szCs w:val="22"/>
        </w:rPr>
        <w:t>B</w:t>
      </w:r>
      <w:r w:rsidRPr="008E100F">
        <w:rPr>
          <w:szCs w:val="22"/>
        </w:rPr>
        <w:t xml:space="preserve">.  Written public comments are requested on the IRFA.  These comments must be filed in accordance with the same filing deadlines for comments on the </w:t>
      </w:r>
      <w:r w:rsidRPr="00852DB8" w:rsidR="00561F8E">
        <w:rPr>
          <w:i/>
          <w:szCs w:val="22"/>
        </w:rPr>
        <w:t>Notice</w:t>
      </w:r>
      <w:r w:rsidRPr="008E100F" w:rsidR="00561F8E">
        <w:rPr>
          <w:szCs w:val="22"/>
        </w:rPr>
        <w:t xml:space="preserve"> </w:t>
      </w:r>
      <w:r w:rsidRPr="008E100F">
        <w:rPr>
          <w:szCs w:val="22"/>
        </w:rPr>
        <w:t>and should have a separate and distinct heading designating them as responses to the IRFA.</w:t>
      </w:r>
    </w:p>
    <w:p w:rsidR="001B03C3" w:rsidRPr="008E100F" w:rsidP="00FE65F6" w14:paraId="3C2009AE" w14:textId="77777777">
      <w:pPr>
        <w:pStyle w:val="ParaNum"/>
        <w:tabs>
          <w:tab w:val="clear" w:pos="1080"/>
        </w:tabs>
        <w:rPr>
          <w:szCs w:val="22"/>
        </w:rPr>
      </w:pPr>
      <w:bookmarkStart w:id="233" w:name="_Toc351749806"/>
      <w:bookmarkStart w:id="234" w:name="_Toc351753290"/>
      <w:bookmarkStart w:id="235" w:name="_Toc351754326"/>
      <w:bookmarkStart w:id="236" w:name="_Toc353553269"/>
      <w:bookmarkStart w:id="237" w:name="_Toc353563294"/>
      <w:bookmarkStart w:id="238" w:name="_Toc354162301"/>
      <w:bookmarkStart w:id="239" w:name="_Toc354162361"/>
      <w:bookmarkStart w:id="240" w:name="_Toc354166962"/>
      <w:bookmarkStart w:id="241" w:name="_Toc354168163"/>
      <w:bookmarkStart w:id="242" w:name="_Toc355287722"/>
      <w:bookmarkStart w:id="243" w:name="_Toc355297655"/>
      <w:bookmarkStart w:id="244" w:name="_Toc356229304"/>
      <w:bookmarkStart w:id="245" w:name="_Toc356229788"/>
      <w:bookmarkStart w:id="246" w:name="_Toc356234208"/>
      <w:bookmarkStart w:id="247" w:name="_Toc356234740"/>
      <w:bookmarkStart w:id="248" w:name="_Toc356234925"/>
      <w:bookmarkStart w:id="249" w:name="_Toc356235134"/>
      <w:bookmarkStart w:id="250" w:name="_Toc356235260"/>
      <w:bookmarkStart w:id="251" w:name="_Toc356235336"/>
      <w:bookmarkStart w:id="252" w:name="_Toc356235413"/>
      <w:bookmarkStart w:id="253" w:name="_Toc356235503"/>
      <w:bookmarkStart w:id="254" w:name="_Toc356235584"/>
      <w:bookmarkStart w:id="255" w:name="_Toc356235636"/>
      <w:bookmarkStart w:id="256" w:name="_Toc356235712"/>
      <w:bookmarkStart w:id="257" w:name="_Toc356296773"/>
      <w:bookmarkStart w:id="258" w:name="_Toc356296904"/>
      <w:bookmarkStart w:id="259" w:name="_Toc356297011"/>
      <w:bookmarkStart w:id="260" w:name="_Toc356297070"/>
      <w:bookmarkStart w:id="261" w:name="_Toc356297188"/>
      <w:bookmarkStart w:id="262" w:name="_Toc356297240"/>
      <w:bookmarkStart w:id="263" w:name="_Toc356297325"/>
      <w:bookmarkStart w:id="264" w:name="_Toc356297949"/>
      <w:bookmarkStart w:id="265" w:name="_Toc356298108"/>
      <w:bookmarkStart w:id="266" w:name="_Toc356298373"/>
      <w:bookmarkStart w:id="267" w:name="_Toc356298546"/>
      <w:bookmarkStart w:id="268" w:name="_Toc356414487"/>
      <w:bookmarkStart w:id="269" w:name="_Toc358018569"/>
      <w:bookmarkStart w:id="270" w:name="_Toc359408109"/>
      <w:bookmarkStart w:id="271" w:name="_Toc359412279"/>
      <w:bookmarkStart w:id="272" w:name="_Toc359510827"/>
      <w:bookmarkStart w:id="273" w:name="_Toc359859160"/>
      <w:bookmarkStart w:id="274" w:name="_Toc359867641"/>
      <w:bookmarkStart w:id="275" w:name="_Toc359867713"/>
      <w:bookmarkStart w:id="276" w:name="_Toc359927958"/>
      <w:bookmarkStart w:id="277" w:name="_Toc359928914"/>
      <w:bookmarkStart w:id="278" w:name="_Toc360003275"/>
      <w:bookmarkStart w:id="279" w:name="_Toc360030543"/>
      <w:bookmarkStart w:id="280" w:name="_Toc360043882"/>
      <w:bookmarkStart w:id="281" w:name="_Toc360099355"/>
      <w:bookmarkStart w:id="282" w:name="_Toc360125736"/>
      <w:bookmarkStart w:id="283" w:name="_Toc360199875"/>
      <w:bookmarkStart w:id="284" w:name="_Toc362002198"/>
      <w:bookmarkStart w:id="285" w:name="_Toc362030717"/>
      <w:bookmarkStart w:id="286" w:name="_Toc362271741"/>
      <w:bookmarkStart w:id="287" w:name="_Toc362281506"/>
      <w:bookmarkStart w:id="288" w:name="_Toc362350628"/>
      <w:bookmarkStart w:id="289" w:name="_Toc362350942"/>
      <w:bookmarkStart w:id="290" w:name="_Toc362356405"/>
      <w:bookmarkStart w:id="291" w:name="_Toc467489473"/>
      <w:bookmarkStart w:id="292" w:name="_Toc467497779"/>
      <w:bookmarkStart w:id="293" w:name="_Toc467498421"/>
      <w:bookmarkStart w:id="294" w:name="_Toc467508748"/>
      <w:bookmarkStart w:id="295" w:name="_Toc467584158"/>
      <w:bookmarkStart w:id="296" w:name="_Toc467672074"/>
      <w:bookmarkStart w:id="297" w:name="_Toc468089577"/>
      <w:bookmarkStart w:id="298" w:name="_Toc468089961"/>
      <w:bookmarkStart w:id="299" w:name="_Toc469075363"/>
      <w:bookmarkStart w:id="300" w:name="_Toc469075938"/>
      <w:bookmarkStart w:id="301" w:name="_Toc469296266"/>
      <w:bookmarkStart w:id="302" w:name="_Toc469299342"/>
      <w:bookmarkStart w:id="303" w:name="_Toc469299869"/>
      <w:bookmarkStart w:id="304" w:name="_Toc501524499"/>
      <w:bookmarkStart w:id="305" w:name="_Toc503878843"/>
      <w:bookmarkStart w:id="306" w:name="_Toc506220564"/>
      <w:bookmarkStart w:id="307" w:name="_Toc512006178"/>
      <w:bookmarkStart w:id="308" w:name="_Toc514677040"/>
      <w:bookmarkStart w:id="309" w:name="_Toc514942400"/>
      <w:r w:rsidRPr="00555F80">
        <w:rPr>
          <w:i/>
        </w:rPr>
        <w:t>Paperwork Reduction Act Analysis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t xml:space="preserve">. </w:t>
      </w:r>
      <w:r w:rsidRPr="008E100F">
        <w:rPr>
          <w:szCs w:val="22"/>
        </w:rPr>
        <w:t xml:space="preserve"> This document contains proposed new or modified information collection requirements. </w:t>
      </w:r>
      <w:r w:rsidR="00852DB8">
        <w:rPr>
          <w:szCs w:val="22"/>
        </w:rPr>
        <w:t xml:space="preserve"> </w:t>
      </w:r>
      <w:r w:rsidRPr="008E100F">
        <w:rPr>
          <w:szCs w:val="22"/>
        </w:rPr>
        <w:t xml:space="preserve">The Commission, as part of its continuing effort to reduce paperwork burdens, invites the general public and the Office of Management and Budget (OMB) to comment on the </w:t>
      </w:r>
      <w:r w:rsidRPr="00FE65F6">
        <w:t>information</w:t>
      </w:r>
      <w:r w:rsidRPr="008E100F">
        <w:rPr>
          <w:szCs w:val="22"/>
        </w:rPr>
        <w:t xml:space="preserve"> collection requirements contained in this document, as required by the Paperwork Reduction Act of 1995, Public Law 104-13.</w:t>
      </w:r>
      <w:r>
        <w:rPr>
          <w:szCs w:val="22"/>
        </w:rPr>
        <w:t xml:space="preserve"> </w:t>
      </w:r>
      <w:r w:rsidRPr="008E100F">
        <w:rPr>
          <w:szCs w:val="22"/>
        </w:rPr>
        <w:t xml:space="preserve"> In addition, pursuant to the Small Business Paperwork Relief Act of 2002, Public Law 107-198, </w:t>
      </w:r>
      <w:r w:rsidRPr="008E100F">
        <w:rPr>
          <w:i/>
          <w:szCs w:val="22"/>
        </w:rPr>
        <w:t>see</w:t>
      </w:r>
      <w:r w:rsidRPr="008E100F">
        <w:rPr>
          <w:szCs w:val="22"/>
        </w:rPr>
        <w:t xml:space="preserve"> 44 U.S.C. 3506(c)(4), we seek specific comment on how we might further reduce the information collection burden for small business concerns with fewer than 25 employees.</w:t>
      </w:r>
    </w:p>
    <w:p w:rsidR="006213CC" w:rsidP="00FE65F6" w14:paraId="34203C8A" w14:textId="77777777">
      <w:pPr>
        <w:pStyle w:val="ParaNum"/>
        <w:tabs>
          <w:tab w:val="clear" w:pos="1080"/>
        </w:tabs>
      </w:pPr>
      <w:bookmarkStart w:id="310" w:name="_Toc351749807"/>
      <w:bookmarkStart w:id="311" w:name="_Toc351753291"/>
      <w:bookmarkStart w:id="312" w:name="_Toc351754327"/>
      <w:bookmarkStart w:id="313" w:name="_Toc353553270"/>
      <w:bookmarkStart w:id="314" w:name="_Toc353563295"/>
      <w:bookmarkStart w:id="315" w:name="_Toc354162302"/>
      <w:bookmarkStart w:id="316" w:name="_Toc354162362"/>
      <w:bookmarkStart w:id="317" w:name="_Toc354166963"/>
      <w:bookmarkStart w:id="318" w:name="_Toc354168164"/>
      <w:bookmarkStart w:id="319" w:name="_Toc355287723"/>
      <w:bookmarkStart w:id="320" w:name="_Toc355297656"/>
      <w:bookmarkStart w:id="321" w:name="_Toc356229305"/>
      <w:bookmarkStart w:id="322" w:name="_Toc356229789"/>
      <w:bookmarkStart w:id="323" w:name="_Toc356234209"/>
      <w:bookmarkStart w:id="324" w:name="_Toc356234741"/>
      <w:bookmarkStart w:id="325" w:name="_Toc356234926"/>
      <w:bookmarkStart w:id="326" w:name="_Toc356235135"/>
      <w:bookmarkStart w:id="327" w:name="_Toc356235261"/>
      <w:bookmarkStart w:id="328" w:name="_Toc356235337"/>
      <w:bookmarkStart w:id="329" w:name="_Toc356235414"/>
      <w:bookmarkStart w:id="330" w:name="_Toc356235504"/>
      <w:bookmarkStart w:id="331" w:name="_Toc356235585"/>
      <w:bookmarkStart w:id="332" w:name="_Toc356235637"/>
      <w:bookmarkStart w:id="333" w:name="_Toc356235713"/>
      <w:bookmarkStart w:id="334" w:name="_Toc356296774"/>
      <w:bookmarkStart w:id="335" w:name="_Toc356296905"/>
      <w:bookmarkStart w:id="336" w:name="_Toc356297012"/>
      <w:bookmarkStart w:id="337" w:name="_Toc356297071"/>
      <w:bookmarkStart w:id="338" w:name="_Toc356297189"/>
      <w:bookmarkStart w:id="339" w:name="_Toc356297241"/>
      <w:bookmarkStart w:id="340" w:name="_Toc356297326"/>
      <w:bookmarkStart w:id="341" w:name="_Toc356297950"/>
      <w:bookmarkStart w:id="342" w:name="_Toc356298109"/>
      <w:bookmarkStart w:id="343" w:name="_Toc356298374"/>
      <w:bookmarkStart w:id="344" w:name="_Toc356298547"/>
      <w:bookmarkStart w:id="345" w:name="_Toc356414488"/>
      <w:bookmarkStart w:id="346" w:name="_Toc358018570"/>
      <w:bookmarkStart w:id="347" w:name="_Toc359408110"/>
      <w:bookmarkStart w:id="348" w:name="_Toc359412280"/>
      <w:bookmarkStart w:id="349" w:name="_Toc359510828"/>
      <w:bookmarkStart w:id="350" w:name="_Toc359859161"/>
      <w:bookmarkStart w:id="351" w:name="_Toc359867642"/>
      <w:bookmarkStart w:id="352" w:name="_Toc359867714"/>
      <w:bookmarkStart w:id="353" w:name="_Toc359927959"/>
      <w:bookmarkStart w:id="354" w:name="_Toc359928915"/>
      <w:bookmarkStart w:id="355" w:name="_Toc360003276"/>
      <w:bookmarkStart w:id="356" w:name="_Toc360030544"/>
      <w:bookmarkStart w:id="357" w:name="_Toc360043883"/>
      <w:bookmarkStart w:id="358" w:name="_Toc360099356"/>
      <w:bookmarkStart w:id="359" w:name="_Toc360125737"/>
      <w:bookmarkStart w:id="360" w:name="_Toc360199876"/>
      <w:bookmarkStart w:id="361" w:name="_Toc362002199"/>
      <w:bookmarkStart w:id="362" w:name="_Toc362030718"/>
      <w:bookmarkStart w:id="363" w:name="_Toc362271742"/>
      <w:bookmarkStart w:id="364" w:name="_Toc362281507"/>
      <w:bookmarkStart w:id="365" w:name="_Toc362350629"/>
      <w:bookmarkStart w:id="366" w:name="_Toc362350943"/>
      <w:bookmarkStart w:id="367" w:name="_Toc362356406"/>
      <w:bookmarkStart w:id="368" w:name="_Toc467489474"/>
      <w:bookmarkStart w:id="369" w:name="_Toc467497780"/>
      <w:bookmarkStart w:id="370" w:name="_Toc467498422"/>
      <w:bookmarkStart w:id="371" w:name="_Toc467508749"/>
      <w:bookmarkStart w:id="372" w:name="_Toc467584159"/>
      <w:bookmarkStart w:id="373" w:name="_Toc467672075"/>
      <w:bookmarkStart w:id="374" w:name="_Toc468089578"/>
      <w:bookmarkStart w:id="375" w:name="_Toc468089962"/>
      <w:bookmarkStart w:id="376" w:name="_Toc469075364"/>
      <w:bookmarkStart w:id="377" w:name="_Toc469075939"/>
      <w:bookmarkStart w:id="378" w:name="_Toc469296267"/>
      <w:bookmarkStart w:id="379" w:name="_Toc469299343"/>
      <w:bookmarkStart w:id="380" w:name="_Toc469299870"/>
      <w:bookmarkStart w:id="381" w:name="_Toc501524500"/>
      <w:bookmarkStart w:id="382" w:name="_Toc503878844"/>
      <w:bookmarkStart w:id="383" w:name="_Toc506220565"/>
      <w:bookmarkStart w:id="384" w:name="_Toc512006179"/>
      <w:bookmarkStart w:id="385" w:name="_Toc514677041"/>
      <w:bookmarkStart w:id="386" w:name="_Toc514942401"/>
      <w:r w:rsidRPr="00CE1EA8">
        <w:rPr>
          <w:i/>
        </w:rPr>
        <w:t xml:space="preserve">Further </w:t>
      </w:r>
      <w:r w:rsidRPr="006248E9">
        <w:rPr>
          <w:i/>
        </w:rPr>
        <w:t>Information</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r w:rsidRPr="008E100F">
        <w:rPr>
          <w:szCs w:val="22"/>
        </w:rPr>
        <w:t xml:space="preserve"> For additional information on this proceeding, contact </w:t>
      </w:r>
      <w:r w:rsidR="000F4836">
        <w:rPr>
          <w:szCs w:val="22"/>
        </w:rPr>
        <w:t>Jessica Greffenius</w:t>
      </w:r>
      <w:r w:rsidRPr="008E100F">
        <w:rPr>
          <w:szCs w:val="22"/>
        </w:rPr>
        <w:t xml:space="preserve"> of the Mobility Division, Wireless Telecommunica</w:t>
      </w:r>
      <w:bookmarkStart w:id="387" w:name="_Ref319077378"/>
      <w:r w:rsidRPr="008E100F">
        <w:rPr>
          <w:szCs w:val="22"/>
        </w:rPr>
        <w:t xml:space="preserve">tions Bureau, at </w:t>
      </w:r>
      <w:r w:rsidR="00964CAB">
        <w:rPr>
          <w:szCs w:val="22"/>
        </w:rPr>
        <w:t>jessica.greffenius</w:t>
      </w:r>
      <w:r w:rsidRPr="008E100F">
        <w:rPr>
          <w:szCs w:val="22"/>
        </w:rPr>
        <w:t>@fcc.gov or (202) 418-</w:t>
      </w:r>
      <w:r w:rsidR="00964CAB">
        <w:rPr>
          <w:szCs w:val="22"/>
        </w:rPr>
        <w:t>2896</w:t>
      </w:r>
      <w:r w:rsidRPr="008E100F">
        <w:rPr>
          <w:szCs w:val="22"/>
        </w:rPr>
        <w:t xml:space="preserve">, or </w:t>
      </w:r>
      <w:r w:rsidR="00E5526C">
        <w:rPr>
          <w:szCs w:val="22"/>
        </w:rPr>
        <w:t>Mary Claire York</w:t>
      </w:r>
      <w:r w:rsidRPr="008E100F">
        <w:rPr>
          <w:szCs w:val="22"/>
        </w:rPr>
        <w:t xml:space="preserve"> of the Mobility Division, Wireless Telecommunications Bureau, at </w:t>
      </w:r>
      <w:r w:rsidRPr="00A3653C" w:rsidR="00A3653C">
        <w:rPr>
          <w:szCs w:val="22"/>
        </w:rPr>
        <w:t>MaryClaire.York</w:t>
      </w:r>
      <w:r>
        <w:rPr>
          <w:szCs w:val="22"/>
        </w:rPr>
        <w:t>@fcc.gov</w:t>
      </w:r>
      <w:r w:rsidRPr="008E100F">
        <w:rPr>
          <w:szCs w:val="22"/>
        </w:rPr>
        <w:t xml:space="preserve"> or (202) 418-</w:t>
      </w:r>
      <w:r w:rsidR="00487726">
        <w:rPr>
          <w:szCs w:val="22"/>
        </w:rPr>
        <w:t>2205</w:t>
      </w:r>
      <w:r w:rsidRPr="008E100F">
        <w:rPr>
          <w:szCs w:val="22"/>
        </w:rPr>
        <w:t>.</w:t>
      </w:r>
      <w:bookmarkEnd w:id="387"/>
    </w:p>
    <w:p w:rsidR="006213CC" w:rsidP="006213CC" w14:paraId="53BF5C4A" w14:textId="77777777">
      <w:pPr>
        <w:pStyle w:val="Heading1"/>
      </w:pPr>
      <w:r>
        <w:t>ordering clauses</w:t>
      </w:r>
    </w:p>
    <w:p w:rsidR="00212825" w:rsidRPr="00212825" w:rsidP="008D7763" w14:paraId="6F445AC5" w14:textId="77777777">
      <w:pPr>
        <w:pStyle w:val="ParaNum"/>
        <w:widowControl/>
        <w:tabs>
          <w:tab w:val="clear" w:pos="1080"/>
        </w:tabs>
        <w:rPr>
          <w:szCs w:val="22"/>
        </w:rPr>
      </w:pPr>
      <w:r w:rsidRPr="00212825">
        <w:rPr>
          <w:szCs w:val="22"/>
        </w:rPr>
        <w:t xml:space="preserve">IT </w:t>
      </w:r>
      <w:r w:rsidRPr="004F3B83">
        <w:t>IS</w:t>
      </w:r>
      <w:r w:rsidRPr="00212825">
        <w:rPr>
          <w:szCs w:val="22"/>
        </w:rPr>
        <w:t xml:space="preserve"> ORDERED, pursuant to the authority found in </w:t>
      </w:r>
      <w:r w:rsidR="00E41199">
        <w:rPr>
          <w:szCs w:val="22"/>
        </w:rPr>
        <w:t>s</w:t>
      </w:r>
      <w:r w:rsidRPr="00212825">
        <w:rPr>
          <w:szCs w:val="22"/>
        </w:rPr>
        <w:t>ections 1, 2, 4(i), 303,</w:t>
      </w:r>
      <w:r w:rsidR="006E4FD4">
        <w:rPr>
          <w:szCs w:val="22"/>
        </w:rPr>
        <w:t xml:space="preserve"> </w:t>
      </w:r>
      <w:r>
        <w:rPr>
          <w:szCs w:val="22"/>
        </w:rPr>
        <w:t>316</w:t>
      </w:r>
      <w:r w:rsidR="00907D25">
        <w:rPr>
          <w:szCs w:val="22"/>
        </w:rPr>
        <w:t>,</w:t>
      </w:r>
      <w:r>
        <w:rPr>
          <w:szCs w:val="22"/>
        </w:rPr>
        <w:t xml:space="preserve"> </w:t>
      </w:r>
      <w:r w:rsidR="00036FC0">
        <w:rPr>
          <w:szCs w:val="22"/>
        </w:rPr>
        <w:t xml:space="preserve">and 1502 </w:t>
      </w:r>
      <w:r w:rsidRPr="00212825">
        <w:rPr>
          <w:szCs w:val="22"/>
        </w:rPr>
        <w:t>of the Communications Act of 1934, 47 U.S.C. §§ 151, 152, 154(i), 303,</w:t>
      </w:r>
      <w:r>
        <w:rPr>
          <w:szCs w:val="22"/>
        </w:rPr>
        <w:t xml:space="preserve"> 316</w:t>
      </w:r>
      <w:r w:rsidR="00036FC0">
        <w:rPr>
          <w:szCs w:val="22"/>
        </w:rPr>
        <w:t>, and 1502</w:t>
      </w:r>
      <w:r w:rsidR="00F17734">
        <w:rPr>
          <w:szCs w:val="22"/>
        </w:rPr>
        <w:t>,</w:t>
      </w:r>
      <w:r w:rsidR="00036FC0">
        <w:rPr>
          <w:szCs w:val="22"/>
        </w:rPr>
        <w:t xml:space="preserve"> </w:t>
      </w:r>
      <w:r w:rsidRPr="00E84B84" w:rsidR="00E41199">
        <w:rPr>
          <w:szCs w:val="22"/>
        </w:rPr>
        <w:t>and s</w:t>
      </w:r>
      <w:r w:rsidRPr="00E84B84">
        <w:rPr>
          <w:szCs w:val="22"/>
        </w:rPr>
        <w:t xml:space="preserve">ection </w:t>
      </w:r>
      <w:r w:rsidRPr="00E84B84">
        <w:rPr>
          <w:szCs w:val="22"/>
        </w:rPr>
        <w:t>1.411 of the Commission’s Rules, 47 C.F.R § 1.411</w:t>
      </w:r>
      <w:r w:rsidRPr="00212825">
        <w:rPr>
          <w:szCs w:val="22"/>
        </w:rPr>
        <w:t>, that this Notice of Proposed Rulemaking IS HEREBY ADOPTED</w:t>
      </w:r>
      <w:r w:rsidRPr="00212825">
        <w:rPr>
          <w:szCs w:val="22"/>
        </w:rPr>
        <w:t>.</w:t>
      </w:r>
    </w:p>
    <w:p w:rsidR="003A4F18" w:rsidRPr="008E100F" w:rsidP="008D7763" w14:paraId="2C5B3A3E" w14:textId="77777777">
      <w:pPr>
        <w:pStyle w:val="ParaNum"/>
        <w:widowControl/>
        <w:tabs>
          <w:tab w:val="clear" w:pos="1080"/>
        </w:tabs>
        <w:rPr>
          <w:szCs w:val="22"/>
        </w:rPr>
      </w:pPr>
      <w:r w:rsidRPr="008E100F">
        <w:rPr>
          <w:szCs w:val="22"/>
        </w:rPr>
        <w:t xml:space="preserve">IT IS FURTHER ORDERED that the Commission’s Consumer and Governmental Affairs Bureau, </w:t>
      </w:r>
      <w:r w:rsidRPr="00FE65F6">
        <w:t>Reference</w:t>
      </w:r>
      <w:r w:rsidRPr="008E100F">
        <w:rPr>
          <w:szCs w:val="22"/>
        </w:rPr>
        <w:t xml:space="preserve"> Information Center, SHALL SEND a copy of this Notice</w:t>
      </w:r>
      <w:r w:rsidR="008D07E0">
        <w:rPr>
          <w:szCs w:val="22"/>
        </w:rPr>
        <w:t xml:space="preserve"> </w:t>
      </w:r>
      <w:r w:rsidRPr="008D07E0" w:rsidR="008D07E0">
        <w:rPr>
          <w:szCs w:val="22"/>
        </w:rPr>
        <w:t>of Proposed Rulemaking</w:t>
      </w:r>
      <w:r w:rsidRPr="008E100F">
        <w:rPr>
          <w:szCs w:val="22"/>
        </w:rPr>
        <w:t>, including the Initial Regulatory Flexibility Analysis, to the Chief Counsel for Advocacy of th</w:t>
      </w:r>
      <w:bookmarkStart w:id="388" w:name="_Ref319077408"/>
      <w:r w:rsidRPr="008E100F">
        <w:rPr>
          <w:szCs w:val="22"/>
        </w:rPr>
        <w:t>e Small Business Administration.</w:t>
      </w:r>
      <w:bookmarkEnd w:id="388"/>
    </w:p>
    <w:p w:rsidR="003A4F18" w:rsidP="003A4F18" w14:paraId="42D62DF8" w14:textId="77777777">
      <w:bookmarkStart w:id="389" w:name="comebackhere"/>
      <w:bookmarkEnd w:id="389"/>
    </w:p>
    <w:p w:rsidR="003A4F18" w:rsidP="003A4F18" w14:paraId="2DAE6DF1" w14:textId="77777777">
      <w:r>
        <w:tab/>
      </w:r>
      <w:r>
        <w:tab/>
      </w:r>
      <w:r>
        <w:tab/>
      </w:r>
      <w:r>
        <w:tab/>
      </w:r>
      <w:r>
        <w:tab/>
      </w:r>
      <w:r>
        <w:tab/>
        <w:t>FEDERAL COMMUNICATIONS COMMISSION</w:t>
      </w:r>
    </w:p>
    <w:p w:rsidR="003A4F18" w:rsidP="003A4F18" w14:paraId="17BC9124" w14:textId="77777777"/>
    <w:p w:rsidR="003A4F18" w:rsidP="003A4F18" w14:paraId="3818DCB5" w14:textId="77777777"/>
    <w:p w:rsidR="003A4F18" w:rsidP="003A4F18" w14:paraId="2CD7E24C" w14:textId="77777777"/>
    <w:p w:rsidR="003A4F18" w:rsidP="003A4F18" w14:paraId="71114F94" w14:textId="77777777"/>
    <w:p w:rsidR="003A4F18" w:rsidP="003A4F18" w14:paraId="4026D607" w14:textId="77777777">
      <w:r>
        <w:tab/>
      </w:r>
      <w:r>
        <w:tab/>
      </w:r>
      <w:r>
        <w:tab/>
      </w:r>
      <w:r>
        <w:tab/>
      </w:r>
      <w:r>
        <w:tab/>
      </w:r>
      <w:r>
        <w:tab/>
        <w:t>Marlene H. Dortch</w:t>
      </w:r>
    </w:p>
    <w:p w:rsidR="003A4F18" w:rsidP="003A4F18" w14:paraId="2CEDAEB9" w14:textId="77777777">
      <w:r>
        <w:tab/>
      </w:r>
      <w:r>
        <w:tab/>
      </w:r>
      <w:r>
        <w:tab/>
      </w:r>
      <w:r>
        <w:tab/>
      </w:r>
      <w:r>
        <w:tab/>
      </w:r>
      <w:r>
        <w:tab/>
        <w:t>Secretary</w:t>
      </w:r>
    </w:p>
    <w:p w:rsidR="003A4F18" w:rsidP="003A4F18" w14:paraId="3554C36D" w14:textId="77777777"/>
    <w:p w:rsidR="001122F0" w14:paraId="5DEF8EF2" w14:textId="77777777">
      <w:pPr>
        <w:widowControl/>
        <w:sectPr w:rsidSect="0055614C">
          <w:headerReference w:type="default" r:id="rId5"/>
          <w:footerReference w:type="even" r:id="rId6"/>
          <w:footerReference w:type="default" r:id="rId7"/>
          <w:headerReference w:type="first" r:id="rId8"/>
          <w:footnotePr>
            <w:numRestart w:val="eachSect"/>
          </w:footnotePr>
          <w:endnotePr>
            <w:numFmt w:val="decimal"/>
          </w:endnotePr>
          <w:pgSz w:w="12240" w:h="15840"/>
          <w:pgMar w:top="1440" w:right="1440" w:bottom="720" w:left="1440" w:header="720" w:footer="720" w:gutter="0"/>
          <w:pgNumType w:start="1"/>
          <w:cols w:space="720"/>
          <w:noEndnote/>
          <w:titlePg/>
        </w:sectPr>
      </w:pPr>
    </w:p>
    <w:p w:rsidR="009C0575" w:rsidRPr="007E4217" w:rsidP="009C0575" w14:paraId="3B273D7F" w14:textId="77777777">
      <w:pPr>
        <w:jc w:val="center"/>
        <w:rPr>
          <w:b/>
        </w:rPr>
      </w:pPr>
      <w:r w:rsidRPr="007E4217">
        <w:rPr>
          <w:b/>
        </w:rPr>
        <w:t>APPENDIX A</w:t>
      </w:r>
    </w:p>
    <w:p w:rsidR="009C0575" w:rsidP="009C0575" w14:paraId="6B6F09A0" w14:textId="77777777">
      <w:pPr>
        <w:widowControl/>
        <w:jc w:val="center"/>
        <w:rPr>
          <w:b/>
          <w:szCs w:val="22"/>
        </w:rPr>
      </w:pPr>
    </w:p>
    <w:p w:rsidR="009C0575" w:rsidRPr="009F3398" w:rsidP="009C0575" w14:paraId="1DD12CD3" w14:textId="77777777">
      <w:pPr>
        <w:widowControl/>
        <w:jc w:val="center"/>
        <w:rPr>
          <w:b/>
          <w:szCs w:val="22"/>
        </w:rPr>
      </w:pPr>
      <w:r w:rsidRPr="009F3398">
        <w:rPr>
          <w:b/>
          <w:szCs w:val="22"/>
        </w:rPr>
        <w:t>Proposed Rules</w:t>
      </w:r>
    </w:p>
    <w:p w:rsidR="009C0575" w:rsidRPr="009F3398" w:rsidP="009C0575" w14:paraId="7CB14B21" w14:textId="77777777">
      <w:pPr>
        <w:widowControl/>
        <w:jc w:val="center"/>
        <w:rPr>
          <w:b/>
          <w:szCs w:val="22"/>
        </w:rPr>
      </w:pPr>
    </w:p>
    <w:p w:rsidR="004019A8" w:rsidRPr="00BD6F49" w:rsidP="004019A8" w14:paraId="389C1ED5" w14:textId="77777777">
      <w:pPr>
        <w:shd w:val="clear" w:color="auto" w:fill="FFFFFF"/>
        <w:outlineLvl w:val="1"/>
        <w:rPr>
          <w:b/>
          <w:bCs/>
          <w:szCs w:val="22"/>
        </w:rPr>
      </w:pPr>
      <w:r w:rsidRPr="00BD6F49">
        <w:rPr>
          <w:b/>
          <w:bCs/>
          <w:szCs w:val="22"/>
        </w:rPr>
        <w:t>PART 2—FREQUENCY ALLOCATIONS AND RADIO TREATY MATTERS; GENERAL RULES AND REGULATIONS</w:t>
      </w:r>
    </w:p>
    <w:p w:rsidR="004019A8" w:rsidRPr="00BD6F49" w:rsidP="004019A8" w14:paraId="5857B64E" w14:textId="77777777">
      <w:pPr>
        <w:widowControl/>
        <w:rPr>
          <w:szCs w:val="22"/>
        </w:rPr>
      </w:pPr>
    </w:p>
    <w:p w:rsidR="004019A8" w:rsidP="00E031BE" w14:paraId="37F9C1E0" w14:textId="77777777">
      <w:pPr>
        <w:pStyle w:val="ParaNum"/>
        <w:numPr>
          <w:ilvl w:val="0"/>
          <w:numId w:val="17"/>
        </w:numPr>
        <w:spacing w:after="0"/>
      </w:pPr>
      <w:r w:rsidRPr="00BD6F49">
        <w:t>The authority citation for part 2 continues to read as follows:</w:t>
      </w:r>
    </w:p>
    <w:p w:rsidR="004019A8" w:rsidP="004019A8" w14:paraId="038F8BAA" w14:textId="77777777">
      <w:pPr>
        <w:pStyle w:val="ParaNum"/>
        <w:numPr>
          <w:ilvl w:val="0"/>
          <w:numId w:val="0"/>
        </w:numPr>
        <w:spacing w:after="0"/>
        <w:ind w:left="720"/>
      </w:pPr>
    </w:p>
    <w:p w:rsidR="004019A8" w:rsidP="004019A8" w14:paraId="34EDB1B4" w14:textId="77777777">
      <w:pPr>
        <w:widowControl/>
        <w:ind w:firstLine="720"/>
        <w:rPr>
          <w:szCs w:val="22"/>
        </w:rPr>
      </w:pPr>
      <w:r>
        <w:rPr>
          <w:color w:val="000000"/>
        </w:rPr>
        <w:t>[INSERT CURRENT AUTHORITY CITATION]</w:t>
      </w:r>
    </w:p>
    <w:p w:rsidR="004019A8" w:rsidP="004019A8" w14:paraId="1DC72208" w14:textId="77777777">
      <w:pPr>
        <w:widowControl/>
        <w:ind w:firstLine="720"/>
        <w:rPr>
          <w:szCs w:val="22"/>
        </w:rPr>
      </w:pPr>
    </w:p>
    <w:p w:rsidR="004019A8" w:rsidP="004019A8" w14:paraId="7B714600" w14:textId="77777777">
      <w:pPr>
        <w:pStyle w:val="ParaNum"/>
        <w:spacing w:after="0"/>
      </w:pPr>
      <w:r w:rsidRPr="00E535D4">
        <w:rPr>
          <w:szCs w:val="22"/>
        </w:rPr>
        <w:t>Section</w:t>
      </w:r>
      <w:r w:rsidRPr="00BD6F49">
        <w:t xml:space="preserve"> 2.106, the Table of Frequency Allocations, is amended as follows:</w:t>
      </w:r>
    </w:p>
    <w:p w:rsidR="004019A8" w:rsidP="004019A8" w14:paraId="43975793" w14:textId="77777777">
      <w:pPr>
        <w:pStyle w:val="ParaNum"/>
        <w:numPr>
          <w:ilvl w:val="0"/>
          <w:numId w:val="0"/>
        </w:numPr>
        <w:spacing w:after="0"/>
        <w:ind w:left="720"/>
      </w:pPr>
    </w:p>
    <w:p w:rsidR="004019A8" w:rsidP="004019A8" w14:paraId="200779B2" w14:textId="77777777">
      <w:pPr>
        <w:widowControl/>
        <w:numPr>
          <w:ilvl w:val="0"/>
          <w:numId w:val="16"/>
        </w:numPr>
      </w:pPr>
      <w:r w:rsidRPr="00BD6F49">
        <w:t xml:space="preserve">Pages </w:t>
      </w:r>
      <w:r>
        <w:t>40</w:t>
      </w:r>
      <w:r w:rsidRPr="00BD6F49">
        <w:t xml:space="preserve"> and </w:t>
      </w:r>
      <w:r>
        <w:t>41</w:t>
      </w:r>
      <w:r w:rsidRPr="00BD6F49">
        <w:t xml:space="preserve"> are revised.</w:t>
      </w:r>
    </w:p>
    <w:p w:rsidR="004019A8" w:rsidP="004019A8" w14:paraId="59D46C97" w14:textId="77777777">
      <w:pPr>
        <w:widowControl/>
        <w:ind w:left="1440"/>
      </w:pPr>
    </w:p>
    <w:p w:rsidR="004019A8" w:rsidP="004019A8" w14:paraId="4556CF45" w14:textId="77777777">
      <w:pPr>
        <w:widowControl/>
        <w:numPr>
          <w:ilvl w:val="0"/>
          <w:numId w:val="16"/>
        </w:numPr>
      </w:pPr>
      <w:r>
        <w:t>In the list of United States</w:t>
      </w:r>
      <w:r w:rsidRPr="00BD6F49">
        <w:t xml:space="preserve"> (</w:t>
      </w:r>
      <w:r>
        <w:t>US</w:t>
      </w:r>
      <w:r w:rsidRPr="00BD6F49">
        <w:t xml:space="preserve">) Footnotes, footnote </w:t>
      </w:r>
      <w:r>
        <w:t>US108 is revised.</w:t>
      </w:r>
    </w:p>
    <w:p w:rsidR="004019A8" w:rsidP="004019A8" w14:paraId="2E5A71EB" w14:textId="77777777">
      <w:pPr>
        <w:pStyle w:val="ListParagraph"/>
        <w:contextualSpacing w:val="0"/>
      </w:pPr>
    </w:p>
    <w:p w:rsidR="004019A8" w:rsidP="004019A8" w14:paraId="5ED114C5" w14:textId="77777777">
      <w:pPr>
        <w:widowControl/>
        <w:numPr>
          <w:ilvl w:val="0"/>
          <w:numId w:val="16"/>
        </w:numPr>
      </w:pPr>
      <w:r w:rsidRPr="00BD6F49">
        <w:t xml:space="preserve">In the list of </w:t>
      </w:r>
      <w:r>
        <w:t>Federal Government (G) Footnotes, footnotes G2 and G59 are revised.</w:t>
      </w:r>
    </w:p>
    <w:p w:rsidR="004019A8" w:rsidP="004019A8" w14:paraId="16169F96" w14:textId="77777777">
      <w:pPr>
        <w:pStyle w:val="ListParagraph"/>
        <w:contextualSpacing w:val="0"/>
      </w:pPr>
    </w:p>
    <w:p w:rsidR="004019A8" w:rsidRPr="00C23CAA" w:rsidP="004019A8" w14:paraId="7CF5050C" w14:textId="77777777">
      <w:pPr>
        <w:suppressAutoHyphens/>
        <w:rPr>
          <w:b/>
          <w:spacing w:val="-3"/>
          <w:szCs w:val="22"/>
          <w:u w:val="single"/>
        </w:rPr>
      </w:pPr>
      <w:bookmarkStart w:id="390" w:name="_Hlk5876721"/>
      <w:r w:rsidRPr="00C23CAA">
        <w:rPr>
          <w:b/>
          <w:spacing w:val="-3"/>
          <w:szCs w:val="22"/>
          <w:u w:val="single"/>
        </w:rPr>
        <w:t>§ 2.106</w:t>
      </w:r>
      <w:r w:rsidRPr="00C23CAA">
        <w:rPr>
          <w:b/>
          <w:u w:val="single"/>
        </w:rPr>
        <w:t>  </w:t>
      </w:r>
      <w:r w:rsidRPr="00C23CAA">
        <w:rPr>
          <w:b/>
          <w:spacing w:val="-3"/>
          <w:szCs w:val="22"/>
          <w:u w:val="single"/>
        </w:rPr>
        <w:t xml:space="preserve"> Table of Frequency Allocations. </w:t>
      </w:r>
    </w:p>
    <w:p w:rsidR="004019A8" w:rsidRPr="00CD41B3" w:rsidP="004019A8" w14:paraId="5ECF891B" w14:textId="77777777">
      <w:pPr>
        <w:suppressAutoHyphens/>
        <w:rPr>
          <w:b/>
          <w:spacing w:val="-3"/>
          <w:szCs w:val="22"/>
        </w:rPr>
      </w:pPr>
    </w:p>
    <w:p w:rsidR="004019A8" w:rsidRPr="00CD41B3" w:rsidP="004019A8" w14:paraId="5ACBB270" w14:textId="77777777">
      <w:pPr>
        <w:suppressAutoHyphens/>
        <w:ind w:firstLine="360"/>
        <w:rPr>
          <w:szCs w:val="22"/>
        </w:rPr>
      </w:pPr>
      <w:r w:rsidRPr="00CD41B3">
        <w:rPr>
          <w:szCs w:val="22"/>
        </w:rPr>
        <w:t>The revisions read as follows:</w:t>
      </w:r>
    </w:p>
    <w:p w:rsidR="004019A8" w:rsidRPr="00CD41B3" w:rsidP="004019A8" w14:paraId="53896687" w14:textId="77777777">
      <w:pPr>
        <w:suppressAutoHyphens/>
        <w:ind w:firstLine="360"/>
        <w:rPr>
          <w:szCs w:val="22"/>
        </w:rPr>
      </w:pPr>
    </w:p>
    <w:p w:rsidR="004019A8" w:rsidP="004019A8" w14:paraId="592F1BD6" w14:textId="77777777">
      <w:pPr>
        <w:widowControl/>
        <w:ind w:firstLine="360"/>
        <w:rPr>
          <w:szCs w:val="22"/>
        </w:rPr>
        <w:sectPr w:rsidSect="00AC1A6D">
          <w:footnotePr>
            <w:numRestart w:val="eachSect"/>
          </w:footnotePr>
          <w:endnotePr>
            <w:numFmt w:val="decimal"/>
          </w:endnotePr>
          <w:pgSz w:w="12240" w:h="15840"/>
          <w:pgMar w:top="1440" w:right="1440" w:bottom="720" w:left="1440" w:header="720" w:footer="720" w:gutter="0"/>
          <w:cols w:space="720"/>
          <w:noEndnote/>
          <w:titlePg/>
        </w:sectPr>
      </w:pPr>
      <w:r w:rsidRPr="00BD6F49">
        <w:rPr>
          <w:szCs w:val="22"/>
        </w:rPr>
        <w:t xml:space="preserve">* * * * </w:t>
      </w:r>
      <w:bookmarkEnd w:id="390"/>
      <w:r w:rsidR="00C54936">
        <w:rPr>
          <w:szCs w:val="22"/>
        </w:rPr>
        <w:t>*</w:t>
      </w:r>
    </w:p>
    <w:p w:rsidR="00EE2BE4" w14:paraId="7F4BD5ED" w14:textId="77777777">
      <w:pPr>
        <w:widowControl/>
      </w:pPr>
    </w:p>
    <w:tbl>
      <w:tblPr>
        <w:tblW w:w="5000" w:type="pct"/>
        <w:tblLayout w:type="fixed"/>
        <w:tblCellMar>
          <w:left w:w="58" w:type="dxa"/>
          <w:right w:w="0" w:type="dxa"/>
        </w:tblCellMar>
        <w:tblLook w:val="0000"/>
      </w:tblPr>
      <w:tblGrid>
        <w:gridCol w:w="8"/>
        <w:gridCol w:w="1742"/>
        <w:gridCol w:w="272"/>
        <w:gridCol w:w="1816"/>
        <w:gridCol w:w="855"/>
        <w:gridCol w:w="7"/>
        <w:gridCol w:w="1658"/>
        <w:gridCol w:w="1252"/>
        <w:gridCol w:w="1448"/>
        <w:gridCol w:w="880"/>
        <w:gridCol w:w="2180"/>
        <w:gridCol w:w="246"/>
        <w:gridCol w:w="1374"/>
      </w:tblGrid>
      <w:tr w14:paraId="7C6CD640" w14:textId="77777777" w:rsidTr="00A033C4">
        <w:tblPrEx>
          <w:tblW w:w="5000" w:type="pct"/>
          <w:tblLayout w:type="fixed"/>
          <w:tblCellMar>
            <w:left w:w="58" w:type="dxa"/>
            <w:right w:w="0" w:type="dxa"/>
          </w:tblCellMar>
          <w:tblLook w:val="0000"/>
        </w:tblPrEx>
        <w:trPr>
          <w:gridBefore w:val="1"/>
          <w:wBefore w:w="8" w:type="dxa"/>
          <w:trHeight w:val="2037"/>
        </w:trPr>
        <w:tc>
          <w:tcPr>
            <w:tcW w:w="2006" w:type="dxa"/>
            <w:gridSpan w:val="2"/>
            <w:tcBorders>
              <w:top w:val="single" w:sz="4" w:space="0" w:color="auto"/>
              <w:left w:val="nil"/>
              <w:bottom w:val="single" w:sz="4" w:space="0" w:color="auto"/>
              <w:right w:val="single" w:sz="4" w:space="0" w:color="auto"/>
            </w:tcBorders>
            <w:noWrap/>
          </w:tcPr>
          <w:p w:rsidR="00EB1E5F" w:rsidRPr="00F60707" w:rsidP="00A033C4" w14:paraId="1B5AE8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2670-2690</w:t>
            </w:r>
          </w:p>
          <w:p w:rsidR="00EB1E5F" w:rsidRPr="00F60707" w:rsidP="00A033C4" w14:paraId="099A070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FIXED  5.410</w:t>
            </w:r>
          </w:p>
          <w:p w:rsidR="00EB1E5F" w:rsidRPr="00F60707" w:rsidP="00A033C4" w14:paraId="750C826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ight="-86"/>
              <w:rPr>
                <w:rFonts w:ascii="Arial Narrow" w:hAnsi="Arial Narrow"/>
                <w:kern w:val="0"/>
                <w:sz w:val="17"/>
                <w:szCs w:val="22"/>
              </w:rPr>
            </w:pPr>
            <w:r w:rsidRPr="00F60707">
              <w:rPr>
                <w:rFonts w:ascii="Arial Narrow" w:hAnsi="Arial Narrow"/>
                <w:kern w:val="0"/>
                <w:sz w:val="17"/>
                <w:szCs w:val="22"/>
              </w:rPr>
              <w:t>MOBILE except aeronautical</w:t>
            </w:r>
          </w:p>
          <w:p w:rsidR="00EB1E5F" w:rsidRPr="00F60707" w:rsidP="00A033C4" w14:paraId="7BF310E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ight="-86"/>
              <w:rPr>
                <w:rFonts w:ascii="Arial Narrow" w:hAnsi="Arial Narrow"/>
                <w:kern w:val="0"/>
                <w:sz w:val="17"/>
                <w:szCs w:val="22"/>
              </w:rPr>
            </w:pPr>
            <w:r w:rsidRPr="00F60707">
              <w:rPr>
                <w:rFonts w:ascii="Arial Narrow" w:hAnsi="Arial Narrow"/>
                <w:kern w:val="0"/>
                <w:sz w:val="17"/>
                <w:szCs w:val="22"/>
              </w:rPr>
              <w:t xml:space="preserve">   mobile  5.384A</w:t>
            </w:r>
          </w:p>
          <w:p w:rsidR="00EB1E5F" w:rsidRPr="00F60707" w:rsidP="00A033C4" w14:paraId="36DCD213"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Earth exploration-satellite</w:t>
            </w:r>
          </w:p>
          <w:p w:rsidR="00EB1E5F" w:rsidRPr="00F60707" w:rsidP="00A033C4" w14:paraId="5074007D"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 xml:space="preserve">   (passive)</w:t>
            </w:r>
          </w:p>
          <w:p w:rsidR="00EB1E5F" w:rsidRPr="00F60707" w:rsidP="00A033C4" w14:paraId="0D43903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 astronomy</w:t>
            </w:r>
          </w:p>
          <w:p w:rsidR="00EB1E5F" w:rsidRPr="00F60707" w:rsidP="00A033C4" w14:paraId="7400F29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Space research (passive)</w:t>
            </w:r>
          </w:p>
          <w:p w:rsidR="00EB1E5F" w:rsidRPr="00F60707" w:rsidP="00A033C4" w14:paraId="6367457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0BE0286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ind w:left="-58"/>
              <w:rPr>
                <w:rFonts w:ascii="Arial Narrow" w:hAnsi="Arial Narrow"/>
                <w:kern w:val="0"/>
                <w:sz w:val="17"/>
                <w:szCs w:val="22"/>
              </w:rPr>
            </w:pPr>
          </w:p>
          <w:p w:rsidR="00EB1E5F" w:rsidRPr="00F60707" w:rsidP="00A033C4" w14:paraId="317B49F8"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5.149  5.412</w:t>
            </w:r>
          </w:p>
        </w:tc>
        <w:tc>
          <w:tcPr>
            <w:tcW w:w="2666" w:type="dxa"/>
            <w:gridSpan w:val="3"/>
            <w:tcBorders>
              <w:top w:val="single" w:sz="4" w:space="0" w:color="auto"/>
              <w:left w:val="single" w:sz="4" w:space="0" w:color="auto"/>
              <w:bottom w:val="single" w:sz="4" w:space="0" w:color="auto"/>
              <w:right w:val="single" w:sz="4" w:space="0" w:color="auto"/>
            </w:tcBorders>
            <w:noWrap/>
          </w:tcPr>
          <w:p w:rsidR="00EB1E5F" w:rsidRPr="00F60707" w:rsidP="00A033C4" w14:paraId="61D1724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2670-2690</w:t>
            </w:r>
          </w:p>
          <w:p w:rsidR="00EB1E5F" w:rsidRPr="00F60707" w:rsidP="00A033C4" w14:paraId="3B1AF18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  5.410</w:t>
            </w:r>
          </w:p>
          <w:p w:rsidR="00EB1E5F" w:rsidRPr="00F60707" w:rsidP="00A033C4" w14:paraId="13B198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FIXED-SATELLITE (Earth-to-space)</w:t>
            </w:r>
          </w:p>
          <w:p w:rsidR="00EB1E5F" w:rsidRPr="00F60707" w:rsidP="00A033C4" w14:paraId="1F36030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(space-to-Earth)  5.208B  5.415</w:t>
            </w:r>
          </w:p>
          <w:p w:rsidR="00EB1E5F" w:rsidRPr="00F60707" w:rsidP="00A033C4" w14:paraId="761F31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 except aeronautical mobile</w:t>
            </w:r>
          </w:p>
          <w:p w:rsidR="00EB1E5F" w:rsidRPr="00F60707" w:rsidP="00A033C4" w14:paraId="25B6508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5.384A</w:t>
            </w:r>
          </w:p>
          <w:p w:rsidR="00EB1E5F" w:rsidRPr="00F60707" w:rsidP="00A033C4" w14:paraId="5E3BE8F0" w14:textId="77777777">
            <w:pPr>
              <w:widowControl/>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Earth exploration-satellite (passive)</w:t>
            </w:r>
          </w:p>
          <w:p w:rsidR="00EB1E5F" w:rsidRPr="00F60707" w:rsidP="00A033C4" w14:paraId="3B642B3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 astronomy</w:t>
            </w:r>
          </w:p>
          <w:p w:rsidR="00EB1E5F" w:rsidRPr="00F60707" w:rsidP="00A033C4" w14:paraId="0CDB73C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Space research (passive)</w:t>
            </w:r>
          </w:p>
          <w:p w:rsidR="00EB1E5F" w:rsidRPr="00F60707" w:rsidP="00A033C4" w14:paraId="59F5E1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76" w:lineRule="auto"/>
              <w:rPr>
                <w:rFonts w:ascii="Arial Narrow" w:hAnsi="Arial Narrow"/>
                <w:kern w:val="0"/>
                <w:sz w:val="17"/>
                <w:szCs w:val="22"/>
              </w:rPr>
            </w:pPr>
          </w:p>
          <w:p w:rsidR="00EB1E5F" w:rsidRPr="00F60707" w:rsidP="00A033C4" w14:paraId="48E4520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5.149</w:t>
            </w:r>
          </w:p>
        </w:tc>
        <w:tc>
          <w:tcPr>
            <w:tcW w:w="2898" w:type="dxa"/>
            <w:gridSpan w:val="2"/>
            <w:tcBorders>
              <w:top w:val="single" w:sz="4" w:space="0" w:color="auto"/>
              <w:left w:val="single" w:sz="4" w:space="0" w:color="auto"/>
              <w:bottom w:val="single" w:sz="4" w:space="0" w:color="auto"/>
              <w:right w:val="single" w:sz="6" w:space="0" w:color="FFFFFF"/>
            </w:tcBorders>
            <w:noWrap/>
          </w:tcPr>
          <w:p w:rsidR="00EB1E5F" w:rsidRPr="00F60707" w:rsidP="00A033C4" w14:paraId="7A2AFD1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2670-2690</w:t>
            </w:r>
          </w:p>
          <w:p w:rsidR="00EB1E5F" w:rsidRPr="00F60707" w:rsidP="00A033C4" w14:paraId="5E3BC6C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  5.410</w:t>
            </w:r>
          </w:p>
          <w:p w:rsidR="00EB1E5F" w:rsidRPr="00F60707" w:rsidP="00A033C4" w14:paraId="36448F8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FIXED-SATELLITE (Earth-to-space)  5.415</w:t>
            </w:r>
          </w:p>
          <w:p w:rsidR="00EB1E5F" w:rsidRPr="00F60707" w:rsidP="00A033C4" w14:paraId="7F43682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 except aeronautical mobile  5.384A</w:t>
            </w:r>
          </w:p>
          <w:p w:rsidR="00EB1E5F" w:rsidRPr="00F60707" w:rsidP="00A033C4" w14:paraId="57FFF49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MOBILE-SATELLITE (Earth-to-space)</w:t>
            </w:r>
          </w:p>
          <w:p w:rsidR="00EB1E5F" w:rsidRPr="00F60707" w:rsidP="00A033C4" w14:paraId="11571C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5.351A  5.419</w:t>
            </w:r>
          </w:p>
          <w:p w:rsidR="00EB1E5F" w:rsidRPr="00F60707" w:rsidP="00A033C4" w14:paraId="55FC677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Earth exploration-satellite (passive)</w:t>
            </w:r>
          </w:p>
          <w:p w:rsidR="00EB1E5F" w:rsidRPr="00F60707" w:rsidP="00A033C4" w14:paraId="4F19234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 astronomy</w:t>
            </w:r>
          </w:p>
          <w:p w:rsidR="00EB1E5F" w:rsidRPr="00F60707" w:rsidP="00A033C4" w14:paraId="126A60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Space research (passive)</w:t>
            </w:r>
          </w:p>
          <w:p w:rsidR="00EB1E5F" w:rsidRPr="00F60707" w:rsidP="00A033C4" w14:paraId="15F9CB2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2AF3D20A"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5.149</w:t>
            </w:r>
          </w:p>
        </w:tc>
        <w:tc>
          <w:tcPr>
            <w:tcW w:w="2318" w:type="dxa"/>
            <w:gridSpan w:val="2"/>
            <w:tcBorders>
              <w:top w:val="nil"/>
              <w:left w:val="double" w:sz="6" w:space="0" w:color="000000"/>
              <w:bottom w:val="single" w:sz="4" w:space="0" w:color="auto"/>
              <w:right w:val="single" w:sz="4" w:space="0" w:color="auto"/>
            </w:tcBorders>
            <w:noWrap/>
            <w:vAlign w:val="bottom"/>
          </w:tcPr>
          <w:p w:rsidR="00EB1E5F" w:rsidRPr="00F60707" w:rsidP="00A033C4" w14:paraId="66CDA3EB"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US205</w:t>
            </w:r>
          </w:p>
        </w:tc>
        <w:tc>
          <w:tcPr>
            <w:tcW w:w="2416" w:type="dxa"/>
            <w:gridSpan w:val="2"/>
            <w:tcBorders>
              <w:top w:val="nil"/>
              <w:left w:val="single" w:sz="4" w:space="0" w:color="auto"/>
              <w:bottom w:val="single" w:sz="4" w:space="0" w:color="auto"/>
              <w:right w:val="double" w:sz="6" w:space="0" w:color="000000"/>
            </w:tcBorders>
            <w:shd w:val="clear" w:color="auto" w:fill="auto"/>
            <w:noWrap/>
            <w:vAlign w:val="bottom"/>
          </w:tcPr>
          <w:p w:rsidR="00EB1E5F" w:rsidRPr="00F60707" w:rsidP="00A033C4" w14:paraId="7A1669DA"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US385</w:t>
            </w:r>
          </w:p>
        </w:tc>
        <w:tc>
          <w:tcPr>
            <w:tcW w:w="1368" w:type="dxa"/>
            <w:tcBorders>
              <w:left w:val="double" w:sz="6" w:space="0" w:color="000000"/>
              <w:bottom w:val="single" w:sz="4" w:space="0" w:color="auto"/>
            </w:tcBorders>
            <w:noWrap/>
            <w:vAlign w:val="center"/>
          </w:tcPr>
          <w:p w:rsidR="00EB1E5F" w:rsidRPr="00F60707" w:rsidP="00A033C4" w14:paraId="48E7B739" w14:textId="77777777">
            <w:pPr>
              <w:widowControl/>
              <w:tabs>
                <w:tab w:val="left" w:pos="2268"/>
              </w:tabs>
              <w:suppressAutoHyphens/>
              <w:rPr>
                <w:rFonts w:ascii="Arial Narrow" w:hAnsi="Arial Narrow"/>
                <w:kern w:val="0"/>
                <w:sz w:val="17"/>
                <w:szCs w:val="22"/>
              </w:rPr>
            </w:pPr>
          </w:p>
        </w:tc>
      </w:tr>
      <w:tr w14:paraId="6BA5577D" w14:textId="77777777" w:rsidTr="00A033C4">
        <w:tblPrEx>
          <w:tblW w:w="5000" w:type="pct"/>
          <w:tblLayout w:type="fixed"/>
          <w:tblCellMar>
            <w:left w:w="58" w:type="dxa"/>
            <w:right w:w="0" w:type="dxa"/>
          </w:tblCellMar>
          <w:tblLook w:val="0000"/>
        </w:tblPrEx>
        <w:trPr>
          <w:gridBefore w:val="1"/>
          <w:wBefore w:w="8" w:type="dxa"/>
          <w:trHeight w:val="777"/>
        </w:trPr>
        <w:tc>
          <w:tcPr>
            <w:tcW w:w="7570" w:type="dxa"/>
            <w:gridSpan w:val="7"/>
            <w:tcBorders>
              <w:top w:val="single" w:sz="4" w:space="0" w:color="auto"/>
              <w:left w:val="nil"/>
              <w:bottom w:val="single" w:sz="4" w:space="0" w:color="auto"/>
              <w:right w:val="nil"/>
            </w:tcBorders>
            <w:noWrap/>
          </w:tcPr>
          <w:p w:rsidR="00EB1E5F" w:rsidRPr="00F60707" w:rsidP="00A033C4" w14:paraId="76645F9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2690-2700</w:t>
            </w:r>
          </w:p>
          <w:p w:rsidR="00EB1E5F" w:rsidRPr="00F60707" w:rsidP="00A033C4" w14:paraId="03B3238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EARTH EXPLORATION-SATELLITE (passive)</w:t>
            </w:r>
          </w:p>
          <w:p w:rsidR="00EB1E5F" w:rsidRPr="00F60707" w:rsidP="00A033C4" w14:paraId="0A65E00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 ASTRONOMY</w:t>
            </w:r>
          </w:p>
          <w:p w:rsidR="00EB1E5F" w:rsidRPr="00F60707" w:rsidP="00A033C4" w14:paraId="014F85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SPACE RESEARCH (passive)</w:t>
            </w:r>
          </w:p>
          <w:p w:rsidR="00EB1E5F" w:rsidRPr="00F60707" w:rsidP="00A033C4" w14:paraId="62D05B8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6E5388B4"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5.340  5.422</w:t>
            </w:r>
          </w:p>
        </w:tc>
        <w:tc>
          <w:tcPr>
            <w:tcW w:w="4734" w:type="dxa"/>
            <w:gridSpan w:val="4"/>
            <w:tcBorders>
              <w:top w:val="single" w:sz="4" w:space="0" w:color="auto"/>
              <w:left w:val="double" w:sz="6" w:space="0" w:color="000000"/>
              <w:bottom w:val="single" w:sz="4" w:space="0" w:color="auto"/>
              <w:right w:val="nil"/>
            </w:tcBorders>
            <w:noWrap/>
          </w:tcPr>
          <w:p w:rsidR="00EB1E5F" w:rsidRPr="00F60707" w:rsidP="00A033C4" w14:paraId="15B05E1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2690-2700</w:t>
            </w:r>
          </w:p>
          <w:p w:rsidR="00EB1E5F" w:rsidRPr="00F60707" w:rsidP="00A033C4" w14:paraId="2A15BBF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EARTH EXPLORATION-SATELLITE (passive)</w:t>
            </w:r>
          </w:p>
          <w:p w:rsidR="00EB1E5F" w:rsidRPr="00F60707" w:rsidP="00A033C4" w14:paraId="1ED8F45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 ASTRONOMY  US74</w:t>
            </w:r>
          </w:p>
          <w:p w:rsidR="00EB1E5F" w:rsidRPr="00F60707" w:rsidP="00A033C4" w14:paraId="04232A0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SPACE RESEARCH (passive)</w:t>
            </w:r>
          </w:p>
          <w:p w:rsidR="00EB1E5F" w:rsidRPr="00F60707" w:rsidP="00A033C4" w14:paraId="5410997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1BDBA620"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US246</w:t>
            </w:r>
          </w:p>
        </w:tc>
        <w:tc>
          <w:tcPr>
            <w:tcW w:w="1368" w:type="dxa"/>
            <w:tcBorders>
              <w:top w:val="single" w:sz="4" w:space="0" w:color="auto"/>
              <w:left w:val="double" w:sz="6" w:space="0" w:color="000000"/>
              <w:bottom w:val="single" w:sz="4" w:space="0" w:color="auto"/>
              <w:right w:val="nil"/>
            </w:tcBorders>
            <w:noWrap/>
          </w:tcPr>
          <w:p w:rsidR="00EB1E5F" w:rsidRPr="00F60707" w:rsidP="00A033C4" w14:paraId="5480C8D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14:paraId="305F9258" w14:textId="77777777" w:rsidTr="00A033C4">
        <w:tblPrEx>
          <w:tblW w:w="5000" w:type="pct"/>
          <w:tblLayout w:type="fixed"/>
          <w:tblCellMar>
            <w:left w:w="58" w:type="dxa"/>
            <w:right w:w="0" w:type="dxa"/>
          </w:tblCellMar>
          <w:tblLook w:val="0000"/>
        </w:tblPrEx>
        <w:trPr>
          <w:gridBefore w:val="1"/>
          <w:wBefore w:w="8" w:type="dxa"/>
          <w:trHeight w:val="984"/>
        </w:trPr>
        <w:tc>
          <w:tcPr>
            <w:tcW w:w="7570" w:type="dxa"/>
            <w:gridSpan w:val="7"/>
            <w:tcBorders>
              <w:top w:val="single" w:sz="4" w:space="0" w:color="auto"/>
              <w:left w:val="nil"/>
              <w:bottom w:val="single" w:sz="4" w:space="0" w:color="auto"/>
              <w:right w:val="nil"/>
            </w:tcBorders>
            <w:noWrap/>
          </w:tcPr>
          <w:p w:rsidR="00EB1E5F" w:rsidRPr="00F60707" w:rsidP="00A033C4" w14:paraId="411A348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2700-2900</w:t>
            </w:r>
          </w:p>
          <w:p w:rsidR="00EB1E5F" w:rsidRPr="00F60707" w:rsidP="00A033C4" w14:paraId="255DB18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AERONAUTICAL RADIONAVIGATION  5.337</w:t>
            </w:r>
          </w:p>
          <w:p w:rsidR="00EB1E5F" w:rsidRPr="00F60707" w:rsidP="00A033C4" w14:paraId="167142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1220086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71EF66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084E85E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p>
          <w:p w:rsidR="00EB1E5F" w:rsidRPr="00F60707" w:rsidP="00A033C4" w14:paraId="47748760"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5.423  5.424</w:t>
            </w:r>
          </w:p>
        </w:tc>
        <w:tc>
          <w:tcPr>
            <w:tcW w:w="2318" w:type="dxa"/>
            <w:gridSpan w:val="2"/>
            <w:tcBorders>
              <w:top w:val="single" w:sz="4" w:space="0" w:color="auto"/>
              <w:left w:val="double" w:sz="6" w:space="0" w:color="000000"/>
              <w:bottom w:val="single" w:sz="4" w:space="0" w:color="auto"/>
              <w:right w:val="single" w:sz="4" w:space="0" w:color="auto"/>
            </w:tcBorders>
            <w:noWrap/>
          </w:tcPr>
          <w:p w:rsidR="00EB1E5F" w:rsidRPr="00F60707" w:rsidP="00A033C4" w14:paraId="5C7A432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2700-2900</w:t>
            </w:r>
          </w:p>
          <w:p w:rsidR="00EB1E5F" w:rsidRPr="00F60707" w:rsidP="00A033C4" w14:paraId="596EB10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METEOROLOGICAL AIDS</w:t>
            </w:r>
          </w:p>
          <w:p w:rsidR="00EB1E5F" w:rsidRPr="00F60707" w:rsidP="00A033C4" w14:paraId="068ABB3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AERONAUTICAL RADIONAVI-</w:t>
            </w:r>
          </w:p>
          <w:p w:rsidR="00EB1E5F" w:rsidRPr="00F60707" w:rsidP="00A033C4" w14:paraId="133D7DCF"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GATION  5.337  US18</w:t>
            </w:r>
          </w:p>
          <w:p w:rsidR="00EB1E5F" w:rsidRPr="00F60707" w:rsidP="00A033C4" w14:paraId="39102A9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G2</w:t>
            </w:r>
          </w:p>
          <w:p w:rsidR="00EB1E5F" w:rsidRPr="00F60707" w:rsidP="00A033C4" w14:paraId="3C3ECC2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5029EFB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5.423  G15</w:t>
            </w:r>
          </w:p>
        </w:tc>
        <w:tc>
          <w:tcPr>
            <w:tcW w:w="2416" w:type="dxa"/>
            <w:gridSpan w:val="2"/>
            <w:tcBorders>
              <w:top w:val="single" w:sz="4" w:space="0" w:color="auto"/>
              <w:left w:val="single" w:sz="4" w:space="0" w:color="auto"/>
              <w:bottom w:val="single" w:sz="4" w:space="0" w:color="auto"/>
              <w:right w:val="single" w:sz="6" w:space="0" w:color="FFFFFF"/>
            </w:tcBorders>
            <w:noWrap/>
          </w:tcPr>
          <w:p w:rsidR="00EB1E5F" w:rsidRPr="00F60707" w:rsidP="00A033C4" w14:paraId="73DD541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2700-2900</w:t>
            </w:r>
          </w:p>
          <w:p w:rsidR="00EB1E5F" w:rsidRPr="00F60707" w:rsidP="00A033C4" w14:paraId="0CF084D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0225482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6B4EF44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4EFD893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6F86739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p>
          <w:p w:rsidR="00EB1E5F" w:rsidRPr="00F60707" w:rsidP="00A033C4" w14:paraId="140CB1C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5.423  US18</w:t>
            </w:r>
          </w:p>
        </w:tc>
        <w:tc>
          <w:tcPr>
            <w:tcW w:w="1368" w:type="dxa"/>
            <w:tcBorders>
              <w:top w:val="single" w:sz="4" w:space="0" w:color="auto"/>
              <w:left w:val="double" w:sz="6" w:space="0" w:color="000000"/>
              <w:bottom w:val="single" w:sz="4" w:space="0" w:color="auto"/>
              <w:right w:val="nil"/>
            </w:tcBorders>
            <w:noWrap/>
          </w:tcPr>
          <w:p w:rsidR="00EB1E5F" w:rsidRPr="00F60707" w:rsidP="00A033C4" w14:paraId="460C33E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5D30B36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Aviation (87)</w:t>
            </w:r>
          </w:p>
        </w:tc>
      </w:tr>
      <w:tr w14:paraId="50435979" w14:textId="77777777" w:rsidTr="00A033C4">
        <w:tblPrEx>
          <w:tblW w:w="5000" w:type="pct"/>
          <w:tblLayout w:type="fixed"/>
          <w:tblCellMar>
            <w:left w:w="58" w:type="dxa"/>
            <w:right w:w="0" w:type="dxa"/>
          </w:tblCellMar>
          <w:tblLook w:val="0000"/>
        </w:tblPrEx>
        <w:trPr>
          <w:gridBefore w:val="1"/>
          <w:wBefore w:w="8" w:type="dxa"/>
        </w:trPr>
        <w:tc>
          <w:tcPr>
            <w:tcW w:w="7570" w:type="dxa"/>
            <w:gridSpan w:val="7"/>
            <w:tcBorders>
              <w:top w:val="single" w:sz="4" w:space="0" w:color="auto"/>
              <w:left w:val="nil"/>
              <w:bottom w:val="single" w:sz="4" w:space="0" w:color="auto"/>
              <w:right w:val="nil"/>
            </w:tcBorders>
            <w:noWrap/>
          </w:tcPr>
          <w:p w:rsidR="00EB1E5F" w:rsidRPr="00F60707" w:rsidP="00A033C4" w14:paraId="5D7E139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br w:type="page"/>
              <w:t>2900-3100</w:t>
            </w:r>
          </w:p>
          <w:p w:rsidR="00EB1E5F" w:rsidRPr="00F60707" w:rsidP="00A033C4" w14:paraId="48C21E4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RADIOLOCATION  5.424A</w:t>
            </w:r>
          </w:p>
          <w:p w:rsidR="00EB1E5F" w:rsidRPr="00F60707" w:rsidP="00A033C4" w14:paraId="5A0FAFB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RADIONAVIGATION  5.426</w:t>
            </w:r>
          </w:p>
          <w:p w:rsidR="00EB1E5F" w:rsidRPr="00F60707" w:rsidP="00A033C4" w14:paraId="26D5660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63B83D96"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5.425  5.427</w:t>
            </w:r>
          </w:p>
        </w:tc>
        <w:tc>
          <w:tcPr>
            <w:tcW w:w="2318" w:type="dxa"/>
            <w:gridSpan w:val="2"/>
            <w:tcBorders>
              <w:top w:val="single" w:sz="4" w:space="0" w:color="auto"/>
              <w:left w:val="double" w:sz="6" w:space="0" w:color="000000"/>
              <w:bottom w:val="single" w:sz="4" w:space="0" w:color="auto"/>
              <w:right w:val="single" w:sz="4" w:space="0" w:color="auto"/>
            </w:tcBorders>
            <w:noWrap/>
          </w:tcPr>
          <w:p w:rsidR="00EB1E5F" w:rsidRPr="00F60707" w:rsidP="00A033C4" w14:paraId="2E1F86EC"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2900-3100</w:t>
            </w:r>
          </w:p>
          <w:p w:rsidR="00EB1E5F" w:rsidRPr="00F60707" w:rsidP="00A033C4" w14:paraId="0A87E700"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5.424A  G56</w:t>
            </w:r>
          </w:p>
          <w:p w:rsidR="00EB1E5F" w:rsidRPr="00F60707" w:rsidP="00A033C4" w14:paraId="1AB5A79F" w14:textId="77777777">
            <w:pPr>
              <w:widowControl/>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MARITIME RADIONAVIGATION</w:t>
            </w:r>
          </w:p>
          <w:p w:rsidR="00EB1E5F" w:rsidRPr="00F60707" w:rsidP="00A033C4" w14:paraId="45EC30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11028354"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5.427  US44  US316</w:t>
            </w:r>
          </w:p>
        </w:tc>
        <w:tc>
          <w:tcPr>
            <w:tcW w:w="2416" w:type="dxa"/>
            <w:gridSpan w:val="2"/>
            <w:tcBorders>
              <w:top w:val="single" w:sz="4" w:space="0" w:color="auto"/>
              <w:left w:val="single" w:sz="4" w:space="0" w:color="auto"/>
              <w:bottom w:val="single" w:sz="4" w:space="0" w:color="auto"/>
              <w:right w:val="single" w:sz="6" w:space="0" w:color="FFFFFF"/>
            </w:tcBorders>
            <w:noWrap/>
          </w:tcPr>
          <w:p w:rsidR="00EB1E5F" w:rsidRPr="00F60707" w:rsidP="00A033C4" w14:paraId="2874DCB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2900-3100</w:t>
            </w:r>
          </w:p>
          <w:p w:rsidR="00EB1E5F" w:rsidRPr="00F60707" w:rsidP="00A033C4" w14:paraId="2644695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MARITIME RADIONAVIGATION</w:t>
            </w:r>
          </w:p>
          <w:p w:rsidR="00EB1E5F" w:rsidRPr="00F60707" w:rsidP="00A033C4" w14:paraId="2989268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US44</w:t>
            </w:r>
          </w:p>
          <w:p w:rsidR="00EB1E5F" w:rsidRPr="00F60707" w:rsidP="00A033C4" w14:paraId="0D98350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23363C09"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5.427  US316</w:t>
            </w:r>
          </w:p>
        </w:tc>
        <w:tc>
          <w:tcPr>
            <w:tcW w:w="1368" w:type="dxa"/>
            <w:tcBorders>
              <w:top w:val="single" w:sz="4" w:space="0" w:color="auto"/>
              <w:left w:val="double" w:sz="6" w:space="0" w:color="000000"/>
              <w:bottom w:val="single" w:sz="4" w:space="0" w:color="auto"/>
              <w:right w:val="nil"/>
            </w:tcBorders>
            <w:noWrap/>
          </w:tcPr>
          <w:p w:rsidR="00EB1E5F" w:rsidRPr="00F60707" w:rsidP="00A033C4" w14:paraId="72A9E27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7A62983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Maritime (80)</w:t>
            </w:r>
          </w:p>
          <w:p w:rsidR="00EB1E5F" w:rsidRPr="00F60707" w:rsidP="00A033C4" w14:paraId="337783A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Private Land Mobile</w:t>
            </w:r>
          </w:p>
          <w:p w:rsidR="00EB1E5F" w:rsidRPr="00F60707" w:rsidP="00A033C4" w14:paraId="0B0169C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(90)</w:t>
            </w:r>
          </w:p>
        </w:tc>
      </w:tr>
      <w:tr w14:paraId="4DC99319" w14:textId="77777777" w:rsidTr="00A033C4">
        <w:tblPrEx>
          <w:tblW w:w="5000" w:type="pct"/>
          <w:tblLayout w:type="fixed"/>
          <w:tblCellMar>
            <w:left w:w="58" w:type="dxa"/>
            <w:right w:w="0" w:type="dxa"/>
          </w:tblCellMar>
          <w:tblLook w:val="0000"/>
        </w:tblPrEx>
        <w:trPr>
          <w:gridBefore w:val="1"/>
          <w:wBefore w:w="8" w:type="dxa"/>
        </w:trPr>
        <w:tc>
          <w:tcPr>
            <w:tcW w:w="7570" w:type="dxa"/>
            <w:gridSpan w:val="7"/>
            <w:tcBorders>
              <w:top w:val="single" w:sz="4" w:space="0" w:color="auto"/>
              <w:left w:val="nil"/>
              <w:right w:val="nil"/>
            </w:tcBorders>
            <w:noWrap/>
          </w:tcPr>
          <w:p w:rsidR="00EB1E5F" w:rsidRPr="00F60707" w:rsidP="00A033C4" w14:paraId="42CC458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3100-3300</w:t>
            </w:r>
          </w:p>
          <w:p w:rsidR="00EB1E5F" w:rsidRPr="00F60707" w:rsidP="00A033C4" w14:paraId="3195472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46D88D7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Earth exploration-satellite (active)</w:t>
            </w:r>
          </w:p>
          <w:p w:rsidR="00EB1E5F" w:rsidRPr="00F60707" w:rsidP="00A033C4" w14:paraId="7CB7312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Space research (active)</w:t>
            </w:r>
          </w:p>
          <w:p w:rsidR="00EB1E5F" w:rsidRPr="00F60707" w:rsidP="00A033C4" w14:paraId="1AE627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p>
          <w:p w:rsidR="00EB1E5F" w:rsidRPr="00F60707" w:rsidP="00A033C4" w14:paraId="0A955DFA"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5.149  5.428</w:t>
            </w:r>
          </w:p>
        </w:tc>
        <w:tc>
          <w:tcPr>
            <w:tcW w:w="2318" w:type="dxa"/>
            <w:gridSpan w:val="2"/>
            <w:tcBorders>
              <w:top w:val="single" w:sz="4" w:space="0" w:color="auto"/>
              <w:left w:val="double" w:sz="6" w:space="0" w:color="000000"/>
              <w:right w:val="single" w:sz="4" w:space="0" w:color="auto"/>
            </w:tcBorders>
            <w:noWrap/>
          </w:tcPr>
          <w:p w:rsidR="00EB1E5F" w:rsidRPr="00F60707" w:rsidP="00A033C4" w14:paraId="1F42F4DF"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3100-3300</w:t>
            </w:r>
          </w:p>
          <w:p w:rsidR="00EB1E5F" w:rsidRPr="00F60707" w:rsidP="00A033C4" w14:paraId="66B8D990"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G59</w:t>
            </w:r>
          </w:p>
          <w:p w:rsidR="00EB1E5F" w:rsidRPr="00F60707" w:rsidP="00A033C4" w14:paraId="5C7F5F4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Earth exploration-satellite (active)</w:t>
            </w:r>
          </w:p>
          <w:p w:rsidR="00EB1E5F" w:rsidRPr="00F60707" w:rsidP="00A033C4" w14:paraId="1D75F05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Space research (active)</w:t>
            </w:r>
          </w:p>
          <w:p w:rsidR="00EB1E5F" w:rsidRPr="00F60707" w:rsidP="00A033C4" w14:paraId="50922E7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130E7F67"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US342</w:t>
            </w:r>
          </w:p>
        </w:tc>
        <w:tc>
          <w:tcPr>
            <w:tcW w:w="2416" w:type="dxa"/>
            <w:gridSpan w:val="2"/>
            <w:tcBorders>
              <w:top w:val="single" w:sz="4" w:space="0" w:color="auto"/>
              <w:left w:val="single" w:sz="4" w:space="0" w:color="auto"/>
              <w:right w:val="single" w:sz="6" w:space="0" w:color="FFFFFF"/>
            </w:tcBorders>
            <w:noWrap/>
          </w:tcPr>
          <w:p w:rsidR="00EB1E5F" w:rsidRPr="00F60707" w:rsidP="00A033C4" w14:paraId="2E3A4DE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3100-3300</w:t>
            </w:r>
          </w:p>
          <w:p w:rsidR="00EB1E5F" w:rsidRPr="00F60707" w:rsidP="00A033C4" w14:paraId="0DCBC60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Earth exploration-satellite (active)</w:t>
            </w:r>
          </w:p>
          <w:p w:rsidR="00EB1E5F" w:rsidRPr="00F60707" w:rsidP="00A033C4" w14:paraId="5D78C0F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Space research (active)</w:t>
            </w:r>
          </w:p>
          <w:p w:rsidR="00EB1E5F" w:rsidRPr="00F60707" w:rsidP="00A033C4" w14:paraId="7C9006C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3C60862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5E06CD25"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US342</w:t>
            </w:r>
          </w:p>
        </w:tc>
        <w:tc>
          <w:tcPr>
            <w:tcW w:w="1368" w:type="dxa"/>
            <w:tcBorders>
              <w:top w:val="single" w:sz="4" w:space="0" w:color="auto"/>
              <w:left w:val="double" w:sz="6" w:space="0" w:color="000000"/>
              <w:right w:val="nil"/>
            </w:tcBorders>
            <w:noWrap/>
          </w:tcPr>
          <w:p w:rsidR="00EB1E5F" w:rsidRPr="00F60707" w:rsidP="00A033C4" w14:paraId="45F8FBE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7BE3AEB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Private Land Mobile</w:t>
            </w:r>
          </w:p>
          <w:p w:rsidR="00EB1E5F" w:rsidRPr="00F60707" w:rsidP="00A033C4" w14:paraId="68B39E3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(90)</w:t>
            </w:r>
          </w:p>
        </w:tc>
      </w:tr>
      <w:tr w14:paraId="1C05A8A6" w14:textId="77777777" w:rsidTr="00A033C4">
        <w:tblPrEx>
          <w:tblW w:w="5000" w:type="pct"/>
          <w:tblLayout w:type="fixed"/>
          <w:tblCellMar>
            <w:left w:w="58" w:type="dxa"/>
            <w:right w:w="0" w:type="dxa"/>
          </w:tblCellMar>
          <w:tblLook w:val="0000"/>
        </w:tblPrEx>
        <w:trPr>
          <w:trHeight w:val="1047"/>
        </w:trPr>
        <w:tc>
          <w:tcPr>
            <w:tcW w:w="2014" w:type="dxa"/>
            <w:gridSpan w:val="3"/>
            <w:tcBorders>
              <w:top w:val="single" w:sz="4" w:space="0" w:color="auto"/>
              <w:left w:val="nil"/>
              <w:bottom w:val="single" w:sz="4" w:space="0" w:color="auto"/>
              <w:right w:val="single" w:sz="4" w:space="0" w:color="auto"/>
            </w:tcBorders>
            <w:noWrap/>
          </w:tcPr>
          <w:p w:rsidR="00EB1E5F" w:rsidRPr="00F60707" w:rsidP="00A033C4" w14:paraId="491D0E3B"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3300-3400</w:t>
            </w:r>
          </w:p>
          <w:p w:rsidR="00EB1E5F" w:rsidRPr="00F60707" w:rsidP="00A033C4" w14:paraId="7AB7D9B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7A27BA4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EB1E5F" w:rsidRPr="00F60707" w:rsidP="00A033C4" w14:paraId="612271F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EB1E5F" w:rsidRPr="00F60707" w:rsidP="00A033C4" w14:paraId="0179E1E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p>
          <w:p w:rsidR="00EB1E5F" w:rsidRPr="00F60707" w:rsidP="00A033C4" w14:paraId="3BDCFD7E"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5.149  5.429  5.429A  5.429B</w:t>
            </w:r>
          </w:p>
          <w:p w:rsidR="00EB1E5F" w:rsidRPr="00F60707" w:rsidP="00A033C4" w14:paraId="27F58DB0" w14:textId="77777777">
            <w:pPr>
              <w:widowControl/>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5.430</w:t>
            </w:r>
          </w:p>
        </w:tc>
        <w:tc>
          <w:tcPr>
            <w:tcW w:w="2659" w:type="dxa"/>
            <w:gridSpan w:val="2"/>
            <w:tcBorders>
              <w:top w:val="single" w:sz="4" w:space="0" w:color="auto"/>
              <w:left w:val="single" w:sz="4" w:space="0" w:color="auto"/>
              <w:bottom w:val="single" w:sz="4" w:space="0" w:color="auto"/>
              <w:right w:val="single" w:sz="4" w:space="0" w:color="auto"/>
            </w:tcBorders>
            <w:noWrap/>
          </w:tcPr>
          <w:p w:rsidR="00EB1E5F" w:rsidRPr="00F60707" w:rsidP="00A033C4" w14:paraId="12495FB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3300-3400</w:t>
            </w:r>
          </w:p>
          <w:p w:rsidR="00EB1E5F" w:rsidRPr="00F60707" w:rsidP="00A033C4" w14:paraId="23EAEED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06D885E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Amateur</w:t>
            </w:r>
          </w:p>
          <w:p w:rsidR="00EB1E5F" w:rsidRPr="00F60707" w:rsidP="00A033C4" w14:paraId="3B955DF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w:t>
            </w:r>
          </w:p>
          <w:p w:rsidR="00EB1E5F" w:rsidRPr="00F60707" w:rsidP="00A033C4" w14:paraId="6C43646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w:t>
            </w:r>
          </w:p>
          <w:p w:rsidR="00EB1E5F" w:rsidRPr="00F60707" w:rsidP="00A033C4" w14:paraId="7070F8F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390D4673"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5.149  5.429C  5.429D</w:t>
            </w:r>
          </w:p>
        </w:tc>
        <w:tc>
          <w:tcPr>
            <w:tcW w:w="2905" w:type="dxa"/>
            <w:gridSpan w:val="3"/>
            <w:tcBorders>
              <w:top w:val="single" w:sz="4" w:space="0" w:color="auto"/>
              <w:left w:val="single" w:sz="4" w:space="0" w:color="auto"/>
              <w:bottom w:val="single" w:sz="4" w:space="0" w:color="auto"/>
              <w:right w:val="single" w:sz="6" w:space="0" w:color="FFFFFF"/>
            </w:tcBorders>
            <w:noWrap/>
          </w:tcPr>
          <w:p w:rsidR="00EB1E5F" w:rsidRPr="00F60707" w:rsidP="00A033C4" w14:paraId="4D546E5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3300-3400</w:t>
            </w:r>
          </w:p>
          <w:p w:rsidR="00EB1E5F" w:rsidRPr="00F60707" w:rsidP="00A033C4" w14:paraId="3B19BAC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w:t>
            </w:r>
          </w:p>
          <w:p w:rsidR="00EB1E5F" w:rsidRPr="00F60707" w:rsidP="00A033C4" w14:paraId="652010F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Amateur</w:t>
            </w:r>
          </w:p>
          <w:p w:rsidR="00EB1E5F" w:rsidRPr="00F60707" w:rsidP="00A033C4" w14:paraId="1A38441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7B9967E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47339CD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221516F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5.149  5.429  5.429E  5.429F</w:t>
            </w:r>
          </w:p>
        </w:tc>
        <w:tc>
          <w:tcPr>
            <w:tcW w:w="2318" w:type="dxa"/>
            <w:gridSpan w:val="2"/>
            <w:tcBorders>
              <w:top w:val="single" w:sz="4" w:space="0" w:color="auto"/>
              <w:left w:val="double" w:sz="6" w:space="0" w:color="000000"/>
              <w:right w:val="single" w:sz="4" w:space="0" w:color="auto"/>
            </w:tcBorders>
            <w:noWrap/>
          </w:tcPr>
          <w:p w:rsidR="00EB1E5F" w:rsidRPr="00F60707" w:rsidP="00A033C4" w14:paraId="1E1EA4F3" w14:textId="77777777">
            <w:pPr>
              <w:widowControl/>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3300-3500</w:t>
            </w:r>
          </w:p>
          <w:p w:rsidR="00EB1E5F" w:rsidRPr="00F60707" w:rsidP="00A033C4" w14:paraId="18AABFF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 xml:space="preserve">RADIOLOCATION  </w:t>
            </w:r>
          </w:p>
        </w:tc>
        <w:tc>
          <w:tcPr>
            <w:tcW w:w="2416" w:type="dxa"/>
            <w:gridSpan w:val="2"/>
            <w:tcBorders>
              <w:top w:val="single" w:sz="4" w:space="0" w:color="auto"/>
              <w:left w:val="single" w:sz="4" w:space="0" w:color="auto"/>
              <w:right w:val="double" w:sz="6" w:space="0" w:color="000000"/>
            </w:tcBorders>
            <w:noWrap/>
          </w:tcPr>
          <w:p w:rsidR="00EB1E5F" w:rsidRPr="00F60707" w:rsidP="00A033C4" w14:paraId="6994323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3300-3500</w:t>
            </w:r>
          </w:p>
          <w:p w:rsidR="00EB1E5F" w:rsidRPr="00F60707" w:rsidP="00A033C4" w14:paraId="755731A2"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c>
          <w:tcPr>
            <w:tcW w:w="1368" w:type="dxa"/>
            <w:vMerge w:val="restart"/>
            <w:tcBorders>
              <w:top w:val="single" w:sz="4" w:space="0" w:color="auto"/>
              <w:left w:val="double" w:sz="6" w:space="0" w:color="000000"/>
              <w:right w:val="nil"/>
            </w:tcBorders>
            <w:noWrap/>
          </w:tcPr>
          <w:p w:rsidR="00EB1E5F" w:rsidRPr="00F60707" w:rsidP="00A033C4" w14:paraId="2D1802E6"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0D33EC87"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tc>
      </w:tr>
      <w:tr w14:paraId="6D4AE69A" w14:textId="77777777" w:rsidTr="00A033C4">
        <w:tblPrEx>
          <w:tblW w:w="5000" w:type="pct"/>
          <w:tblLayout w:type="fixed"/>
          <w:tblCellMar>
            <w:left w:w="58" w:type="dxa"/>
            <w:right w:w="0" w:type="dxa"/>
          </w:tblCellMar>
          <w:tblLook w:val="0000"/>
        </w:tblPrEx>
        <w:tc>
          <w:tcPr>
            <w:tcW w:w="2014" w:type="dxa"/>
            <w:gridSpan w:val="3"/>
            <w:tcBorders>
              <w:top w:val="single" w:sz="4" w:space="0" w:color="auto"/>
              <w:left w:val="nil"/>
              <w:right w:val="single" w:sz="4" w:space="0" w:color="auto"/>
            </w:tcBorders>
            <w:noWrap/>
          </w:tcPr>
          <w:p w:rsidR="00EB1E5F" w:rsidRPr="00F60707" w:rsidP="00A033C4" w14:paraId="2023A53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3400-3600</w:t>
            </w:r>
          </w:p>
          <w:p w:rsidR="00EB1E5F" w:rsidRPr="00F60707" w:rsidP="00A033C4" w14:paraId="1286490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FIXED</w:t>
            </w:r>
          </w:p>
          <w:p w:rsidR="00EB1E5F" w:rsidRPr="00F60707" w:rsidP="00A033C4" w14:paraId="44ACA32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FIXED-SATELLITE</w:t>
            </w:r>
          </w:p>
          <w:p w:rsidR="00EB1E5F" w:rsidRPr="00F60707" w:rsidP="00A033C4" w14:paraId="2DFB000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 xml:space="preserve">   (space-to-Earth)</w:t>
            </w:r>
          </w:p>
          <w:p w:rsidR="00EB1E5F" w:rsidRPr="00F60707" w:rsidP="00A033C4" w14:paraId="113DF57A"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kern w:val="0"/>
                <w:sz w:val="17"/>
                <w:szCs w:val="22"/>
              </w:rPr>
            </w:pPr>
            <w:r w:rsidRPr="00F60707">
              <w:rPr>
                <w:rFonts w:ascii="Arial Narrow" w:hAnsi="Arial Narrow"/>
                <w:kern w:val="0"/>
                <w:sz w:val="17"/>
                <w:szCs w:val="22"/>
              </w:rPr>
              <w:t>MOBILE except aeronautical</w:t>
            </w:r>
          </w:p>
          <w:p w:rsidR="00EB1E5F" w:rsidRPr="00F60707" w:rsidP="00A033C4" w14:paraId="10FEFB60"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 xml:space="preserve">   mobile  5.430A</w:t>
            </w:r>
          </w:p>
          <w:p w:rsidR="00EB1E5F" w:rsidRPr="00F60707" w:rsidP="00A033C4" w14:paraId="20FE523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kern w:val="0"/>
                <w:sz w:val="17"/>
                <w:szCs w:val="22"/>
              </w:rPr>
            </w:pPr>
            <w:r w:rsidRPr="00F60707">
              <w:rPr>
                <w:rFonts w:ascii="Arial Narrow" w:hAnsi="Arial Narrow"/>
                <w:kern w:val="0"/>
                <w:sz w:val="17"/>
                <w:szCs w:val="22"/>
              </w:rPr>
              <w:t>Radiolocation</w:t>
            </w:r>
          </w:p>
        </w:tc>
        <w:tc>
          <w:tcPr>
            <w:tcW w:w="2659" w:type="dxa"/>
            <w:gridSpan w:val="2"/>
            <w:tcBorders>
              <w:top w:val="single" w:sz="4" w:space="0" w:color="auto"/>
              <w:left w:val="single" w:sz="4" w:space="0" w:color="auto"/>
              <w:bottom w:val="single" w:sz="4" w:space="0" w:color="auto"/>
              <w:right w:val="single" w:sz="4" w:space="0" w:color="auto"/>
            </w:tcBorders>
            <w:noWrap/>
          </w:tcPr>
          <w:p w:rsidR="00EB1E5F" w:rsidRPr="00F60707" w:rsidP="00A033C4" w14:paraId="57A5C91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3400-3500</w:t>
            </w:r>
          </w:p>
          <w:p w:rsidR="00EB1E5F" w:rsidRPr="00F60707" w:rsidP="00A033C4" w14:paraId="0E2197B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w:t>
            </w:r>
          </w:p>
          <w:p w:rsidR="00EB1E5F" w:rsidRPr="00F60707" w:rsidP="00A033C4" w14:paraId="39C6C93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FIXED-SATELLITE (space-to-Earth)</w:t>
            </w:r>
          </w:p>
          <w:p w:rsidR="00EB1E5F" w:rsidRPr="00F60707" w:rsidP="00A033C4" w14:paraId="1A22D6A5"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 except aeronautical mobile</w:t>
            </w:r>
          </w:p>
          <w:p w:rsidR="00EB1E5F" w:rsidRPr="00F60707" w:rsidP="00A033C4" w14:paraId="4591353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kern w:val="0"/>
                <w:sz w:val="17"/>
                <w:szCs w:val="22"/>
              </w:rPr>
            </w:pPr>
            <w:r w:rsidRPr="00F60707">
              <w:rPr>
                <w:rFonts w:ascii="Arial Narrow" w:hAnsi="Arial Narrow"/>
                <w:kern w:val="0"/>
                <w:sz w:val="17"/>
                <w:szCs w:val="22"/>
              </w:rPr>
              <w:t xml:space="preserve">   5.431A  5.431B</w:t>
            </w:r>
          </w:p>
          <w:p w:rsidR="00EB1E5F" w:rsidRPr="00F60707" w:rsidP="00A033C4" w14:paraId="6EB4089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Amateur</w:t>
            </w:r>
          </w:p>
          <w:p w:rsidR="00EB1E5F" w:rsidRPr="00F60707" w:rsidP="00A033C4" w14:paraId="0BBAD29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5.433</w:t>
            </w:r>
          </w:p>
          <w:p w:rsidR="00EB1E5F" w:rsidRPr="00F60707" w:rsidP="00A033C4" w14:paraId="192CB74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EB1E5F" w:rsidRPr="00F60707" w:rsidP="00A033C4" w14:paraId="637F036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EB1E5F" w:rsidRPr="00F60707" w:rsidP="00A033C4" w14:paraId="1AB1F7CF"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kern w:val="0"/>
                <w:sz w:val="17"/>
                <w:szCs w:val="22"/>
              </w:rPr>
            </w:pPr>
          </w:p>
          <w:p w:rsidR="00EB1E5F" w:rsidRPr="00F60707" w:rsidP="00A033C4" w14:paraId="387C89EE"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5.282</w:t>
            </w:r>
          </w:p>
        </w:tc>
        <w:tc>
          <w:tcPr>
            <w:tcW w:w="2905" w:type="dxa"/>
            <w:gridSpan w:val="3"/>
            <w:tcBorders>
              <w:top w:val="single" w:sz="4" w:space="0" w:color="auto"/>
              <w:left w:val="single" w:sz="4" w:space="0" w:color="auto"/>
              <w:bottom w:val="single" w:sz="4" w:space="0" w:color="auto"/>
              <w:right w:val="single" w:sz="6" w:space="0" w:color="FFFFFF"/>
            </w:tcBorders>
            <w:noWrap/>
          </w:tcPr>
          <w:p w:rsidR="00EB1E5F" w:rsidRPr="00F60707" w:rsidP="00A033C4" w14:paraId="1CC43F1D"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3400-3500</w:t>
            </w:r>
          </w:p>
          <w:p w:rsidR="00EB1E5F" w:rsidRPr="00F60707" w:rsidP="00A033C4" w14:paraId="2FB5F23C"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w:t>
            </w:r>
          </w:p>
          <w:p w:rsidR="00EB1E5F" w:rsidRPr="00F60707" w:rsidP="00A033C4" w14:paraId="721AB23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FIXED-SATELLITE (space-to-Earth)</w:t>
            </w:r>
          </w:p>
          <w:p w:rsidR="00EB1E5F" w:rsidRPr="00F60707" w:rsidP="00A033C4" w14:paraId="05333688"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Amateur</w:t>
            </w:r>
          </w:p>
          <w:p w:rsidR="00EB1E5F" w:rsidRPr="00F60707" w:rsidP="00A033C4" w14:paraId="18BFB761"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Mobile  5.432  5.432B</w:t>
            </w:r>
          </w:p>
          <w:p w:rsidR="00EB1E5F" w:rsidRPr="00F60707" w:rsidP="00A033C4" w14:paraId="0DEAD20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r w:rsidRPr="00F60707">
              <w:rPr>
                <w:rFonts w:ascii="Arial Narrow" w:hAnsi="Arial Narrow"/>
                <w:kern w:val="0"/>
                <w:sz w:val="17"/>
                <w:szCs w:val="22"/>
              </w:rPr>
              <w:t>Radiolocation  5.433</w:t>
            </w:r>
          </w:p>
          <w:p w:rsidR="00EB1E5F" w:rsidRPr="00F60707" w:rsidP="00A033C4" w14:paraId="0487ABC3"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63D5162E"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kern w:val="0"/>
                <w:sz w:val="17"/>
                <w:szCs w:val="22"/>
              </w:rPr>
            </w:pPr>
          </w:p>
          <w:p w:rsidR="00EB1E5F" w:rsidRPr="00F60707" w:rsidP="00A033C4" w14:paraId="00C0C159"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84" w:lineRule="auto"/>
              <w:rPr>
                <w:rFonts w:ascii="Arial Narrow" w:hAnsi="Arial Narrow"/>
                <w:kern w:val="0"/>
                <w:sz w:val="17"/>
                <w:szCs w:val="22"/>
              </w:rPr>
            </w:pPr>
          </w:p>
          <w:p w:rsidR="00EB1E5F" w:rsidRPr="00F60707" w:rsidP="00A033C4" w14:paraId="7DC6369D"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5.282  5.432A</w:t>
            </w:r>
          </w:p>
        </w:tc>
        <w:tc>
          <w:tcPr>
            <w:tcW w:w="2318" w:type="dxa"/>
            <w:gridSpan w:val="2"/>
            <w:tcBorders>
              <w:left w:val="double" w:sz="6" w:space="0" w:color="000000"/>
              <w:bottom w:val="single" w:sz="4" w:space="0" w:color="auto"/>
              <w:right w:val="single" w:sz="4" w:space="0" w:color="auto"/>
            </w:tcBorders>
            <w:noWrap/>
            <w:vAlign w:val="bottom"/>
          </w:tcPr>
          <w:p w:rsidR="00EB1E5F" w:rsidRPr="00F60707" w:rsidP="00A033C4" w14:paraId="382A2996"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F60707">
              <w:rPr>
                <w:rFonts w:ascii="Arial Narrow" w:hAnsi="Arial Narrow"/>
                <w:kern w:val="0"/>
                <w:sz w:val="17"/>
                <w:szCs w:val="22"/>
              </w:rPr>
              <w:t>US342</w:t>
            </w:r>
          </w:p>
        </w:tc>
        <w:tc>
          <w:tcPr>
            <w:tcW w:w="2416" w:type="dxa"/>
            <w:gridSpan w:val="2"/>
            <w:tcBorders>
              <w:left w:val="single" w:sz="4" w:space="0" w:color="auto"/>
              <w:bottom w:val="single" w:sz="4" w:space="0" w:color="auto"/>
              <w:right w:val="double" w:sz="6" w:space="0" w:color="000000"/>
            </w:tcBorders>
            <w:noWrap/>
            <w:vAlign w:val="bottom"/>
          </w:tcPr>
          <w:p w:rsidR="00EB1E5F" w:rsidRPr="00F60707" w:rsidP="00A033C4" w14:paraId="448A2AF2" w14:textId="77777777">
            <w:pPr>
              <w:widowControl/>
              <w:tabs>
                <w:tab w:val="left" w:pos="0"/>
                <w:tab w:val="left" w:pos="336"/>
                <w:tab w:val="left" w:pos="1908"/>
                <w:tab w:val="left" w:pos="2880"/>
                <w:tab w:val="left" w:pos="3600"/>
                <w:tab w:val="left" w:pos="4320"/>
                <w:tab w:val="left" w:pos="5040"/>
              </w:tabs>
              <w:suppressAutoHyphens/>
              <w:spacing w:line="204" w:lineRule="auto"/>
              <w:rPr>
                <w:rFonts w:ascii="Arial Narrow" w:hAnsi="Arial Narrow"/>
                <w:kern w:val="0"/>
                <w:sz w:val="17"/>
                <w:szCs w:val="22"/>
              </w:rPr>
            </w:pPr>
            <w:r w:rsidRPr="00AE4184">
              <w:rPr>
                <w:rFonts w:ascii="Arial Narrow" w:hAnsi="Arial Narrow"/>
                <w:kern w:val="0"/>
                <w:sz w:val="17"/>
                <w:szCs w:val="17"/>
              </w:rPr>
              <w:t>US342</w:t>
            </w:r>
          </w:p>
        </w:tc>
        <w:tc>
          <w:tcPr>
            <w:tcW w:w="1368" w:type="dxa"/>
            <w:vMerge/>
            <w:tcBorders>
              <w:left w:val="double" w:sz="6" w:space="0" w:color="000000"/>
              <w:bottom w:val="single" w:sz="4" w:space="0" w:color="auto"/>
              <w:right w:val="nil"/>
            </w:tcBorders>
            <w:noWrap/>
            <w:vAlign w:val="center"/>
          </w:tcPr>
          <w:p w:rsidR="00EB1E5F" w:rsidRPr="00F60707" w:rsidP="00A033C4" w14:paraId="039E5C63" w14:textId="77777777">
            <w:pPr>
              <w:widowControl/>
              <w:tabs>
                <w:tab w:val="left" w:pos="2268"/>
              </w:tabs>
              <w:suppressAutoHyphens/>
              <w:rPr>
                <w:rFonts w:ascii="Arial Narrow" w:hAnsi="Arial Narrow"/>
                <w:kern w:val="0"/>
                <w:sz w:val="17"/>
                <w:szCs w:val="22"/>
              </w:rPr>
            </w:pPr>
          </w:p>
        </w:tc>
      </w:tr>
      <w:tr w14:paraId="138146BD" w14:textId="77777777" w:rsidTr="00A033C4">
        <w:tblPrEx>
          <w:tblW w:w="5000" w:type="pct"/>
          <w:tblLayout w:type="fixed"/>
          <w:tblCellMar>
            <w:left w:w="58" w:type="dxa"/>
            <w:right w:w="0" w:type="dxa"/>
          </w:tblCellMar>
          <w:tblLook w:val="0000"/>
        </w:tblPrEx>
        <w:tc>
          <w:tcPr>
            <w:tcW w:w="2014" w:type="dxa"/>
            <w:gridSpan w:val="3"/>
            <w:tcBorders>
              <w:left w:val="nil"/>
              <w:bottom w:val="single" w:sz="4" w:space="0" w:color="auto"/>
              <w:right w:val="single" w:sz="6" w:space="0" w:color="auto"/>
            </w:tcBorders>
            <w:noWrap/>
            <w:vAlign w:val="bottom"/>
          </w:tcPr>
          <w:p w:rsidR="00EB1E5F" w:rsidRPr="00F60707" w:rsidP="00A033C4" w14:paraId="6D7D9B54" w14:textId="77777777">
            <w:pPr>
              <w:widowControl/>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kern w:val="0"/>
                <w:sz w:val="17"/>
                <w:szCs w:val="22"/>
              </w:rPr>
            </w:pPr>
            <w:r w:rsidRPr="00F60707">
              <w:rPr>
                <w:rFonts w:ascii="Arial Narrow" w:hAnsi="Arial Narrow"/>
                <w:kern w:val="0"/>
                <w:sz w:val="17"/>
                <w:szCs w:val="22"/>
              </w:rPr>
              <w:t>5.431</w:t>
            </w:r>
          </w:p>
        </w:tc>
        <w:tc>
          <w:tcPr>
            <w:tcW w:w="11666" w:type="dxa"/>
            <w:gridSpan w:val="10"/>
            <w:tcBorders>
              <w:top w:val="single" w:sz="4" w:space="0" w:color="auto"/>
              <w:left w:val="single" w:sz="6" w:space="0" w:color="auto"/>
            </w:tcBorders>
            <w:noWrap/>
          </w:tcPr>
          <w:p w:rsidR="00EB1E5F" w:rsidRPr="00F60707" w:rsidP="00A033C4" w14:paraId="06BCC940" w14:textId="77777777">
            <w:pPr>
              <w:widowControl/>
              <w:tabs>
                <w:tab w:val="left" w:pos="2268"/>
              </w:tabs>
              <w:suppressAutoHyphens/>
              <w:spacing w:before="20"/>
              <w:ind w:right="27"/>
              <w:jc w:val="right"/>
              <w:rPr>
                <w:rFonts w:ascii="Arial Narrow" w:hAnsi="Arial Narrow"/>
                <w:kern w:val="0"/>
                <w:sz w:val="17"/>
                <w:szCs w:val="22"/>
              </w:rPr>
            </w:pPr>
            <w:r w:rsidRPr="00F60707">
              <w:rPr>
                <w:rFonts w:ascii="Arial Narrow" w:hAnsi="Arial Narrow"/>
                <w:kern w:val="0"/>
                <w:sz w:val="17"/>
                <w:szCs w:val="22"/>
              </w:rPr>
              <w:t xml:space="preserve">Page 40 </w:t>
            </w:r>
          </w:p>
        </w:tc>
      </w:tr>
      <w:tr w14:paraId="208581E7" w14:textId="77777777" w:rsidTr="00A033C4">
        <w:tblPrEx>
          <w:tblW w:w="5000" w:type="pct"/>
          <w:tblLayout w:type="fixed"/>
          <w:tblCellMar>
            <w:left w:w="58" w:type="dxa"/>
            <w:right w:w="0" w:type="dxa"/>
          </w:tblCellMar>
          <w:tblLook w:val="0000"/>
        </w:tblPrEx>
        <w:tc>
          <w:tcPr>
            <w:tcW w:w="12067" w:type="dxa"/>
            <w:gridSpan w:val="11"/>
            <w:tcBorders>
              <w:top w:val="single" w:sz="4" w:space="0" w:color="auto"/>
              <w:left w:val="nil"/>
              <w:bottom w:val="single" w:sz="4" w:space="0" w:color="auto"/>
              <w:right w:val="nil"/>
            </w:tcBorders>
            <w:noWrap/>
          </w:tcPr>
          <w:p w:rsidR="00EB1E5F" w:rsidRPr="002C0CD5" w:rsidP="00A033C4" w14:paraId="618373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left="-63"/>
              <w:rPr>
                <w:rFonts w:ascii="Arial Narrow" w:hAnsi="Arial Narrow"/>
                <w:sz w:val="17"/>
              </w:rPr>
            </w:pPr>
            <w:r w:rsidRPr="002C0CD5">
              <w:rPr>
                <w:rFonts w:ascii="Arial Narrow" w:hAnsi="Arial Narrow"/>
                <w:sz w:val="17"/>
              </w:rPr>
              <w:t xml:space="preserve">Table of Frequency Allocations                                                                                             </w:t>
            </w:r>
            <w:r>
              <w:rPr>
                <w:rFonts w:ascii="Arial Narrow" w:hAnsi="Arial Narrow"/>
                <w:sz w:val="17"/>
              </w:rPr>
              <w:t xml:space="preserve"> </w:t>
            </w:r>
            <w:r w:rsidRPr="002C0CD5">
              <w:rPr>
                <w:rFonts w:ascii="Arial Narrow" w:hAnsi="Arial Narrow"/>
                <w:sz w:val="17"/>
              </w:rPr>
              <w:t xml:space="preserve">   3500-5460 MHz (SHF)</w:t>
            </w:r>
          </w:p>
        </w:tc>
        <w:tc>
          <w:tcPr>
            <w:tcW w:w="1613" w:type="dxa"/>
            <w:gridSpan w:val="2"/>
            <w:tcBorders>
              <w:top w:val="single" w:sz="4" w:space="0" w:color="auto"/>
              <w:left w:val="nil"/>
              <w:bottom w:val="single" w:sz="4" w:space="0" w:color="auto"/>
              <w:right w:val="nil"/>
            </w:tcBorders>
            <w:noWrap/>
          </w:tcPr>
          <w:p w:rsidR="00EB1E5F" w:rsidRPr="002C0CD5" w:rsidP="00A033C4" w14:paraId="0AFCD509"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ind w:right="9"/>
              <w:jc w:val="right"/>
              <w:rPr>
                <w:rFonts w:ascii="Arial Narrow" w:hAnsi="Arial Narrow"/>
                <w:sz w:val="17"/>
              </w:rPr>
            </w:pPr>
            <w:r w:rsidRPr="002C0CD5">
              <w:rPr>
                <w:rFonts w:ascii="Arial Narrow" w:hAnsi="Arial Narrow"/>
                <w:sz w:val="17"/>
              </w:rPr>
              <w:t>Page 41</w:t>
            </w:r>
          </w:p>
        </w:tc>
      </w:tr>
      <w:tr w14:paraId="52CD0EE4" w14:textId="77777777" w:rsidTr="00A033C4">
        <w:tblPrEx>
          <w:tblW w:w="5000" w:type="pct"/>
          <w:tblLayout w:type="fixed"/>
          <w:tblCellMar>
            <w:left w:w="58" w:type="dxa"/>
            <w:right w:w="0" w:type="dxa"/>
          </w:tblCellMar>
          <w:tblLook w:val="0000"/>
        </w:tblPrEx>
        <w:tc>
          <w:tcPr>
            <w:tcW w:w="6331" w:type="dxa"/>
            <w:gridSpan w:val="7"/>
            <w:tcBorders>
              <w:top w:val="single" w:sz="4" w:space="0" w:color="auto"/>
              <w:left w:val="nil"/>
              <w:bottom w:val="single" w:sz="4" w:space="0" w:color="auto"/>
              <w:right w:val="nil"/>
            </w:tcBorders>
            <w:noWrap/>
          </w:tcPr>
          <w:p w:rsidR="00EB1E5F" w:rsidRPr="002C0CD5" w:rsidP="00A033C4" w14:paraId="3CD5474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jc w:val="center"/>
              <w:rPr>
                <w:rFonts w:ascii="Arial Narrow" w:hAnsi="Arial Narrow"/>
                <w:sz w:val="17"/>
              </w:rPr>
            </w:pPr>
            <w:r w:rsidRPr="002C0CD5">
              <w:rPr>
                <w:rFonts w:ascii="Arial Narrow" w:hAnsi="Arial Narrow"/>
                <w:sz w:val="17"/>
              </w:rPr>
              <w:t>International Table</w:t>
            </w:r>
          </w:p>
        </w:tc>
        <w:tc>
          <w:tcPr>
            <w:tcW w:w="5736" w:type="dxa"/>
            <w:gridSpan w:val="4"/>
            <w:tcBorders>
              <w:top w:val="single" w:sz="4" w:space="0" w:color="auto"/>
              <w:left w:val="double" w:sz="6" w:space="0" w:color="000000"/>
              <w:bottom w:val="single" w:sz="4" w:space="0" w:color="auto"/>
              <w:right w:val="nil"/>
            </w:tcBorders>
            <w:noWrap/>
          </w:tcPr>
          <w:p w:rsidR="00EB1E5F" w:rsidRPr="002C0CD5" w:rsidP="00A033C4" w14:paraId="5D1BFF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jc w:val="center"/>
              <w:rPr>
                <w:rFonts w:ascii="Arial Narrow" w:hAnsi="Arial Narrow"/>
                <w:sz w:val="17"/>
              </w:rPr>
            </w:pPr>
            <w:r w:rsidRPr="002C0CD5">
              <w:rPr>
                <w:rFonts w:ascii="Arial Narrow" w:hAnsi="Arial Narrow"/>
                <w:sz w:val="17"/>
              </w:rPr>
              <w:t>United States Table</w:t>
            </w:r>
          </w:p>
        </w:tc>
        <w:tc>
          <w:tcPr>
            <w:tcW w:w="1613" w:type="dxa"/>
            <w:gridSpan w:val="2"/>
            <w:vMerge w:val="restart"/>
            <w:tcBorders>
              <w:top w:val="single" w:sz="4" w:space="0" w:color="auto"/>
              <w:left w:val="double" w:sz="6" w:space="0" w:color="000000"/>
              <w:right w:val="nil"/>
            </w:tcBorders>
            <w:noWrap/>
          </w:tcPr>
          <w:p w:rsidR="00EB1E5F" w:rsidRPr="002C0CD5" w:rsidP="00A033C4" w14:paraId="1622DEE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808"/>
                <w:tab w:val="left" w:pos="12528"/>
                <w:tab w:val="left" w:pos="13248"/>
              </w:tabs>
              <w:suppressAutoHyphens/>
              <w:spacing w:before="20" w:after="20"/>
              <w:rPr>
                <w:rFonts w:ascii="Arial Narrow" w:hAnsi="Arial Narrow"/>
                <w:sz w:val="17"/>
              </w:rPr>
            </w:pPr>
            <w:r w:rsidRPr="002C0CD5">
              <w:rPr>
                <w:rFonts w:ascii="Arial Narrow" w:hAnsi="Arial Narrow"/>
                <w:sz w:val="17"/>
              </w:rPr>
              <w:t>FCC Rule Part(s)</w:t>
            </w:r>
          </w:p>
        </w:tc>
      </w:tr>
      <w:tr w14:paraId="40AC9F4D" w14:textId="77777777" w:rsidTr="00A033C4">
        <w:tblPrEx>
          <w:tblW w:w="5000" w:type="pct"/>
          <w:tblLayout w:type="fixed"/>
          <w:tblCellMar>
            <w:left w:w="58" w:type="dxa"/>
            <w:right w:w="0" w:type="dxa"/>
          </w:tblCellMar>
          <w:tblLook w:val="0000"/>
        </w:tblPrEx>
        <w:tc>
          <w:tcPr>
            <w:tcW w:w="1743" w:type="dxa"/>
            <w:gridSpan w:val="2"/>
            <w:tcBorders>
              <w:top w:val="single" w:sz="4" w:space="0" w:color="auto"/>
              <w:left w:val="nil"/>
              <w:bottom w:val="single" w:sz="4" w:space="0" w:color="auto"/>
              <w:right w:val="single" w:sz="6" w:space="0" w:color="auto"/>
            </w:tcBorders>
            <w:noWrap/>
          </w:tcPr>
          <w:p w:rsidR="00EB1E5F" w:rsidRPr="002C0CD5" w:rsidP="00A033C4" w14:paraId="1FC120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ind w:left="-63"/>
              <w:rPr>
                <w:rFonts w:ascii="Arial Narrow" w:hAnsi="Arial Narrow"/>
                <w:sz w:val="17"/>
              </w:rPr>
            </w:pPr>
            <w:r w:rsidRPr="002C0CD5">
              <w:rPr>
                <w:rFonts w:ascii="Arial Narrow" w:hAnsi="Arial Narrow"/>
                <w:sz w:val="17"/>
              </w:rPr>
              <w:t>Region 1 Table</w:t>
            </w:r>
          </w:p>
        </w:tc>
        <w:tc>
          <w:tcPr>
            <w:tcW w:w="2079" w:type="dxa"/>
            <w:gridSpan w:val="2"/>
            <w:tcBorders>
              <w:top w:val="single" w:sz="4" w:space="0" w:color="auto"/>
              <w:left w:val="single" w:sz="6" w:space="0" w:color="auto"/>
              <w:bottom w:val="single" w:sz="4" w:space="0" w:color="auto"/>
              <w:right w:val="single" w:sz="6" w:space="0" w:color="auto"/>
            </w:tcBorders>
            <w:noWrap/>
          </w:tcPr>
          <w:p w:rsidR="00EB1E5F" w:rsidRPr="002C0CD5" w:rsidP="00A033C4" w14:paraId="4F0ED97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2 Table</w:t>
            </w:r>
          </w:p>
        </w:tc>
        <w:tc>
          <w:tcPr>
            <w:tcW w:w="2509" w:type="dxa"/>
            <w:gridSpan w:val="3"/>
            <w:tcBorders>
              <w:top w:val="single" w:sz="4" w:space="0" w:color="auto"/>
              <w:left w:val="single" w:sz="6" w:space="0" w:color="auto"/>
              <w:bottom w:val="single" w:sz="4" w:space="0" w:color="auto"/>
              <w:right w:val="single" w:sz="6" w:space="0" w:color="FFFFFF"/>
            </w:tcBorders>
            <w:noWrap/>
          </w:tcPr>
          <w:p w:rsidR="00EB1E5F" w:rsidRPr="002C0CD5" w:rsidP="00A033C4" w14:paraId="07B8D36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Region 3 Table</w:t>
            </w:r>
          </w:p>
        </w:tc>
        <w:tc>
          <w:tcPr>
            <w:tcW w:w="2689" w:type="dxa"/>
            <w:gridSpan w:val="2"/>
            <w:tcBorders>
              <w:top w:val="single" w:sz="4" w:space="0" w:color="auto"/>
              <w:left w:val="double" w:sz="6" w:space="0" w:color="000000"/>
              <w:bottom w:val="single" w:sz="4" w:space="0" w:color="auto"/>
              <w:right w:val="single" w:sz="6" w:space="0" w:color="FFFFFF"/>
            </w:tcBorders>
            <w:noWrap/>
          </w:tcPr>
          <w:p w:rsidR="00EB1E5F" w:rsidRPr="002C0CD5" w:rsidP="00A033C4" w14:paraId="5892692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Federal Table</w:t>
            </w:r>
          </w:p>
        </w:tc>
        <w:tc>
          <w:tcPr>
            <w:tcW w:w="3047" w:type="dxa"/>
            <w:gridSpan w:val="2"/>
            <w:tcBorders>
              <w:top w:val="single" w:sz="4" w:space="0" w:color="auto"/>
              <w:left w:val="single" w:sz="6" w:space="0" w:color="000000"/>
              <w:bottom w:val="single" w:sz="4" w:space="0" w:color="auto"/>
              <w:right w:val="single" w:sz="6" w:space="0" w:color="FFFFFF"/>
            </w:tcBorders>
            <w:noWrap/>
          </w:tcPr>
          <w:p w:rsidR="00EB1E5F" w:rsidRPr="002C0CD5" w:rsidP="00A033C4" w14:paraId="03D92ED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before="10" w:after="10"/>
              <w:rPr>
                <w:rFonts w:ascii="Arial Narrow" w:hAnsi="Arial Narrow"/>
                <w:sz w:val="17"/>
              </w:rPr>
            </w:pPr>
            <w:r w:rsidRPr="002C0CD5">
              <w:rPr>
                <w:rFonts w:ascii="Arial Narrow" w:hAnsi="Arial Narrow"/>
                <w:sz w:val="17"/>
              </w:rPr>
              <w:t>Non-Federal Table</w:t>
            </w:r>
          </w:p>
        </w:tc>
        <w:tc>
          <w:tcPr>
            <w:tcW w:w="1613" w:type="dxa"/>
            <w:gridSpan w:val="2"/>
            <w:vMerge/>
            <w:tcBorders>
              <w:left w:val="double" w:sz="6" w:space="0" w:color="000000"/>
              <w:bottom w:val="single" w:sz="4" w:space="0" w:color="auto"/>
              <w:right w:val="nil"/>
            </w:tcBorders>
            <w:noWrap/>
            <w:vAlign w:val="center"/>
          </w:tcPr>
          <w:p w:rsidR="00EB1E5F" w:rsidRPr="002C0CD5" w:rsidP="00A033C4" w14:paraId="3DE621D4" w14:textId="77777777">
            <w:pPr>
              <w:suppressAutoHyphens/>
              <w:rPr>
                <w:rFonts w:ascii="Arial Narrow" w:hAnsi="Arial Narrow"/>
                <w:sz w:val="17"/>
              </w:rPr>
            </w:pPr>
          </w:p>
        </w:tc>
      </w:tr>
      <w:tr w14:paraId="5DB497D9" w14:textId="77777777" w:rsidTr="00A033C4">
        <w:tblPrEx>
          <w:tblW w:w="5000" w:type="pct"/>
          <w:tblLayout w:type="fixed"/>
          <w:tblCellMar>
            <w:left w:w="58" w:type="dxa"/>
            <w:right w:w="0" w:type="dxa"/>
          </w:tblCellMar>
          <w:tblLook w:val="0000"/>
        </w:tblPrEx>
        <w:trPr>
          <w:trHeight w:val="444"/>
        </w:trPr>
        <w:tc>
          <w:tcPr>
            <w:tcW w:w="1743" w:type="dxa"/>
            <w:gridSpan w:val="2"/>
            <w:vMerge w:val="restart"/>
            <w:tcBorders>
              <w:top w:val="single" w:sz="4" w:space="0" w:color="auto"/>
              <w:left w:val="nil"/>
              <w:right w:val="single" w:sz="6" w:space="0" w:color="auto"/>
            </w:tcBorders>
            <w:shd w:val="clear" w:color="auto" w:fill="auto"/>
            <w:noWrap/>
          </w:tcPr>
          <w:p w:rsidR="00EB1E5F" w:rsidRPr="002C0CD5" w:rsidP="00A033C4" w14:paraId="39682C48"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(See previous page)</w:t>
            </w:r>
          </w:p>
        </w:tc>
        <w:tc>
          <w:tcPr>
            <w:tcW w:w="2079" w:type="dxa"/>
            <w:gridSpan w:val="2"/>
            <w:vMerge w:val="restart"/>
            <w:tcBorders>
              <w:top w:val="single" w:sz="4" w:space="0" w:color="auto"/>
              <w:left w:val="single" w:sz="6" w:space="0" w:color="auto"/>
              <w:right w:val="single" w:sz="6" w:space="0" w:color="auto"/>
            </w:tcBorders>
            <w:noWrap/>
          </w:tcPr>
          <w:p w:rsidR="00EB1E5F" w:rsidRPr="002C0CD5" w:rsidP="00A033C4" w14:paraId="6C77A1C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w:t>
            </w:r>
            <w:r>
              <w:rPr>
                <w:rFonts w:ascii="Arial Narrow" w:hAnsi="Arial Narrow"/>
                <w:sz w:val="17"/>
              </w:rPr>
              <w:t>6</w:t>
            </w:r>
            <w:r w:rsidRPr="002C0CD5">
              <w:rPr>
                <w:rFonts w:ascii="Arial Narrow" w:hAnsi="Arial Narrow"/>
                <w:sz w:val="17"/>
              </w:rPr>
              <w:t>00</w:t>
            </w:r>
          </w:p>
          <w:p w:rsidR="00EB1E5F" w:rsidRPr="002C0CD5" w:rsidP="00A033C4" w14:paraId="4486C83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01BB5C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w:t>
            </w:r>
          </w:p>
          <w:p w:rsidR="00EB1E5F" w:rsidRPr="002C0CD5" w:rsidP="00A033C4" w14:paraId="0BDCD83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(space-to-Earth)</w:t>
            </w:r>
          </w:p>
          <w:p w:rsidR="00EB1E5F" w:rsidRPr="002C0CD5" w:rsidP="00A033C4" w14:paraId="325E8B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w:t>
            </w:r>
          </w:p>
          <w:p w:rsidR="00EB1E5F" w:rsidRPr="002C0CD5" w:rsidP="00A033C4" w14:paraId="701B55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w:t>
            </w:r>
            <w:r>
              <w:rPr>
                <w:rFonts w:ascii="Arial Narrow" w:hAnsi="Arial Narrow"/>
                <w:sz w:val="17"/>
              </w:rPr>
              <w:t xml:space="preserve">  5.431B</w:t>
            </w:r>
          </w:p>
          <w:p w:rsidR="00EB1E5F" w:rsidRPr="002C0CD5" w:rsidP="00A033C4" w14:paraId="63A1A6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tc>
        <w:tc>
          <w:tcPr>
            <w:tcW w:w="2509" w:type="dxa"/>
            <w:gridSpan w:val="3"/>
            <w:vMerge w:val="restart"/>
            <w:tcBorders>
              <w:top w:val="single" w:sz="4" w:space="0" w:color="auto"/>
              <w:left w:val="single" w:sz="6" w:space="0" w:color="auto"/>
              <w:right w:val="single" w:sz="6" w:space="0" w:color="FFFFFF"/>
            </w:tcBorders>
            <w:noWrap/>
          </w:tcPr>
          <w:p w:rsidR="00EB1E5F" w:rsidRPr="002C0CD5" w:rsidP="00A033C4" w14:paraId="4B8D45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3500-3600</w:t>
            </w:r>
          </w:p>
          <w:p w:rsidR="00EB1E5F" w:rsidRPr="002C0CD5" w:rsidP="00A033C4" w14:paraId="05B3588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4C57B5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5BE1224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EB1E5F" w:rsidRPr="002C0CD5" w:rsidP="00A033C4" w14:paraId="66EE0B96"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5.433A</w:t>
            </w:r>
          </w:p>
          <w:p w:rsidR="00EB1E5F" w:rsidRPr="002C0CD5" w:rsidP="00A033C4" w14:paraId="553F5FF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Radiolocation  5.433</w:t>
            </w:r>
          </w:p>
        </w:tc>
        <w:tc>
          <w:tcPr>
            <w:tcW w:w="2689" w:type="dxa"/>
            <w:gridSpan w:val="2"/>
            <w:tcBorders>
              <w:top w:val="single" w:sz="4" w:space="0" w:color="auto"/>
              <w:left w:val="double" w:sz="6" w:space="0" w:color="000000"/>
              <w:bottom w:val="single" w:sz="4" w:space="0" w:color="auto"/>
              <w:right w:val="single" w:sz="6" w:space="0" w:color="auto"/>
            </w:tcBorders>
            <w:noWrap/>
          </w:tcPr>
          <w:p w:rsidR="00EB1E5F" w:rsidRPr="002C0CD5" w:rsidP="00A033C4" w14:paraId="7B527FB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3500-35</w:t>
            </w:r>
            <w:r w:rsidRPr="002C0CD5">
              <w:rPr>
                <w:rFonts w:ascii="Arial Narrow" w:hAnsi="Arial Narrow"/>
                <w:sz w:val="17"/>
              </w:rPr>
              <w:t>50</w:t>
            </w:r>
          </w:p>
          <w:p w:rsidR="00EB1E5F" w:rsidRPr="002C0CD5" w:rsidP="00A033C4" w14:paraId="26F9A32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w:t>
            </w:r>
          </w:p>
          <w:p w:rsidR="00EB1E5F" w:rsidRPr="002C0CD5" w:rsidP="00A033C4" w14:paraId="51F436A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EB1E5F" w:rsidRPr="002C0CD5" w:rsidP="00A033C4" w14:paraId="20E2773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(ground-based)  G110</w:t>
            </w:r>
          </w:p>
        </w:tc>
        <w:tc>
          <w:tcPr>
            <w:tcW w:w="3047" w:type="dxa"/>
            <w:gridSpan w:val="2"/>
            <w:tcBorders>
              <w:top w:val="single" w:sz="4" w:space="0" w:color="auto"/>
              <w:left w:val="single" w:sz="6" w:space="0" w:color="auto"/>
              <w:bottom w:val="single" w:sz="4" w:space="0" w:color="auto"/>
              <w:right w:val="double" w:sz="6" w:space="0" w:color="000000"/>
            </w:tcBorders>
            <w:noWrap/>
          </w:tcPr>
          <w:p w:rsidR="00EB1E5F" w:rsidRPr="002C0CD5" w:rsidP="00A033C4" w14:paraId="2B0385A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3500-3</w:t>
            </w:r>
            <w:r>
              <w:rPr>
                <w:rFonts w:ascii="Arial Narrow" w:hAnsi="Arial Narrow"/>
                <w:sz w:val="17"/>
              </w:rPr>
              <w:t>55</w:t>
            </w:r>
            <w:r w:rsidRPr="002C0CD5">
              <w:rPr>
                <w:rFonts w:ascii="Arial Narrow" w:hAnsi="Arial Narrow"/>
                <w:sz w:val="17"/>
              </w:rPr>
              <w:t>0</w:t>
            </w:r>
          </w:p>
          <w:p w:rsidR="00EB1E5F" w:rsidP="00A033C4" w14:paraId="412BB6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P="00A033C4" w14:paraId="44F4151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62DB1E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0B2EF9D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EB1E5F" w:rsidRPr="002C0CD5" w:rsidP="00A033C4" w14:paraId="2433439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20B42674" w14:textId="77777777" w:rsidTr="00A033C4">
        <w:tblPrEx>
          <w:tblW w:w="5000" w:type="pct"/>
          <w:tblLayout w:type="fixed"/>
          <w:tblCellMar>
            <w:left w:w="58" w:type="dxa"/>
            <w:right w:w="0" w:type="dxa"/>
          </w:tblCellMar>
          <w:tblLook w:val="0000"/>
        </w:tblPrEx>
        <w:trPr>
          <w:trHeight w:val="656"/>
        </w:trPr>
        <w:tc>
          <w:tcPr>
            <w:tcW w:w="1743" w:type="dxa"/>
            <w:gridSpan w:val="2"/>
            <w:vMerge/>
            <w:tcBorders>
              <w:left w:val="nil"/>
              <w:bottom w:val="single" w:sz="4" w:space="0" w:color="auto"/>
              <w:right w:val="single" w:sz="6" w:space="0" w:color="auto"/>
            </w:tcBorders>
            <w:shd w:val="clear" w:color="auto" w:fill="auto"/>
            <w:noWrap/>
          </w:tcPr>
          <w:p w:rsidR="00EB1E5F" w:rsidRPr="002C0CD5" w:rsidP="00A033C4" w14:paraId="74324F2C"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ind w:left="-58"/>
              <w:rPr>
                <w:rFonts w:ascii="Arial Narrow" w:hAnsi="Arial Narrow"/>
                <w:sz w:val="17"/>
              </w:rPr>
            </w:pPr>
          </w:p>
        </w:tc>
        <w:tc>
          <w:tcPr>
            <w:tcW w:w="2079" w:type="dxa"/>
            <w:gridSpan w:val="2"/>
            <w:vMerge/>
            <w:tcBorders>
              <w:left w:val="single" w:sz="6" w:space="0" w:color="auto"/>
              <w:bottom w:val="single" w:sz="4" w:space="0" w:color="auto"/>
              <w:right w:val="single" w:sz="6" w:space="0" w:color="auto"/>
            </w:tcBorders>
            <w:noWrap/>
          </w:tcPr>
          <w:p w:rsidR="00EB1E5F" w:rsidRPr="002C0CD5" w:rsidP="00A033C4" w14:paraId="4914480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509" w:type="dxa"/>
            <w:gridSpan w:val="3"/>
            <w:vMerge/>
            <w:tcBorders>
              <w:left w:val="single" w:sz="6" w:space="0" w:color="auto"/>
              <w:bottom w:val="single" w:sz="4" w:space="0" w:color="auto"/>
              <w:right w:val="single" w:sz="6" w:space="0" w:color="FFFFFF"/>
            </w:tcBorders>
            <w:noWrap/>
          </w:tcPr>
          <w:p w:rsidR="00EB1E5F" w:rsidRPr="002C0CD5" w:rsidP="00A033C4" w14:paraId="2A1C87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gridSpan w:val="2"/>
            <w:tcBorders>
              <w:top w:val="single" w:sz="4" w:space="0" w:color="auto"/>
              <w:left w:val="double" w:sz="6" w:space="0" w:color="000000"/>
              <w:right w:val="single" w:sz="6" w:space="0" w:color="auto"/>
            </w:tcBorders>
            <w:noWrap/>
          </w:tcPr>
          <w:p w:rsidR="00EB1E5F" w:rsidP="00A033C4" w14:paraId="238B86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3550-3650</w:t>
            </w:r>
          </w:p>
          <w:p w:rsidR="00EB1E5F" w:rsidRPr="00441B9E" w:rsidP="00A033C4" w14:paraId="3AA174E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RADIOLOCATION  G59</w:t>
            </w:r>
          </w:p>
          <w:p w:rsidR="00EB1E5F" w:rsidP="00A033C4" w14:paraId="5F0EFB9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AERONAUTICAL RADIONAVI</w:t>
            </w:r>
            <w:r>
              <w:rPr>
                <w:rFonts w:ascii="Arial Narrow" w:hAnsi="Arial Narrow"/>
                <w:color w:val="000000"/>
                <w:sz w:val="17"/>
              </w:rPr>
              <w:t>GATION</w:t>
            </w:r>
          </w:p>
          <w:p w:rsidR="00EB1E5F" w:rsidP="00A033C4" w14:paraId="5CD6ADB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color w:val="000000"/>
                <w:sz w:val="17"/>
              </w:rPr>
              <w:t xml:space="preserve">   </w:t>
            </w:r>
            <w:r w:rsidRPr="00441B9E">
              <w:rPr>
                <w:rFonts w:ascii="Arial Narrow" w:hAnsi="Arial Narrow"/>
                <w:color w:val="000000"/>
                <w:sz w:val="17"/>
              </w:rPr>
              <w:t>(ground-based)  G110</w:t>
            </w:r>
          </w:p>
        </w:tc>
        <w:tc>
          <w:tcPr>
            <w:tcW w:w="3047" w:type="dxa"/>
            <w:gridSpan w:val="2"/>
            <w:tcBorders>
              <w:top w:val="single" w:sz="4" w:space="0" w:color="auto"/>
              <w:left w:val="single" w:sz="6" w:space="0" w:color="auto"/>
              <w:bottom w:val="single" w:sz="4" w:space="0" w:color="auto"/>
              <w:right w:val="double" w:sz="6" w:space="0" w:color="000000"/>
            </w:tcBorders>
            <w:noWrap/>
          </w:tcPr>
          <w:p w:rsidR="00EB1E5F" w:rsidP="00A033C4" w14:paraId="32D41C5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6477DC">
              <w:rPr>
                <w:rFonts w:ascii="Arial Narrow" w:hAnsi="Arial Narrow"/>
                <w:sz w:val="17"/>
              </w:rPr>
              <w:t>35</w:t>
            </w:r>
            <w:r>
              <w:rPr>
                <w:rFonts w:ascii="Arial Narrow" w:hAnsi="Arial Narrow"/>
                <w:sz w:val="17"/>
              </w:rPr>
              <w:t>5</w:t>
            </w:r>
            <w:r w:rsidRPr="006477DC">
              <w:rPr>
                <w:rFonts w:ascii="Arial Narrow" w:hAnsi="Arial Narrow"/>
                <w:sz w:val="17"/>
              </w:rPr>
              <w:t>0-3600</w:t>
            </w:r>
          </w:p>
          <w:p w:rsidR="00EB1E5F" w:rsidP="00A033C4" w14:paraId="0E5089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FIXED</w:t>
            </w:r>
          </w:p>
          <w:p w:rsidR="00EB1E5F" w:rsidP="00A033C4" w14:paraId="42C087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MOBILE except aeronautical mobile</w:t>
            </w:r>
          </w:p>
          <w:p w:rsidR="00EB1E5F" w:rsidP="00A033C4" w14:paraId="6F08E4F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EB1E5F" w:rsidRPr="002C0CD5" w:rsidP="00A033C4" w14:paraId="4343E3B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US105  US433</w:t>
            </w:r>
          </w:p>
        </w:tc>
        <w:tc>
          <w:tcPr>
            <w:tcW w:w="1613" w:type="dxa"/>
            <w:gridSpan w:val="2"/>
            <w:tcBorders>
              <w:top w:val="single" w:sz="4" w:space="0" w:color="auto"/>
              <w:left w:val="double" w:sz="6" w:space="0" w:color="000000"/>
              <w:bottom w:val="single" w:sz="4" w:space="0" w:color="auto"/>
              <w:right w:val="nil"/>
            </w:tcBorders>
            <w:noWrap/>
          </w:tcPr>
          <w:p w:rsidR="00EB1E5F" w:rsidP="00A033C4" w14:paraId="1E84C2F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p>
          <w:p w:rsidR="00EB1E5F" w:rsidRPr="002C0CD5" w:rsidP="00A033C4" w14:paraId="663880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45" w:lineRule="auto"/>
              <w:rPr>
                <w:rFonts w:ascii="Arial Narrow" w:hAnsi="Arial Narrow"/>
                <w:sz w:val="17"/>
              </w:rPr>
            </w:pPr>
            <w:r>
              <w:rPr>
                <w:rFonts w:ascii="Arial Narrow" w:hAnsi="Arial Narrow"/>
                <w:sz w:val="17"/>
              </w:rPr>
              <w:t>Citizens Broadband (96)</w:t>
            </w:r>
          </w:p>
        </w:tc>
      </w:tr>
      <w:tr w14:paraId="5E6D1B9E" w14:textId="77777777" w:rsidTr="00A033C4">
        <w:tblPrEx>
          <w:tblW w:w="5000" w:type="pct"/>
          <w:tblLayout w:type="fixed"/>
          <w:tblCellMar>
            <w:left w:w="58" w:type="dxa"/>
            <w:right w:w="0" w:type="dxa"/>
          </w:tblCellMar>
          <w:tblLook w:val="0000"/>
        </w:tblPrEx>
        <w:trPr>
          <w:trHeight w:val="840"/>
        </w:trPr>
        <w:tc>
          <w:tcPr>
            <w:tcW w:w="1743" w:type="dxa"/>
            <w:gridSpan w:val="2"/>
            <w:vMerge w:val="restart"/>
            <w:tcBorders>
              <w:top w:val="single" w:sz="4" w:space="0" w:color="auto"/>
              <w:left w:val="nil"/>
              <w:right w:val="single" w:sz="6" w:space="0" w:color="auto"/>
            </w:tcBorders>
            <w:shd w:val="clear" w:color="auto" w:fill="auto"/>
            <w:noWrap/>
          </w:tcPr>
          <w:p w:rsidR="00EB1E5F" w:rsidRPr="002C0CD5" w:rsidP="00A033C4" w14:paraId="3A34024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3600-4200</w:t>
            </w:r>
          </w:p>
          <w:p w:rsidR="00EB1E5F" w:rsidRPr="002C0CD5" w:rsidP="00A033C4" w14:paraId="7847A12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 </w:t>
            </w:r>
          </w:p>
          <w:p w:rsidR="00EB1E5F" w:rsidRPr="002C0CD5" w:rsidP="00A033C4" w14:paraId="6EFF17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 xml:space="preserve">FIXED-SATELLITE </w:t>
            </w:r>
          </w:p>
          <w:p w:rsidR="00EB1E5F" w:rsidRPr="002C0CD5" w:rsidP="00A033C4" w14:paraId="4B2A40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left="-58"/>
              <w:rPr>
                <w:rFonts w:ascii="Arial Narrow" w:hAnsi="Arial Narrow"/>
                <w:sz w:val="17"/>
              </w:rPr>
            </w:pPr>
            <w:r w:rsidRPr="002C0CD5">
              <w:rPr>
                <w:rFonts w:ascii="Arial Narrow" w:hAnsi="Arial Narrow"/>
                <w:sz w:val="17"/>
              </w:rPr>
              <w:t xml:space="preserve">   (space-to-Earth)</w:t>
            </w:r>
          </w:p>
          <w:p w:rsidR="00EB1E5F" w:rsidRPr="002C0CD5" w:rsidP="00A033C4" w14:paraId="2F038A6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ind w:left="-54"/>
              <w:rPr>
                <w:rFonts w:ascii="Arial Narrow" w:hAnsi="Arial Narrow"/>
                <w:sz w:val="17"/>
              </w:rPr>
            </w:pPr>
            <w:r w:rsidRPr="002C0CD5">
              <w:rPr>
                <w:rFonts w:ascii="Arial Narrow" w:hAnsi="Arial Narrow"/>
                <w:sz w:val="17"/>
              </w:rPr>
              <w:t>Mobile</w:t>
            </w:r>
          </w:p>
        </w:tc>
        <w:tc>
          <w:tcPr>
            <w:tcW w:w="2079" w:type="dxa"/>
            <w:gridSpan w:val="2"/>
            <w:vMerge w:val="restart"/>
            <w:tcBorders>
              <w:top w:val="single" w:sz="4" w:space="0" w:color="auto"/>
              <w:left w:val="single" w:sz="6" w:space="0" w:color="auto"/>
              <w:bottom w:val="single" w:sz="6" w:space="0" w:color="000000"/>
              <w:right w:val="single" w:sz="6" w:space="0" w:color="auto"/>
            </w:tcBorders>
            <w:noWrap/>
          </w:tcPr>
          <w:p w:rsidR="00EB1E5F" w:rsidP="00A033C4" w14:paraId="35E24EA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3600-3700</w:t>
            </w:r>
          </w:p>
          <w:p w:rsidR="00EB1E5F" w:rsidRPr="002C0CD5" w:rsidP="00A033C4" w14:paraId="45F0AC2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3D08DFD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w:t>
            </w:r>
          </w:p>
          <w:p w:rsidR="00EB1E5F" w:rsidRPr="002C0CD5" w:rsidP="00A033C4" w14:paraId="1880BB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(space-to-Earth)</w:t>
            </w:r>
          </w:p>
          <w:p w:rsidR="00EB1E5F" w:rsidRPr="002C0CD5" w:rsidP="00A033C4" w14:paraId="1D9DBA7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w:t>
            </w:r>
          </w:p>
          <w:p w:rsidR="00EB1E5F" w:rsidRPr="002C0CD5" w:rsidP="00A033C4" w14:paraId="4707EE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w:t>
            </w:r>
            <w:r>
              <w:rPr>
                <w:rFonts w:ascii="Arial Narrow" w:hAnsi="Arial Narrow"/>
                <w:sz w:val="17"/>
              </w:rPr>
              <w:t>m</w:t>
            </w:r>
            <w:r w:rsidRPr="002C0CD5">
              <w:rPr>
                <w:rFonts w:ascii="Arial Narrow" w:hAnsi="Arial Narrow"/>
                <w:sz w:val="17"/>
              </w:rPr>
              <w:t>obile</w:t>
            </w:r>
            <w:r>
              <w:rPr>
                <w:rFonts w:ascii="Arial Narrow" w:hAnsi="Arial Narrow"/>
                <w:sz w:val="17"/>
              </w:rPr>
              <w:t xml:space="preserve">  5.434</w:t>
            </w:r>
          </w:p>
          <w:p w:rsidR="00EB1E5F" w:rsidRPr="002C0CD5" w:rsidP="00A033C4" w14:paraId="164836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  5.433</w:t>
            </w:r>
          </w:p>
        </w:tc>
        <w:tc>
          <w:tcPr>
            <w:tcW w:w="2509" w:type="dxa"/>
            <w:gridSpan w:val="3"/>
            <w:vMerge w:val="restart"/>
            <w:tcBorders>
              <w:top w:val="single" w:sz="4" w:space="0" w:color="auto"/>
              <w:left w:val="single" w:sz="6" w:space="0" w:color="auto"/>
              <w:right w:val="single" w:sz="6" w:space="0" w:color="FFFFFF"/>
            </w:tcBorders>
            <w:noWrap/>
          </w:tcPr>
          <w:p w:rsidR="00EB1E5F" w:rsidRPr="002C0CD5" w:rsidP="00A033C4" w14:paraId="6B5E6D7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3600-3700</w:t>
            </w:r>
          </w:p>
          <w:p w:rsidR="00EB1E5F" w:rsidRPr="002C0CD5" w:rsidP="00A033C4" w14:paraId="2099455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33060AE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09DDE44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EB1E5F" w:rsidRPr="002C0CD5" w:rsidP="00A033C4" w14:paraId="208BBB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Radiolocation</w:t>
            </w:r>
          </w:p>
          <w:p w:rsidR="00EB1E5F" w:rsidRPr="002C0CD5" w:rsidP="00A033C4" w14:paraId="2BA80EA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P="00A033C4" w14:paraId="694720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P="00A033C4" w14:paraId="68B5627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P="00A033C4" w14:paraId="118FB5B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P="00A033C4" w14:paraId="513B0DB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6188FB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5F23FE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20" w:lineRule="auto"/>
              <w:rPr>
                <w:rFonts w:ascii="Arial Narrow" w:hAnsi="Arial Narrow"/>
                <w:sz w:val="17"/>
              </w:rPr>
            </w:pPr>
          </w:p>
          <w:p w:rsidR="00EB1E5F" w:rsidRPr="002C0CD5" w:rsidP="00A033C4" w14:paraId="02F9117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5.435</w:t>
            </w:r>
          </w:p>
        </w:tc>
        <w:tc>
          <w:tcPr>
            <w:tcW w:w="2689" w:type="dxa"/>
            <w:gridSpan w:val="2"/>
            <w:tcBorders>
              <w:left w:val="double" w:sz="6" w:space="0" w:color="000000"/>
              <w:bottom w:val="single" w:sz="4" w:space="0" w:color="auto"/>
              <w:right w:val="single" w:sz="6" w:space="0" w:color="auto"/>
            </w:tcBorders>
            <w:noWrap/>
            <w:vAlign w:val="bottom"/>
          </w:tcPr>
          <w:p w:rsidR="00EB1E5F" w:rsidRPr="002C0CD5" w:rsidP="00A033C4" w14:paraId="281EC90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 xml:space="preserve">US105  US107  </w:t>
            </w:r>
            <w:r w:rsidRPr="00441B9E">
              <w:rPr>
                <w:rFonts w:ascii="Arial Narrow" w:hAnsi="Arial Narrow"/>
                <w:color w:val="000000"/>
                <w:sz w:val="17"/>
              </w:rPr>
              <w:t>US245</w:t>
            </w:r>
            <w:r>
              <w:rPr>
                <w:rFonts w:ascii="Arial Narrow" w:hAnsi="Arial Narrow"/>
                <w:color w:val="000000"/>
                <w:sz w:val="17"/>
              </w:rPr>
              <w:t xml:space="preserve">  US433</w:t>
            </w:r>
          </w:p>
        </w:tc>
        <w:tc>
          <w:tcPr>
            <w:tcW w:w="3047" w:type="dxa"/>
            <w:gridSpan w:val="2"/>
            <w:tcBorders>
              <w:top w:val="single" w:sz="4" w:space="0" w:color="auto"/>
              <w:left w:val="single" w:sz="6" w:space="0" w:color="auto"/>
              <w:bottom w:val="single" w:sz="4" w:space="0" w:color="auto"/>
              <w:right w:val="double" w:sz="6" w:space="0" w:color="000000"/>
            </w:tcBorders>
            <w:shd w:val="clear" w:color="auto" w:fill="auto"/>
            <w:noWrap/>
          </w:tcPr>
          <w:p w:rsidR="00EB1E5F" w:rsidP="00A033C4" w14:paraId="40122AF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3600-3650</w:t>
            </w:r>
          </w:p>
          <w:p w:rsidR="00EB1E5F" w:rsidRPr="00441B9E" w:rsidP="00A033C4" w14:paraId="1407436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Pr>
                <w:rFonts w:ascii="Arial Narrow" w:hAnsi="Arial Narrow"/>
                <w:color w:val="000000"/>
                <w:sz w:val="17"/>
              </w:rPr>
              <w:t>FIXED</w:t>
            </w:r>
          </w:p>
          <w:p w:rsidR="00EB1E5F" w:rsidP="00A033C4" w14:paraId="75B0F7E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72"/>
              <w:rPr>
                <w:rFonts w:ascii="Arial Narrow" w:hAnsi="Arial Narrow"/>
                <w:color w:val="000000"/>
                <w:sz w:val="17"/>
              </w:rPr>
            </w:pPr>
            <w:r w:rsidRPr="00441B9E">
              <w:rPr>
                <w:rFonts w:ascii="Arial Narrow" w:hAnsi="Arial Narrow"/>
                <w:color w:val="000000"/>
                <w:sz w:val="17"/>
              </w:rPr>
              <w:t>FIXED-SATELLITE</w:t>
            </w:r>
            <w:r>
              <w:rPr>
                <w:rFonts w:ascii="Arial Narrow" w:hAnsi="Arial Narrow"/>
                <w:color w:val="000000"/>
                <w:sz w:val="17"/>
              </w:rPr>
              <w:t xml:space="preserve"> </w:t>
            </w:r>
            <w:r w:rsidRPr="00441B9E">
              <w:rPr>
                <w:rFonts w:ascii="Arial Narrow" w:hAnsi="Arial Narrow"/>
                <w:color w:val="000000"/>
                <w:sz w:val="17"/>
              </w:rPr>
              <w:t>(space-to-Earth)</w:t>
            </w:r>
          </w:p>
          <w:p w:rsidR="00EB1E5F" w:rsidRPr="00441B9E" w:rsidP="00A033C4" w14:paraId="2122D83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ind w:right="-72"/>
              <w:rPr>
                <w:rFonts w:ascii="Arial Narrow" w:hAnsi="Arial Narrow"/>
                <w:color w:val="000000"/>
                <w:sz w:val="17"/>
              </w:rPr>
            </w:pPr>
            <w:r>
              <w:rPr>
                <w:rFonts w:ascii="Arial Narrow" w:hAnsi="Arial Narrow"/>
                <w:color w:val="000000"/>
                <w:sz w:val="17"/>
              </w:rPr>
              <w:t xml:space="preserve">   US107  </w:t>
            </w:r>
            <w:r w:rsidRPr="00441B9E">
              <w:rPr>
                <w:rFonts w:ascii="Arial Narrow" w:hAnsi="Arial Narrow"/>
                <w:color w:val="000000"/>
                <w:sz w:val="17"/>
              </w:rPr>
              <w:t>US245</w:t>
            </w:r>
          </w:p>
          <w:p w:rsidR="00EB1E5F" w:rsidP="00A033C4" w14:paraId="50CEAA73" w14:textId="77777777">
            <w:pPr>
              <w:tabs>
                <w:tab w:val="left" w:pos="0"/>
                <w:tab w:val="left" w:pos="336"/>
                <w:tab w:val="left" w:pos="1908"/>
                <w:tab w:val="left" w:pos="2880"/>
                <w:tab w:val="left" w:pos="3600"/>
                <w:tab w:val="left" w:pos="4320"/>
                <w:tab w:val="left" w:pos="5040"/>
              </w:tabs>
              <w:suppressAutoHyphens/>
              <w:ind w:right="-72"/>
              <w:rPr>
                <w:rFonts w:ascii="Arial Narrow" w:hAnsi="Arial Narrow"/>
                <w:color w:val="000000"/>
                <w:sz w:val="17"/>
              </w:rPr>
            </w:pPr>
            <w:r>
              <w:rPr>
                <w:rFonts w:ascii="Arial Narrow" w:hAnsi="Arial Narrow"/>
                <w:color w:val="000000"/>
                <w:sz w:val="17"/>
              </w:rPr>
              <w:t>MOBILE except aeronautical mobile</w:t>
            </w:r>
          </w:p>
          <w:p w:rsidR="00EB1E5F" w:rsidP="00A033C4" w14:paraId="236DD525" w14:textId="77777777">
            <w:pPr>
              <w:tabs>
                <w:tab w:val="left" w:pos="0"/>
                <w:tab w:val="left" w:pos="336"/>
                <w:tab w:val="left" w:pos="1908"/>
                <w:tab w:val="left" w:pos="2880"/>
                <w:tab w:val="left" w:pos="3600"/>
                <w:tab w:val="left" w:pos="4320"/>
                <w:tab w:val="left" w:pos="5040"/>
              </w:tabs>
              <w:suppressAutoHyphens/>
              <w:spacing w:line="108" w:lineRule="auto"/>
              <w:ind w:right="-72"/>
              <w:rPr>
                <w:rFonts w:ascii="Arial Narrow" w:hAnsi="Arial Narrow"/>
                <w:color w:val="000000"/>
                <w:sz w:val="17"/>
              </w:rPr>
            </w:pPr>
          </w:p>
          <w:p w:rsidR="00EB1E5F" w:rsidRPr="002C0CD5" w:rsidP="00A033C4" w14:paraId="4796BE5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Pr>
                <w:rFonts w:ascii="Arial Narrow" w:hAnsi="Arial Narrow"/>
                <w:color w:val="000000"/>
                <w:sz w:val="17"/>
              </w:rPr>
              <w:t>US105  US433</w:t>
            </w:r>
          </w:p>
        </w:tc>
        <w:tc>
          <w:tcPr>
            <w:tcW w:w="1613" w:type="dxa"/>
            <w:gridSpan w:val="2"/>
            <w:vMerge w:val="restart"/>
            <w:tcBorders>
              <w:top w:val="single" w:sz="4" w:space="0" w:color="auto"/>
              <w:left w:val="double" w:sz="6" w:space="0" w:color="000000"/>
              <w:right w:val="nil"/>
            </w:tcBorders>
            <w:noWrap/>
          </w:tcPr>
          <w:p w:rsidR="00EB1E5F" w:rsidRPr="002C0CD5" w:rsidP="00A033C4" w14:paraId="7D10D78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0A298B00"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EB1E5F" w:rsidRPr="002C0CD5" w:rsidP="00A033C4" w14:paraId="76C62596" w14:textId="77777777">
            <w:pPr>
              <w:tabs>
                <w:tab w:val="left" w:pos="-855"/>
                <w:tab w:val="left" w:pos="-252"/>
                <w:tab w:val="left" w:pos="288"/>
                <w:tab w:val="left" w:pos="1008"/>
                <w:tab w:val="left" w:pos="1548"/>
                <w:tab w:val="left" w:pos="1944"/>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EB1E5F" w:rsidRPr="002C0CD5" w:rsidP="00A033C4" w14:paraId="2A9CDA3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Pr>
                <w:rFonts w:ascii="Arial Narrow" w:hAnsi="Arial Narrow"/>
                <w:sz w:val="17"/>
              </w:rPr>
              <w:t>Citizens Broadband (96)</w:t>
            </w:r>
          </w:p>
        </w:tc>
      </w:tr>
      <w:tr w14:paraId="4CA690FF" w14:textId="77777777" w:rsidTr="00A033C4">
        <w:tblPrEx>
          <w:tblW w:w="5000" w:type="pct"/>
          <w:tblLayout w:type="fixed"/>
          <w:tblCellMar>
            <w:left w:w="58" w:type="dxa"/>
            <w:right w:w="0" w:type="dxa"/>
          </w:tblCellMar>
          <w:tblLook w:val="0000"/>
        </w:tblPrEx>
        <w:trPr>
          <w:trHeight w:val="435"/>
        </w:trPr>
        <w:tc>
          <w:tcPr>
            <w:tcW w:w="1743" w:type="dxa"/>
            <w:gridSpan w:val="2"/>
            <w:vMerge/>
            <w:tcBorders>
              <w:left w:val="nil"/>
              <w:right w:val="single" w:sz="6" w:space="0" w:color="auto"/>
            </w:tcBorders>
            <w:shd w:val="clear" w:color="auto" w:fill="auto"/>
            <w:noWrap/>
          </w:tcPr>
          <w:p w:rsidR="00EB1E5F" w:rsidRPr="002C0CD5" w:rsidP="00A033C4" w14:paraId="1AC964D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079" w:type="dxa"/>
            <w:gridSpan w:val="2"/>
            <w:vMerge/>
            <w:tcBorders>
              <w:left w:val="single" w:sz="6" w:space="0" w:color="auto"/>
              <w:bottom w:val="single" w:sz="4" w:space="0" w:color="auto"/>
              <w:right w:val="single" w:sz="6" w:space="0" w:color="auto"/>
            </w:tcBorders>
            <w:noWrap/>
            <w:vAlign w:val="bottom"/>
          </w:tcPr>
          <w:p w:rsidR="00EB1E5F" w:rsidRPr="002C0CD5" w:rsidP="00A033C4" w14:paraId="3B2EBA9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2509" w:type="dxa"/>
            <w:gridSpan w:val="3"/>
            <w:vMerge/>
            <w:tcBorders>
              <w:left w:val="single" w:sz="6" w:space="0" w:color="auto"/>
              <w:bottom w:val="single" w:sz="4" w:space="0" w:color="auto"/>
              <w:right w:val="single" w:sz="6" w:space="0" w:color="FFFFFF"/>
            </w:tcBorders>
            <w:noWrap/>
          </w:tcPr>
          <w:p w:rsidR="00EB1E5F" w:rsidRPr="002C0CD5" w:rsidP="00A033C4" w14:paraId="0AB9F4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c>
          <w:tcPr>
            <w:tcW w:w="2689" w:type="dxa"/>
            <w:gridSpan w:val="2"/>
            <w:tcBorders>
              <w:top w:val="single" w:sz="4" w:space="0" w:color="auto"/>
              <w:left w:val="double" w:sz="6" w:space="0" w:color="000000"/>
              <w:bottom w:val="single" w:sz="4" w:space="0" w:color="auto"/>
              <w:right w:val="single" w:sz="6" w:space="0" w:color="auto"/>
            </w:tcBorders>
            <w:noWrap/>
          </w:tcPr>
          <w:p w:rsidR="00EB1E5F" w:rsidRPr="002C0CD5" w:rsidP="00A033C4" w14:paraId="1AE3AA5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EB1E5F" w:rsidRPr="002C0CD5" w:rsidP="00A033C4" w14:paraId="2B0A4E7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45708E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0A0D625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3E81CB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146583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72" w:lineRule="auto"/>
              <w:rPr>
                <w:rFonts w:ascii="Arial Narrow" w:hAnsi="Arial Narrow"/>
                <w:sz w:val="17"/>
              </w:rPr>
            </w:pPr>
          </w:p>
          <w:p w:rsidR="00EB1E5F" w:rsidRPr="002C0CD5" w:rsidP="00A033C4" w14:paraId="156D692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3047" w:type="dxa"/>
            <w:gridSpan w:val="2"/>
            <w:tcBorders>
              <w:top w:val="single" w:sz="4" w:space="0" w:color="auto"/>
              <w:left w:val="single" w:sz="6" w:space="0" w:color="auto"/>
              <w:bottom w:val="single" w:sz="4" w:space="0" w:color="auto"/>
              <w:right w:val="double" w:sz="6" w:space="0" w:color="000000"/>
            </w:tcBorders>
            <w:shd w:val="clear" w:color="auto" w:fill="auto"/>
            <w:noWrap/>
          </w:tcPr>
          <w:p w:rsidR="00EB1E5F" w:rsidRPr="002C0CD5" w:rsidP="00A033C4" w14:paraId="21685D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3650-3700</w:t>
            </w:r>
          </w:p>
          <w:p w:rsidR="00EB1E5F" w:rsidRPr="002C0CD5" w:rsidP="00A033C4" w14:paraId="3BC6B20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50A8D5D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78207963"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NG169  NG185</w:t>
            </w:r>
          </w:p>
          <w:p w:rsidR="00EB1E5F" w:rsidRPr="002C0CD5" w:rsidP="00A033C4" w14:paraId="10DDB4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EB1E5F" w:rsidRPr="002C0CD5" w:rsidP="00A033C4" w14:paraId="246109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EB1E5F" w:rsidRPr="002C0CD5" w:rsidP="00A033C4" w14:paraId="39B57BC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US109  US349</w:t>
            </w:r>
          </w:p>
        </w:tc>
        <w:tc>
          <w:tcPr>
            <w:tcW w:w="1613" w:type="dxa"/>
            <w:gridSpan w:val="2"/>
            <w:vMerge/>
            <w:tcBorders>
              <w:left w:val="double" w:sz="6" w:space="0" w:color="000000"/>
              <w:bottom w:val="single" w:sz="4" w:space="0" w:color="auto"/>
              <w:right w:val="nil"/>
            </w:tcBorders>
            <w:noWrap/>
          </w:tcPr>
          <w:p w:rsidR="00EB1E5F" w:rsidRPr="002C0CD5" w:rsidP="00A033C4" w14:paraId="0259DE01"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059DAC3" w14:textId="77777777" w:rsidTr="00A033C4">
        <w:tblPrEx>
          <w:tblW w:w="5000" w:type="pct"/>
          <w:tblLayout w:type="fixed"/>
          <w:tblCellMar>
            <w:left w:w="58" w:type="dxa"/>
            <w:right w:w="0" w:type="dxa"/>
          </w:tblCellMar>
          <w:tblLook w:val="0000"/>
        </w:tblPrEx>
        <w:trPr>
          <w:trHeight w:val="228"/>
        </w:trPr>
        <w:tc>
          <w:tcPr>
            <w:tcW w:w="1743" w:type="dxa"/>
            <w:gridSpan w:val="2"/>
            <w:vMerge/>
            <w:tcBorders>
              <w:left w:val="nil"/>
              <w:bottom w:val="single" w:sz="4" w:space="0" w:color="auto"/>
              <w:right w:val="single" w:sz="6" w:space="0" w:color="auto"/>
            </w:tcBorders>
            <w:noWrap/>
          </w:tcPr>
          <w:p w:rsidR="00EB1E5F" w:rsidRPr="002C0CD5" w:rsidP="00A033C4" w14:paraId="2D156F2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92" w:lineRule="auto"/>
              <w:rPr>
                <w:rFonts w:ascii="Arial Narrow" w:hAnsi="Arial Narrow"/>
                <w:sz w:val="17"/>
              </w:rPr>
            </w:pPr>
          </w:p>
        </w:tc>
        <w:tc>
          <w:tcPr>
            <w:tcW w:w="4588" w:type="dxa"/>
            <w:gridSpan w:val="5"/>
            <w:tcBorders>
              <w:top w:val="single" w:sz="4" w:space="0" w:color="auto"/>
              <w:left w:val="single" w:sz="6" w:space="0" w:color="auto"/>
              <w:bottom w:val="single" w:sz="4" w:space="0" w:color="auto"/>
              <w:right w:val="single" w:sz="6" w:space="0" w:color="FFFFFF"/>
            </w:tcBorders>
            <w:noWrap/>
          </w:tcPr>
          <w:p w:rsidR="00EB1E5F" w:rsidRPr="002C0CD5" w:rsidP="00A033C4" w14:paraId="2A5677A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EB1E5F" w:rsidRPr="002C0CD5" w:rsidP="00A033C4" w14:paraId="5238E98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6C63D22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4C823AD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rPr>
                <w:rFonts w:ascii="Arial Narrow" w:hAnsi="Arial Narrow"/>
                <w:sz w:val="17"/>
              </w:rPr>
            </w:pPr>
            <w:r w:rsidRPr="002C0CD5">
              <w:rPr>
                <w:rFonts w:ascii="Arial Narrow" w:hAnsi="Arial Narrow"/>
                <w:sz w:val="17"/>
              </w:rPr>
              <w:t>MOBILE except aeronautical mobile</w:t>
            </w:r>
          </w:p>
        </w:tc>
        <w:tc>
          <w:tcPr>
            <w:tcW w:w="2689" w:type="dxa"/>
            <w:gridSpan w:val="2"/>
            <w:tcBorders>
              <w:top w:val="single" w:sz="4" w:space="0" w:color="auto"/>
              <w:left w:val="double" w:sz="6" w:space="0" w:color="000000"/>
              <w:bottom w:val="single" w:sz="4" w:space="0" w:color="auto"/>
              <w:right w:val="single" w:sz="6" w:space="0" w:color="auto"/>
            </w:tcBorders>
            <w:noWrap/>
          </w:tcPr>
          <w:p w:rsidR="00EB1E5F" w:rsidRPr="002C0CD5" w:rsidP="00A033C4" w14:paraId="3B195E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tc>
        <w:tc>
          <w:tcPr>
            <w:tcW w:w="3047" w:type="dxa"/>
            <w:gridSpan w:val="2"/>
            <w:tcBorders>
              <w:top w:val="single" w:sz="4" w:space="0" w:color="auto"/>
              <w:left w:val="single" w:sz="6" w:space="0" w:color="auto"/>
              <w:bottom w:val="single" w:sz="4" w:space="0" w:color="auto"/>
              <w:right w:val="double" w:sz="6" w:space="0" w:color="000000"/>
            </w:tcBorders>
            <w:noWrap/>
          </w:tcPr>
          <w:p w:rsidR="00EB1E5F" w:rsidRPr="002C0CD5" w:rsidP="00A033C4" w14:paraId="5739AE7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3700-4200</w:t>
            </w:r>
          </w:p>
          <w:p w:rsidR="00EB1E5F" w:rsidRPr="002C0CD5" w:rsidP="00A033C4" w14:paraId="5AE6658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53D25153" w14:textId="77777777">
            <w:pPr>
              <w:tabs>
                <w:tab w:val="left" w:pos="-855"/>
                <w:tab w:val="left" w:pos="-252"/>
                <w:tab w:val="left" w:pos="288"/>
                <w:tab w:val="left" w:pos="1008"/>
                <w:tab w:val="left" w:pos="1548"/>
                <w:tab w:val="left" w:pos="190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4686B01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w:t>
            </w:r>
            <w:r w:rsidRPr="002C4225">
              <w:rPr>
                <w:rFonts w:ascii="Arial Narrow" w:hAnsi="Arial Narrow"/>
                <w:sz w:val="17"/>
              </w:rPr>
              <w:t>NG457A</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381E8BD8"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06E7B25E"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 xml:space="preserve">Satellite </w:t>
            </w:r>
          </w:p>
          <w:p w:rsidR="00EB1E5F" w:rsidRPr="002C0CD5" w:rsidP="00A033C4" w14:paraId="01B26BE9" w14:textId="77777777">
            <w:pPr>
              <w:tabs>
                <w:tab w:val="left" w:pos="-855"/>
                <w:tab w:val="left" w:pos="-252"/>
                <w:tab w:val="left" w:pos="288"/>
                <w:tab w:val="left" w:pos="1008"/>
                <w:tab w:val="left" w:pos="154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Communications (25)</w:t>
            </w:r>
          </w:p>
          <w:p w:rsidR="00EB1E5F" w:rsidRPr="002C0CD5" w:rsidP="00A033C4" w14:paraId="34E2801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right="-180"/>
              <w:rPr>
                <w:rFonts w:ascii="Arial Narrow" w:hAnsi="Arial Narrow"/>
                <w:sz w:val="17"/>
              </w:rPr>
            </w:pPr>
            <w:r w:rsidRPr="002C0CD5">
              <w:rPr>
                <w:rFonts w:ascii="Arial Narrow" w:hAnsi="Arial Narrow"/>
                <w:sz w:val="17"/>
              </w:rPr>
              <w:t>Fixed Microwave (101)</w:t>
            </w:r>
          </w:p>
        </w:tc>
      </w:tr>
      <w:tr w14:paraId="4AD70EFA" w14:textId="77777777" w:rsidTr="00A033C4">
        <w:tblPrEx>
          <w:tblW w:w="5000" w:type="pct"/>
          <w:tblLayout w:type="fixed"/>
          <w:tblCellMar>
            <w:left w:w="58" w:type="dxa"/>
            <w:right w:w="0" w:type="dxa"/>
          </w:tblCellMar>
          <w:tblLook w:val="0000"/>
        </w:tblPrEx>
        <w:trPr>
          <w:trHeight w:val="489"/>
        </w:trPr>
        <w:tc>
          <w:tcPr>
            <w:tcW w:w="6331" w:type="dxa"/>
            <w:gridSpan w:val="7"/>
            <w:tcBorders>
              <w:top w:val="single" w:sz="4" w:space="0" w:color="auto"/>
              <w:left w:val="nil"/>
              <w:bottom w:val="single" w:sz="4" w:space="0" w:color="auto"/>
              <w:right w:val="nil"/>
            </w:tcBorders>
            <w:noWrap/>
          </w:tcPr>
          <w:p w:rsidR="00EB1E5F" w:rsidRPr="002C0CD5" w:rsidP="00A033C4" w14:paraId="422A4FD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br w:type="page"/>
              <w:t>4200-4400</w:t>
            </w:r>
          </w:p>
          <w:p w:rsidR="00EB1E5F" w:rsidP="00A033C4" w14:paraId="6C45E5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Pr>
                <w:rFonts w:ascii="Arial Narrow" w:hAnsi="Arial Narrow"/>
                <w:sz w:val="17"/>
              </w:rPr>
              <w:t>AERONAUTICAL MOBILE (R)  5.436</w:t>
            </w:r>
          </w:p>
          <w:p w:rsidR="00EB1E5F" w:rsidRPr="002C0CD5" w:rsidP="00A033C4" w14:paraId="50869133"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AERONAUTICAL RADIONAVIGATION  5.438</w:t>
            </w:r>
          </w:p>
          <w:p w:rsidR="00EB1E5F" w:rsidRPr="002C0CD5" w:rsidP="00A033C4" w14:paraId="557D315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4"/>
              <w:rPr>
                <w:rFonts w:ascii="Arial Narrow" w:hAnsi="Arial Narrow"/>
                <w:sz w:val="17"/>
              </w:rPr>
            </w:pPr>
          </w:p>
          <w:p w:rsidR="00EB1E5F" w:rsidRPr="002C0CD5" w:rsidP="00A033C4" w14:paraId="3EDB7C79"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8"/>
              <w:rPr>
                <w:rFonts w:ascii="Arial Narrow" w:hAnsi="Arial Narrow"/>
                <w:sz w:val="17"/>
              </w:rPr>
            </w:pPr>
            <w:r>
              <w:rPr>
                <w:rFonts w:ascii="Arial Narrow" w:hAnsi="Arial Narrow"/>
                <w:sz w:val="17"/>
              </w:rPr>
              <w:t xml:space="preserve">5.437  </w:t>
            </w:r>
            <w:r w:rsidRPr="002C0CD5">
              <w:rPr>
                <w:rFonts w:ascii="Arial Narrow" w:hAnsi="Arial Narrow"/>
                <w:sz w:val="17"/>
              </w:rPr>
              <w:t>5.439  5.440</w:t>
            </w:r>
          </w:p>
        </w:tc>
        <w:tc>
          <w:tcPr>
            <w:tcW w:w="5736" w:type="dxa"/>
            <w:gridSpan w:val="4"/>
            <w:tcBorders>
              <w:top w:val="single" w:sz="4" w:space="0" w:color="auto"/>
              <w:left w:val="double" w:sz="6" w:space="0" w:color="000000"/>
              <w:bottom w:val="single" w:sz="4" w:space="0" w:color="auto"/>
              <w:right w:val="nil"/>
            </w:tcBorders>
            <w:noWrap/>
          </w:tcPr>
          <w:p w:rsidR="00EB1E5F" w:rsidRPr="002C0CD5" w:rsidP="00A033C4" w14:paraId="054316EF"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4200-4400</w:t>
            </w:r>
          </w:p>
          <w:p w:rsidR="00EB1E5F" w:rsidP="00A033C4" w14:paraId="79D394A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AERONAUTICAL RADIONAVIGATION</w:t>
            </w:r>
          </w:p>
          <w:p w:rsidR="00EB1E5F" w:rsidRPr="002C0CD5" w:rsidP="00A033C4" w14:paraId="44FAD5F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65EF0B9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rPr>
                <w:rFonts w:ascii="Arial Narrow" w:hAnsi="Arial Narrow"/>
                <w:sz w:val="17"/>
              </w:rPr>
            </w:pPr>
          </w:p>
          <w:p w:rsidR="00EB1E5F" w:rsidRPr="002C0CD5" w:rsidP="00A033C4" w14:paraId="1E9D90A8"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5.440  US261</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1DC331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645C7A9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Aviation (87)</w:t>
            </w:r>
          </w:p>
        </w:tc>
      </w:tr>
      <w:tr w14:paraId="243A93DA" w14:textId="77777777" w:rsidTr="00A033C4">
        <w:tblPrEx>
          <w:tblW w:w="5000" w:type="pct"/>
          <w:tblLayout w:type="fixed"/>
          <w:tblCellMar>
            <w:left w:w="58" w:type="dxa"/>
            <w:right w:w="0" w:type="dxa"/>
          </w:tblCellMar>
          <w:tblLook w:val="0000"/>
        </w:tblPrEx>
        <w:tc>
          <w:tcPr>
            <w:tcW w:w="6331" w:type="dxa"/>
            <w:gridSpan w:val="7"/>
            <w:tcBorders>
              <w:top w:val="single" w:sz="4" w:space="0" w:color="auto"/>
              <w:left w:val="nil"/>
              <w:bottom w:val="single" w:sz="6" w:space="0" w:color="FFFFFF"/>
              <w:right w:val="nil"/>
            </w:tcBorders>
            <w:noWrap/>
          </w:tcPr>
          <w:p w:rsidR="00EB1E5F" w:rsidRPr="002C0CD5" w:rsidP="00A033C4" w14:paraId="376661C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4400-4500</w:t>
            </w:r>
          </w:p>
          <w:p w:rsidR="00EB1E5F" w:rsidRPr="002C0CD5" w:rsidP="00A033C4" w14:paraId="6DC25B7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EB1E5F" w:rsidRPr="002C0CD5" w:rsidP="00A033C4" w14:paraId="543C09A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MOBILE  5.440A</w:t>
            </w:r>
          </w:p>
        </w:tc>
        <w:tc>
          <w:tcPr>
            <w:tcW w:w="2689" w:type="dxa"/>
            <w:gridSpan w:val="2"/>
            <w:vMerge w:val="restart"/>
            <w:tcBorders>
              <w:top w:val="single" w:sz="4" w:space="0" w:color="auto"/>
              <w:left w:val="double" w:sz="6" w:space="0" w:color="000000"/>
              <w:right w:val="single" w:sz="6" w:space="0" w:color="FFFFFF"/>
            </w:tcBorders>
            <w:shd w:val="clear" w:color="auto" w:fill="auto"/>
            <w:noWrap/>
          </w:tcPr>
          <w:p w:rsidR="00EB1E5F" w:rsidRPr="002C0CD5" w:rsidP="00A033C4" w14:paraId="1E4BE7B9" w14:textId="77777777">
            <w:pPr>
              <w:tabs>
                <w:tab w:val="left" w:pos="-855"/>
                <w:tab w:val="left" w:pos="-252"/>
                <w:tab w:val="left" w:pos="288"/>
                <w:tab w:val="left" w:pos="1008"/>
                <w:tab w:val="left" w:pos="1232"/>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4400-4940</w:t>
            </w:r>
          </w:p>
          <w:p w:rsidR="00EB1E5F" w:rsidRPr="002C0CD5" w:rsidP="00A033C4" w14:paraId="61056EA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28741E8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w:t>
            </w:r>
          </w:p>
        </w:tc>
        <w:tc>
          <w:tcPr>
            <w:tcW w:w="3047" w:type="dxa"/>
            <w:gridSpan w:val="2"/>
            <w:tcBorders>
              <w:top w:val="single" w:sz="4" w:space="0" w:color="auto"/>
              <w:left w:val="single" w:sz="6" w:space="0" w:color="000000"/>
              <w:bottom w:val="single" w:sz="4" w:space="0" w:color="auto"/>
              <w:right w:val="single" w:sz="6" w:space="0" w:color="FFFFFF"/>
            </w:tcBorders>
            <w:shd w:val="clear" w:color="auto" w:fill="auto"/>
            <w:noWrap/>
          </w:tcPr>
          <w:p w:rsidR="00EB1E5F" w:rsidRPr="002C0CD5" w:rsidP="00A033C4" w14:paraId="09C494B7"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4400-4500</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5589D84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16A1745" w14:textId="77777777" w:rsidTr="00A033C4">
        <w:tblPrEx>
          <w:tblW w:w="5000" w:type="pct"/>
          <w:tblLayout w:type="fixed"/>
          <w:tblCellMar>
            <w:left w:w="58" w:type="dxa"/>
            <w:right w:w="0" w:type="dxa"/>
          </w:tblCellMar>
          <w:tblLook w:val="0000"/>
        </w:tblPrEx>
        <w:trPr>
          <w:trHeight w:val="237"/>
        </w:trPr>
        <w:tc>
          <w:tcPr>
            <w:tcW w:w="6331" w:type="dxa"/>
            <w:gridSpan w:val="7"/>
            <w:tcBorders>
              <w:top w:val="single" w:sz="4" w:space="0" w:color="auto"/>
              <w:left w:val="nil"/>
              <w:bottom w:val="single" w:sz="4" w:space="0" w:color="auto"/>
              <w:right w:val="nil"/>
            </w:tcBorders>
            <w:noWrap/>
          </w:tcPr>
          <w:p w:rsidR="00EB1E5F" w:rsidRPr="002C0CD5" w:rsidP="00A033C4" w14:paraId="7646E24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4500-4800</w:t>
            </w:r>
          </w:p>
          <w:p w:rsidR="00EB1E5F" w:rsidRPr="002C0CD5" w:rsidP="00A033C4" w14:paraId="186437C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w:t>
            </w:r>
          </w:p>
          <w:p w:rsidR="00EB1E5F" w:rsidRPr="002C0CD5" w:rsidP="00A033C4" w14:paraId="57BBBF2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8"/>
              <w:rPr>
                <w:rFonts w:ascii="Arial Narrow" w:hAnsi="Arial Narrow"/>
                <w:sz w:val="17"/>
              </w:rPr>
            </w:pPr>
            <w:r w:rsidRPr="002C0CD5">
              <w:rPr>
                <w:rFonts w:ascii="Arial Narrow" w:hAnsi="Arial Narrow"/>
                <w:sz w:val="17"/>
              </w:rPr>
              <w:t>FIXED-SATELLITE (space-to-Earth)  5.441</w:t>
            </w:r>
          </w:p>
          <w:p w:rsidR="00EB1E5F" w:rsidRPr="002C0CD5" w:rsidP="00A033C4" w14:paraId="58A1256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after="10"/>
              <w:ind w:left="-58"/>
              <w:rPr>
                <w:rFonts w:ascii="Arial Narrow" w:hAnsi="Arial Narrow"/>
                <w:sz w:val="17"/>
              </w:rPr>
            </w:pPr>
            <w:r w:rsidRPr="002C0CD5">
              <w:rPr>
                <w:rFonts w:ascii="Arial Narrow" w:hAnsi="Arial Narrow"/>
                <w:sz w:val="17"/>
              </w:rPr>
              <w:t>MOBILE  5.440A</w:t>
            </w:r>
          </w:p>
        </w:tc>
        <w:tc>
          <w:tcPr>
            <w:tcW w:w="2689" w:type="dxa"/>
            <w:gridSpan w:val="2"/>
            <w:vMerge/>
            <w:tcBorders>
              <w:top w:val="single" w:sz="4" w:space="0" w:color="auto"/>
              <w:left w:val="double" w:sz="6" w:space="0" w:color="000000"/>
              <w:right w:val="single" w:sz="6" w:space="0" w:color="FFFFFF"/>
            </w:tcBorders>
            <w:shd w:val="clear" w:color="auto" w:fill="auto"/>
            <w:noWrap/>
          </w:tcPr>
          <w:p w:rsidR="00EB1E5F" w:rsidRPr="002C0CD5" w:rsidP="00A033C4" w14:paraId="3925431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p>
        </w:tc>
        <w:tc>
          <w:tcPr>
            <w:tcW w:w="3047" w:type="dxa"/>
            <w:gridSpan w:val="2"/>
            <w:tcBorders>
              <w:top w:val="single" w:sz="4" w:space="0" w:color="auto"/>
              <w:left w:val="single" w:sz="6" w:space="0" w:color="000000"/>
              <w:bottom w:val="single" w:sz="4" w:space="0" w:color="auto"/>
              <w:right w:val="single" w:sz="6" w:space="0" w:color="FFFFFF"/>
            </w:tcBorders>
            <w:shd w:val="clear" w:color="auto" w:fill="auto"/>
            <w:noWrap/>
          </w:tcPr>
          <w:p w:rsidR="00EB1E5F" w:rsidRPr="002C0CD5" w:rsidP="00A033C4" w14:paraId="658B1B7F"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4500-4800</w:t>
            </w:r>
          </w:p>
          <w:p w:rsidR="00EB1E5F" w:rsidRPr="002C0CD5" w:rsidP="00A033C4" w14:paraId="24AAD10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FIXED-SATELLITE (space-to-Earth)</w:t>
            </w:r>
          </w:p>
          <w:p w:rsidR="00EB1E5F" w:rsidRPr="002C0CD5" w:rsidP="00A033C4" w14:paraId="4822812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 xml:space="preserve">   5.441  US245</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6EC11C5D"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75C84C84" w14:textId="77777777" w:rsidTr="00A033C4">
        <w:tblPrEx>
          <w:tblW w:w="5000" w:type="pct"/>
          <w:tblLayout w:type="fixed"/>
          <w:tblCellMar>
            <w:left w:w="58" w:type="dxa"/>
            <w:right w:w="0" w:type="dxa"/>
          </w:tblCellMar>
          <w:tblLook w:val="0000"/>
        </w:tblPrEx>
        <w:trPr>
          <w:trHeight w:val="237"/>
        </w:trPr>
        <w:tc>
          <w:tcPr>
            <w:tcW w:w="6331" w:type="dxa"/>
            <w:gridSpan w:val="7"/>
            <w:vMerge w:val="restart"/>
            <w:tcBorders>
              <w:top w:val="single" w:sz="4" w:space="0" w:color="auto"/>
              <w:left w:val="nil"/>
              <w:bottom w:val="single" w:sz="4" w:space="0" w:color="auto"/>
              <w:right w:val="nil"/>
            </w:tcBorders>
            <w:noWrap/>
          </w:tcPr>
          <w:p w:rsidR="00EB1E5F" w:rsidRPr="002C0CD5" w:rsidP="00A033C4" w14:paraId="5E0B72BA"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4800-4990</w:t>
            </w:r>
          </w:p>
          <w:p w:rsidR="00EB1E5F" w:rsidRPr="002C0CD5" w:rsidP="00A033C4" w14:paraId="783D406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FIXED</w:t>
            </w:r>
          </w:p>
          <w:p w:rsidR="00EB1E5F" w:rsidRPr="002C0CD5" w:rsidP="00A033C4" w14:paraId="60DCBE3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 xml:space="preserve">MOBILE  5.440A  </w:t>
            </w:r>
            <w:r>
              <w:rPr>
                <w:rFonts w:ascii="Arial Narrow" w:hAnsi="Arial Narrow"/>
                <w:sz w:val="17"/>
              </w:rPr>
              <w:t xml:space="preserve">5.441A  5.441B  </w:t>
            </w:r>
            <w:r w:rsidRPr="002C0CD5">
              <w:rPr>
                <w:rFonts w:ascii="Arial Narrow" w:hAnsi="Arial Narrow"/>
                <w:sz w:val="17"/>
              </w:rPr>
              <w:t>5.442</w:t>
            </w:r>
          </w:p>
          <w:p w:rsidR="00EB1E5F" w:rsidP="00A033C4" w14:paraId="0F7ABF5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Radio astronomy</w:t>
            </w:r>
          </w:p>
          <w:p w:rsidR="00EB1E5F" w:rsidP="00A033C4" w14:paraId="730C3C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p>
          <w:p w:rsidR="00EB1E5F" w:rsidRPr="002C0CD5" w:rsidP="00A033C4" w14:paraId="376BCD0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96" w:lineRule="auto"/>
              <w:ind w:left="-58"/>
              <w:rPr>
                <w:rFonts w:ascii="Arial Narrow" w:hAnsi="Arial Narrow"/>
                <w:sz w:val="17"/>
              </w:rPr>
            </w:pPr>
          </w:p>
          <w:p w:rsidR="00EB1E5F" w:rsidRPr="002C0CD5" w:rsidP="00A033C4" w14:paraId="3DA555F1"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5.149  5.339  5.443</w:t>
            </w:r>
          </w:p>
        </w:tc>
        <w:tc>
          <w:tcPr>
            <w:tcW w:w="2689" w:type="dxa"/>
            <w:gridSpan w:val="2"/>
            <w:tcBorders>
              <w:left w:val="double" w:sz="6" w:space="0" w:color="000000"/>
              <w:bottom w:val="single" w:sz="4" w:space="0" w:color="auto"/>
              <w:right w:val="single" w:sz="6" w:space="0" w:color="FFFFFF"/>
            </w:tcBorders>
            <w:shd w:val="clear" w:color="auto" w:fill="auto"/>
            <w:noWrap/>
            <w:vAlign w:val="bottom"/>
          </w:tcPr>
          <w:p w:rsidR="00EB1E5F" w:rsidRPr="002C0CD5" w:rsidP="00A033C4" w14:paraId="0ADED492"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US245  US342</w:t>
            </w:r>
          </w:p>
        </w:tc>
        <w:tc>
          <w:tcPr>
            <w:tcW w:w="3047" w:type="dxa"/>
            <w:gridSpan w:val="2"/>
            <w:tcBorders>
              <w:top w:val="single" w:sz="4" w:space="0" w:color="auto"/>
              <w:left w:val="single" w:sz="6" w:space="0" w:color="000000"/>
              <w:bottom w:val="single" w:sz="4" w:space="0" w:color="auto"/>
              <w:right w:val="single" w:sz="6" w:space="0" w:color="FFFFFF"/>
            </w:tcBorders>
            <w:shd w:val="clear" w:color="auto" w:fill="auto"/>
            <w:noWrap/>
          </w:tcPr>
          <w:p w:rsidR="00EB1E5F" w:rsidRPr="002C0CD5" w:rsidP="00A033C4" w14:paraId="218DAC99" w14:textId="77777777">
            <w:pPr>
              <w:tabs>
                <w:tab w:val="left" w:pos="-855"/>
                <w:tab w:val="left" w:pos="-252"/>
                <w:tab w:val="left" w:pos="288"/>
                <w:tab w:val="left" w:pos="1008"/>
                <w:tab w:val="left" w:pos="1060"/>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4800-4940</w:t>
            </w:r>
          </w:p>
          <w:p w:rsidR="00EB1E5F" w:rsidRPr="002C0CD5" w:rsidP="00A033C4" w14:paraId="53232EF7"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US113  US342</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07CD9B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r w14:paraId="0CD33AA6" w14:textId="77777777" w:rsidTr="00A033C4">
        <w:tblPrEx>
          <w:tblW w:w="5000" w:type="pct"/>
          <w:tblLayout w:type="fixed"/>
          <w:tblCellMar>
            <w:left w:w="58" w:type="dxa"/>
            <w:right w:w="0" w:type="dxa"/>
          </w:tblCellMar>
          <w:tblLook w:val="0000"/>
        </w:tblPrEx>
        <w:trPr>
          <w:trHeight w:val="45"/>
        </w:trPr>
        <w:tc>
          <w:tcPr>
            <w:tcW w:w="6331" w:type="dxa"/>
            <w:gridSpan w:val="7"/>
            <w:vMerge/>
            <w:tcBorders>
              <w:top w:val="single" w:sz="4" w:space="0" w:color="auto"/>
              <w:left w:val="nil"/>
              <w:bottom w:val="single" w:sz="4" w:space="0" w:color="auto"/>
              <w:right w:val="nil"/>
            </w:tcBorders>
            <w:noWrap/>
            <w:vAlign w:val="bottom"/>
          </w:tcPr>
          <w:p w:rsidR="00EB1E5F" w:rsidRPr="002C0CD5" w:rsidP="00A033C4" w14:paraId="202C655B"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p>
        </w:tc>
        <w:tc>
          <w:tcPr>
            <w:tcW w:w="2689" w:type="dxa"/>
            <w:gridSpan w:val="2"/>
            <w:tcBorders>
              <w:top w:val="single" w:sz="4" w:space="0" w:color="auto"/>
              <w:left w:val="double" w:sz="6" w:space="0" w:color="000000"/>
              <w:bottom w:val="single" w:sz="4" w:space="0" w:color="auto"/>
              <w:right w:val="single" w:sz="6" w:space="0" w:color="FFFFFF"/>
            </w:tcBorders>
            <w:shd w:val="clear" w:color="auto" w:fill="auto"/>
            <w:noWrap/>
          </w:tcPr>
          <w:p w:rsidR="00EB1E5F" w:rsidRPr="002C0CD5" w:rsidP="00A033C4" w14:paraId="6239223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EB1E5F" w:rsidRPr="002C0CD5" w:rsidP="00A033C4" w14:paraId="44E2366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354DDD84"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0737F17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EB1E5F" w:rsidRPr="002C0CD5" w:rsidP="00A033C4" w14:paraId="083713E9"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  G122</w:t>
            </w:r>
          </w:p>
        </w:tc>
        <w:tc>
          <w:tcPr>
            <w:tcW w:w="3047" w:type="dxa"/>
            <w:gridSpan w:val="2"/>
            <w:tcBorders>
              <w:top w:val="single" w:sz="4" w:space="0" w:color="auto"/>
              <w:left w:val="single" w:sz="6" w:space="0" w:color="000000"/>
              <w:bottom w:val="single" w:sz="4" w:space="0" w:color="auto"/>
              <w:right w:val="single" w:sz="6" w:space="0" w:color="FFFFFF"/>
            </w:tcBorders>
            <w:shd w:val="clear" w:color="auto" w:fill="auto"/>
            <w:noWrap/>
          </w:tcPr>
          <w:p w:rsidR="00EB1E5F" w:rsidRPr="002C0CD5" w:rsidP="00A033C4" w14:paraId="44039588"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4940-4990</w:t>
            </w:r>
          </w:p>
          <w:p w:rsidR="00EB1E5F" w:rsidRPr="002C0CD5" w:rsidP="00A033C4" w14:paraId="588C4B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FIXED</w:t>
            </w:r>
          </w:p>
          <w:p w:rsidR="00EB1E5F" w:rsidRPr="002C0CD5" w:rsidP="00A033C4" w14:paraId="193D8B4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MOBILE except aeronautical mobile</w:t>
            </w:r>
          </w:p>
          <w:p w:rsidR="00EB1E5F" w:rsidRPr="002C0CD5" w:rsidP="00A033C4" w14:paraId="6914A99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EB1E5F" w:rsidRPr="002C0CD5" w:rsidP="00A033C4" w14:paraId="58BBB3D1"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5.339  US342  US385</w:t>
            </w:r>
          </w:p>
        </w:tc>
        <w:tc>
          <w:tcPr>
            <w:tcW w:w="1613" w:type="dxa"/>
            <w:gridSpan w:val="2"/>
            <w:tcBorders>
              <w:top w:val="single" w:sz="4" w:space="0" w:color="auto"/>
              <w:left w:val="double" w:sz="6" w:space="0" w:color="000000"/>
              <w:bottom w:val="single" w:sz="4" w:space="0" w:color="auto"/>
              <w:right w:val="nil"/>
            </w:tcBorders>
            <w:shd w:val="clear" w:color="auto" w:fill="auto"/>
            <w:noWrap/>
          </w:tcPr>
          <w:p w:rsidR="00EB1E5F" w:rsidRPr="002C0CD5" w:rsidP="00A033C4" w14:paraId="33EE3337"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p w:rsidR="00EB1E5F" w:rsidRPr="002C0CD5" w:rsidP="00A033C4" w14:paraId="542F9A19"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Public Safety Land</w:t>
            </w:r>
          </w:p>
          <w:p w:rsidR="00EB1E5F" w:rsidRPr="002C0CD5" w:rsidP="00A033C4" w14:paraId="4137981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04" w:lineRule="auto"/>
              <w:rPr>
                <w:rFonts w:ascii="Arial Narrow" w:hAnsi="Arial Narrow"/>
                <w:sz w:val="17"/>
              </w:rPr>
            </w:pPr>
            <w:r w:rsidRPr="002C0CD5">
              <w:rPr>
                <w:rFonts w:ascii="Arial Narrow" w:hAnsi="Arial Narrow"/>
                <w:sz w:val="17"/>
              </w:rPr>
              <w:t xml:space="preserve">   Mobile (90Y)</w:t>
            </w:r>
          </w:p>
        </w:tc>
      </w:tr>
      <w:tr w14:paraId="139A1D91" w14:textId="77777777" w:rsidTr="00A033C4">
        <w:tblPrEx>
          <w:tblW w:w="5000" w:type="pct"/>
          <w:tblLayout w:type="fixed"/>
          <w:tblCellMar>
            <w:left w:w="58" w:type="dxa"/>
            <w:right w:w="0" w:type="dxa"/>
          </w:tblCellMar>
          <w:tblLook w:val="0000"/>
        </w:tblPrEx>
        <w:trPr>
          <w:trHeight w:val="51"/>
        </w:trPr>
        <w:tc>
          <w:tcPr>
            <w:tcW w:w="6331" w:type="dxa"/>
            <w:gridSpan w:val="7"/>
            <w:tcBorders>
              <w:top w:val="single" w:sz="4" w:space="0" w:color="auto"/>
              <w:left w:val="nil"/>
              <w:bottom w:val="single" w:sz="4" w:space="0" w:color="auto"/>
              <w:right w:val="nil"/>
            </w:tcBorders>
            <w:noWrap/>
          </w:tcPr>
          <w:p w:rsidR="00EB1E5F" w:rsidRPr="002C0CD5" w:rsidP="00A033C4" w14:paraId="1E7DA8E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ind w:left="-54"/>
              <w:rPr>
                <w:rFonts w:ascii="Arial Narrow" w:hAnsi="Arial Narrow"/>
                <w:sz w:val="17"/>
              </w:rPr>
            </w:pPr>
            <w:r w:rsidRPr="002C0CD5">
              <w:rPr>
                <w:rFonts w:ascii="Arial Narrow" w:hAnsi="Arial Narrow"/>
                <w:sz w:val="17"/>
              </w:rPr>
              <w:t>4990-5000</w:t>
            </w:r>
          </w:p>
          <w:p w:rsidR="00EB1E5F" w:rsidRPr="002C0CD5" w:rsidP="00A033C4" w14:paraId="55C675E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FIXED</w:t>
            </w:r>
          </w:p>
          <w:p w:rsidR="00EB1E5F" w:rsidRPr="002C0CD5" w:rsidP="00A033C4" w14:paraId="39A5BE50"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MOBILE except aeronautical mobile</w:t>
            </w:r>
          </w:p>
          <w:p w:rsidR="00EB1E5F" w:rsidRPr="002C0CD5" w:rsidP="00A033C4" w14:paraId="2682E106"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RADIO ASTRONOMY</w:t>
            </w:r>
          </w:p>
          <w:p w:rsidR="00EB1E5F" w:rsidRPr="002C0CD5" w:rsidP="00A033C4" w14:paraId="05FF747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ind w:left="-54"/>
              <w:rPr>
                <w:rFonts w:ascii="Arial Narrow" w:hAnsi="Arial Narrow"/>
                <w:sz w:val="17"/>
              </w:rPr>
            </w:pPr>
            <w:r w:rsidRPr="002C0CD5">
              <w:rPr>
                <w:rFonts w:ascii="Arial Narrow" w:hAnsi="Arial Narrow"/>
                <w:sz w:val="17"/>
              </w:rPr>
              <w:t>Space research (passive)</w:t>
            </w:r>
          </w:p>
          <w:p w:rsidR="00EB1E5F" w:rsidRPr="002C0CD5" w:rsidP="00A033C4" w14:paraId="342449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ind w:left="-58"/>
              <w:rPr>
                <w:rFonts w:ascii="Arial Narrow" w:hAnsi="Arial Narrow"/>
                <w:sz w:val="17"/>
              </w:rPr>
            </w:pPr>
          </w:p>
          <w:p w:rsidR="00EB1E5F" w:rsidRPr="002C0CD5" w:rsidP="00A033C4" w14:paraId="6F1A3F43" w14:textId="77777777">
            <w:pPr>
              <w:tabs>
                <w:tab w:val="left" w:pos="-855"/>
                <w:tab w:val="left" w:pos="-252"/>
                <w:tab w:val="left" w:pos="288"/>
                <w:tab w:val="left" w:pos="1008"/>
                <w:tab w:val="left" w:pos="1548"/>
                <w:tab w:val="left" w:pos="244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0980"/>
                <w:tab w:val="left" w:pos="11088"/>
                <w:tab w:val="left" w:pos="11808"/>
                <w:tab w:val="left" w:pos="12528"/>
                <w:tab w:val="left" w:pos="13248"/>
              </w:tabs>
              <w:suppressAutoHyphens/>
              <w:spacing w:line="204" w:lineRule="auto"/>
              <w:ind w:left="-54"/>
              <w:rPr>
                <w:rFonts w:ascii="Arial Narrow" w:hAnsi="Arial Narrow"/>
                <w:sz w:val="17"/>
              </w:rPr>
            </w:pPr>
            <w:r w:rsidRPr="002C0CD5">
              <w:rPr>
                <w:rFonts w:ascii="Arial Narrow" w:hAnsi="Arial Narrow"/>
                <w:sz w:val="17"/>
              </w:rPr>
              <w:t>5.149</w:t>
            </w:r>
          </w:p>
        </w:tc>
        <w:tc>
          <w:tcPr>
            <w:tcW w:w="5736" w:type="dxa"/>
            <w:gridSpan w:val="4"/>
            <w:tcBorders>
              <w:top w:val="single" w:sz="4" w:space="0" w:color="auto"/>
              <w:left w:val="double" w:sz="6" w:space="0" w:color="000000"/>
              <w:bottom w:val="single" w:sz="4" w:space="0" w:color="auto"/>
              <w:right w:val="nil"/>
            </w:tcBorders>
            <w:noWrap/>
          </w:tcPr>
          <w:p w:rsidR="00EB1E5F" w:rsidRPr="002C0CD5" w:rsidP="00A033C4" w14:paraId="5CF9DD95"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r w:rsidRPr="002C0CD5">
              <w:rPr>
                <w:rFonts w:ascii="Arial Narrow" w:hAnsi="Arial Narrow"/>
                <w:sz w:val="17"/>
              </w:rPr>
              <w:t>4990-5000</w:t>
            </w:r>
          </w:p>
          <w:p w:rsidR="00EB1E5F" w:rsidRPr="002C0CD5" w:rsidP="00A033C4" w14:paraId="78B67AD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RADIO ASTRONOMY  US74</w:t>
            </w:r>
          </w:p>
          <w:p w:rsidR="00EB1E5F" w:rsidRPr="002C0CD5" w:rsidP="00A033C4" w14:paraId="0B94530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r w:rsidRPr="002C0CD5">
              <w:rPr>
                <w:rFonts w:ascii="Arial Narrow" w:hAnsi="Arial Narrow"/>
                <w:sz w:val="17"/>
              </w:rPr>
              <w:t>Space research (passive)</w:t>
            </w:r>
          </w:p>
          <w:p w:rsidR="00EB1E5F" w:rsidRPr="002C0CD5" w:rsidP="00A033C4" w14:paraId="5442900E"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EB1E5F" w:rsidRPr="002C0CD5" w:rsidP="00A033C4" w14:paraId="189D58BB"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228" w:lineRule="auto"/>
              <w:rPr>
                <w:rFonts w:ascii="Arial Narrow" w:hAnsi="Arial Narrow"/>
                <w:sz w:val="17"/>
              </w:rPr>
            </w:pPr>
          </w:p>
          <w:p w:rsidR="00EB1E5F" w:rsidRPr="002C0CD5" w:rsidP="00A033C4" w14:paraId="6761CA22"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spacing w:line="108" w:lineRule="auto"/>
              <w:rPr>
                <w:rFonts w:ascii="Arial Narrow" w:hAnsi="Arial Narrow"/>
                <w:sz w:val="17"/>
              </w:rPr>
            </w:pPr>
          </w:p>
          <w:p w:rsidR="00EB1E5F" w:rsidRPr="002C0CD5" w:rsidP="00A033C4" w14:paraId="2D947024" w14:textId="77777777">
            <w:pPr>
              <w:tabs>
                <w:tab w:val="left" w:pos="0"/>
                <w:tab w:val="left" w:pos="336"/>
                <w:tab w:val="left" w:pos="1908"/>
                <w:tab w:val="left" w:pos="2880"/>
                <w:tab w:val="left" w:pos="3600"/>
                <w:tab w:val="left" w:pos="4320"/>
                <w:tab w:val="left" w:pos="5040"/>
              </w:tabs>
              <w:suppressAutoHyphens/>
              <w:spacing w:line="204" w:lineRule="auto"/>
              <w:rPr>
                <w:rFonts w:ascii="Arial Narrow" w:hAnsi="Arial Narrow"/>
                <w:sz w:val="17"/>
              </w:rPr>
            </w:pPr>
            <w:r w:rsidRPr="002C0CD5">
              <w:rPr>
                <w:rFonts w:ascii="Arial Narrow" w:hAnsi="Arial Narrow"/>
                <w:sz w:val="17"/>
              </w:rPr>
              <w:t>US246</w:t>
            </w:r>
          </w:p>
        </w:tc>
        <w:tc>
          <w:tcPr>
            <w:tcW w:w="1613" w:type="dxa"/>
            <w:gridSpan w:val="2"/>
            <w:tcBorders>
              <w:top w:val="single" w:sz="4" w:space="0" w:color="auto"/>
              <w:left w:val="double" w:sz="6" w:space="0" w:color="000000"/>
              <w:bottom w:val="single" w:sz="4" w:space="0" w:color="auto"/>
              <w:right w:val="nil"/>
            </w:tcBorders>
            <w:noWrap/>
          </w:tcPr>
          <w:p w:rsidR="00EB1E5F" w:rsidRPr="002C0CD5" w:rsidP="00A033C4" w14:paraId="329EDD3C" w14:textId="77777777">
            <w:pPr>
              <w:tabs>
                <w:tab w:val="left" w:pos="-855"/>
                <w:tab w:val="left" w:pos="-252"/>
                <w:tab w:val="left" w:pos="288"/>
                <w:tab w:val="left" w:pos="1008"/>
                <w:tab w:val="left" w:pos="1548"/>
                <w:tab w:val="left" w:pos="1908"/>
                <w:tab w:val="left" w:pos="2268"/>
                <w:tab w:val="left" w:pos="3168"/>
                <w:tab w:val="left" w:pos="3888"/>
                <w:tab w:val="left" w:pos="4608"/>
                <w:tab w:val="left" w:pos="5328"/>
                <w:tab w:val="left" w:pos="6048"/>
                <w:tab w:val="left" w:pos="6768"/>
                <w:tab w:val="left" w:pos="7488"/>
                <w:tab w:val="left" w:pos="8208"/>
                <w:tab w:val="left" w:pos="8928"/>
                <w:tab w:val="left" w:pos="9648"/>
                <w:tab w:val="left" w:pos="9918"/>
                <w:tab w:val="left" w:pos="10368"/>
                <w:tab w:val="left" w:pos="11088"/>
                <w:tab w:val="left" w:pos="11808"/>
                <w:tab w:val="left" w:pos="12528"/>
                <w:tab w:val="left" w:pos="13248"/>
              </w:tabs>
              <w:suppressAutoHyphens/>
              <w:rPr>
                <w:rFonts w:ascii="Arial Narrow" w:hAnsi="Arial Narrow"/>
                <w:sz w:val="17"/>
              </w:rPr>
            </w:pPr>
          </w:p>
        </w:tc>
      </w:tr>
    </w:tbl>
    <w:p w:rsidR="00EE2BE4" w14:paraId="1A6D0431" w14:textId="77777777">
      <w:pPr>
        <w:widowControl/>
        <w:sectPr w:rsidSect="003242CF">
          <w:headerReference w:type="default" r:id="rId9"/>
          <w:footerReference w:type="even" r:id="rId10"/>
          <w:footerReference w:type="default" r:id="rId11"/>
          <w:headerReference w:type="first" r:id="rId12"/>
          <w:endnotePr>
            <w:numFmt w:val="decimal"/>
          </w:endnotePr>
          <w:pgSz w:w="15840" w:h="12240" w:orient="landscape"/>
          <w:pgMar w:top="720" w:right="1080" w:bottom="864" w:left="1080" w:header="720" w:footer="720" w:gutter="0"/>
          <w:cols w:space="720"/>
          <w:noEndnote/>
          <w:titlePg/>
          <w:docGrid w:linePitch="299"/>
        </w:sectPr>
      </w:pPr>
    </w:p>
    <w:p w:rsidR="00085CE2" w:rsidP="00085CE2" w14:paraId="63468E56" w14:textId="77777777">
      <w:pPr>
        <w:widowControl/>
        <w:ind w:firstLine="360"/>
      </w:pPr>
      <w:r w:rsidRPr="00F325F1">
        <w:t>* * * * *</w:t>
      </w:r>
    </w:p>
    <w:p w:rsidR="00085CE2" w:rsidRPr="00F325F1" w:rsidP="00085CE2" w14:paraId="24CF5E79" w14:textId="77777777">
      <w:pPr>
        <w:widowControl/>
        <w:ind w:firstLine="360"/>
      </w:pPr>
    </w:p>
    <w:p w:rsidR="00085CE2" w:rsidP="00085CE2" w14:paraId="42680AA5" w14:textId="77777777">
      <w:pPr>
        <w:widowControl/>
        <w:suppressAutoHyphens/>
        <w:ind w:firstLine="360"/>
        <w:jc w:val="center"/>
        <w:rPr>
          <w:b/>
          <w:smallCaps/>
          <w:snapToGrid/>
          <w:kern w:val="0"/>
          <w:szCs w:val="22"/>
        </w:rPr>
      </w:pPr>
      <w:r w:rsidRPr="00F325F1">
        <w:rPr>
          <w:b/>
          <w:smallCaps/>
          <w:snapToGrid/>
          <w:kern w:val="0"/>
          <w:szCs w:val="22"/>
        </w:rPr>
        <w:t>United States (US) Footnotes</w:t>
      </w:r>
    </w:p>
    <w:p w:rsidR="00085CE2" w:rsidRPr="00F325F1" w:rsidP="00085CE2" w14:paraId="2C6D28BF" w14:textId="77777777">
      <w:pPr>
        <w:widowControl/>
        <w:suppressAutoHyphens/>
        <w:ind w:firstLine="360"/>
        <w:jc w:val="center"/>
        <w:rPr>
          <w:b/>
          <w:smallCaps/>
          <w:snapToGrid/>
          <w:kern w:val="0"/>
          <w:szCs w:val="22"/>
        </w:rPr>
      </w:pPr>
    </w:p>
    <w:p w:rsidR="00085CE2" w:rsidP="00085CE2" w14:paraId="72C0E1D4" w14:textId="77777777">
      <w:pPr>
        <w:widowControl/>
        <w:suppressAutoHyphens/>
        <w:ind w:firstLine="360"/>
        <w:rPr>
          <w:smallCaps/>
          <w:snapToGrid/>
          <w:kern w:val="0"/>
          <w:szCs w:val="22"/>
        </w:rPr>
      </w:pPr>
      <w:r w:rsidRPr="00CD41B3">
        <w:rPr>
          <w:smallCaps/>
          <w:snapToGrid/>
          <w:kern w:val="0"/>
          <w:szCs w:val="22"/>
        </w:rPr>
        <w:t>* * * * *</w:t>
      </w:r>
    </w:p>
    <w:p w:rsidR="00085CE2" w:rsidRPr="00CD41B3" w:rsidP="00085CE2" w14:paraId="6CA475ED" w14:textId="77777777">
      <w:pPr>
        <w:widowControl/>
        <w:suppressAutoHyphens/>
        <w:ind w:firstLine="360"/>
        <w:rPr>
          <w:smallCaps/>
          <w:snapToGrid/>
          <w:kern w:val="0"/>
          <w:szCs w:val="22"/>
        </w:rPr>
      </w:pPr>
    </w:p>
    <w:p w:rsidR="00085CE2" w:rsidP="00085CE2" w14:paraId="7C4D054C" w14:textId="77777777">
      <w:pPr>
        <w:widowControl/>
        <w:ind w:firstLine="360"/>
      </w:pPr>
      <w:r w:rsidRPr="005630C6">
        <w:t>US108</w:t>
      </w:r>
      <w:r>
        <w:t xml:space="preserve">  </w:t>
      </w:r>
      <w:r w:rsidRPr="005630C6">
        <w:t xml:space="preserve"> In the </w:t>
      </w:r>
      <w:r>
        <w:t xml:space="preserve">band </w:t>
      </w:r>
      <w:r w:rsidRPr="005630C6">
        <w:t>10-10.5 GHz, survey operations, using transmitters with a peak power not to exceed five watts into the antenna, may be authorized for Federal and non-Federal use on a secondary basis to other Federal radiolocation operations.</w:t>
      </w:r>
    </w:p>
    <w:p w:rsidR="00085CE2" w:rsidP="00085CE2" w14:paraId="31D12CB8" w14:textId="77777777">
      <w:pPr>
        <w:widowControl/>
        <w:ind w:firstLine="360"/>
      </w:pPr>
    </w:p>
    <w:p w:rsidR="00085CE2" w:rsidP="00085CE2" w14:paraId="40AD6F47" w14:textId="77777777">
      <w:pPr>
        <w:widowControl/>
        <w:suppressAutoHyphens/>
        <w:ind w:firstLine="360"/>
        <w:rPr>
          <w:smallCaps/>
          <w:snapToGrid/>
          <w:kern w:val="0"/>
          <w:szCs w:val="22"/>
        </w:rPr>
      </w:pPr>
      <w:r w:rsidRPr="00CD41B3">
        <w:rPr>
          <w:smallCaps/>
          <w:snapToGrid/>
          <w:kern w:val="0"/>
          <w:szCs w:val="22"/>
        </w:rPr>
        <w:t>* * * * *</w:t>
      </w:r>
    </w:p>
    <w:p w:rsidR="00085CE2" w:rsidP="00085CE2" w14:paraId="5892C7DD" w14:textId="77777777">
      <w:pPr>
        <w:widowControl/>
        <w:suppressAutoHyphens/>
        <w:ind w:firstLine="360"/>
        <w:rPr>
          <w:smallCaps/>
          <w:snapToGrid/>
          <w:kern w:val="0"/>
          <w:szCs w:val="22"/>
        </w:rPr>
      </w:pPr>
    </w:p>
    <w:p w:rsidR="00085CE2" w:rsidP="00085CE2" w14:paraId="120A57A8" w14:textId="77777777">
      <w:pPr>
        <w:widowControl/>
        <w:suppressAutoHyphens/>
        <w:ind w:firstLine="360"/>
        <w:jc w:val="center"/>
        <w:rPr>
          <w:b/>
          <w:smallCaps/>
          <w:snapToGrid/>
          <w:kern w:val="0"/>
          <w:szCs w:val="22"/>
        </w:rPr>
      </w:pPr>
      <w:r w:rsidRPr="00CD41B3">
        <w:rPr>
          <w:b/>
          <w:smallCaps/>
          <w:snapToGrid/>
          <w:kern w:val="0"/>
          <w:szCs w:val="22"/>
        </w:rPr>
        <w:t>Federal Government (G) Footnotes</w:t>
      </w:r>
    </w:p>
    <w:p w:rsidR="00085CE2" w:rsidRPr="00CD41B3" w:rsidP="00085CE2" w14:paraId="31D190DD" w14:textId="77777777">
      <w:pPr>
        <w:widowControl/>
        <w:suppressAutoHyphens/>
        <w:ind w:firstLine="360"/>
        <w:jc w:val="center"/>
        <w:rPr>
          <w:b/>
          <w:smallCaps/>
          <w:snapToGrid/>
          <w:kern w:val="0"/>
          <w:szCs w:val="22"/>
        </w:rPr>
      </w:pPr>
    </w:p>
    <w:p w:rsidR="00085CE2" w:rsidRPr="00CD41B3" w:rsidP="00085CE2" w14:paraId="4FAF370A" w14:textId="77777777">
      <w:pPr>
        <w:widowControl/>
        <w:suppressAutoHyphens/>
        <w:ind w:firstLine="360"/>
        <w:rPr>
          <w:smallCaps/>
          <w:snapToGrid/>
          <w:kern w:val="0"/>
          <w:szCs w:val="22"/>
        </w:rPr>
      </w:pPr>
      <w:r w:rsidRPr="00CD41B3">
        <w:rPr>
          <w:smallCaps/>
          <w:snapToGrid/>
          <w:kern w:val="0"/>
          <w:szCs w:val="22"/>
        </w:rPr>
        <w:t>* * * * *</w:t>
      </w:r>
    </w:p>
    <w:p w:rsidR="00085CE2" w:rsidRPr="00CD41B3" w:rsidP="00085CE2" w14:paraId="0FDF62C9" w14:textId="77777777">
      <w:pPr>
        <w:widowControl/>
        <w:suppressAutoHyphens/>
        <w:ind w:firstLine="360"/>
        <w:rPr>
          <w:smallCaps/>
          <w:snapToGrid/>
          <w:kern w:val="0"/>
          <w:szCs w:val="22"/>
        </w:rPr>
      </w:pPr>
    </w:p>
    <w:p w:rsidR="00085CE2" w:rsidP="00085CE2" w14:paraId="07DD7EEE" w14:textId="77777777">
      <w:pPr>
        <w:widowControl/>
        <w:ind w:firstLine="360"/>
      </w:pPr>
      <w:r>
        <w:t>G2   In the bands 216.965-216.995 MHz, 420-450 MHz (except as provided for in G129), 890</w:t>
      </w:r>
      <w:r>
        <w:noBreakHyphen/>
        <w:t>902 MHz, 928-942 MHz, 1300-1390 MHz, 2310-2390 MHz, 2417-2450 MHz, 2700-2900 MHz, 5650-5925 MHz, and 9000-9200 MHz, use of the Federal radiolocation service is restricted to the military services.</w:t>
      </w:r>
    </w:p>
    <w:p w:rsidR="00085CE2" w:rsidP="00085CE2" w14:paraId="575B35FE" w14:textId="77777777">
      <w:pPr>
        <w:widowControl/>
        <w:ind w:firstLine="360"/>
      </w:pPr>
    </w:p>
    <w:p w:rsidR="00085CE2" w:rsidP="00085CE2" w14:paraId="613340B1" w14:textId="77777777">
      <w:pPr>
        <w:widowControl/>
        <w:ind w:firstLine="360"/>
      </w:pPr>
      <w:r w:rsidRPr="00041FDD">
        <w:t>* * * * *</w:t>
      </w:r>
    </w:p>
    <w:p w:rsidR="00085CE2" w:rsidP="00085CE2" w14:paraId="0645A3F7" w14:textId="77777777">
      <w:pPr>
        <w:widowControl/>
        <w:ind w:firstLine="360"/>
      </w:pPr>
    </w:p>
    <w:p w:rsidR="00085CE2" w:rsidP="00085CE2" w14:paraId="38AFF028" w14:textId="77777777">
      <w:pPr>
        <w:widowControl/>
        <w:ind w:firstLine="360"/>
      </w:pPr>
      <w:r>
        <w:t>G59   In the bands 902-928 MHz, 3100-3300 MHz, 3550-3650 MHz, 5250-5350 MHz, 8500</w:t>
      </w:r>
      <w:r>
        <w:noBreakHyphen/>
        <w:t>9000 MHz, 9200-9300 MHz, 13.4-14.0 GHz, 15.7-17.7 GHz and 24.05-24.25 GHz, all Federal non</w:t>
      </w:r>
      <w:r>
        <w:noBreakHyphen/>
        <w:t>military radiolocation shall be secondary to military radiolocation, except in the sub-band 15.7-16.2 GHz airport surface detection equipment (ASDE) is permitted on a co-equal basis subject to coordination with the military departments.</w:t>
      </w:r>
    </w:p>
    <w:p w:rsidR="00085CE2" w:rsidP="00085CE2" w14:paraId="509CF590" w14:textId="77777777">
      <w:pPr>
        <w:widowControl/>
        <w:ind w:firstLine="360"/>
      </w:pPr>
    </w:p>
    <w:p w:rsidR="00085CE2" w:rsidP="00085CE2" w14:paraId="308576A5" w14:textId="77777777">
      <w:pPr>
        <w:widowControl/>
        <w:ind w:firstLine="360"/>
      </w:pPr>
      <w:r w:rsidRPr="00041FDD">
        <w:t>* * * * *</w:t>
      </w:r>
    </w:p>
    <w:p w:rsidR="00085CE2" w:rsidP="00085CE2" w14:paraId="0B256FE9" w14:textId="77777777">
      <w:pPr>
        <w:widowControl/>
        <w:rPr>
          <w:szCs w:val="22"/>
        </w:rPr>
      </w:pPr>
    </w:p>
    <w:p w:rsidR="00085CE2" w:rsidP="00085CE2" w14:paraId="3642FA90" w14:textId="77777777">
      <w:pPr>
        <w:keepNext/>
        <w:widowControl/>
        <w:rPr>
          <w:b/>
          <w:bCs/>
          <w:szCs w:val="22"/>
        </w:rPr>
      </w:pPr>
      <w:r w:rsidRPr="00994FEE">
        <w:rPr>
          <w:b/>
          <w:bCs/>
          <w:szCs w:val="22"/>
        </w:rPr>
        <w:t>PART 9</w:t>
      </w:r>
      <w:r>
        <w:rPr>
          <w:b/>
          <w:bCs/>
          <w:szCs w:val="22"/>
        </w:rPr>
        <w:t>0</w:t>
      </w:r>
      <w:r w:rsidRPr="00994FEE">
        <w:rPr>
          <w:b/>
          <w:bCs/>
          <w:szCs w:val="22"/>
        </w:rPr>
        <w:t>—</w:t>
      </w:r>
      <w:r>
        <w:rPr>
          <w:b/>
          <w:bCs/>
          <w:szCs w:val="22"/>
        </w:rPr>
        <w:t>PRIVATE LAND MOBILE RADIO SERVICES</w:t>
      </w:r>
    </w:p>
    <w:p w:rsidR="00085CE2" w:rsidP="00085CE2" w14:paraId="429333A3" w14:textId="77777777">
      <w:pPr>
        <w:keepNext/>
        <w:widowControl/>
        <w:rPr>
          <w:b/>
          <w:bCs/>
          <w:szCs w:val="22"/>
        </w:rPr>
      </w:pPr>
    </w:p>
    <w:p w:rsidR="00085CE2" w:rsidP="00085CE2" w14:paraId="2430DF70" w14:textId="77777777">
      <w:pPr>
        <w:pStyle w:val="ParaNum"/>
        <w:tabs>
          <w:tab w:val="clear" w:pos="1080"/>
        </w:tabs>
        <w:spacing w:after="0"/>
      </w:pPr>
      <w:r w:rsidRPr="00C86E75">
        <w:t>The authority citation for Part 9</w:t>
      </w:r>
      <w:r>
        <w:t>0</w:t>
      </w:r>
      <w:r w:rsidRPr="00C86E75">
        <w:t xml:space="preserve"> continues to read as follows:</w:t>
      </w:r>
    </w:p>
    <w:p w:rsidR="00085CE2" w:rsidRPr="00E535D4" w:rsidP="00085CE2" w14:paraId="01F8A2C2" w14:textId="77777777">
      <w:pPr>
        <w:pStyle w:val="ParaNum"/>
        <w:numPr>
          <w:ilvl w:val="0"/>
          <w:numId w:val="0"/>
        </w:numPr>
        <w:spacing w:after="0"/>
        <w:ind w:left="720"/>
      </w:pPr>
    </w:p>
    <w:p w:rsidR="00085CE2" w:rsidRPr="00687C6B" w:rsidP="00085CE2" w14:paraId="3A88A280" w14:textId="77777777">
      <w:pPr>
        <w:widowControl/>
        <w:ind w:firstLine="360"/>
        <w:rPr>
          <w:szCs w:val="22"/>
        </w:rPr>
      </w:pPr>
      <w:r>
        <w:rPr>
          <w:color w:val="000000"/>
        </w:rPr>
        <w:t>[INSERT CURRENT AUTHORITY CITATION]</w:t>
      </w:r>
    </w:p>
    <w:p w:rsidR="00085CE2" w:rsidRPr="00687C6B" w:rsidP="00085CE2" w14:paraId="26CEE0EB" w14:textId="77777777">
      <w:pPr>
        <w:pStyle w:val="ListParagraph"/>
        <w:ind w:left="1080"/>
        <w:contextualSpacing w:val="0"/>
        <w:rPr>
          <w:szCs w:val="22"/>
          <w:highlight w:val="yellow"/>
        </w:rPr>
      </w:pPr>
    </w:p>
    <w:p w:rsidR="00085CE2" w:rsidP="00085CE2" w14:paraId="69976EBC" w14:textId="77777777">
      <w:pPr>
        <w:pStyle w:val="ParaNum"/>
        <w:tabs>
          <w:tab w:val="clear" w:pos="1080"/>
        </w:tabs>
        <w:spacing w:after="0"/>
      </w:pPr>
      <w:r>
        <w:t>In § 90.103, r</w:t>
      </w:r>
      <w:r w:rsidRPr="00C86E75">
        <w:t xml:space="preserve">evise </w:t>
      </w:r>
      <w:r>
        <w:t xml:space="preserve">the table in paragraph (b) by removing the entries for the </w:t>
      </w:r>
      <w:r w:rsidR="00EC0C7F">
        <w:t>“</w:t>
      </w:r>
      <w:r w:rsidR="00DA1836">
        <w:t xml:space="preserve">3300 </w:t>
      </w:r>
      <w:r>
        <w:t xml:space="preserve">to </w:t>
      </w:r>
      <w:r w:rsidR="00DA1836">
        <w:t>3500</w:t>
      </w:r>
      <w:r>
        <w:t>” MHz and “</w:t>
      </w:r>
      <w:r w:rsidR="00DA1836">
        <w:t xml:space="preserve">3500 </w:t>
      </w:r>
      <w:r>
        <w:t>to 35</w:t>
      </w:r>
      <w:r w:rsidR="00DA1836">
        <w:t>5</w:t>
      </w:r>
      <w:r>
        <w:t xml:space="preserve">0” MHz </w:t>
      </w:r>
      <w:r>
        <w:t xml:space="preserve">bands </w:t>
      </w:r>
      <w:r w:rsidRPr="00C86E75">
        <w:t>to read as follows:</w:t>
      </w:r>
    </w:p>
    <w:p w:rsidR="001818D6" w:rsidP="001818D6" w14:paraId="71801A8E" w14:textId="77777777">
      <w:pPr>
        <w:pStyle w:val="ParaNum"/>
        <w:numPr>
          <w:ilvl w:val="0"/>
          <w:numId w:val="0"/>
        </w:numPr>
        <w:spacing w:after="0"/>
        <w:ind w:left="720"/>
      </w:pPr>
    </w:p>
    <w:p w:rsidR="001818D6" w:rsidRPr="004E5F6A" w:rsidP="001818D6" w14:paraId="5A87A7E1" w14:textId="77777777">
      <w:pPr>
        <w:shd w:val="clear" w:color="auto" w:fill="FFFFFF"/>
        <w:outlineLvl w:val="1"/>
      </w:pPr>
      <w:r w:rsidRPr="001818D6">
        <w:rPr>
          <w:b/>
          <w:u w:val="single"/>
        </w:rPr>
        <w:t>§ 90.</w:t>
      </w:r>
      <w:r w:rsidRPr="001818D6">
        <w:rPr>
          <w:b/>
          <w:bCs/>
          <w:szCs w:val="22"/>
          <w:u w:val="single"/>
        </w:rPr>
        <w:t>103</w:t>
      </w:r>
      <w:r w:rsidRPr="001818D6">
        <w:rPr>
          <w:b/>
          <w:u w:val="single"/>
        </w:rPr>
        <w:t xml:space="preserve">   Radiolocation Service</w:t>
      </w:r>
      <w:r w:rsidRPr="004E5F6A">
        <w:t>.</w:t>
      </w:r>
    </w:p>
    <w:p w:rsidR="001818D6" w:rsidP="001818D6" w14:paraId="21404AF7" w14:textId="77777777">
      <w:pPr>
        <w:pStyle w:val="ParaNum"/>
        <w:numPr>
          <w:ilvl w:val="0"/>
          <w:numId w:val="0"/>
        </w:numPr>
        <w:ind w:left="720"/>
      </w:pPr>
    </w:p>
    <w:p w:rsidR="00113EB0" w:rsidRPr="001818D6" w:rsidP="001818D6" w14:paraId="3A88B29C" w14:textId="77777777">
      <w:pPr>
        <w:pStyle w:val="ParaNum"/>
        <w:numPr>
          <w:ilvl w:val="0"/>
          <w:numId w:val="0"/>
        </w:numPr>
        <w:ind w:left="360"/>
      </w:pPr>
      <w:r w:rsidRPr="004E5F6A">
        <w:t>* * * * *</w:t>
      </w:r>
    </w:p>
    <w:p w:rsidR="00113EB0" w:rsidRPr="00113EB0" w:rsidP="00113EB0" w14:paraId="2938CC16" w14:textId="77777777">
      <w:pPr>
        <w:widowControl/>
        <w:ind w:firstLine="360"/>
        <w:rPr>
          <w:rFonts w:eastAsia="Calibri"/>
          <w:snapToGrid/>
          <w:kern w:val="0"/>
          <w:szCs w:val="22"/>
        </w:rPr>
      </w:pPr>
      <w:r w:rsidRPr="00113EB0">
        <w:rPr>
          <w:rFonts w:eastAsia="Calibri"/>
          <w:snapToGrid/>
          <w:kern w:val="0"/>
          <w:szCs w:val="22"/>
        </w:rPr>
        <w:t>(b)</w:t>
      </w:r>
      <w:r w:rsidR="0029179D">
        <w:rPr>
          <w:rFonts w:eastAsia="Calibri"/>
          <w:snapToGrid/>
          <w:kern w:val="0"/>
          <w:szCs w:val="22"/>
        </w:rPr>
        <w:t xml:space="preserve"> * * *</w:t>
      </w:r>
    </w:p>
    <w:p w:rsidR="00886C96" w:rsidRPr="00886C96" w:rsidP="00886C96" w14:paraId="02FA316D" w14:textId="77777777">
      <w:pPr>
        <w:spacing w:after="120"/>
        <w:jc w:val="center"/>
        <w:rPr>
          <w:bCs/>
          <w:smallCaps/>
          <w:szCs w:val="22"/>
        </w:rPr>
      </w:pPr>
      <w:r w:rsidRPr="00886C96">
        <w:rPr>
          <w:bCs/>
          <w:smallCaps/>
          <w:szCs w:val="22"/>
        </w:rPr>
        <w:t>Radiolocation Service Frequency Table</w:t>
      </w:r>
    </w:p>
    <w:tbl>
      <w:tblPr>
        <w:tblW w:w="4903" w:type="pct"/>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7"/>
        <w:gridCol w:w="3489"/>
        <w:gridCol w:w="3538"/>
        <w:gridCol w:w="8"/>
        <w:gridCol w:w="2342"/>
        <w:gridCol w:w="6"/>
      </w:tblGrid>
      <w:tr w14:paraId="341AFB15" w14:textId="77777777" w:rsidTr="00246206">
        <w:tblPrEx>
          <w:tblW w:w="4903" w:type="pct"/>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Ex>
        <w:tc>
          <w:tcPr>
            <w:tcW w:w="1862" w:type="pct"/>
            <w:gridSpan w:val="2"/>
            <w:tcBorders>
              <w:left w:val="nil"/>
            </w:tcBorders>
            <w:shd w:val="clear" w:color="auto" w:fill="auto"/>
            <w:vAlign w:val="bottom"/>
          </w:tcPr>
          <w:p w:rsidR="00886C96" w:rsidRPr="00886C96" w:rsidP="00886C96" w14:paraId="5346D65F" w14:textId="77777777">
            <w:pPr>
              <w:ind w:left="-108"/>
              <w:jc w:val="center"/>
              <w:rPr>
                <w:bCs/>
                <w:smallCaps/>
                <w:szCs w:val="22"/>
              </w:rPr>
            </w:pPr>
            <w:r w:rsidRPr="00886C96">
              <w:rPr>
                <w:bCs/>
                <w:szCs w:val="22"/>
              </w:rPr>
              <w:t>Frequency or band</w:t>
            </w:r>
          </w:p>
        </w:tc>
        <w:tc>
          <w:tcPr>
            <w:tcW w:w="1888" w:type="pct"/>
            <w:gridSpan w:val="2"/>
            <w:shd w:val="clear" w:color="auto" w:fill="auto"/>
            <w:vAlign w:val="bottom"/>
          </w:tcPr>
          <w:p w:rsidR="00886C96" w:rsidRPr="00886C96" w:rsidP="00886C96" w14:paraId="5F9AE80F" w14:textId="77777777">
            <w:pPr>
              <w:jc w:val="center"/>
              <w:rPr>
                <w:bCs/>
                <w:smallCaps/>
                <w:szCs w:val="22"/>
              </w:rPr>
            </w:pPr>
            <w:r w:rsidRPr="00886C96">
              <w:rPr>
                <w:bCs/>
                <w:szCs w:val="22"/>
              </w:rPr>
              <w:t>Class of station(s)</w:t>
            </w:r>
          </w:p>
        </w:tc>
        <w:tc>
          <w:tcPr>
            <w:tcW w:w="1250" w:type="pct"/>
            <w:gridSpan w:val="2"/>
            <w:tcBorders>
              <w:right w:val="nil"/>
            </w:tcBorders>
            <w:shd w:val="clear" w:color="auto" w:fill="auto"/>
            <w:vAlign w:val="bottom"/>
          </w:tcPr>
          <w:p w:rsidR="00886C96" w:rsidRPr="00886C96" w:rsidP="00886C96" w14:paraId="54C5675B" w14:textId="77777777">
            <w:pPr>
              <w:jc w:val="center"/>
              <w:rPr>
                <w:bCs/>
                <w:smallCaps/>
                <w:szCs w:val="22"/>
              </w:rPr>
            </w:pPr>
            <w:r w:rsidRPr="00886C96">
              <w:rPr>
                <w:bCs/>
                <w:szCs w:val="22"/>
              </w:rPr>
              <w:t>Limitation</w:t>
            </w:r>
          </w:p>
        </w:tc>
      </w:tr>
      <w:tr w14:paraId="1E3089F0" w14:textId="77777777" w:rsidTr="00246206">
        <w:tblPrEx>
          <w:tblW w:w="4903" w:type="pct"/>
          <w:tblInd w:w="93" w:type="dxa"/>
          <w:tblLayout w:type="fixed"/>
          <w:tblLook w:val="01E0"/>
        </w:tblPrEx>
        <w:tc>
          <w:tcPr>
            <w:tcW w:w="1862" w:type="pct"/>
            <w:gridSpan w:val="2"/>
            <w:tcBorders>
              <w:left w:val="nil"/>
            </w:tcBorders>
            <w:shd w:val="clear" w:color="auto" w:fill="auto"/>
          </w:tcPr>
          <w:p w:rsidR="00886C96" w:rsidRPr="00886C96" w:rsidP="00886C96" w14:paraId="0A1F131F" w14:textId="77777777">
            <w:pPr>
              <w:ind w:left="-108"/>
              <w:rPr>
                <w:szCs w:val="22"/>
              </w:rPr>
            </w:pPr>
            <w:r w:rsidRPr="00886C96">
              <w:rPr>
                <w:szCs w:val="22"/>
              </w:rPr>
              <w:t>* * *</w:t>
            </w:r>
          </w:p>
        </w:tc>
        <w:tc>
          <w:tcPr>
            <w:tcW w:w="1888" w:type="pct"/>
            <w:gridSpan w:val="2"/>
            <w:shd w:val="clear" w:color="auto" w:fill="auto"/>
          </w:tcPr>
          <w:p w:rsidR="00886C96" w:rsidRPr="00886C96" w:rsidP="00886C96" w14:paraId="652D5278" w14:textId="77777777">
            <w:pPr>
              <w:rPr>
                <w:szCs w:val="22"/>
              </w:rPr>
            </w:pPr>
            <w:r w:rsidRPr="00886C96">
              <w:rPr>
                <w:szCs w:val="22"/>
              </w:rPr>
              <w:t>* *</w:t>
            </w:r>
            <w:r w:rsidR="00952512">
              <w:rPr>
                <w:szCs w:val="22"/>
              </w:rPr>
              <w:t xml:space="preserve"> </w:t>
            </w:r>
          </w:p>
        </w:tc>
        <w:tc>
          <w:tcPr>
            <w:tcW w:w="1250" w:type="pct"/>
            <w:gridSpan w:val="2"/>
            <w:tcBorders>
              <w:right w:val="nil"/>
            </w:tcBorders>
            <w:shd w:val="clear" w:color="auto" w:fill="auto"/>
          </w:tcPr>
          <w:p w:rsidR="00886C96" w:rsidRPr="00886C96" w:rsidP="00886C96" w14:paraId="16C1A701" w14:textId="77777777">
            <w:pPr>
              <w:ind w:right="-93"/>
              <w:jc w:val="right"/>
              <w:rPr>
                <w:szCs w:val="22"/>
              </w:rPr>
            </w:pPr>
            <w:r w:rsidRPr="00886C96">
              <w:rPr>
                <w:szCs w:val="22"/>
              </w:rPr>
              <w:t>* *</w:t>
            </w:r>
          </w:p>
        </w:tc>
      </w:tr>
      <w:tr w14:paraId="761CB53F" w14:textId="77777777" w:rsidTr="00A033C4">
        <w:tblPrEx>
          <w:tblW w:w="4903" w:type="pct"/>
          <w:tblInd w:w="93" w:type="dxa"/>
          <w:tblLayout w:type="fixed"/>
          <w:tblLook w:val="01E0"/>
        </w:tblPrEx>
        <w:trPr>
          <w:trHeight w:val="65"/>
        </w:trPr>
        <w:tc>
          <w:tcPr>
            <w:tcW w:w="5000" w:type="pct"/>
            <w:gridSpan w:val="6"/>
            <w:tcBorders>
              <w:left w:val="nil"/>
              <w:right w:val="nil"/>
            </w:tcBorders>
            <w:shd w:val="clear" w:color="auto" w:fill="auto"/>
          </w:tcPr>
          <w:p w:rsidR="00886C96" w:rsidRPr="00886C96" w:rsidP="00886C96" w14:paraId="472874FC" w14:textId="77777777">
            <w:pPr>
              <w:jc w:val="center"/>
              <w:rPr>
                <w:bCs/>
                <w:smallCaps/>
                <w:szCs w:val="22"/>
              </w:rPr>
            </w:pPr>
            <w:r w:rsidRPr="00886C96">
              <w:rPr>
                <w:szCs w:val="22"/>
              </w:rPr>
              <w:t>Megahertz</w:t>
            </w:r>
          </w:p>
        </w:tc>
      </w:tr>
      <w:tr w14:paraId="13B4BBBF" w14:textId="77777777" w:rsidTr="00246206">
        <w:tblPrEx>
          <w:tblW w:w="4903" w:type="pct"/>
          <w:tblInd w:w="9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left w:w="0" w:type="dxa"/>
            <w:right w:w="0" w:type="dxa"/>
          </w:tblCellMar>
          <w:tblLook w:val="04A0"/>
        </w:tblPrEx>
        <w:trPr>
          <w:gridBefore w:val="1"/>
          <w:gridAfter w:val="1"/>
          <w:wBefore w:w="7" w:type="dxa"/>
          <w:wAfter w:w="3" w:type="dxa"/>
        </w:trPr>
        <w:tc>
          <w:tcPr>
            <w:tcW w:w="1858" w:type="pct"/>
            <w:tcBorders>
              <w:top w:val="single" w:sz="6" w:space="0" w:color="000000"/>
              <w:left w:val="nil"/>
              <w:bottom w:val="single" w:sz="6" w:space="0" w:color="000000"/>
              <w:right w:val="single" w:sz="6" w:space="0" w:color="000000"/>
            </w:tcBorders>
          </w:tcPr>
          <w:p w:rsidR="00886C96" w:rsidRPr="00886C96" w:rsidP="00886C96" w14:paraId="46621996" w14:textId="77777777">
            <w:pPr>
              <w:rPr>
                <w:szCs w:val="22"/>
              </w:rPr>
            </w:pPr>
            <w:r>
              <w:rPr>
                <w:szCs w:val="22"/>
              </w:rPr>
              <w:t>* * *</w:t>
            </w:r>
          </w:p>
        </w:tc>
        <w:tc>
          <w:tcPr>
            <w:tcW w:w="1884" w:type="pct"/>
            <w:tcBorders>
              <w:top w:val="single" w:sz="6" w:space="0" w:color="000000"/>
              <w:left w:val="single" w:sz="6" w:space="0" w:color="000000"/>
              <w:bottom w:val="single" w:sz="6" w:space="0" w:color="000000"/>
              <w:right w:val="single" w:sz="6" w:space="0" w:color="000000"/>
            </w:tcBorders>
          </w:tcPr>
          <w:p w:rsidR="00886C96" w:rsidRPr="00886C96" w:rsidP="00886C96" w14:paraId="3C7C7851" w14:textId="77777777">
            <w:pPr>
              <w:ind w:left="149"/>
              <w:rPr>
                <w:szCs w:val="22"/>
              </w:rPr>
            </w:pPr>
            <w:r>
              <w:rPr>
                <w:szCs w:val="22"/>
              </w:rPr>
              <w:t>* *</w:t>
            </w:r>
          </w:p>
        </w:tc>
        <w:tc>
          <w:tcPr>
            <w:tcW w:w="1251" w:type="pct"/>
            <w:gridSpan w:val="2"/>
            <w:tcBorders>
              <w:top w:val="single" w:sz="6" w:space="0" w:color="000000"/>
              <w:left w:val="single" w:sz="6" w:space="0" w:color="000000"/>
              <w:bottom w:val="single" w:sz="6" w:space="0" w:color="000000"/>
              <w:right w:val="nil"/>
            </w:tcBorders>
          </w:tcPr>
          <w:p w:rsidR="00886C96" w:rsidRPr="00886C96" w:rsidP="00886C96" w14:paraId="0E2099B0" w14:textId="77777777">
            <w:pPr>
              <w:jc w:val="right"/>
              <w:rPr>
                <w:szCs w:val="22"/>
              </w:rPr>
            </w:pPr>
            <w:r>
              <w:rPr>
                <w:szCs w:val="22"/>
              </w:rPr>
              <w:t>* *</w:t>
            </w:r>
          </w:p>
        </w:tc>
      </w:tr>
      <w:tr w14:paraId="46ED8070" w14:textId="77777777" w:rsidTr="00246206">
        <w:tblPrEx>
          <w:tblW w:w="4903" w:type="pct"/>
          <w:tblInd w:w="9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left w:w="0" w:type="dxa"/>
            <w:right w:w="0" w:type="dxa"/>
          </w:tblCellMar>
          <w:tblLook w:val="04A0"/>
        </w:tblPrEx>
        <w:trPr>
          <w:gridBefore w:val="1"/>
          <w:gridAfter w:val="1"/>
          <w:wBefore w:w="7" w:type="dxa"/>
          <w:wAfter w:w="3" w:type="dxa"/>
        </w:trPr>
        <w:tc>
          <w:tcPr>
            <w:tcW w:w="1858" w:type="pct"/>
            <w:tcBorders>
              <w:top w:val="single" w:sz="6" w:space="0" w:color="000000"/>
              <w:left w:val="nil"/>
              <w:bottom w:val="single" w:sz="6" w:space="0" w:color="000000"/>
              <w:right w:val="single" w:sz="6" w:space="0" w:color="000000"/>
            </w:tcBorders>
          </w:tcPr>
          <w:p w:rsidR="00886C96" w:rsidRPr="00886C96" w:rsidP="00886C96" w14:paraId="17935AD1" w14:textId="77777777">
            <w:pPr>
              <w:rPr>
                <w:szCs w:val="22"/>
              </w:rPr>
            </w:pPr>
            <w:r>
              <w:rPr>
                <w:szCs w:val="22"/>
              </w:rPr>
              <w:t>3100 to 3300</w:t>
            </w:r>
            <w:r w:rsidRPr="00886C96">
              <w:rPr>
                <w:szCs w:val="22"/>
              </w:rPr>
              <w:t xml:space="preserve"> ………………….</w:t>
            </w:r>
          </w:p>
        </w:tc>
        <w:tc>
          <w:tcPr>
            <w:tcW w:w="1884" w:type="pct"/>
            <w:tcBorders>
              <w:top w:val="single" w:sz="6" w:space="0" w:color="000000"/>
              <w:left w:val="single" w:sz="6" w:space="0" w:color="000000"/>
              <w:bottom w:val="single" w:sz="6" w:space="0" w:color="000000"/>
              <w:right w:val="single" w:sz="6" w:space="0" w:color="000000"/>
            </w:tcBorders>
          </w:tcPr>
          <w:p w:rsidR="00886C96" w:rsidRPr="00886C96" w:rsidP="00886C96" w14:paraId="0B0FC1E5" w14:textId="77777777">
            <w:pPr>
              <w:ind w:left="149"/>
              <w:rPr>
                <w:szCs w:val="22"/>
              </w:rPr>
            </w:pPr>
            <w:r w:rsidRPr="00886C96">
              <w:rPr>
                <w:szCs w:val="22"/>
              </w:rPr>
              <w:t>......do</w:t>
            </w:r>
          </w:p>
        </w:tc>
        <w:tc>
          <w:tcPr>
            <w:tcW w:w="1251" w:type="pct"/>
            <w:gridSpan w:val="2"/>
            <w:tcBorders>
              <w:top w:val="single" w:sz="6" w:space="0" w:color="000000"/>
              <w:left w:val="single" w:sz="6" w:space="0" w:color="000000"/>
              <w:bottom w:val="single" w:sz="6" w:space="0" w:color="000000"/>
              <w:right w:val="nil"/>
            </w:tcBorders>
          </w:tcPr>
          <w:p w:rsidR="00886C96" w:rsidRPr="00886C96" w:rsidP="00886C96" w14:paraId="768E29FB" w14:textId="77777777">
            <w:pPr>
              <w:jc w:val="right"/>
              <w:rPr>
                <w:szCs w:val="22"/>
              </w:rPr>
            </w:pPr>
            <w:r>
              <w:rPr>
                <w:szCs w:val="22"/>
              </w:rPr>
              <w:t>12</w:t>
            </w:r>
          </w:p>
        </w:tc>
      </w:tr>
      <w:tr w14:paraId="34880722" w14:textId="77777777" w:rsidTr="00246206">
        <w:tblPrEx>
          <w:tblW w:w="4903" w:type="pct"/>
          <w:tblInd w:w="9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left w:w="0" w:type="dxa"/>
            <w:right w:w="0" w:type="dxa"/>
          </w:tblCellMar>
          <w:tblLook w:val="04A0"/>
        </w:tblPrEx>
        <w:trPr>
          <w:gridBefore w:val="1"/>
          <w:gridAfter w:val="1"/>
          <w:wBefore w:w="7" w:type="dxa"/>
          <w:wAfter w:w="3" w:type="dxa"/>
        </w:trPr>
        <w:tc>
          <w:tcPr>
            <w:tcW w:w="1858" w:type="pct"/>
            <w:tcBorders>
              <w:top w:val="single" w:sz="6" w:space="0" w:color="000000"/>
              <w:left w:val="nil"/>
              <w:bottom w:val="single" w:sz="6" w:space="0" w:color="000000"/>
              <w:right w:val="single" w:sz="6" w:space="0" w:color="000000"/>
            </w:tcBorders>
          </w:tcPr>
          <w:p w:rsidR="00886C96" w:rsidRPr="00886C96" w:rsidP="00886C96" w14:paraId="20652514" w14:textId="77777777">
            <w:pPr>
              <w:rPr>
                <w:szCs w:val="22"/>
              </w:rPr>
            </w:pPr>
            <w:r>
              <w:rPr>
                <w:szCs w:val="22"/>
              </w:rPr>
              <w:t>3550 to 3650</w:t>
            </w:r>
            <w:r w:rsidRPr="00886C96">
              <w:rPr>
                <w:szCs w:val="22"/>
              </w:rPr>
              <w:t xml:space="preserve"> ………………….</w:t>
            </w:r>
          </w:p>
        </w:tc>
        <w:tc>
          <w:tcPr>
            <w:tcW w:w="1884" w:type="pct"/>
            <w:tcBorders>
              <w:top w:val="single" w:sz="6" w:space="0" w:color="000000"/>
              <w:left w:val="single" w:sz="6" w:space="0" w:color="000000"/>
              <w:bottom w:val="single" w:sz="6" w:space="0" w:color="000000"/>
              <w:right w:val="single" w:sz="6" w:space="0" w:color="000000"/>
            </w:tcBorders>
          </w:tcPr>
          <w:p w:rsidR="00886C96" w:rsidRPr="00886C96" w:rsidP="00886C96" w14:paraId="634C2251" w14:textId="77777777">
            <w:pPr>
              <w:ind w:left="149"/>
              <w:rPr>
                <w:szCs w:val="22"/>
              </w:rPr>
            </w:pPr>
            <w:r w:rsidRPr="00886C96">
              <w:rPr>
                <w:szCs w:val="22"/>
              </w:rPr>
              <w:t>......do</w:t>
            </w:r>
          </w:p>
        </w:tc>
        <w:tc>
          <w:tcPr>
            <w:tcW w:w="1251" w:type="pct"/>
            <w:gridSpan w:val="2"/>
            <w:tcBorders>
              <w:top w:val="single" w:sz="6" w:space="0" w:color="000000"/>
              <w:left w:val="single" w:sz="6" w:space="0" w:color="000000"/>
              <w:bottom w:val="single" w:sz="6" w:space="0" w:color="000000"/>
              <w:right w:val="nil"/>
            </w:tcBorders>
          </w:tcPr>
          <w:p w:rsidR="00886C96" w:rsidRPr="00886C96" w:rsidP="00886C96" w14:paraId="7ACD6426" w14:textId="77777777">
            <w:pPr>
              <w:jc w:val="right"/>
              <w:rPr>
                <w:szCs w:val="22"/>
              </w:rPr>
            </w:pPr>
            <w:r>
              <w:rPr>
                <w:szCs w:val="22"/>
              </w:rPr>
              <w:t>30</w:t>
            </w:r>
          </w:p>
        </w:tc>
      </w:tr>
      <w:tr w14:paraId="19114359" w14:textId="77777777" w:rsidTr="00246206">
        <w:tblPrEx>
          <w:tblW w:w="4903" w:type="pct"/>
          <w:tblInd w:w="93"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ayout w:type="fixed"/>
          <w:tblCellMar>
            <w:left w:w="0" w:type="dxa"/>
            <w:right w:w="0" w:type="dxa"/>
          </w:tblCellMar>
          <w:tblLook w:val="04A0"/>
        </w:tblPrEx>
        <w:trPr>
          <w:gridBefore w:val="1"/>
          <w:gridAfter w:val="1"/>
          <w:wBefore w:w="7" w:type="dxa"/>
          <w:wAfter w:w="3" w:type="dxa"/>
        </w:trPr>
        <w:tc>
          <w:tcPr>
            <w:tcW w:w="1858" w:type="pct"/>
            <w:tcBorders>
              <w:top w:val="single" w:sz="6" w:space="0" w:color="000000"/>
              <w:left w:val="nil"/>
              <w:bottom w:val="single" w:sz="6" w:space="0" w:color="000000"/>
              <w:right w:val="single" w:sz="6" w:space="0" w:color="000000"/>
            </w:tcBorders>
          </w:tcPr>
          <w:p w:rsidR="00886C96" w:rsidRPr="00886C96" w:rsidP="00886C96" w14:paraId="61866A9B" w14:textId="77777777">
            <w:pPr>
              <w:rPr>
                <w:szCs w:val="22"/>
              </w:rPr>
            </w:pPr>
            <w:r>
              <w:rPr>
                <w:szCs w:val="22"/>
              </w:rPr>
              <w:t>* * *</w:t>
            </w:r>
          </w:p>
        </w:tc>
        <w:tc>
          <w:tcPr>
            <w:tcW w:w="1884" w:type="pct"/>
            <w:tcBorders>
              <w:top w:val="single" w:sz="6" w:space="0" w:color="000000"/>
              <w:left w:val="single" w:sz="6" w:space="0" w:color="000000"/>
              <w:bottom w:val="single" w:sz="6" w:space="0" w:color="000000"/>
              <w:right w:val="single" w:sz="6" w:space="0" w:color="000000"/>
            </w:tcBorders>
          </w:tcPr>
          <w:p w:rsidR="00886C96" w:rsidRPr="00886C96" w:rsidP="00886C96" w14:paraId="7CB4B28B" w14:textId="77777777">
            <w:pPr>
              <w:ind w:left="149"/>
              <w:rPr>
                <w:szCs w:val="22"/>
              </w:rPr>
            </w:pPr>
            <w:r>
              <w:rPr>
                <w:szCs w:val="22"/>
              </w:rPr>
              <w:t>* *</w:t>
            </w:r>
          </w:p>
        </w:tc>
        <w:tc>
          <w:tcPr>
            <w:tcW w:w="1251" w:type="pct"/>
            <w:gridSpan w:val="2"/>
            <w:tcBorders>
              <w:top w:val="single" w:sz="6" w:space="0" w:color="000000"/>
              <w:left w:val="single" w:sz="6" w:space="0" w:color="000000"/>
              <w:bottom w:val="single" w:sz="6" w:space="0" w:color="000000"/>
              <w:right w:val="nil"/>
            </w:tcBorders>
          </w:tcPr>
          <w:p w:rsidR="00886C96" w:rsidRPr="00886C96" w:rsidP="00886C96" w14:paraId="3B327076" w14:textId="77777777">
            <w:pPr>
              <w:jc w:val="right"/>
              <w:rPr>
                <w:szCs w:val="22"/>
              </w:rPr>
            </w:pPr>
            <w:r>
              <w:rPr>
                <w:szCs w:val="22"/>
              </w:rPr>
              <w:t>* *</w:t>
            </w:r>
          </w:p>
        </w:tc>
      </w:tr>
    </w:tbl>
    <w:p w:rsidR="006A63F7" w:rsidP="00085CE2" w14:paraId="46517710" w14:textId="77777777">
      <w:pPr>
        <w:widowControl/>
        <w:ind w:firstLine="360"/>
        <w:rPr>
          <w:color w:val="000000"/>
          <w:szCs w:val="22"/>
          <w:shd w:val="clear" w:color="auto" w:fill="FFFFFF"/>
        </w:rPr>
      </w:pPr>
    </w:p>
    <w:p w:rsidR="00085CE2" w:rsidP="00085CE2" w14:paraId="3E517076" w14:textId="77777777">
      <w:pPr>
        <w:widowControl/>
        <w:ind w:firstLine="360"/>
        <w:rPr>
          <w:color w:val="000000"/>
          <w:szCs w:val="22"/>
          <w:shd w:val="clear" w:color="auto" w:fill="FFFFFF"/>
        </w:rPr>
      </w:pPr>
      <w:r>
        <w:rPr>
          <w:color w:val="000000"/>
          <w:szCs w:val="22"/>
          <w:shd w:val="clear" w:color="auto" w:fill="FFFFFF"/>
        </w:rPr>
        <w:t>* * * * *</w:t>
      </w:r>
    </w:p>
    <w:p w:rsidR="00085CE2" w:rsidP="00085CE2" w14:paraId="55543BED" w14:textId="77777777">
      <w:pPr>
        <w:widowControl/>
        <w:ind w:firstLine="360"/>
        <w:rPr>
          <w:color w:val="000000"/>
          <w:szCs w:val="22"/>
          <w:shd w:val="clear" w:color="auto" w:fill="FFFFFF"/>
        </w:rPr>
      </w:pPr>
    </w:p>
    <w:p w:rsidR="00085CE2" w:rsidP="00085CE2" w14:paraId="1B8BE3DE" w14:textId="77777777">
      <w:pPr>
        <w:widowControl/>
        <w:rPr>
          <w:b/>
          <w:bCs/>
          <w:szCs w:val="22"/>
        </w:rPr>
      </w:pPr>
      <w:r w:rsidRPr="00994FEE">
        <w:rPr>
          <w:b/>
          <w:bCs/>
          <w:szCs w:val="22"/>
        </w:rPr>
        <w:t>PART 9</w:t>
      </w:r>
      <w:r>
        <w:rPr>
          <w:b/>
          <w:bCs/>
          <w:szCs w:val="22"/>
        </w:rPr>
        <w:t>7</w:t>
      </w:r>
      <w:r w:rsidRPr="00994FEE">
        <w:rPr>
          <w:b/>
          <w:bCs/>
          <w:szCs w:val="22"/>
        </w:rPr>
        <w:t>—</w:t>
      </w:r>
      <w:r>
        <w:rPr>
          <w:b/>
          <w:bCs/>
          <w:szCs w:val="22"/>
        </w:rPr>
        <w:t>AMATEUR RADIO SERVICE</w:t>
      </w:r>
    </w:p>
    <w:p w:rsidR="00085CE2" w:rsidP="00085CE2" w14:paraId="60B17D49" w14:textId="77777777">
      <w:pPr>
        <w:widowControl/>
        <w:rPr>
          <w:b/>
          <w:bCs/>
          <w:szCs w:val="22"/>
        </w:rPr>
      </w:pPr>
    </w:p>
    <w:p w:rsidR="00085CE2" w:rsidP="00085CE2" w14:paraId="142037DB" w14:textId="77777777">
      <w:pPr>
        <w:widowControl/>
        <w:ind w:firstLine="720"/>
        <w:rPr>
          <w:szCs w:val="22"/>
        </w:rPr>
      </w:pPr>
      <w:r>
        <w:rPr>
          <w:szCs w:val="22"/>
        </w:rPr>
        <w:t>5.</w:t>
      </w:r>
      <w:r>
        <w:rPr>
          <w:szCs w:val="22"/>
        </w:rPr>
        <w:tab/>
      </w:r>
      <w:r w:rsidRPr="00BD6F49">
        <w:rPr>
          <w:szCs w:val="22"/>
        </w:rPr>
        <w:t xml:space="preserve">The </w:t>
      </w:r>
      <w:r w:rsidRPr="00E535D4">
        <w:t>authority</w:t>
      </w:r>
      <w:r w:rsidRPr="00BD6F49">
        <w:rPr>
          <w:szCs w:val="22"/>
        </w:rPr>
        <w:t xml:space="preserve"> citation for part </w:t>
      </w:r>
      <w:r>
        <w:rPr>
          <w:szCs w:val="22"/>
        </w:rPr>
        <w:t>97</w:t>
      </w:r>
      <w:r w:rsidRPr="00BD6F49">
        <w:rPr>
          <w:szCs w:val="22"/>
        </w:rPr>
        <w:t xml:space="preserve"> continues to read as follows:</w:t>
      </w:r>
    </w:p>
    <w:p w:rsidR="00085CE2" w:rsidRPr="00FF30DD" w:rsidP="00085CE2" w14:paraId="330B9A56" w14:textId="77777777">
      <w:pPr>
        <w:widowControl/>
        <w:ind w:firstLine="720"/>
        <w:rPr>
          <w:b/>
          <w:bCs/>
          <w:szCs w:val="22"/>
        </w:rPr>
      </w:pPr>
    </w:p>
    <w:p w:rsidR="00C05FF3" w:rsidRPr="00687C6B" w:rsidP="00C05FF3" w14:paraId="5F2C9D8C" w14:textId="77777777">
      <w:pPr>
        <w:widowControl/>
        <w:ind w:firstLine="360"/>
        <w:rPr>
          <w:szCs w:val="22"/>
        </w:rPr>
      </w:pPr>
      <w:r>
        <w:rPr>
          <w:color w:val="000000"/>
        </w:rPr>
        <w:t>[INSERT CURRENT AUTHORITY CITATION]</w:t>
      </w:r>
    </w:p>
    <w:p w:rsidR="00085CE2" w:rsidRPr="00B22A95" w:rsidP="00085CE2" w14:paraId="4DA4E890" w14:textId="77777777">
      <w:pPr>
        <w:widowControl/>
        <w:ind w:firstLine="360"/>
        <w:rPr>
          <w:szCs w:val="22"/>
        </w:rPr>
      </w:pPr>
    </w:p>
    <w:p w:rsidR="00085CE2" w:rsidP="00085CE2" w14:paraId="4A7ABAF2" w14:textId="77777777">
      <w:pPr>
        <w:pStyle w:val="ParaNum"/>
        <w:numPr>
          <w:ilvl w:val="0"/>
          <w:numId w:val="19"/>
        </w:numPr>
        <w:tabs>
          <w:tab w:val="clear" w:pos="1080"/>
        </w:tabs>
        <w:spacing w:after="0"/>
      </w:pPr>
      <w:r>
        <w:t>Revise Section 97.207 to read as fo</w:t>
      </w:r>
      <w:r w:rsidRPr="00BD6F49">
        <w:t xml:space="preserve">llows: </w:t>
      </w:r>
    </w:p>
    <w:p w:rsidR="00085CE2" w:rsidP="00085CE2" w14:paraId="6162BF90" w14:textId="77777777">
      <w:pPr>
        <w:pStyle w:val="ParaNum"/>
        <w:numPr>
          <w:ilvl w:val="0"/>
          <w:numId w:val="0"/>
        </w:numPr>
        <w:spacing w:after="0"/>
        <w:ind w:left="720"/>
      </w:pPr>
    </w:p>
    <w:p w:rsidR="00085CE2" w:rsidP="00085CE2" w14:paraId="245BD580" w14:textId="77777777">
      <w:pPr>
        <w:shd w:val="clear" w:color="auto" w:fill="FFFFFF"/>
        <w:outlineLvl w:val="1"/>
        <w:rPr>
          <w:b/>
          <w:bCs/>
          <w:szCs w:val="22"/>
          <w:u w:val="single"/>
        </w:rPr>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07</w:t>
      </w:r>
      <w:r w:rsidRPr="00480BC3">
        <w:rPr>
          <w:b/>
          <w:bCs/>
          <w:szCs w:val="22"/>
          <w:u w:val="single"/>
        </w:rPr>
        <w:t xml:space="preserve"> </w:t>
      </w:r>
      <w:r>
        <w:rPr>
          <w:b/>
          <w:bCs/>
          <w:szCs w:val="22"/>
          <w:u w:val="single"/>
        </w:rPr>
        <w:t>Space station</w:t>
      </w:r>
      <w:r w:rsidRPr="00480BC3">
        <w:rPr>
          <w:b/>
          <w:bCs/>
          <w:szCs w:val="22"/>
          <w:u w:val="single"/>
        </w:rPr>
        <w:t>.</w:t>
      </w:r>
    </w:p>
    <w:p w:rsidR="00085CE2" w:rsidRPr="00480BC3" w:rsidP="00085CE2" w14:paraId="721A4F56" w14:textId="77777777">
      <w:pPr>
        <w:shd w:val="clear" w:color="auto" w:fill="FFFFFF"/>
        <w:outlineLvl w:val="1"/>
        <w:rPr>
          <w:b/>
          <w:bCs/>
          <w:szCs w:val="22"/>
          <w:u w:val="single"/>
        </w:rPr>
      </w:pPr>
    </w:p>
    <w:p w:rsidR="00085CE2" w:rsidP="00085CE2" w14:paraId="76628D27" w14:textId="77777777">
      <w:pPr>
        <w:shd w:val="clear" w:color="auto" w:fill="FFFFFF"/>
        <w:ind w:firstLine="360"/>
        <w:outlineLvl w:val="1"/>
        <w:rPr>
          <w:bCs/>
          <w:szCs w:val="22"/>
        </w:rPr>
      </w:pPr>
      <w:bookmarkStart w:id="391" w:name="_Hlk23333987"/>
      <w:r w:rsidRPr="00480BC3">
        <w:rPr>
          <w:bCs/>
          <w:szCs w:val="22"/>
        </w:rPr>
        <w:t>* * * * *</w:t>
      </w:r>
    </w:p>
    <w:p w:rsidR="00085CE2" w:rsidRPr="00480BC3" w:rsidP="00085CE2" w14:paraId="3DCDF533" w14:textId="77777777">
      <w:pPr>
        <w:shd w:val="clear" w:color="auto" w:fill="FFFFFF"/>
        <w:ind w:firstLine="360"/>
        <w:outlineLvl w:val="1"/>
        <w:rPr>
          <w:bCs/>
          <w:szCs w:val="22"/>
        </w:rPr>
      </w:pPr>
    </w:p>
    <w:bookmarkEnd w:id="391"/>
    <w:p w:rsidR="00085CE2" w:rsidP="00085CE2" w14:paraId="21446BE3" w14:textId="77777777">
      <w:pPr>
        <w:widowControl/>
        <w:ind w:firstLine="360"/>
        <w:rPr>
          <w:szCs w:val="22"/>
        </w:rPr>
      </w:pPr>
      <w:r w:rsidRPr="008D5822">
        <w:rPr>
          <w:szCs w:val="22"/>
        </w:rPr>
        <w:t>(</w:t>
      </w:r>
      <w:r>
        <w:rPr>
          <w:szCs w:val="22"/>
        </w:rPr>
        <w:t>c</w:t>
      </w:r>
      <w:r w:rsidRPr="008D5822">
        <w:rPr>
          <w:szCs w:val="22"/>
        </w:rPr>
        <w:t>) * * *</w:t>
      </w:r>
    </w:p>
    <w:p w:rsidR="00085CE2" w:rsidRPr="008D5822" w:rsidP="00085CE2" w14:paraId="58EBAC72" w14:textId="77777777">
      <w:pPr>
        <w:widowControl/>
        <w:ind w:firstLine="360"/>
        <w:rPr>
          <w:szCs w:val="22"/>
        </w:rPr>
      </w:pPr>
    </w:p>
    <w:p w:rsidR="00085CE2" w:rsidP="00085CE2" w14:paraId="6443681B" w14:textId="77777777">
      <w:pPr>
        <w:widowControl/>
        <w:ind w:firstLine="360"/>
        <w:rPr>
          <w:color w:val="000000"/>
          <w:szCs w:val="22"/>
          <w:shd w:val="clear" w:color="auto" w:fill="FFFFFF"/>
        </w:rPr>
      </w:pPr>
      <w:r w:rsidRPr="0060430C">
        <w:rPr>
          <w:szCs w:val="22"/>
        </w:rPr>
        <w:t xml:space="preserve">(2) </w:t>
      </w:r>
      <w:r w:rsidRPr="00E535D4">
        <w:rPr>
          <w:color w:val="000000"/>
          <w:szCs w:val="22"/>
          <w:shd w:val="clear" w:color="auto" w:fill="FFFFFF"/>
        </w:rPr>
        <w:t>The 7.0-7.1 MHz, 14.00-14.25 MHz, 144-146 MHz, 435-438 MHz, 2400-2450 MHz, 5.83-5.85 GHz, 10.45-10.50 GHz, and 24.00-24.05 GHz segments.</w:t>
      </w:r>
    </w:p>
    <w:p w:rsidR="00085CE2" w:rsidP="00085CE2" w14:paraId="08FDB3B8" w14:textId="77777777">
      <w:pPr>
        <w:widowControl/>
        <w:ind w:firstLine="360"/>
        <w:rPr>
          <w:szCs w:val="22"/>
        </w:rPr>
      </w:pPr>
    </w:p>
    <w:p w:rsidR="00085CE2" w:rsidP="00085CE2" w14:paraId="07E46081" w14:textId="77777777">
      <w:pPr>
        <w:shd w:val="clear" w:color="auto" w:fill="FFFFFF"/>
        <w:ind w:firstLine="360"/>
        <w:outlineLvl w:val="1"/>
        <w:rPr>
          <w:bCs/>
          <w:szCs w:val="22"/>
        </w:rPr>
      </w:pPr>
      <w:r w:rsidRPr="00480BC3">
        <w:rPr>
          <w:bCs/>
          <w:szCs w:val="22"/>
        </w:rPr>
        <w:t>* * * * *</w:t>
      </w:r>
    </w:p>
    <w:p w:rsidR="00085CE2" w:rsidRPr="00480BC3" w:rsidP="00085CE2" w14:paraId="5F56F35A" w14:textId="77777777">
      <w:pPr>
        <w:shd w:val="clear" w:color="auto" w:fill="FFFFFF"/>
        <w:ind w:firstLine="360"/>
        <w:outlineLvl w:val="1"/>
        <w:rPr>
          <w:bCs/>
          <w:szCs w:val="22"/>
        </w:rPr>
      </w:pPr>
    </w:p>
    <w:p w:rsidR="00085CE2" w:rsidP="00085CE2" w14:paraId="25C2B045" w14:textId="77777777">
      <w:pPr>
        <w:pStyle w:val="ParaNum"/>
        <w:tabs>
          <w:tab w:val="clear" w:pos="1080"/>
        </w:tabs>
        <w:spacing w:after="0"/>
      </w:pPr>
      <w:r>
        <w:t>Revise Section 97.209 to read as follows:</w:t>
      </w:r>
    </w:p>
    <w:p w:rsidR="00085CE2" w:rsidP="00085CE2" w14:paraId="38F1021C" w14:textId="77777777">
      <w:pPr>
        <w:pStyle w:val="ParaNum"/>
        <w:numPr>
          <w:ilvl w:val="0"/>
          <w:numId w:val="0"/>
        </w:numPr>
        <w:spacing w:after="0"/>
        <w:ind w:left="720"/>
      </w:pPr>
    </w:p>
    <w:p w:rsidR="00085CE2" w:rsidP="00085CE2" w14:paraId="10EACB1C" w14:textId="77777777">
      <w:pPr>
        <w:shd w:val="clear" w:color="auto" w:fill="FFFFFF"/>
        <w:outlineLvl w:val="1"/>
        <w:rPr>
          <w:b/>
          <w:bCs/>
          <w:szCs w:val="22"/>
          <w:u w:val="single"/>
        </w:rPr>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09</w:t>
      </w:r>
      <w:r w:rsidRPr="00480BC3">
        <w:rPr>
          <w:b/>
          <w:bCs/>
          <w:szCs w:val="22"/>
          <w:u w:val="single"/>
        </w:rPr>
        <w:t xml:space="preserve"> </w:t>
      </w:r>
      <w:r>
        <w:rPr>
          <w:b/>
          <w:bCs/>
          <w:szCs w:val="22"/>
          <w:u w:val="single"/>
        </w:rPr>
        <w:t>Earth station</w:t>
      </w:r>
      <w:r w:rsidRPr="00480BC3">
        <w:rPr>
          <w:b/>
          <w:bCs/>
          <w:szCs w:val="22"/>
          <w:u w:val="single"/>
        </w:rPr>
        <w:t>.</w:t>
      </w:r>
    </w:p>
    <w:p w:rsidR="00085CE2" w:rsidRPr="00480BC3" w:rsidP="00085CE2" w14:paraId="1A7EA9F8" w14:textId="77777777">
      <w:pPr>
        <w:shd w:val="clear" w:color="auto" w:fill="FFFFFF"/>
        <w:outlineLvl w:val="1"/>
        <w:rPr>
          <w:b/>
          <w:bCs/>
          <w:szCs w:val="22"/>
          <w:u w:val="single"/>
        </w:rPr>
      </w:pPr>
    </w:p>
    <w:p w:rsidR="00085CE2" w:rsidP="00085CE2" w14:paraId="084B5CCC" w14:textId="77777777">
      <w:pPr>
        <w:shd w:val="clear" w:color="auto" w:fill="FFFFFF"/>
        <w:ind w:firstLine="360"/>
        <w:outlineLvl w:val="1"/>
        <w:rPr>
          <w:bCs/>
          <w:szCs w:val="22"/>
        </w:rPr>
      </w:pPr>
      <w:r w:rsidRPr="00480BC3">
        <w:rPr>
          <w:bCs/>
          <w:szCs w:val="22"/>
        </w:rPr>
        <w:t>* * * * *</w:t>
      </w:r>
    </w:p>
    <w:p w:rsidR="00085CE2" w:rsidP="00085CE2" w14:paraId="4E33BF72" w14:textId="77777777">
      <w:pPr>
        <w:shd w:val="clear" w:color="auto" w:fill="FFFFFF"/>
        <w:ind w:firstLine="360"/>
        <w:outlineLvl w:val="1"/>
        <w:rPr>
          <w:bCs/>
          <w:szCs w:val="22"/>
        </w:rPr>
      </w:pPr>
    </w:p>
    <w:p w:rsidR="00085CE2" w:rsidP="00085CE2" w14:paraId="3244613D" w14:textId="77777777">
      <w:pPr>
        <w:shd w:val="clear" w:color="auto" w:fill="FFFFFF"/>
        <w:ind w:firstLine="360"/>
        <w:outlineLvl w:val="1"/>
        <w:rPr>
          <w:bCs/>
          <w:szCs w:val="22"/>
        </w:rPr>
      </w:pPr>
      <w:r w:rsidRPr="008D5822">
        <w:rPr>
          <w:szCs w:val="22"/>
        </w:rPr>
        <w:t>(</w:t>
      </w:r>
      <w:r>
        <w:rPr>
          <w:szCs w:val="22"/>
        </w:rPr>
        <w:t>b</w:t>
      </w:r>
      <w:r w:rsidRPr="008D5822">
        <w:rPr>
          <w:szCs w:val="22"/>
        </w:rPr>
        <w:t>) * * *</w:t>
      </w:r>
    </w:p>
    <w:p w:rsidR="00085CE2" w:rsidP="00085CE2" w14:paraId="04533F6D" w14:textId="77777777">
      <w:pPr>
        <w:shd w:val="clear" w:color="auto" w:fill="FFFFFF"/>
        <w:ind w:firstLine="360"/>
        <w:outlineLvl w:val="1"/>
        <w:rPr>
          <w:bCs/>
          <w:szCs w:val="22"/>
        </w:rPr>
      </w:pPr>
    </w:p>
    <w:p w:rsidR="00085CE2" w:rsidRPr="00FF30DD" w:rsidP="00085CE2" w14:paraId="08B4D90C" w14:textId="77777777">
      <w:pPr>
        <w:shd w:val="clear" w:color="auto" w:fill="FFFFFF"/>
        <w:ind w:firstLine="360"/>
        <w:outlineLvl w:val="1"/>
        <w:rPr>
          <w:bCs/>
          <w:szCs w:val="22"/>
        </w:rPr>
      </w:pPr>
      <w:r w:rsidRPr="0060430C">
        <w:rPr>
          <w:szCs w:val="22"/>
        </w:rPr>
        <w:t xml:space="preserve">(2) </w:t>
      </w:r>
      <w:r w:rsidRPr="00E535D4">
        <w:rPr>
          <w:color w:val="000000"/>
          <w:szCs w:val="22"/>
          <w:shd w:val="clear" w:color="auto" w:fill="FFFFFF"/>
        </w:rPr>
        <w:t>The 7.0-7.1 MHz, 14.00-14.25 MHz, 144-146 MHz, 435-438 MHz, 1260-1270 MHz and 2400-2450 MHz, 5.65-5.67 GHz, 10.45-10.50 GHz and 24.00-24.05 GHz segments.</w:t>
      </w:r>
    </w:p>
    <w:p w:rsidR="00085CE2" w:rsidRPr="00E535D4" w:rsidP="00085CE2" w14:paraId="1CF7476D" w14:textId="77777777">
      <w:pPr>
        <w:widowControl/>
        <w:ind w:firstLine="720"/>
        <w:rPr>
          <w:szCs w:val="22"/>
        </w:rPr>
      </w:pPr>
    </w:p>
    <w:p w:rsidR="00085CE2" w:rsidP="00ED2A1D" w14:paraId="557BDE90" w14:textId="77777777">
      <w:pPr>
        <w:pStyle w:val="ParaNum"/>
        <w:tabs>
          <w:tab w:val="clear" w:pos="1080"/>
        </w:tabs>
        <w:spacing w:after="0"/>
      </w:pPr>
      <w:r>
        <w:t>Revise Section 97.211 to read as follows:</w:t>
      </w:r>
    </w:p>
    <w:p w:rsidR="00085CE2" w:rsidP="00085CE2" w14:paraId="0C161C79" w14:textId="77777777">
      <w:pPr>
        <w:pStyle w:val="ParaNum"/>
        <w:numPr>
          <w:ilvl w:val="0"/>
          <w:numId w:val="0"/>
        </w:numPr>
        <w:spacing w:after="0"/>
        <w:ind w:left="720"/>
      </w:pPr>
    </w:p>
    <w:p w:rsidR="00085CE2" w:rsidP="00085CE2" w14:paraId="474EFF7C" w14:textId="77777777">
      <w:pPr>
        <w:shd w:val="clear" w:color="auto" w:fill="FFFFFF"/>
        <w:outlineLvl w:val="1"/>
        <w:rPr>
          <w:b/>
          <w:bCs/>
          <w:szCs w:val="22"/>
          <w:u w:val="single"/>
        </w:rPr>
      </w:pPr>
      <w:r w:rsidRPr="00480BC3">
        <w:rPr>
          <w:b/>
          <w:bCs/>
          <w:szCs w:val="22"/>
          <w:u w:val="single"/>
        </w:rPr>
        <w:t>§</w:t>
      </w:r>
      <w:r>
        <w:rPr>
          <w:b/>
          <w:bCs/>
          <w:szCs w:val="22"/>
          <w:u w:val="single"/>
        </w:rPr>
        <w:t xml:space="preserve"> </w:t>
      </w:r>
      <w:r w:rsidRPr="00480BC3">
        <w:rPr>
          <w:b/>
          <w:bCs/>
          <w:szCs w:val="22"/>
          <w:u w:val="single"/>
        </w:rPr>
        <w:t>9</w:t>
      </w:r>
      <w:r>
        <w:rPr>
          <w:b/>
          <w:bCs/>
          <w:szCs w:val="22"/>
          <w:u w:val="single"/>
        </w:rPr>
        <w:t>7</w:t>
      </w:r>
      <w:r w:rsidRPr="00480BC3">
        <w:rPr>
          <w:b/>
          <w:bCs/>
          <w:szCs w:val="22"/>
          <w:u w:val="single"/>
        </w:rPr>
        <w:t>.2</w:t>
      </w:r>
      <w:r>
        <w:rPr>
          <w:b/>
          <w:bCs/>
          <w:szCs w:val="22"/>
          <w:u w:val="single"/>
        </w:rPr>
        <w:t>11</w:t>
      </w:r>
      <w:r w:rsidRPr="00480BC3">
        <w:rPr>
          <w:b/>
          <w:bCs/>
          <w:szCs w:val="22"/>
          <w:u w:val="single"/>
        </w:rPr>
        <w:t xml:space="preserve"> </w:t>
      </w:r>
      <w:r>
        <w:rPr>
          <w:b/>
          <w:bCs/>
          <w:szCs w:val="22"/>
          <w:u w:val="single"/>
        </w:rPr>
        <w:t>Space telecommand station</w:t>
      </w:r>
      <w:r w:rsidRPr="00480BC3">
        <w:rPr>
          <w:b/>
          <w:bCs/>
          <w:szCs w:val="22"/>
          <w:u w:val="single"/>
        </w:rPr>
        <w:t>.</w:t>
      </w:r>
    </w:p>
    <w:p w:rsidR="00085CE2" w:rsidRPr="00480BC3" w:rsidP="00085CE2" w14:paraId="3CAC145C" w14:textId="77777777">
      <w:pPr>
        <w:shd w:val="clear" w:color="auto" w:fill="FFFFFF"/>
        <w:outlineLvl w:val="1"/>
        <w:rPr>
          <w:b/>
          <w:bCs/>
          <w:szCs w:val="22"/>
          <w:u w:val="single"/>
        </w:rPr>
      </w:pPr>
    </w:p>
    <w:p w:rsidR="00085CE2" w:rsidP="00085CE2" w14:paraId="3095DEDF" w14:textId="77777777">
      <w:pPr>
        <w:shd w:val="clear" w:color="auto" w:fill="FFFFFF"/>
        <w:ind w:firstLine="360"/>
        <w:outlineLvl w:val="1"/>
        <w:rPr>
          <w:bCs/>
          <w:szCs w:val="22"/>
        </w:rPr>
      </w:pPr>
      <w:r w:rsidRPr="00480BC3">
        <w:rPr>
          <w:bCs/>
          <w:szCs w:val="22"/>
        </w:rPr>
        <w:t>* * * * *</w:t>
      </w:r>
    </w:p>
    <w:p w:rsidR="00085CE2" w:rsidRPr="00480BC3" w:rsidP="00085CE2" w14:paraId="0093D580" w14:textId="77777777">
      <w:pPr>
        <w:shd w:val="clear" w:color="auto" w:fill="FFFFFF"/>
        <w:ind w:firstLine="360"/>
        <w:outlineLvl w:val="1"/>
        <w:rPr>
          <w:bCs/>
          <w:szCs w:val="22"/>
        </w:rPr>
      </w:pPr>
    </w:p>
    <w:p w:rsidR="00085CE2" w:rsidP="00085CE2" w14:paraId="427243BA" w14:textId="77777777">
      <w:pPr>
        <w:widowControl/>
        <w:ind w:firstLine="360"/>
        <w:rPr>
          <w:szCs w:val="22"/>
        </w:rPr>
      </w:pPr>
      <w:r w:rsidRPr="008D5822">
        <w:rPr>
          <w:szCs w:val="22"/>
        </w:rPr>
        <w:t>(</w:t>
      </w:r>
      <w:r>
        <w:rPr>
          <w:szCs w:val="22"/>
        </w:rPr>
        <w:t>c</w:t>
      </w:r>
      <w:r w:rsidRPr="008D5822">
        <w:rPr>
          <w:szCs w:val="22"/>
        </w:rPr>
        <w:t>) * * *</w:t>
      </w:r>
    </w:p>
    <w:p w:rsidR="00085CE2" w:rsidRPr="008D5822" w:rsidP="00085CE2" w14:paraId="349D0133" w14:textId="77777777">
      <w:pPr>
        <w:widowControl/>
        <w:ind w:firstLine="360"/>
        <w:rPr>
          <w:szCs w:val="22"/>
        </w:rPr>
      </w:pPr>
    </w:p>
    <w:p w:rsidR="00085CE2" w:rsidP="00085CE2" w14:paraId="0643E38A" w14:textId="77777777">
      <w:pPr>
        <w:widowControl/>
        <w:ind w:firstLine="360"/>
        <w:rPr>
          <w:color w:val="000000"/>
          <w:szCs w:val="22"/>
          <w:shd w:val="clear" w:color="auto" w:fill="FFFFFF"/>
        </w:rPr>
      </w:pPr>
      <w:r w:rsidRPr="0060430C">
        <w:rPr>
          <w:szCs w:val="22"/>
        </w:rPr>
        <w:t xml:space="preserve">(2) </w:t>
      </w:r>
      <w:r w:rsidRPr="00E535D4">
        <w:rPr>
          <w:color w:val="000000"/>
          <w:szCs w:val="22"/>
          <w:shd w:val="clear" w:color="auto" w:fill="FFFFFF"/>
        </w:rPr>
        <w:t>The 7.0-7.1 MHz, 14.00-14.25 MHz, 144-146 MHz, 435-438 MHz, 1260-1270 MHz and 2400</w:t>
      </w:r>
      <w:r>
        <w:rPr>
          <w:color w:val="000000"/>
          <w:szCs w:val="22"/>
          <w:shd w:val="clear" w:color="auto" w:fill="FFFFFF"/>
        </w:rPr>
        <w:noBreakHyphen/>
      </w:r>
      <w:r w:rsidRPr="00E535D4">
        <w:rPr>
          <w:color w:val="000000"/>
          <w:szCs w:val="22"/>
          <w:shd w:val="clear" w:color="auto" w:fill="FFFFFF"/>
        </w:rPr>
        <w:t>2450 MHz, 5.65-5.67 GHz, 10.45-10.50 GHz and 24.00-24.05 GHz segments.</w:t>
      </w:r>
    </w:p>
    <w:p w:rsidR="00085CE2" w:rsidP="00085CE2" w14:paraId="757CC8B9" w14:textId="77777777">
      <w:pPr>
        <w:widowControl/>
        <w:ind w:firstLine="360"/>
        <w:rPr>
          <w:color w:val="000000"/>
          <w:szCs w:val="22"/>
          <w:shd w:val="clear" w:color="auto" w:fill="FFFFFF"/>
        </w:rPr>
      </w:pPr>
    </w:p>
    <w:p w:rsidR="00085CE2" w:rsidP="00085CE2" w14:paraId="4F2D45C3" w14:textId="77777777">
      <w:pPr>
        <w:widowControl/>
        <w:ind w:firstLine="360"/>
        <w:rPr>
          <w:bCs/>
          <w:szCs w:val="22"/>
        </w:rPr>
      </w:pPr>
      <w:r w:rsidRPr="00480BC3">
        <w:rPr>
          <w:bCs/>
          <w:szCs w:val="22"/>
        </w:rPr>
        <w:t>* * * * *</w:t>
      </w:r>
    </w:p>
    <w:p w:rsidR="00085CE2" w:rsidP="00085CE2" w14:paraId="16DA1AB1" w14:textId="77777777">
      <w:pPr>
        <w:widowControl/>
        <w:rPr>
          <w:bCs/>
          <w:szCs w:val="22"/>
        </w:rPr>
      </w:pPr>
    </w:p>
    <w:p w:rsidR="00085CE2" w:rsidP="00085CE2" w14:paraId="483EAB67" w14:textId="77777777">
      <w:pPr>
        <w:pStyle w:val="ParaNum"/>
        <w:tabs>
          <w:tab w:val="clear" w:pos="1080"/>
        </w:tabs>
        <w:spacing w:after="0"/>
        <w:rPr>
          <w:snapToGrid/>
          <w:szCs w:val="22"/>
        </w:rPr>
      </w:pPr>
      <w:r w:rsidRPr="00AE2C6F">
        <w:rPr>
          <w:snapToGrid/>
          <w:szCs w:val="22"/>
        </w:rPr>
        <w:t>In § 97.301, revise the table in paragraph (a)</w:t>
      </w:r>
      <w:r>
        <w:rPr>
          <w:snapToGrid/>
          <w:szCs w:val="22"/>
        </w:rPr>
        <w:t xml:space="preserve"> to read as follows:</w:t>
      </w:r>
    </w:p>
    <w:p w:rsidR="00085CE2" w:rsidRPr="00AE2C6F" w:rsidP="00085CE2" w14:paraId="2742639D" w14:textId="77777777">
      <w:pPr>
        <w:pStyle w:val="ParaNum"/>
        <w:numPr>
          <w:ilvl w:val="0"/>
          <w:numId w:val="0"/>
        </w:numPr>
        <w:spacing w:after="0"/>
        <w:rPr>
          <w:snapToGrid/>
          <w:szCs w:val="22"/>
        </w:rPr>
      </w:pPr>
    </w:p>
    <w:p w:rsidR="00085CE2" w:rsidRPr="00C23CAA" w:rsidP="00085CE2" w14:paraId="38F445AB" w14:textId="77777777">
      <w:pPr>
        <w:widowControl/>
        <w:shd w:val="clear" w:color="auto" w:fill="FFFFFF"/>
        <w:outlineLvl w:val="1"/>
        <w:rPr>
          <w:b/>
          <w:bCs/>
          <w:snapToGrid/>
          <w:color w:val="000000"/>
          <w:kern w:val="0"/>
          <w:szCs w:val="22"/>
          <w:u w:val="single"/>
        </w:rPr>
      </w:pPr>
      <w:r w:rsidRPr="00C23CAA">
        <w:rPr>
          <w:b/>
          <w:bCs/>
          <w:snapToGrid/>
          <w:color w:val="000000"/>
          <w:kern w:val="0"/>
          <w:szCs w:val="22"/>
          <w:u w:val="single"/>
        </w:rPr>
        <w:t>§ 97.301   Authorized frequency bands.</w:t>
      </w:r>
    </w:p>
    <w:p w:rsidR="00085CE2" w:rsidRPr="00CB61D1" w:rsidP="00085CE2" w14:paraId="0E217D7A" w14:textId="77777777">
      <w:pPr>
        <w:widowControl/>
        <w:shd w:val="clear" w:color="auto" w:fill="FFFFFF"/>
        <w:outlineLvl w:val="1"/>
        <w:rPr>
          <w:b/>
          <w:bCs/>
          <w:snapToGrid/>
          <w:color w:val="000000"/>
          <w:kern w:val="0"/>
          <w:szCs w:val="22"/>
        </w:rPr>
      </w:pPr>
    </w:p>
    <w:p w:rsidR="00085CE2" w:rsidP="00085CE2" w14:paraId="35D76852" w14:textId="77777777">
      <w:pPr>
        <w:widowControl/>
        <w:shd w:val="clear" w:color="auto" w:fill="FFFFFF"/>
        <w:ind w:firstLine="360"/>
        <w:outlineLvl w:val="1"/>
        <w:rPr>
          <w:bCs/>
          <w:snapToGrid/>
          <w:color w:val="000000"/>
          <w:kern w:val="0"/>
          <w:szCs w:val="22"/>
        </w:rPr>
      </w:pPr>
      <w:r w:rsidRPr="00CB61D1">
        <w:rPr>
          <w:bCs/>
          <w:snapToGrid/>
          <w:color w:val="000000"/>
          <w:kern w:val="0"/>
          <w:szCs w:val="22"/>
        </w:rPr>
        <w:t>* * * * *</w:t>
      </w:r>
    </w:p>
    <w:p w:rsidR="00085CE2" w:rsidP="00085CE2" w14:paraId="23C9D1B4" w14:textId="77777777">
      <w:pPr>
        <w:widowControl/>
        <w:shd w:val="clear" w:color="auto" w:fill="FFFFFF"/>
        <w:ind w:firstLine="360"/>
        <w:outlineLvl w:val="1"/>
        <w:rPr>
          <w:bCs/>
          <w:snapToGrid/>
          <w:color w:val="000000"/>
          <w:kern w:val="0"/>
          <w:szCs w:val="22"/>
        </w:rPr>
      </w:pPr>
    </w:p>
    <w:p w:rsidR="00085CE2" w:rsidRPr="00F62AFD" w:rsidP="00085CE2" w14:paraId="107EBDE9" w14:textId="77777777">
      <w:pPr>
        <w:pStyle w:val="ListParagraph"/>
        <w:widowControl/>
        <w:numPr>
          <w:ilvl w:val="0"/>
          <w:numId w:val="18"/>
        </w:numPr>
        <w:shd w:val="clear" w:color="auto" w:fill="FFFFFF"/>
        <w:contextualSpacing w:val="0"/>
        <w:outlineLvl w:val="1"/>
        <w:rPr>
          <w:bCs/>
          <w:snapToGrid/>
          <w:color w:val="000000"/>
          <w:kern w:val="0"/>
          <w:szCs w:val="22"/>
        </w:rPr>
      </w:pPr>
      <w:r w:rsidRPr="00F62AFD">
        <w:rPr>
          <w:bCs/>
          <w:snapToGrid/>
          <w:color w:val="000000"/>
          <w:kern w:val="0"/>
          <w:szCs w:val="22"/>
        </w:rPr>
        <w:t>* * *</w:t>
      </w:r>
    </w:p>
    <w:p w:rsidR="00085CE2" w:rsidRPr="00F62AFD" w:rsidP="00085CE2" w14:paraId="69484D1D" w14:textId="77777777">
      <w:pPr>
        <w:widowControl/>
        <w:shd w:val="clear" w:color="auto" w:fill="FFFFFF"/>
        <w:ind w:left="360"/>
        <w:outlineLvl w:val="1"/>
        <w:rPr>
          <w:bCs/>
          <w:snapToGrid/>
          <w:color w:val="000000"/>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5"/>
        <w:gridCol w:w="1530"/>
        <w:gridCol w:w="1530"/>
        <w:gridCol w:w="1530"/>
        <w:gridCol w:w="2875"/>
      </w:tblGrid>
      <w:tr w14:paraId="3B9CC6F3" w14:textId="77777777" w:rsidTr="000E05D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74"/>
        </w:trPr>
        <w:tc>
          <w:tcPr>
            <w:tcW w:w="1885" w:type="dxa"/>
            <w:tcBorders>
              <w:left w:val="nil"/>
            </w:tcBorders>
            <w:shd w:val="clear" w:color="auto" w:fill="auto"/>
            <w:vAlign w:val="center"/>
          </w:tcPr>
          <w:p w:rsidR="00085CE2" w:rsidRPr="000E05D9" w:rsidP="000E05D9" w14:paraId="15C33797" w14:textId="77777777">
            <w:pPr>
              <w:widowControl/>
              <w:jc w:val="center"/>
              <w:outlineLvl w:val="1"/>
              <w:rPr>
                <w:b/>
                <w:bCs/>
                <w:snapToGrid/>
                <w:color w:val="000000"/>
                <w:kern w:val="0"/>
                <w:szCs w:val="22"/>
              </w:rPr>
            </w:pPr>
            <w:r w:rsidRPr="000E05D9">
              <w:rPr>
                <w:b/>
                <w:bCs/>
                <w:snapToGrid/>
                <w:color w:val="000000"/>
                <w:kern w:val="0"/>
                <w:szCs w:val="22"/>
              </w:rPr>
              <w:t>Wavelength band</w:t>
            </w:r>
          </w:p>
        </w:tc>
        <w:tc>
          <w:tcPr>
            <w:tcW w:w="1530" w:type="dxa"/>
            <w:shd w:val="clear" w:color="auto" w:fill="auto"/>
            <w:vAlign w:val="center"/>
          </w:tcPr>
          <w:p w:rsidR="00085CE2" w:rsidRPr="000E05D9" w:rsidP="000E05D9" w14:paraId="7D385E77" w14:textId="77777777">
            <w:pPr>
              <w:widowControl/>
              <w:jc w:val="center"/>
              <w:outlineLvl w:val="1"/>
              <w:rPr>
                <w:b/>
                <w:bCs/>
                <w:snapToGrid/>
                <w:color w:val="000000"/>
                <w:kern w:val="0"/>
                <w:szCs w:val="22"/>
              </w:rPr>
            </w:pPr>
            <w:r w:rsidRPr="000E05D9">
              <w:rPr>
                <w:b/>
                <w:bCs/>
                <w:snapToGrid/>
                <w:color w:val="000000"/>
                <w:kern w:val="0"/>
                <w:szCs w:val="22"/>
              </w:rPr>
              <w:t>ITU Region 1</w:t>
            </w:r>
          </w:p>
        </w:tc>
        <w:tc>
          <w:tcPr>
            <w:tcW w:w="1530" w:type="dxa"/>
            <w:shd w:val="clear" w:color="auto" w:fill="auto"/>
            <w:vAlign w:val="center"/>
          </w:tcPr>
          <w:p w:rsidR="00085CE2" w:rsidRPr="000E05D9" w:rsidP="000E05D9" w14:paraId="768CE76D" w14:textId="77777777">
            <w:pPr>
              <w:widowControl/>
              <w:jc w:val="center"/>
              <w:outlineLvl w:val="1"/>
              <w:rPr>
                <w:b/>
                <w:bCs/>
                <w:snapToGrid/>
                <w:color w:val="000000"/>
                <w:kern w:val="0"/>
                <w:szCs w:val="22"/>
              </w:rPr>
            </w:pPr>
            <w:r w:rsidRPr="000E05D9">
              <w:rPr>
                <w:b/>
                <w:bCs/>
                <w:snapToGrid/>
                <w:color w:val="000000"/>
                <w:kern w:val="0"/>
                <w:szCs w:val="22"/>
              </w:rPr>
              <w:t>ITU Region 2</w:t>
            </w:r>
          </w:p>
        </w:tc>
        <w:tc>
          <w:tcPr>
            <w:tcW w:w="1530" w:type="dxa"/>
            <w:shd w:val="clear" w:color="auto" w:fill="auto"/>
            <w:vAlign w:val="center"/>
          </w:tcPr>
          <w:p w:rsidR="00085CE2" w:rsidRPr="000E05D9" w:rsidP="000E05D9" w14:paraId="16972587" w14:textId="77777777">
            <w:pPr>
              <w:widowControl/>
              <w:jc w:val="center"/>
              <w:outlineLvl w:val="1"/>
              <w:rPr>
                <w:b/>
                <w:bCs/>
                <w:snapToGrid/>
                <w:color w:val="000000"/>
                <w:kern w:val="0"/>
                <w:szCs w:val="22"/>
              </w:rPr>
            </w:pPr>
            <w:r w:rsidRPr="000E05D9">
              <w:rPr>
                <w:b/>
                <w:bCs/>
                <w:snapToGrid/>
                <w:color w:val="000000"/>
                <w:kern w:val="0"/>
                <w:szCs w:val="22"/>
              </w:rPr>
              <w:t>ITU Region 3</w:t>
            </w:r>
          </w:p>
        </w:tc>
        <w:tc>
          <w:tcPr>
            <w:tcW w:w="2875" w:type="dxa"/>
            <w:vMerge w:val="restart"/>
            <w:tcBorders>
              <w:right w:val="nil"/>
            </w:tcBorders>
            <w:shd w:val="clear" w:color="auto" w:fill="auto"/>
          </w:tcPr>
          <w:p w:rsidR="00085CE2" w:rsidRPr="000E05D9" w:rsidP="000E05D9" w14:paraId="3F87794B" w14:textId="77777777">
            <w:pPr>
              <w:widowControl/>
              <w:jc w:val="center"/>
              <w:outlineLvl w:val="1"/>
              <w:rPr>
                <w:b/>
                <w:bCs/>
                <w:color w:val="000000"/>
                <w:szCs w:val="22"/>
                <w:shd w:val="clear" w:color="auto" w:fill="FFFFFF"/>
              </w:rPr>
            </w:pPr>
            <w:r w:rsidRPr="000E05D9">
              <w:rPr>
                <w:b/>
                <w:bCs/>
                <w:color w:val="000000"/>
                <w:szCs w:val="22"/>
                <w:shd w:val="clear" w:color="auto" w:fill="FFFFFF"/>
              </w:rPr>
              <w:t>Sharing requirements</w:t>
            </w:r>
          </w:p>
          <w:p w:rsidR="00085CE2" w:rsidRPr="000E05D9" w:rsidP="000E05D9" w14:paraId="4B451680" w14:textId="77777777">
            <w:pPr>
              <w:widowControl/>
              <w:jc w:val="center"/>
              <w:outlineLvl w:val="1"/>
              <w:rPr>
                <w:b/>
                <w:bCs/>
                <w:color w:val="000000"/>
                <w:szCs w:val="22"/>
                <w:shd w:val="clear" w:color="auto" w:fill="FFFFFF"/>
              </w:rPr>
            </w:pPr>
            <w:r w:rsidRPr="000E05D9">
              <w:rPr>
                <w:b/>
                <w:i/>
                <w:iCs/>
                <w:color w:val="000000"/>
                <w:szCs w:val="22"/>
                <w:shd w:val="clear" w:color="auto" w:fill="FFFFFF"/>
              </w:rPr>
              <w:t>see</w:t>
            </w:r>
            <w:r w:rsidRPr="000E05D9">
              <w:rPr>
                <w:b/>
                <w:bCs/>
                <w:color w:val="000000"/>
                <w:szCs w:val="22"/>
                <w:shd w:val="clear" w:color="auto" w:fill="FFFFFF"/>
              </w:rPr>
              <w:t> §97.303</w:t>
            </w:r>
          </w:p>
          <w:p w:rsidR="00085CE2" w:rsidRPr="000E05D9" w:rsidP="000E05D9" w14:paraId="347D07B0" w14:textId="77777777">
            <w:pPr>
              <w:widowControl/>
              <w:jc w:val="center"/>
              <w:outlineLvl w:val="1"/>
              <w:rPr>
                <w:b/>
                <w:bCs/>
                <w:snapToGrid/>
                <w:color w:val="000000"/>
                <w:kern w:val="0"/>
                <w:szCs w:val="22"/>
              </w:rPr>
            </w:pPr>
            <w:r w:rsidRPr="000E05D9">
              <w:rPr>
                <w:b/>
                <w:bCs/>
                <w:color w:val="000000"/>
                <w:szCs w:val="22"/>
                <w:shd w:val="clear" w:color="auto" w:fill="FFFFFF"/>
              </w:rPr>
              <w:t>(paragraph)</w:t>
            </w:r>
          </w:p>
        </w:tc>
      </w:tr>
      <w:tr w14:paraId="1EC0B429" w14:textId="77777777" w:rsidTr="000E05D9">
        <w:tblPrEx>
          <w:tblW w:w="0" w:type="auto"/>
          <w:tblLook w:val="04A0"/>
        </w:tblPrEx>
        <w:trPr>
          <w:trHeight w:val="375"/>
        </w:trPr>
        <w:tc>
          <w:tcPr>
            <w:tcW w:w="1885" w:type="dxa"/>
            <w:tcBorders>
              <w:left w:val="nil"/>
            </w:tcBorders>
            <w:shd w:val="clear" w:color="auto" w:fill="auto"/>
            <w:vAlign w:val="center"/>
          </w:tcPr>
          <w:p w:rsidR="00085CE2" w:rsidRPr="000E05D9" w:rsidP="000E05D9" w14:paraId="08893438" w14:textId="77777777">
            <w:pPr>
              <w:widowControl/>
              <w:jc w:val="center"/>
              <w:outlineLvl w:val="1"/>
              <w:rPr>
                <w:b/>
                <w:bCs/>
                <w:snapToGrid/>
                <w:color w:val="000000"/>
                <w:kern w:val="0"/>
                <w:szCs w:val="22"/>
              </w:rPr>
            </w:pPr>
            <w:r w:rsidRPr="000E05D9">
              <w:rPr>
                <w:b/>
                <w:bCs/>
                <w:snapToGrid/>
                <w:color w:val="000000"/>
                <w:kern w:val="0"/>
                <w:szCs w:val="22"/>
              </w:rPr>
              <w:t>VHF</w:t>
            </w:r>
          </w:p>
        </w:tc>
        <w:tc>
          <w:tcPr>
            <w:tcW w:w="1530" w:type="dxa"/>
            <w:shd w:val="clear" w:color="auto" w:fill="auto"/>
            <w:vAlign w:val="center"/>
          </w:tcPr>
          <w:p w:rsidR="00085CE2" w:rsidRPr="000E05D9" w:rsidP="000E05D9" w14:paraId="12A4F6F4" w14:textId="77777777">
            <w:pPr>
              <w:widowControl/>
              <w:jc w:val="center"/>
              <w:outlineLvl w:val="1"/>
              <w:rPr>
                <w:b/>
                <w:bCs/>
                <w:snapToGrid/>
                <w:color w:val="000000"/>
                <w:kern w:val="0"/>
                <w:szCs w:val="22"/>
              </w:rPr>
            </w:pPr>
            <w:r w:rsidRPr="000E05D9">
              <w:rPr>
                <w:b/>
                <w:bCs/>
                <w:snapToGrid/>
                <w:color w:val="000000"/>
                <w:kern w:val="0"/>
                <w:szCs w:val="22"/>
              </w:rPr>
              <w:t>MHz</w:t>
            </w:r>
          </w:p>
        </w:tc>
        <w:tc>
          <w:tcPr>
            <w:tcW w:w="1530" w:type="dxa"/>
            <w:shd w:val="clear" w:color="auto" w:fill="auto"/>
            <w:vAlign w:val="center"/>
          </w:tcPr>
          <w:p w:rsidR="00085CE2" w:rsidRPr="000E05D9" w:rsidP="000E05D9" w14:paraId="5DA2A15E" w14:textId="77777777">
            <w:pPr>
              <w:widowControl/>
              <w:jc w:val="center"/>
              <w:outlineLvl w:val="1"/>
              <w:rPr>
                <w:b/>
                <w:bCs/>
                <w:snapToGrid/>
                <w:color w:val="000000"/>
                <w:kern w:val="0"/>
                <w:szCs w:val="22"/>
              </w:rPr>
            </w:pPr>
            <w:r w:rsidRPr="000E05D9">
              <w:rPr>
                <w:b/>
                <w:bCs/>
                <w:snapToGrid/>
                <w:color w:val="000000"/>
                <w:kern w:val="0"/>
                <w:szCs w:val="22"/>
              </w:rPr>
              <w:t>MHz</w:t>
            </w:r>
          </w:p>
        </w:tc>
        <w:tc>
          <w:tcPr>
            <w:tcW w:w="1530" w:type="dxa"/>
            <w:shd w:val="clear" w:color="auto" w:fill="auto"/>
            <w:vAlign w:val="center"/>
          </w:tcPr>
          <w:p w:rsidR="00085CE2" w:rsidRPr="000E05D9" w:rsidP="000E05D9" w14:paraId="43156BDD" w14:textId="77777777">
            <w:pPr>
              <w:widowControl/>
              <w:jc w:val="center"/>
              <w:outlineLvl w:val="1"/>
              <w:rPr>
                <w:b/>
                <w:bCs/>
                <w:snapToGrid/>
                <w:color w:val="000000"/>
                <w:kern w:val="0"/>
                <w:szCs w:val="22"/>
              </w:rPr>
            </w:pPr>
            <w:r w:rsidRPr="000E05D9">
              <w:rPr>
                <w:b/>
                <w:bCs/>
                <w:snapToGrid/>
                <w:color w:val="000000"/>
                <w:kern w:val="0"/>
                <w:szCs w:val="22"/>
              </w:rPr>
              <w:t>MHz</w:t>
            </w:r>
          </w:p>
        </w:tc>
        <w:tc>
          <w:tcPr>
            <w:tcW w:w="2875" w:type="dxa"/>
            <w:vMerge/>
            <w:tcBorders>
              <w:right w:val="nil"/>
            </w:tcBorders>
            <w:shd w:val="clear" w:color="auto" w:fill="auto"/>
          </w:tcPr>
          <w:p w:rsidR="00085CE2" w:rsidRPr="000E05D9" w:rsidP="000E05D9" w14:paraId="27D7D986" w14:textId="77777777">
            <w:pPr>
              <w:widowControl/>
              <w:outlineLvl w:val="1"/>
              <w:rPr>
                <w:bCs/>
                <w:snapToGrid/>
                <w:color w:val="000000"/>
                <w:kern w:val="0"/>
                <w:szCs w:val="22"/>
              </w:rPr>
            </w:pPr>
          </w:p>
        </w:tc>
      </w:tr>
      <w:tr w14:paraId="3A43BA76" w14:textId="77777777" w:rsidTr="000E05D9">
        <w:tblPrEx>
          <w:tblW w:w="0" w:type="auto"/>
          <w:tblLook w:val="04A0"/>
        </w:tblPrEx>
        <w:tc>
          <w:tcPr>
            <w:tcW w:w="1885" w:type="dxa"/>
            <w:tcBorders>
              <w:left w:val="nil"/>
            </w:tcBorders>
            <w:shd w:val="clear" w:color="auto" w:fill="auto"/>
          </w:tcPr>
          <w:p w:rsidR="00085CE2" w:rsidRPr="000E05D9" w:rsidP="000E05D9" w14:paraId="61CC5180" w14:textId="77777777">
            <w:pPr>
              <w:widowControl/>
              <w:outlineLvl w:val="1"/>
              <w:rPr>
                <w:bCs/>
                <w:snapToGrid/>
                <w:color w:val="000000"/>
                <w:kern w:val="0"/>
                <w:szCs w:val="22"/>
              </w:rPr>
            </w:pPr>
            <w:r w:rsidRPr="000E05D9">
              <w:rPr>
                <w:szCs w:val="22"/>
              </w:rPr>
              <w:t>6 m</w:t>
            </w:r>
          </w:p>
        </w:tc>
        <w:tc>
          <w:tcPr>
            <w:tcW w:w="1530" w:type="dxa"/>
            <w:shd w:val="clear" w:color="auto" w:fill="auto"/>
          </w:tcPr>
          <w:p w:rsidR="00085CE2" w:rsidRPr="000E05D9" w:rsidP="000E05D9" w14:paraId="765F75B6"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085CE2" w:rsidRPr="000E05D9" w:rsidP="000E05D9" w14:paraId="4733BBA1" w14:textId="77777777">
            <w:pPr>
              <w:widowControl/>
              <w:outlineLvl w:val="1"/>
              <w:rPr>
                <w:bCs/>
                <w:snapToGrid/>
                <w:color w:val="000000"/>
                <w:kern w:val="0"/>
                <w:szCs w:val="22"/>
              </w:rPr>
            </w:pPr>
            <w:r w:rsidRPr="000E05D9">
              <w:rPr>
                <w:szCs w:val="22"/>
              </w:rPr>
              <w:t>50-54</w:t>
            </w:r>
          </w:p>
        </w:tc>
        <w:tc>
          <w:tcPr>
            <w:tcW w:w="1530" w:type="dxa"/>
            <w:shd w:val="clear" w:color="auto" w:fill="auto"/>
          </w:tcPr>
          <w:p w:rsidR="00085CE2" w:rsidRPr="000E05D9" w:rsidP="000E05D9" w14:paraId="26B1FAB6" w14:textId="77777777">
            <w:pPr>
              <w:widowControl/>
              <w:outlineLvl w:val="1"/>
              <w:rPr>
                <w:bCs/>
                <w:snapToGrid/>
                <w:color w:val="000000"/>
                <w:kern w:val="0"/>
                <w:szCs w:val="22"/>
              </w:rPr>
            </w:pPr>
            <w:r w:rsidRPr="000E05D9">
              <w:rPr>
                <w:szCs w:val="22"/>
              </w:rPr>
              <w:t>50-54</w:t>
            </w:r>
          </w:p>
        </w:tc>
        <w:tc>
          <w:tcPr>
            <w:tcW w:w="2875" w:type="dxa"/>
            <w:tcBorders>
              <w:right w:val="nil"/>
            </w:tcBorders>
            <w:shd w:val="clear" w:color="auto" w:fill="auto"/>
          </w:tcPr>
          <w:p w:rsidR="00085CE2" w:rsidRPr="000E05D9" w:rsidP="000E05D9" w14:paraId="14EBEF30" w14:textId="77777777">
            <w:pPr>
              <w:widowControl/>
              <w:outlineLvl w:val="1"/>
              <w:rPr>
                <w:bCs/>
                <w:snapToGrid/>
                <w:color w:val="000000"/>
                <w:kern w:val="0"/>
                <w:szCs w:val="22"/>
              </w:rPr>
            </w:pPr>
            <w:r w:rsidRPr="000E05D9">
              <w:rPr>
                <w:szCs w:val="22"/>
              </w:rPr>
              <w:t>(a)</w:t>
            </w:r>
          </w:p>
        </w:tc>
      </w:tr>
      <w:tr w14:paraId="42A41BA5" w14:textId="77777777" w:rsidTr="000E05D9">
        <w:tblPrEx>
          <w:tblW w:w="0" w:type="auto"/>
          <w:tblLook w:val="04A0"/>
        </w:tblPrEx>
        <w:tc>
          <w:tcPr>
            <w:tcW w:w="1885" w:type="dxa"/>
            <w:tcBorders>
              <w:left w:val="nil"/>
            </w:tcBorders>
            <w:shd w:val="clear" w:color="auto" w:fill="auto"/>
          </w:tcPr>
          <w:p w:rsidR="00085CE2" w:rsidRPr="000E05D9" w:rsidP="000E05D9" w14:paraId="53551948" w14:textId="77777777">
            <w:pPr>
              <w:widowControl/>
              <w:outlineLvl w:val="1"/>
              <w:rPr>
                <w:bCs/>
                <w:snapToGrid/>
                <w:color w:val="000000"/>
                <w:kern w:val="0"/>
                <w:szCs w:val="22"/>
              </w:rPr>
            </w:pPr>
            <w:r w:rsidRPr="000E05D9">
              <w:rPr>
                <w:szCs w:val="22"/>
              </w:rPr>
              <w:t>2 m</w:t>
            </w:r>
          </w:p>
        </w:tc>
        <w:tc>
          <w:tcPr>
            <w:tcW w:w="1530" w:type="dxa"/>
            <w:shd w:val="clear" w:color="auto" w:fill="auto"/>
          </w:tcPr>
          <w:p w:rsidR="00085CE2" w:rsidRPr="000E05D9" w:rsidP="000E05D9" w14:paraId="02B7C5E3" w14:textId="77777777">
            <w:pPr>
              <w:widowControl/>
              <w:outlineLvl w:val="1"/>
              <w:rPr>
                <w:bCs/>
                <w:snapToGrid/>
                <w:color w:val="000000"/>
                <w:kern w:val="0"/>
                <w:szCs w:val="22"/>
              </w:rPr>
            </w:pPr>
            <w:r w:rsidRPr="000E05D9">
              <w:rPr>
                <w:szCs w:val="22"/>
              </w:rPr>
              <w:t>144-146</w:t>
            </w:r>
          </w:p>
        </w:tc>
        <w:tc>
          <w:tcPr>
            <w:tcW w:w="1530" w:type="dxa"/>
            <w:shd w:val="clear" w:color="auto" w:fill="auto"/>
          </w:tcPr>
          <w:p w:rsidR="00085CE2" w:rsidRPr="000E05D9" w:rsidP="000E05D9" w14:paraId="5F2F4A10" w14:textId="77777777">
            <w:pPr>
              <w:widowControl/>
              <w:outlineLvl w:val="1"/>
              <w:rPr>
                <w:bCs/>
                <w:snapToGrid/>
                <w:color w:val="000000"/>
                <w:kern w:val="0"/>
                <w:szCs w:val="22"/>
              </w:rPr>
            </w:pPr>
            <w:r w:rsidRPr="000E05D9">
              <w:rPr>
                <w:szCs w:val="22"/>
              </w:rPr>
              <w:t>144-148</w:t>
            </w:r>
          </w:p>
        </w:tc>
        <w:tc>
          <w:tcPr>
            <w:tcW w:w="1530" w:type="dxa"/>
            <w:shd w:val="clear" w:color="auto" w:fill="auto"/>
          </w:tcPr>
          <w:p w:rsidR="00085CE2" w:rsidRPr="000E05D9" w:rsidP="000E05D9" w14:paraId="34393549" w14:textId="77777777">
            <w:pPr>
              <w:widowControl/>
              <w:outlineLvl w:val="1"/>
              <w:rPr>
                <w:bCs/>
                <w:snapToGrid/>
                <w:color w:val="000000"/>
                <w:kern w:val="0"/>
                <w:szCs w:val="22"/>
              </w:rPr>
            </w:pPr>
            <w:r w:rsidRPr="000E05D9">
              <w:rPr>
                <w:szCs w:val="22"/>
              </w:rPr>
              <w:t>144-148</w:t>
            </w:r>
          </w:p>
        </w:tc>
        <w:tc>
          <w:tcPr>
            <w:tcW w:w="2875" w:type="dxa"/>
            <w:tcBorders>
              <w:right w:val="nil"/>
            </w:tcBorders>
            <w:shd w:val="clear" w:color="auto" w:fill="auto"/>
          </w:tcPr>
          <w:p w:rsidR="00085CE2" w:rsidRPr="000E05D9" w:rsidP="000E05D9" w14:paraId="11BE0A76" w14:textId="77777777">
            <w:pPr>
              <w:widowControl/>
              <w:outlineLvl w:val="1"/>
              <w:rPr>
                <w:bCs/>
                <w:snapToGrid/>
                <w:color w:val="000000"/>
                <w:kern w:val="0"/>
                <w:szCs w:val="22"/>
              </w:rPr>
            </w:pPr>
            <w:r w:rsidRPr="000E05D9">
              <w:rPr>
                <w:szCs w:val="22"/>
              </w:rPr>
              <w:t>(a), (k)</w:t>
            </w:r>
          </w:p>
        </w:tc>
      </w:tr>
      <w:tr w14:paraId="5952249E" w14:textId="77777777" w:rsidTr="000E05D9">
        <w:tblPrEx>
          <w:tblW w:w="0" w:type="auto"/>
          <w:tblLook w:val="04A0"/>
        </w:tblPrEx>
        <w:tc>
          <w:tcPr>
            <w:tcW w:w="1885" w:type="dxa"/>
            <w:tcBorders>
              <w:left w:val="nil"/>
            </w:tcBorders>
            <w:shd w:val="clear" w:color="auto" w:fill="auto"/>
          </w:tcPr>
          <w:p w:rsidR="00085CE2" w:rsidRPr="000E05D9" w:rsidP="000E05D9" w14:paraId="2CC56D6C" w14:textId="77777777">
            <w:pPr>
              <w:widowControl/>
              <w:outlineLvl w:val="1"/>
              <w:rPr>
                <w:bCs/>
                <w:snapToGrid/>
                <w:color w:val="000000"/>
                <w:kern w:val="0"/>
                <w:szCs w:val="22"/>
              </w:rPr>
            </w:pPr>
            <w:r w:rsidRPr="000E05D9">
              <w:rPr>
                <w:szCs w:val="22"/>
              </w:rPr>
              <w:t>1.25 m</w:t>
            </w:r>
          </w:p>
        </w:tc>
        <w:tc>
          <w:tcPr>
            <w:tcW w:w="1530" w:type="dxa"/>
            <w:shd w:val="clear" w:color="auto" w:fill="auto"/>
          </w:tcPr>
          <w:p w:rsidR="00085CE2" w:rsidRPr="000E05D9" w:rsidP="000E05D9" w14:paraId="2D0391F7"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085CE2" w:rsidRPr="000E05D9" w:rsidP="000E05D9" w14:paraId="7D038060" w14:textId="77777777">
            <w:pPr>
              <w:widowControl/>
              <w:outlineLvl w:val="1"/>
              <w:rPr>
                <w:bCs/>
                <w:snapToGrid/>
                <w:color w:val="000000"/>
                <w:kern w:val="0"/>
                <w:szCs w:val="22"/>
              </w:rPr>
            </w:pPr>
            <w:r w:rsidRPr="000E05D9">
              <w:rPr>
                <w:szCs w:val="22"/>
              </w:rPr>
              <w:t>219-220</w:t>
            </w:r>
          </w:p>
        </w:tc>
        <w:tc>
          <w:tcPr>
            <w:tcW w:w="1530" w:type="dxa"/>
            <w:shd w:val="clear" w:color="auto" w:fill="auto"/>
          </w:tcPr>
          <w:p w:rsidR="00085CE2" w:rsidRPr="000E05D9" w:rsidP="000E05D9" w14:paraId="0A60E64E"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085CE2" w:rsidRPr="000E05D9" w:rsidP="000E05D9" w14:paraId="426FE287" w14:textId="77777777">
            <w:pPr>
              <w:widowControl/>
              <w:outlineLvl w:val="1"/>
              <w:rPr>
                <w:bCs/>
                <w:snapToGrid/>
                <w:color w:val="000000"/>
                <w:kern w:val="0"/>
                <w:szCs w:val="22"/>
              </w:rPr>
            </w:pPr>
            <w:r w:rsidRPr="000E05D9">
              <w:rPr>
                <w:szCs w:val="22"/>
              </w:rPr>
              <w:t>(l)</w:t>
            </w:r>
          </w:p>
        </w:tc>
      </w:tr>
      <w:tr w14:paraId="40406728" w14:textId="77777777" w:rsidTr="000E05D9">
        <w:tblPrEx>
          <w:tblW w:w="0" w:type="auto"/>
          <w:tblLook w:val="04A0"/>
        </w:tblPrEx>
        <w:tc>
          <w:tcPr>
            <w:tcW w:w="1885" w:type="dxa"/>
            <w:tcBorders>
              <w:left w:val="nil"/>
            </w:tcBorders>
            <w:shd w:val="clear" w:color="auto" w:fill="auto"/>
            <w:vAlign w:val="center"/>
          </w:tcPr>
          <w:p w:rsidR="00085CE2" w:rsidRPr="000E05D9" w:rsidP="000E05D9" w14:paraId="3F53977E" w14:textId="77777777">
            <w:pPr>
              <w:widowControl/>
              <w:jc w:val="center"/>
              <w:outlineLvl w:val="1"/>
              <w:rPr>
                <w:bCs/>
                <w:snapToGrid/>
                <w:color w:val="000000"/>
                <w:kern w:val="0"/>
                <w:szCs w:val="22"/>
              </w:rPr>
            </w:pPr>
            <w:r w:rsidRPr="000E05D9">
              <w:rPr>
                <w:szCs w:val="22"/>
              </w:rPr>
              <w:t>Do</w:t>
            </w:r>
          </w:p>
        </w:tc>
        <w:tc>
          <w:tcPr>
            <w:tcW w:w="1530" w:type="dxa"/>
            <w:shd w:val="clear" w:color="auto" w:fill="auto"/>
          </w:tcPr>
          <w:p w:rsidR="00085CE2" w:rsidRPr="000E05D9" w:rsidP="000E05D9" w14:paraId="04E78B4D"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085CE2" w:rsidRPr="000E05D9" w:rsidP="000E05D9" w14:paraId="41D7CA3C" w14:textId="77777777">
            <w:pPr>
              <w:widowControl/>
              <w:outlineLvl w:val="1"/>
              <w:rPr>
                <w:bCs/>
                <w:snapToGrid/>
                <w:color w:val="000000"/>
                <w:kern w:val="0"/>
                <w:szCs w:val="22"/>
              </w:rPr>
            </w:pPr>
            <w:r w:rsidRPr="000E05D9">
              <w:rPr>
                <w:szCs w:val="22"/>
              </w:rPr>
              <w:t>222-225</w:t>
            </w:r>
          </w:p>
        </w:tc>
        <w:tc>
          <w:tcPr>
            <w:tcW w:w="1530" w:type="dxa"/>
            <w:shd w:val="clear" w:color="auto" w:fill="auto"/>
          </w:tcPr>
          <w:p w:rsidR="00085CE2" w:rsidRPr="000E05D9" w:rsidP="000E05D9" w14:paraId="0E7641A8"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085CE2" w:rsidRPr="000E05D9" w:rsidP="000E05D9" w14:paraId="69C1860C" w14:textId="77777777">
            <w:pPr>
              <w:widowControl/>
              <w:outlineLvl w:val="1"/>
              <w:rPr>
                <w:bCs/>
                <w:snapToGrid/>
                <w:color w:val="000000"/>
                <w:kern w:val="0"/>
                <w:szCs w:val="22"/>
              </w:rPr>
            </w:pPr>
            <w:r w:rsidRPr="000E05D9">
              <w:rPr>
                <w:szCs w:val="22"/>
              </w:rPr>
              <w:t>(a)</w:t>
            </w:r>
          </w:p>
        </w:tc>
      </w:tr>
      <w:tr w14:paraId="7AF694E2" w14:textId="77777777" w:rsidTr="000E05D9">
        <w:tblPrEx>
          <w:tblW w:w="0" w:type="auto"/>
          <w:tblLook w:val="04A0"/>
        </w:tblPrEx>
        <w:tc>
          <w:tcPr>
            <w:tcW w:w="1885" w:type="dxa"/>
            <w:tcBorders>
              <w:left w:val="nil"/>
            </w:tcBorders>
            <w:shd w:val="clear" w:color="auto" w:fill="auto"/>
            <w:vAlign w:val="bottom"/>
          </w:tcPr>
          <w:p w:rsidR="00085CE2" w:rsidRPr="000E05D9" w:rsidP="000E05D9" w14:paraId="01C2397C" w14:textId="77777777">
            <w:pPr>
              <w:widowControl/>
              <w:jc w:val="center"/>
              <w:outlineLvl w:val="1"/>
              <w:rPr>
                <w:bCs/>
                <w:snapToGrid/>
                <w:color w:val="000000"/>
                <w:kern w:val="0"/>
                <w:szCs w:val="22"/>
              </w:rPr>
            </w:pPr>
            <w:r w:rsidRPr="000E05D9">
              <w:rPr>
                <w:b/>
                <w:bCs/>
                <w:szCs w:val="22"/>
              </w:rPr>
              <w:t>UHF</w:t>
            </w:r>
          </w:p>
        </w:tc>
        <w:tc>
          <w:tcPr>
            <w:tcW w:w="1530" w:type="dxa"/>
            <w:shd w:val="clear" w:color="auto" w:fill="auto"/>
            <w:vAlign w:val="bottom"/>
          </w:tcPr>
          <w:p w:rsidR="00085CE2" w:rsidRPr="000E05D9" w:rsidP="000E05D9" w14:paraId="1323F642" w14:textId="77777777">
            <w:pPr>
              <w:widowControl/>
              <w:jc w:val="center"/>
              <w:outlineLvl w:val="1"/>
              <w:rPr>
                <w:bCs/>
                <w:snapToGrid/>
                <w:color w:val="000000"/>
                <w:kern w:val="0"/>
                <w:szCs w:val="22"/>
              </w:rPr>
            </w:pPr>
            <w:r w:rsidRPr="000E05D9">
              <w:rPr>
                <w:b/>
                <w:bCs/>
                <w:szCs w:val="22"/>
              </w:rPr>
              <w:t>MHz</w:t>
            </w:r>
          </w:p>
        </w:tc>
        <w:tc>
          <w:tcPr>
            <w:tcW w:w="1530" w:type="dxa"/>
            <w:shd w:val="clear" w:color="auto" w:fill="auto"/>
            <w:vAlign w:val="bottom"/>
          </w:tcPr>
          <w:p w:rsidR="00085CE2" w:rsidRPr="000E05D9" w:rsidP="000E05D9" w14:paraId="65AAFBE6" w14:textId="77777777">
            <w:pPr>
              <w:widowControl/>
              <w:jc w:val="center"/>
              <w:outlineLvl w:val="1"/>
              <w:rPr>
                <w:bCs/>
                <w:snapToGrid/>
                <w:color w:val="000000"/>
                <w:kern w:val="0"/>
                <w:szCs w:val="22"/>
              </w:rPr>
            </w:pPr>
            <w:r w:rsidRPr="000E05D9">
              <w:rPr>
                <w:b/>
                <w:bCs/>
                <w:szCs w:val="22"/>
              </w:rPr>
              <w:t>MHz</w:t>
            </w:r>
          </w:p>
        </w:tc>
        <w:tc>
          <w:tcPr>
            <w:tcW w:w="1530" w:type="dxa"/>
            <w:shd w:val="clear" w:color="auto" w:fill="auto"/>
            <w:vAlign w:val="bottom"/>
          </w:tcPr>
          <w:p w:rsidR="00085CE2" w:rsidRPr="000E05D9" w:rsidP="000E05D9" w14:paraId="6B8E80B1" w14:textId="77777777">
            <w:pPr>
              <w:widowControl/>
              <w:jc w:val="center"/>
              <w:outlineLvl w:val="1"/>
              <w:rPr>
                <w:bCs/>
                <w:snapToGrid/>
                <w:color w:val="000000"/>
                <w:kern w:val="0"/>
                <w:szCs w:val="22"/>
              </w:rPr>
            </w:pPr>
            <w:r w:rsidRPr="000E05D9">
              <w:rPr>
                <w:b/>
                <w:bCs/>
                <w:szCs w:val="22"/>
              </w:rPr>
              <w:t>MHz</w:t>
            </w:r>
          </w:p>
        </w:tc>
        <w:tc>
          <w:tcPr>
            <w:tcW w:w="2875" w:type="dxa"/>
            <w:tcBorders>
              <w:right w:val="nil"/>
            </w:tcBorders>
            <w:shd w:val="clear" w:color="auto" w:fill="auto"/>
            <w:vAlign w:val="bottom"/>
          </w:tcPr>
          <w:p w:rsidR="00085CE2" w:rsidRPr="000E05D9" w:rsidP="000E05D9" w14:paraId="54EBF3D8" w14:textId="77777777">
            <w:pPr>
              <w:widowControl/>
              <w:outlineLvl w:val="1"/>
              <w:rPr>
                <w:bCs/>
                <w:snapToGrid/>
                <w:color w:val="000000"/>
                <w:kern w:val="0"/>
                <w:szCs w:val="22"/>
              </w:rPr>
            </w:pPr>
          </w:p>
        </w:tc>
      </w:tr>
      <w:tr w14:paraId="6E87561C" w14:textId="77777777" w:rsidTr="000E05D9">
        <w:tblPrEx>
          <w:tblW w:w="0" w:type="auto"/>
          <w:tblLook w:val="04A0"/>
        </w:tblPrEx>
        <w:tc>
          <w:tcPr>
            <w:tcW w:w="1885" w:type="dxa"/>
            <w:tcBorders>
              <w:left w:val="nil"/>
            </w:tcBorders>
            <w:shd w:val="clear" w:color="auto" w:fill="auto"/>
          </w:tcPr>
          <w:p w:rsidR="00085CE2" w:rsidRPr="000E05D9" w:rsidP="000E05D9" w14:paraId="60BAA620" w14:textId="77777777">
            <w:pPr>
              <w:widowControl/>
              <w:outlineLvl w:val="1"/>
              <w:rPr>
                <w:bCs/>
                <w:snapToGrid/>
                <w:color w:val="000000"/>
                <w:kern w:val="0"/>
                <w:szCs w:val="22"/>
              </w:rPr>
            </w:pPr>
            <w:r w:rsidRPr="000E05D9">
              <w:rPr>
                <w:szCs w:val="22"/>
              </w:rPr>
              <w:t>70 cm</w:t>
            </w:r>
          </w:p>
        </w:tc>
        <w:tc>
          <w:tcPr>
            <w:tcW w:w="1530" w:type="dxa"/>
            <w:shd w:val="clear" w:color="auto" w:fill="auto"/>
          </w:tcPr>
          <w:p w:rsidR="00085CE2" w:rsidRPr="000E05D9" w:rsidP="000E05D9" w14:paraId="7383F58F" w14:textId="77777777">
            <w:pPr>
              <w:widowControl/>
              <w:outlineLvl w:val="1"/>
              <w:rPr>
                <w:bCs/>
                <w:snapToGrid/>
                <w:color w:val="000000"/>
                <w:kern w:val="0"/>
                <w:szCs w:val="22"/>
              </w:rPr>
            </w:pPr>
            <w:r w:rsidRPr="000E05D9">
              <w:rPr>
                <w:szCs w:val="22"/>
              </w:rPr>
              <w:t>430-440</w:t>
            </w:r>
          </w:p>
        </w:tc>
        <w:tc>
          <w:tcPr>
            <w:tcW w:w="1530" w:type="dxa"/>
            <w:shd w:val="clear" w:color="auto" w:fill="auto"/>
          </w:tcPr>
          <w:p w:rsidR="00085CE2" w:rsidRPr="000E05D9" w:rsidP="000E05D9" w14:paraId="28706A48" w14:textId="77777777">
            <w:pPr>
              <w:widowControl/>
              <w:outlineLvl w:val="1"/>
              <w:rPr>
                <w:bCs/>
                <w:snapToGrid/>
                <w:color w:val="000000"/>
                <w:kern w:val="0"/>
                <w:szCs w:val="22"/>
              </w:rPr>
            </w:pPr>
            <w:r w:rsidRPr="000E05D9">
              <w:rPr>
                <w:szCs w:val="22"/>
              </w:rPr>
              <w:t>420-450</w:t>
            </w:r>
          </w:p>
        </w:tc>
        <w:tc>
          <w:tcPr>
            <w:tcW w:w="1530" w:type="dxa"/>
            <w:shd w:val="clear" w:color="auto" w:fill="auto"/>
          </w:tcPr>
          <w:p w:rsidR="00085CE2" w:rsidRPr="000E05D9" w:rsidP="000E05D9" w14:paraId="7BAA2564" w14:textId="77777777">
            <w:pPr>
              <w:widowControl/>
              <w:outlineLvl w:val="1"/>
              <w:rPr>
                <w:bCs/>
                <w:snapToGrid/>
                <w:color w:val="000000"/>
                <w:kern w:val="0"/>
                <w:szCs w:val="22"/>
              </w:rPr>
            </w:pPr>
            <w:r w:rsidRPr="000E05D9">
              <w:rPr>
                <w:szCs w:val="22"/>
              </w:rPr>
              <w:t>430-440</w:t>
            </w:r>
          </w:p>
        </w:tc>
        <w:tc>
          <w:tcPr>
            <w:tcW w:w="2875" w:type="dxa"/>
            <w:tcBorders>
              <w:right w:val="nil"/>
            </w:tcBorders>
            <w:shd w:val="clear" w:color="auto" w:fill="auto"/>
          </w:tcPr>
          <w:p w:rsidR="00085CE2" w:rsidRPr="000E05D9" w:rsidP="000E05D9" w14:paraId="49697A58" w14:textId="77777777">
            <w:pPr>
              <w:widowControl/>
              <w:outlineLvl w:val="1"/>
              <w:rPr>
                <w:bCs/>
                <w:snapToGrid/>
                <w:color w:val="000000"/>
                <w:kern w:val="0"/>
                <w:szCs w:val="22"/>
              </w:rPr>
            </w:pPr>
            <w:r w:rsidRPr="000E05D9">
              <w:rPr>
                <w:szCs w:val="22"/>
              </w:rPr>
              <w:t>(a), (b), (m)</w:t>
            </w:r>
          </w:p>
        </w:tc>
      </w:tr>
      <w:tr w14:paraId="1B46D277" w14:textId="77777777" w:rsidTr="000E05D9">
        <w:tblPrEx>
          <w:tblW w:w="0" w:type="auto"/>
          <w:tblLook w:val="04A0"/>
        </w:tblPrEx>
        <w:tc>
          <w:tcPr>
            <w:tcW w:w="1885" w:type="dxa"/>
            <w:tcBorders>
              <w:left w:val="nil"/>
            </w:tcBorders>
            <w:shd w:val="clear" w:color="auto" w:fill="auto"/>
          </w:tcPr>
          <w:p w:rsidR="00085CE2" w:rsidRPr="000E05D9" w:rsidP="000E05D9" w14:paraId="58FF6FB3" w14:textId="77777777">
            <w:pPr>
              <w:widowControl/>
              <w:outlineLvl w:val="1"/>
              <w:rPr>
                <w:bCs/>
                <w:snapToGrid/>
                <w:color w:val="000000"/>
                <w:kern w:val="0"/>
                <w:szCs w:val="22"/>
              </w:rPr>
            </w:pPr>
            <w:r w:rsidRPr="000E05D9">
              <w:rPr>
                <w:szCs w:val="22"/>
              </w:rPr>
              <w:t>33 cm</w:t>
            </w:r>
          </w:p>
        </w:tc>
        <w:tc>
          <w:tcPr>
            <w:tcW w:w="1530" w:type="dxa"/>
            <w:shd w:val="clear" w:color="auto" w:fill="auto"/>
          </w:tcPr>
          <w:p w:rsidR="00085CE2" w:rsidRPr="000E05D9" w:rsidP="000E05D9" w14:paraId="5A6D05DC" w14:textId="77777777">
            <w:pPr>
              <w:widowControl/>
              <w:outlineLvl w:val="1"/>
              <w:rPr>
                <w:bCs/>
                <w:snapToGrid/>
                <w:color w:val="000000"/>
                <w:kern w:val="0"/>
                <w:szCs w:val="22"/>
              </w:rPr>
            </w:pPr>
            <w:r w:rsidRPr="000E05D9">
              <w:rPr>
                <w:bCs/>
                <w:snapToGrid/>
                <w:color w:val="000000"/>
                <w:kern w:val="0"/>
                <w:szCs w:val="22"/>
              </w:rPr>
              <w:t>-</w:t>
            </w:r>
          </w:p>
        </w:tc>
        <w:tc>
          <w:tcPr>
            <w:tcW w:w="1530" w:type="dxa"/>
            <w:shd w:val="clear" w:color="auto" w:fill="auto"/>
          </w:tcPr>
          <w:p w:rsidR="00085CE2" w:rsidRPr="000E05D9" w:rsidP="000E05D9" w14:paraId="2386AEFA" w14:textId="77777777">
            <w:pPr>
              <w:widowControl/>
              <w:outlineLvl w:val="1"/>
              <w:rPr>
                <w:bCs/>
                <w:snapToGrid/>
                <w:color w:val="000000"/>
                <w:kern w:val="0"/>
                <w:szCs w:val="22"/>
              </w:rPr>
            </w:pPr>
            <w:r w:rsidRPr="000E05D9">
              <w:rPr>
                <w:szCs w:val="22"/>
              </w:rPr>
              <w:t>902-928</w:t>
            </w:r>
          </w:p>
        </w:tc>
        <w:tc>
          <w:tcPr>
            <w:tcW w:w="1530" w:type="dxa"/>
            <w:shd w:val="clear" w:color="auto" w:fill="auto"/>
          </w:tcPr>
          <w:p w:rsidR="00085CE2" w:rsidRPr="000E05D9" w:rsidP="000E05D9" w14:paraId="00F36F70" w14:textId="77777777">
            <w:pPr>
              <w:widowControl/>
              <w:outlineLvl w:val="1"/>
              <w:rPr>
                <w:bCs/>
                <w:snapToGrid/>
                <w:color w:val="000000"/>
                <w:kern w:val="0"/>
                <w:szCs w:val="22"/>
              </w:rPr>
            </w:pPr>
            <w:r w:rsidRPr="000E05D9">
              <w:rPr>
                <w:bCs/>
                <w:snapToGrid/>
                <w:color w:val="000000"/>
                <w:kern w:val="0"/>
                <w:szCs w:val="22"/>
              </w:rPr>
              <w:t>-</w:t>
            </w:r>
          </w:p>
        </w:tc>
        <w:tc>
          <w:tcPr>
            <w:tcW w:w="2875" w:type="dxa"/>
            <w:tcBorders>
              <w:right w:val="nil"/>
            </w:tcBorders>
            <w:shd w:val="clear" w:color="auto" w:fill="auto"/>
          </w:tcPr>
          <w:p w:rsidR="00085CE2" w:rsidRPr="000E05D9" w:rsidP="000E05D9" w14:paraId="1606BB29" w14:textId="77777777">
            <w:pPr>
              <w:widowControl/>
              <w:outlineLvl w:val="1"/>
              <w:rPr>
                <w:bCs/>
                <w:snapToGrid/>
                <w:color w:val="000000"/>
                <w:kern w:val="0"/>
                <w:szCs w:val="22"/>
              </w:rPr>
            </w:pPr>
            <w:r w:rsidRPr="000E05D9">
              <w:rPr>
                <w:szCs w:val="22"/>
              </w:rPr>
              <w:t>(a), (b), (e), (n)</w:t>
            </w:r>
          </w:p>
        </w:tc>
      </w:tr>
      <w:tr w14:paraId="7A477064" w14:textId="77777777" w:rsidTr="000E05D9">
        <w:tblPrEx>
          <w:tblW w:w="0" w:type="auto"/>
          <w:tblLook w:val="04A0"/>
        </w:tblPrEx>
        <w:tc>
          <w:tcPr>
            <w:tcW w:w="1885" w:type="dxa"/>
            <w:tcBorders>
              <w:left w:val="nil"/>
            </w:tcBorders>
            <w:shd w:val="clear" w:color="auto" w:fill="auto"/>
          </w:tcPr>
          <w:p w:rsidR="00085CE2" w:rsidRPr="000E05D9" w:rsidP="000E05D9" w14:paraId="0704D18C" w14:textId="77777777">
            <w:pPr>
              <w:widowControl/>
              <w:outlineLvl w:val="1"/>
              <w:rPr>
                <w:bCs/>
                <w:snapToGrid/>
                <w:color w:val="000000"/>
                <w:kern w:val="0"/>
                <w:szCs w:val="22"/>
              </w:rPr>
            </w:pPr>
            <w:r w:rsidRPr="000E05D9">
              <w:rPr>
                <w:szCs w:val="22"/>
              </w:rPr>
              <w:t>23 cm</w:t>
            </w:r>
          </w:p>
        </w:tc>
        <w:tc>
          <w:tcPr>
            <w:tcW w:w="1530" w:type="dxa"/>
            <w:shd w:val="clear" w:color="auto" w:fill="auto"/>
          </w:tcPr>
          <w:p w:rsidR="00085CE2" w:rsidRPr="000E05D9" w:rsidP="000E05D9" w14:paraId="5EE7AD6E" w14:textId="77777777">
            <w:pPr>
              <w:widowControl/>
              <w:outlineLvl w:val="1"/>
              <w:rPr>
                <w:bCs/>
                <w:snapToGrid/>
                <w:color w:val="000000"/>
                <w:kern w:val="0"/>
                <w:szCs w:val="22"/>
              </w:rPr>
            </w:pPr>
            <w:r w:rsidRPr="000E05D9">
              <w:rPr>
                <w:szCs w:val="22"/>
              </w:rPr>
              <w:t>1240-1300</w:t>
            </w:r>
          </w:p>
        </w:tc>
        <w:tc>
          <w:tcPr>
            <w:tcW w:w="1530" w:type="dxa"/>
            <w:shd w:val="clear" w:color="auto" w:fill="auto"/>
          </w:tcPr>
          <w:p w:rsidR="00085CE2" w:rsidRPr="000E05D9" w:rsidP="000E05D9" w14:paraId="78F534AE" w14:textId="77777777">
            <w:pPr>
              <w:widowControl/>
              <w:outlineLvl w:val="1"/>
              <w:rPr>
                <w:bCs/>
                <w:snapToGrid/>
                <w:color w:val="000000"/>
                <w:kern w:val="0"/>
                <w:szCs w:val="22"/>
              </w:rPr>
            </w:pPr>
            <w:r w:rsidRPr="000E05D9">
              <w:rPr>
                <w:szCs w:val="22"/>
              </w:rPr>
              <w:t>1240-1300</w:t>
            </w:r>
          </w:p>
        </w:tc>
        <w:tc>
          <w:tcPr>
            <w:tcW w:w="1530" w:type="dxa"/>
            <w:shd w:val="clear" w:color="auto" w:fill="auto"/>
          </w:tcPr>
          <w:p w:rsidR="00085CE2" w:rsidRPr="000E05D9" w:rsidP="000E05D9" w14:paraId="71F2E5F4" w14:textId="77777777">
            <w:pPr>
              <w:widowControl/>
              <w:outlineLvl w:val="1"/>
              <w:rPr>
                <w:bCs/>
                <w:snapToGrid/>
                <w:color w:val="000000"/>
                <w:kern w:val="0"/>
                <w:szCs w:val="22"/>
              </w:rPr>
            </w:pPr>
            <w:r w:rsidRPr="000E05D9">
              <w:rPr>
                <w:szCs w:val="22"/>
              </w:rPr>
              <w:t>1240-1300</w:t>
            </w:r>
          </w:p>
        </w:tc>
        <w:tc>
          <w:tcPr>
            <w:tcW w:w="2875" w:type="dxa"/>
            <w:tcBorders>
              <w:right w:val="nil"/>
            </w:tcBorders>
            <w:shd w:val="clear" w:color="auto" w:fill="auto"/>
          </w:tcPr>
          <w:p w:rsidR="00085CE2" w:rsidRPr="000E05D9" w:rsidP="000E05D9" w14:paraId="0E6CAD77" w14:textId="77777777">
            <w:pPr>
              <w:widowControl/>
              <w:outlineLvl w:val="1"/>
              <w:rPr>
                <w:bCs/>
                <w:snapToGrid/>
                <w:color w:val="000000"/>
                <w:kern w:val="0"/>
                <w:szCs w:val="22"/>
              </w:rPr>
            </w:pPr>
            <w:r w:rsidRPr="000E05D9">
              <w:rPr>
                <w:szCs w:val="22"/>
              </w:rPr>
              <w:t>(b), (d), (o)</w:t>
            </w:r>
          </w:p>
        </w:tc>
      </w:tr>
      <w:tr w14:paraId="645C6FEE" w14:textId="77777777" w:rsidTr="000E05D9">
        <w:tblPrEx>
          <w:tblW w:w="0" w:type="auto"/>
          <w:tblLook w:val="04A0"/>
        </w:tblPrEx>
        <w:tc>
          <w:tcPr>
            <w:tcW w:w="1885" w:type="dxa"/>
            <w:tcBorders>
              <w:left w:val="nil"/>
            </w:tcBorders>
            <w:shd w:val="clear" w:color="auto" w:fill="auto"/>
          </w:tcPr>
          <w:p w:rsidR="00085CE2" w:rsidRPr="000E05D9" w:rsidP="000E05D9" w14:paraId="21AF9514" w14:textId="77777777">
            <w:pPr>
              <w:widowControl/>
              <w:outlineLvl w:val="1"/>
              <w:rPr>
                <w:bCs/>
                <w:snapToGrid/>
                <w:color w:val="000000"/>
                <w:kern w:val="0"/>
                <w:szCs w:val="22"/>
              </w:rPr>
            </w:pPr>
            <w:r w:rsidRPr="000E05D9">
              <w:rPr>
                <w:szCs w:val="22"/>
              </w:rPr>
              <w:t>13 cm</w:t>
            </w:r>
          </w:p>
        </w:tc>
        <w:tc>
          <w:tcPr>
            <w:tcW w:w="1530" w:type="dxa"/>
            <w:shd w:val="clear" w:color="auto" w:fill="auto"/>
          </w:tcPr>
          <w:p w:rsidR="00085CE2" w:rsidRPr="000E05D9" w:rsidP="000E05D9" w14:paraId="67F6F7B4" w14:textId="77777777">
            <w:pPr>
              <w:widowControl/>
              <w:outlineLvl w:val="1"/>
              <w:rPr>
                <w:bCs/>
                <w:snapToGrid/>
                <w:color w:val="000000"/>
                <w:kern w:val="0"/>
                <w:szCs w:val="22"/>
              </w:rPr>
            </w:pPr>
            <w:r w:rsidRPr="000E05D9">
              <w:rPr>
                <w:szCs w:val="22"/>
              </w:rPr>
              <w:t>2300-2310</w:t>
            </w:r>
          </w:p>
        </w:tc>
        <w:tc>
          <w:tcPr>
            <w:tcW w:w="1530" w:type="dxa"/>
            <w:shd w:val="clear" w:color="auto" w:fill="auto"/>
          </w:tcPr>
          <w:p w:rsidR="00085CE2" w:rsidRPr="000E05D9" w:rsidP="000E05D9" w14:paraId="0889B39F" w14:textId="77777777">
            <w:pPr>
              <w:widowControl/>
              <w:outlineLvl w:val="1"/>
              <w:rPr>
                <w:bCs/>
                <w:snapToGrid/>
                <w:color w:val="000000"/>
                <w:kern w:val="0"/>
                <w:szCs w:val="22"/>
              </w:rPr>
            </w:pPr>
            <w:r w:rsidRPr="000E05D9">
              <w:rPr>
                <w:szCs w:val="22"/>
              </w:rPr>
              <w:t>2300-2310</w:t>
            </w:r>
          </w:p>
        </w:tc>
        <w:tc>
          <w:tcPr>
            <w:tcW w:w="1530" w:type="dxa"/>
            <w:shd w:val="clear" w:color="auto" w:fill="auto"/>
          </w:tcPr>
          <w:p w:rsidR="00085CE2" w:rsidRPr="000E05D9" w:rsidP="000E05D9" w14:paraId="25BC9E93" w14:textId="77777777">
            <w:pPr>
              <w:widowControl/>
              <w:outlineLvl w:val="1"/>
              <w:rPr>
                <w:bCs/>
                <w:snapToGrid/>
                <w:color w:val="000000"/>
                <w:kern w:val="0"/>
                <w:szCs w:val="22"/>
              </w:rPr>
            </w:pPr>
            <w:r w:rsidRPr="000E05D9">
              <w:rPr>
                <w:szCs w:val="22"/>
              </w:rPr>
              <w:t>2300-2310</w:t>
            </w:r>
          </w:p>
        </w:tc>
        <w:tc>
          <w:tcPr>
            <w:tcW w:w="2875" w:type="dxa"/>
            <w:tcBorders>
              <w:right w:val="nil"/>
            </w:tcBorders>
            <w:shd w:val="clear" w:color="auto" w:fill="auto"/>
          </w:tcPr>
          <w:p w:rsidR="00085CE2" w:rsidRPr="000E05D9" w:rsidP="000E05D9" w14:paraId="501C2FA3" w14:textId="77777777">
            <w:pPr>
              <w:widowControl/>
              <w:outlineLvl w:val="1"/>
              <w:rPr>
                <w:bCs/>
                <w:snapToGrid/>
                <w:color w:val="000000"/>
                <w:kern w:val="0"/>
                <w:szCs w:val="22"/>
              </w:rPr>
            </w:pPr>
            <w:r w:rsidRPr="000E05D9">
              <w:rPr>
                <w:szCs w:val="22"/>
              </w:rPr>
              <w:t>(d), (p)</w:t>
            </w:r>
          </w:p>
        </w:tc>
      </w:tr>
      <w:tr w14:paraId="56F460B7" w14:textId="77777777" w:rsidTr="000E05D9">
        <w:tblPrEx>
          <w:tblW w:w="0" w:type="auto"/>
          <w:tblLook w:val="04A0"/>
        </w:tblPrEx>
        <w:tc>
          <w:tcPr>
            <w:tcW w:w="1885" w:type="dxa"/>
            <w:tcBorders>
              <w:left w:val="nil"/>
            </w:tcBorders>
            <w:shd w:val="clear" w:color="auto" w:fill="auto"/>
            <w:vAlign w:val="center"/>
          </w:tcPr>
          <w:p w:rsidR="00085CE2" w:rsidRPr="000E05D9" w:rsidP="000E05D9" w14:paraId="493EF6FF" w14:textId="77777777">
            <w:pPr>
              <w:widowControl/>
              <w:jc w:val="center"/>
              <w:outlineLvl w:val="1"/>
              <w:rPr>
                <w:bCs/>
                <w:snapToGrid/>
                <w:color w:val="000000"/>
                <w:kern w:val="0"/>
                <w:szCs w:val="22"/>
              </w:rPr>
            </w:pPr>
            <w:r w:rsidRPr="000E05D9">
              <w:rPr>
                <w:szCs w:val="22"/>
              </w:rPr>
              <w:t>Do</w:t>
            </w:r>
          </w:p>
        </w:tc>
        <w:tc>
          <w:tcPr>
            <w:tcW w:w="1530" w:type="dxa"/>
            <w:shd w:val="clear" w:color="auto" w:fill="auto"/>
          </w:tcPr>
          <w:p w:rsidR="00085CE2" w:rsidRPr="000E05D9" w:rsidP="000E05D9" w14:paraId="0F965FF1" w14:textId="77777777">
            <w:pPr>
              <w:widowControl/>
              <w:outlineLvl w:val="1"/>
              <w:rPr>
                <w:bCs/>
                <w:snapToGrid/>
                <w:color w:val="000000"/>
                <w:kern w:val="0"/>
                <w:szCs w:val="22"/>
              </w:rPr>
            </w:pPr>
            <w:r w:rsidRPr="000E05D9">
              <w:rPr>
                <w:szCs w:val="22"/>
              </w:rPr>
              <w:t>2390-2450</w:t>
            </w:r>
          </w:p>
        </w:tc>
        <w:tc>
          <w:tcPr>
            <w:tcW w:w="1530" w:type="dxa"/>
            <w:shd w:val="clear" w:color="auto" w:fill="auto"/>
          </w:tcPr>
          <w:p w:rsidR="00085CE2" w:rsidRPr="000E05D9" w:rsidP="000E05D9" w14:paraId="16EB6916" w14:textId="77777777">
            <w:pPr>
              <w:widowControl/>
              <w:outlineLvl w:val="1"/>
              <w:rPr>
                <w:bCs/>
                <w:snapToGrid/>
                <w:color w:val="000000"/>
                <w:kern w:val="0"/>
                <w:szCs w:val="22"/>
              </w:rPr>
            </w:pPr>
            <w:r w:rsidRPr="000E05D9">
              <w:rPr>
                <w:szCs w:val="22"/>
              </w:rPr>
              <w:t>2390-2450</w:t>
            </w:r>
          </w:p>
        </w:tc>
        <w:tc>
          <w:tcPr>
            <w:tcW w:w="1530" w:type="dxa"/>
            <w:shd w:val="clear" w:color="auto" w:fill="auto"/>
          </w:tcPr>
          <w:p w:rsidR="00085CE2" w:rsidRPr="000E05D9" w:rsidP="000E05D9" w14:paraId="602B1DDF" w14:textId="77777777">
            <w:pPr>
              <w:widowControl/>
              <w:outlineLvl w:val="1"/>
              <w:rPr>
                <w:bCs/>
                <w:snapToGrid/>
                <w:color w:val="000000"/>
                <w:kern w:val="0"/>
                <w:szCs w:val="22"/>
              </w:rPr>
            </w:pPr>
            <w:r w:rsidRPr="000E05D9">
              <w:rPr>
                <w:szCs w:val="22"/>
              </w:rPr>
              <w:t>2390-2450</w:t>
            </w:r>
          </w:p>
        </w:tc>
        <w:tc>
          <w:tcPr>
            <w:tcW w:w="2875" w:type="dxa"/>
            <w:tcBorders>
              <w:right w:val="nil"/>
            </w:tcBorders>
            <w:shd w:val="clear" w:color="auto" w:fill="auto"/>
          </w:tcPr>
          <w:p w:rsidR="00085CE2" w:rsidRPr="000E05D9" w:rsidP="000E05D9" w14:paraId="7125ECA5" w14:textId="77777777">
            <w:pPr>
              <w:widowControl/>
              <w:outlineLvl w:val="1"/>
              <w:rPr>
                <w:bCs/>
                <w:snapToGrid/>
                <w:color w:val="000000"/>
                <w:kern w:val="0"/>
                <w:szCs w:val="22"/>
              </w:rPr>
            </w:pPr>
            <w:r w:rsidRPr="000E05D9">
              <w:rPr>
                <w:szCs w:val="22"/>
              </w:rPr>
              <w:t>(d), (e), (p)</w:t>
            </w:r>
          </w:p>
        </w:tc>
      </w:tr>
      <w:tr w14:paraId="6E213897" w14:textId="77777777" w:rsidTr="000E05D9">
        <w:tblPrEx>
          <w:tblW w:w="0" w:type="auto"/>
          <w:tblLook w:val="04A0"/>
        </w:tblPrEx>
        <w:tc>
          <w:tcPr>
            <w:tcW w:w="1885" w:type="dxa"/>
            <w:tcBorders>
              <w:left w:val="nil"/>
            </w:tcBorders>
            <w:shd w:val="clear" w:color="auto" w:fill="auto"/>
            <w:vAlign w:val="bottom"/>
          </w:tcPr>
          <w:p w:rsidR="00085CE2" w:rsidRPr="000E05D9" w:rsidP="000E05D9" w14:paraId="782F202C" w14:textId="77777777">
            <w:pPr>
              <w:widowControl/>
              <w:jc w:val="center"/>
              <w:outlineLvl w:val="1"/>
              <w:rPr>
                <w:szCs w:val="22"/>
              </w:rPr>
            </w:pPr>
            <w:r w:rsidRPr="000E05D9">
              <w:rPr>
                <w:b/>
                <w:bCs/>
                <w:szCs w:val="22"/>
              </w:rPr>
              <w:t>SHF</w:t>
            </w:r>
          </w:p>
        </w:tc>
        <w:tc>
          <w:tcPr>
            <w:tcW w:w="1530" w:type="dxa"/>
            <w:shd w:val="clear" w:color="auto" w:fill="auto"/>
            <w:vAlign w:val="bottom"/>
          </w:tcPr>
          <w:p w:rsidR="00085CE2" w:rsidRPr="000E05D9" w:rsidP="000E05D9" w14:paraId="42F23411" w14:textId="77777777">
            <w:pPr>
              <w:widowControl/>
              <w:jc w:val="center"/>
              <w:outlineLvl w:val="1"/>
              <w:rPr>
                <w:szCs w:val="22"/>
              </w:rPr>
            </w:pPr>
            <w:r w:rsidRPr="000E05D9">
              <w:rPr>
                <w:b/>
                <w:bCs/>
                <w:szCs w:val="22"/>
              </w:rPr>
              <w:t>GHz</w:t>
            </w:r>
          </w:p>
        </w:tc>
        <w:tc>
          <w:tcPr>
            <w:tcW w:w="1530" w:type="dxa"/>
            <w:shd w:val="clear" w:color="auto" w:fill="auto"/>
            <w:vAlign w:val="bottom"/>
          </w:tcPr>
          <w:p w:rsidR="00085CE2" w:rsidRPr="000E05D9" w:rsidP="000E05D9" w14:paraId="60C44238" w14:textId="77777777">
            <w:pPr>
              <w:widowControl/>
              <w:jc w:val="center"/>
              <w:outlineLvl w:val="1"/>
              <w:rPr>
                <w:szCs w:val="22"/>
              </w:rPr>
            </w:pPr>
            <w:r w:rsidRPr="000E05D9">
              <w:rPr>
                <w:b/>
                <w:bCs/>
                <w:szCs w:val="22"/>
              </w:rPr>
              <w:t>GHz</w:t>
            </w:r>
          </w:p>
        </w:tc>
        <w:tc>
          <w:tcPr>
            <w:tcW w:w="1530" w:type="dxa"/>
            <w:shd w:val="clear" w:color="auto" w:fill="auto"/>
            <w:vAlign w:val="bottom"/>
          </w:tcPr>
          <w:p w:rsidR="00085CE2" w:rsidRPr="000E05D9" w:rsidP="000E05D9" w14:paraId="642D5A93" w14:textId="77777777">
            <w:pPr>
              <w:widowControl/>
              <w:jc w:val="center"/>
              <w:outlineLvl w:val="1"/>
              <w:rPr>
                <w:szCs w:val="22"/>
              </w:rPr>
            </w:pPr>
            <w:r w:rsidRPr="000E05D9">
              <w:rPr>
                <w:b/>
                <w:bCs/>
                <w:szCs w:val="22"/>
              </w:rPr>
              <w:t>GHz</w:t>
            </w:r>
          </w:p>
        </w:tc>
        <w:tc>
          <w:tcPr>
            <w:tcW w:w="2875" w:type="dxa"/>
            <w:tcBorders>
              <w:right w:val="nil"/>
            </w:tcBorders>
            <w:shd w:val="clear" w:color="auto" w:fill="auto"/>
            <w:vAlign w:val="bottom"/>
          </w:tcPr>
          <w:p w:rsidR="00085CE2" w:rsidRPr="000E05D9" w:rsidP="000E05D9" w14:paraId="3AF89963" w14:textId="77777777">
            <w:pPr>
              <w:widowControl/>
              <w:outlineLvl w:val="1"/>
              <w:rPr>
                <w:szCs w:val="22"/>
              </w:rPr>
            </w:pPr>
          </w:p>
        </w:tc>
      </w:tr>
      <w:tr w14:paraId="07DD16EE" w14:textId="77777777" w:rsidTr="000E05D9">
        <w:tblPrEx>
          <w:tblW w:w="0" w:type="auto"/>
          <w:tblLook w:val="04A0"/>
        </w:tblPrEx>
        <w:tc>
          <w:tcPr>
            <w:tcW w:w="1885" w:type="dxa"/>
            <w:tcBorders>
              <w:left w:val="nil"/>
            </w:tcBorders>
            <w:shd w:val="clear" w:color="auto" w:fill="auto"/>
          </w:tcPr>
          <w:p w:rsidR="00085CE2" w:rsidRPr="000E05D9" w:rsidP="000E05D9" w14:paraId="0B84D997" w14:textId="77777777">
            <w:pPr>
              <w:widowControl/>
              <w:outlineLvl w:val="1"/>
              <w:rPr>
                <w:szCs w:val="22"/>
              </w:rPr>
            </w:pPr>
            <w:r w:rsidRPr="000E05D9">
              <w:rPr>
                <w:szCs w:val="22"/>
              </w:rPr>
              <w:t>5 cm</w:t>
            </w:r>
          </w:p>
        </w:tc>
        <w:tc>
          <w:tcPr>
            <w:tcW w:w="1530" w:type="dxa"/>
            <w:shd w:val="clear" w:color="auto" w:fill="auto"/>
          </w:tcPr>
          <w:p w:rsidR="00085CE2" w:rsidRPr="000E05D9" w:rsidP="000E05D9" w14:paraId="029C3C84" w14:textId="77777777">
            <w:pPr>
              <w:widowControl/>
              <w:outlineLvl w:val="1"/>
              <w:rPr>
                <w:szCs w:val="22"/>
              </w:rPr>
            </w:pPr>
            <w:r w:rsidRPr="000E05D9">
              <w:rPr>
                <w:szCs w:val="22"/>
              </w:rPr>
              <w:t>5.650-5.850</w:t>
            </w:r>
          </w:p>
        </w:tc>
        <w:tc>
          <w:tcPr>
            <w:tcW w:w="1530" w:type="dxa"/>
            <w:shd w:val="clear" w:color="auto" w:fill="auto"/>
          </w:tcPr>
          <w:p w:rsidR="00085CE2" w:rsidRPr="000E05D9" w:rsidP="000E05D9" w14:paraId="3ECA5272" w14:textId="77777777">
            <w:pPr>
              <w:widowControl/>
              <w:outlineLvl w:val="1"/>
              <w:rPr>
                <w:szCs w:val="22"/>
              </w:rPr>
            </w:pPr>
            <w:r w:rsidRPr="000E05D9">
              <w:rPr>
                <w:szCs w:val="22"/>
              </w:rPr>
              <w:t>5.650-5.925</w:t>
            </w:r>
          </w:p>
        </w:tc>
        <w:tc>
          <w:tcPr>
            <w:tcW w:w="1530" w:type="dxa"/>
            <w:shd w:val="clear" w:color="auto" w:fill="auto"/>
          </w:tcPr>
          <w:p w:rsidR="00085CE2" w:rsidRPr="000E05D9" w:rsidP="000E05D9" w14:paraId="72C9A59F" w14:textId="77777777">
            <w:pPr>
              <w:widowControl/>
              <w:outlineLvl w:val="1"/>
              <w:rPr>
                <w:szCs w:val="22"/>
              </w:rPr>
            </w:pPr>
            <w:r w:rsidRPr="000E05D9">
              <w:rPr>
                <w:szCs w:val="22"/>
              </w:rPr>
              <w:t>5.650-5.850</w:t>
            </w:r>
          </w:p>
        </w:tc>
        <w:tc>
          <w:tcPr>
            <w:tcW w:w="2875" w:type="dxa"/>
            <w:tcBorders>
              <w:right w:val="nil"/>
            </w:tcBorders>
            <w:shd w:val="clear" w:color="auto" w:fill="auto"/>
          </w:tcPr>
          <w:p w:rsidR="00085CE2" w:rsidRPr="000E05D9" w:rsidP="000E05D9" w14:paraId="3CE3BD2C" w14:textId="77777777">
            <w:pPr>
              <w:widowControl/>
              <w:outlineLvl w:val="1"/>
              <w:rPr>
                <w:szCs w:val="22"/>
              </w:rPr>
            </w:pPr>
            <w:r w:rsidRPr="000E05D9">
              <w:rPr>
                <w:szCs w:val="22"/>
              </w:rPr>
              <w:t>(a), (b), (e), (r)</w:t>
            </w:r>
          </w:p>
        </w:tc>
      </w:tr>
      <w:tr w14:paraId="299E0ED2" w14:textId="77777777" w:rsidTr="000E05D9">
        <w:tblPrEx>
          <w:tblW w:w="0" w:type="auto"/>
          <w:tblLook w:val="04A0"/>
        </w:tblPrEx>
        <w:tc>
          <w:tcPr>
            <w:tcW w:w="1885" w:type="dxa"/>
            <w:tcBorders>
              <w:left w:val="nil"/>
            </w:tcBorders>
            <w:shd w:val="clear" w:color="auto" w:fill="auto"/>
          </w:tcPr>
          <w:p w:rsidR="00085CE2" w:rsidRPr="000E05D9" w:rsidP="000E05D9" w14:paraId="47C5690D" w14:textId="77777777">
            <w:pPr>
              <w:widowControl/>
              <w:outlineLvl w:val="1"/>
              <w:rPr>
                <w:szCs w:val="22"/>
              </w:rPr>
            </w:pPr>
            <w:r w:rsidRPr="000E05D9">
              <w:rPr>
                <w:szCs w:val="22"/>
              </w:rPr>
              <w:t>3 cm</w:t>
            </w:r>
          </w:p>
        </w:tc>
        <w:tc>
          <w:tcPr>
            <w:tcW w:w="1530" w:type="dxa"/>
            <w:shd w:val="clear" w:color="auto" w:fill="auto"/>
          </w:tcPr>
          <w:p w:rsidR="00085CE2" w:rsidRPr="000E05D9" w:rsidP="000E05D9" w14:paraId="7B5BE139" w14:textId="77777777">
            <w:pPr>
              <w:widowControl/>
              <w:outlineLvl w:val="1"/>
              <w:rPr>
                <w:szCs w:val="22"/>
              </w:rPr>
            </w:pPr>
            <w:r w:rsidRPr="000E05D9">
              <w:rPr>
                <w:szCs w:val="22"/>
              </w:rPr>
              <w:t>10.0-10.5</w:t>
            </w:r>
          </w:p>
        </w:tc>
        <w:tc>
          <w:tcPr>
            <w:tcW w:w="1530" w:type="dxa"/>
            <w:shd w:val="clear" w:color="auto" w:fill="auto"/>
          </w:tcPr>
          <w:p w:rsidR="00085CE2" w:rsidRPr="000E05D9" w:rsidP="000E05D9" w14:paraId="0EDC4F2E" w14:textId="77777777">
            <w:pPr>
              <w:widowControl/>
              <w:outlineLvl w:val="1"/>
              <w:rPr>
                <w:szCs w:val="22"/>
              </w:rPr>
            </w:pPr>
            <w:r w:rsidRPr="000E05D9">
              <w:rPr>
                <w:szCs w:val="22"/>
              </w:rPr>
              <w:t>10.0-10.5</w:t>
            </w:r>
          </w:p>
        </w:tc>
        <w:tc>
          <w:tcPr>
            <w:tcW w:w="1530" w:type="dxa"/>
            <w:shd w:val="clear" w:color="auto" w:fill="auto"/>
          </w:tcPr>
          <w:p w:rsidR="00085CE2" w:rsidRPr="000E05D9" w:rsidP="000E05D9" w14:paraId="34D65AC6" w14:textId="77777777">
            <w:pPr>
              <w:widowControl/>
              <w:outlineLvl w:val="1"/>
              <w:rPr>
                <w:szCs w:val="22"/>
              </w:rPr>
            </w:pPr>
            <w:r w:rsidRPr="000E05D9">
              <w:rPr>
                <w:szCs w:val="22"/>
              </w:rPr>
              <w:t>10.0-10.5</w:t>
            </w:r>
          </w:p>
        </w:tc>
        <w:tc>
          <w:tcPr>
            <w:tcW w:w="2875" w:type="dxa"/>
            <w:tcBorders>
              <w:right w:val="nil"/>
            </w:tcBorders>
            <w:shd w:val="clear" w:color="auto" w:fill="auto"/>
          </w:tcPr>
          <w:p w:rsidR="00085CE2" w:rsidRPr="000E05D9" w:rsidP="000E05D9" w14:paraId="1E652736" w14:textId="77777777">
            <w:pPr>
              <w:widowControl/>
              <w:outlineLvl w:val="1"/>
              <w:rPr>
                <w:szCs w:val="22"/>
              </w:rPr>
            </w:pPr>
            <w:r w:rsidRPr="000E05D9">
              <w:rPr>
                <w:szCs w:val="22"/>
              </w:rPr>
              <w:t>(a), (b), (k)</w:t>
            </w:r>
          </w:p>
        </w:tc>
      </w:tr>
      <w:tr w14:paraId="376B4390" w14:textId="77777777" w:rsidTr="000E05D9">
        <w:tblPrEx>
          <w:tblW w:w="0" w:type="auto"/>
          <w:tblLook w:val="04A0"/>
        </w:tblPrEx>
        <w:tc>
          <w:tcPr>
            <w:tcW w:w="1885" w:type="dxa"/>
            <w:tcBorders>
              <w:left w:val="nil"/>
            </w:tcBorders>
            <w:shd w:val="clear" w:color="auto" w:fill="auto"/>
          </w:tcPr>
          <w:p w:rsidR="00085CE2" w:rsidRPr="000E05D9" w:rsidP="000E05D9" w14:paraId="2FAB5DB7" w14:textId="77777777">
            <w:pPr>
              <w:widowControl/>
              <w:outlineLvl w:val="1"/>
              <w:rPr>
                <w:szCs w:val="22"/>
              </w:rPr>
            </w:pPr>
            <w:r w:rsidRPr="000E05D9">
              <w:rPr>
                <w:szCs w:val="22"/>
              </w:rPr>
              <w:t>1.2 cm</w:t>
            </w:r>
          </w:p>
        </w:tc>
        <w:tc>
          <w:tcPr>
            <w:tcW w:w="1530" w:type="dxa"/>
            <w:shd w:val="clear" w:color="auto" w:fill="auto"/>
          </w:tcPr>
          <w:p w:rsidR="00085CE2" w:rsidRPr="000E05D9" w:rsidP="000E05D9" w14:paraId="5C36FDA3" w14:textId="77777777">
            <w:pPr>
              <w:widowControl/>
              <w:outlineLvl w:val="1"/>
              <w:rPr>
                <w:szCs w:val="22"/>
              </w:rPr>
            </w:pPr>
            <w:r w:rsidRPr="000E05D9">
              <w:rPr>
                <w:szCs w:val="22"/>
              </w:rPr>
              <w:t>24.00-24.25</w:t>
            </w:r>
          </w:p>
        </w:tc>
        <w:tc>
          <w:tcPr>
            <w:tcW w:w="1530" w:type="dxa"/>
            <w:shd w:val="clear" w:color="auto" w:fill="auto"/>
          </w:tcPr>
          <w:p w:rsidR="00085CE2" w:rsidRPr="000E05D9" w:rsidP="000E05D9" w14:paraId="44AD2CFB" w14:textId="77777777">
            <w:pPr>
              <w:widowControl/>
              <w:outlineLvl w:val="1"/>
              <w:rPr>
                <w:szCs w:val="22"/>
              </w:rPr>
            </w:pPr>
            <w:r w:rsidRPr="000E05D9">
              <w:rPr>
                <w:szCs w:val="22"/>
              </w:rPr>
              <w:t>24.00-24.25</w:t>
            </w:r>
          </w:p>
        </w:tc>
        <w:tc>
          <w:tcPr>
            <w:tcW w:w="1530" w:type="dxa"/>
            <w:shd w:val="clear" w:color="auto" w:fill="auto"/>
          </w:tcPr>
          <w:p w:rsidR="00085CE2" w:rsidRPr="000E05D9" w:rsidP="000E05D9" w14:paraId="42A3800F" w14:textId="77777777">
            <w:pPr>
              <w:widowControl/>
              <w:outlineLvl w:val="1"/>
              <w:rPr>
                <w:szCs w:val="22"/>
              </w:rPr>
            </w:pPr>
            <w:r w:rsidRPr="000E05D9">
              <w:rPr>
                <w:szCs w:val="22"/>
              </w:rPr>
              <w:t>24.00-24.25</w:t>
            </w:r>
          </w:p>
        </w:tc>
        <w:tc>
          <w:tcPr>
            <w:tcW w:w="2875" w:type="dxa"/>
            <w:tcBorders>
              <w:right w:val="nil"/>
            </w:tcBorders>
            <w:shd w:val="clear" w:color="auto" w:fill="auto"/>
          </w:tcPr>
          <w:p w:rsidR="00085CE2" w:rsidRPr="000E05D9" w:rsidP="000E05D9" w14:paraId="1574A85A" w14:textId="77777777">
            <w:pPr>
              <w:widowControl/>
              <w:outlineLvl w:val="1"/>
              <w:rPr>
                <w:szCs w:val="22"/>
              </w:rPr>
            </w:pPr>
            <w:r w:rsidRPr="000E05D9">
              <w:rPr>
                <w:szCs w:val="22"/>
              </w:rPr>
              <w:t>(b), (d), (e)</w:t>
            </w:r>
          </w:p>
        </w:tc>
      </w:tr>
      <w:tr w14:paraId="061D6786" w14:textId="77777777" w:rsidTr="000E05D9">
        <w:tblPrEx>
          <w:tblW w:w="0" w:type="auto"/>
          <w:tblLook w:val="04A0"/>
        </w:tblPrEx>
        <w:tc>
          <w:tcPr>
            <w:tcW w:w="1885" w:type="dxa"/>
            <w:tcBorders>
              <w:left w:val="nil"/>
            </w:tcBorders>
            <w:shd w:val="clear" w:color="auto" w:fill="auto"/>
            <w:vAlign w:val="bottom"/>
          </w:tcPr>
          <w:p w:rsidR="00085CE2" w:rsidRPr="000E05D9" w:rsidP="000E05D9" w14:paraId="290BAE00" w14:textId="77777777">
            <w:pPr>
              <w:widowControl/>
              <w:jc w:val="center"/>
              <w:outlineLvl w:val="1"/>
              <w:rPr>
                <w:szCs w:val="22"/>
              </w:rPr>
            </w:pPr>
            <w:r w:rsidRPr="000E05D9">
              <w:rPr>
                <w:b/>
                <w:bCs/>
                <w:szCs w:val="22"/>
              </w:rPr>
              <w:t>EHF</w:t>
            </w:r>
          </w:p>
        </w:tc>
        <w:tc>
          <w:tcPr>
            <w:tcW w:w="1530" w:type="dxa"/>
            <w:shd w:val="clear" w:color="auto" w:fill="auto"/>
            <w:vAlign w:val="bottom"/>
          </w:tcPr>
          <w:p w:rsidR="00085CE2" w:rsidRPr="000E05D9" w:rsidP="000E05D9" w14:paraId="401F02CD" w14:textId="77777777">
            <w:pPr>
              <w:widowControl/>
              <w:jc w:val="center"/>
              <w:outlineLvl w:val="1"/>
              <w:rPr>
                <w:szCs w:val="22"/>
              </w:rPr>
            </w:pPr>
            <w:r w:rsidRPr="000E05D9">
              <w:rPr>
                <w:b/>
                <w:bCs/>
                <w:szCs w:val="22"/>
              </w:rPr>
              <w:t>GHz</w:t>
            </w:r>
          </w:p>
        </w:tc>
        <w:tc>
          <w:tcPr>
            <w:tcW w:w="1530" w:type="dxa"/>
            <w:shd w:val="clear" w:color="auto" w:fill="auto"/>
            <w:vAlign w:val="bottom"/>
          </w:tcPr>
          <w:p w:rsidR="00085CE2" w:rsidRPr="000E05D9" w:rsidP="000E05D9" w14:paraId="00BB5349" w14:textId="77777777">
            <w:pPr>
              <w:widowControl/>
              <w:jc w:val="center"/>
              <w:outlineLvl w:val="1"/>
              <w:rPr>
                <w:szCs w:val="22"/>
              </w:rPr>
            </w:pPr>
            <w:r w:rsidRPr="000E05D9">
              <w:rPr>
                <w:b/>
                <w:bCs/>
                <w:szCs w:val="22"/>
              </w:rPr>
              <w:t>GHz</w:t>
            </w:r>
          </w:p>
        </w:tc>
        <w:tc>
          <w:tcPr>
            <w:tcW w:w="1530" w:type="dxa"/>
            <w:shd w:val="clear" w:color="auto" w:fill="auto"/>
            <w:vAlign w:val="bottom"/>
          </w:tcPr>
          <w:p w:rsidR="00085CE2" w:rsidRPr="000E05D9" w:rsidP="000E05D9" w14:paraId="2D76BEB5" w14:textId="77777777">
            <w:pPr>
              <w:widowControl/>
              <w:jc w:val="center"/>
              <w:outlineLvl w:val="1"/>
              <w:rPr>
                <w:szCs w:val="22"/>
              </w:rPr>
            </w:pPr>
            <w:r w:rsidRPr="000E05D9">
              <w:rPr>
                <w:b/>
                <w:bCs/>
                <w:szCs w:val="22"/>
              </w:rPr>
              <w:t>GHz</w:t>
            </w:r>
          </w:p>
        </w:tc>
        <w:tc>
          <w:tcPr>
            <w:tcW w:w="2875" w:type="dxa"/>
            <w:tcBorders>
              <w:right w:val="nil"/>
            </w:tcBorders>
            <w:shd w:val="clear" w:color="auto" w:fill="auto"/>
            <w:vAlign w:val="bottom"/>
          </w:tcPr>
          <w:p w:rsidR="00085CE2" w:rsidRPr="000E05D9" w:rsidP="000E05D9" w14:paraId="3F7EFF85" w14:textId="77777777">
            <w:pPr>
              <w:widowControl/>
              <w:outlineLvl w:val="1"/>
              <w:rPr>
                <w:szCs w:val="22"/>
              </w:rPr>
            </w:pPr>
          </w:p>
        </w:tc>
      </w:tr>
      <w:tr w14:paraId="0A5298FD" w14:textId="77777777" w:rsidTr="000E05D9">
        <w:tblPrEx>
          <w:tblW w:w="0" w:type="auto"/>
          <w:tblLook w:val="04A0"/>
        </w:tblPrEx>
        <w:tc>
          <w:tcPr>
            <w:tcW w:w="1885" w:type="dxa"/>
            <w:tcBorders>
              <w:left w:val="nil"/>
            </w:tcBorders>
            <w:shd w:val="clear" w:color="auto" w:fill="auto"/>
          </w:tcPr>
          <w:p w:rsidR="00085CE2" w:rsidRPr="000E05D9" w:rsidP="000E05D9" w14:paraId="31194584" w14:textId="77777777">
            <w:pPr>
              <w:widowControl/>
              <w:outlineLvl w:val="1"/>
              <w:rPr>
                <w:szCs w:val="22"/>
              </w:rPr>
            </w:pPr>
            <w:r w:rsidRPr="000E05D9">
              <w:rPr>
                <w:szCs w:val="22"/>
              </w:rPr>
              <w:t>6 mm</w:t>
            </w:r>
          </w:p>
        </w:tc>
        <w:tc>
          <w:tcPr>
            <w:tcW w:w="1530" w:type="dxa"/>
            <w:shd w:val="clear" w:color="auto" w:fill="auto"/>
          </w:tcPr>
          <w:p w:rsidR="00085CE2" w:rsidRPr="000E05D9" w:rsidP="000E05D9" w14:paraId="318C9785" w14:textId="77777777">
            <w:pPr>
              <w:widowControl/>
              <w:outlineLvl w:val="1"/>
              <w:rPr>
                <w:szCs w:val="22"/>
              </w:rPr>
            </w:pPr>
            <w:r w:rsidRPr="000E05D9">
              <w:rPr>
                <w:szCs w:val="22"/>
              </w:rPr>
              <w:t>47.0-47.2</w:t>
            </w:r>
          </w:p>
        </w:tc>
        <w:tc>
          <w:tcPr>
            <w:tcW w:w="1530" w:type="dxa"/>
            <w:shd w:val="clear" w:color="auto" w:fill="auto"/>
          </w:tcPr>
          <w:p w:rsidR="00085CE2" w:rsidRPr="000E05D9" w:rsidP="000E05D9" w14:paraId="799D967D" w14:textId="77777777">
            <w:pPr>
              <w:widowControl/>
              <w:outlineLvl w:val="1"/>
              <w:rPr>
                <w:szCs w:val="22"/>
              </w:rPr>
            </w:pPr>
            <w:r w:rsidRPr="000E05D9">
              <w:rPr>
                <w:szCs w:val="22"/>
              </w:rPr>
              <w:t>47.0-47.2</w:t>
            </w:r>
          </w:p>
        </w:tc>
        <w:tc>
          <w:tcPr>
            <w:tcW w:w="1530" w:type="dxa"/>
            <w:shd w:val="clear" w:color="auto" w:fill="auto"/>
          </w:tcPr>
          <w:p w:rsidR="00085CE2" w:rsidRPr="000E05D9" w:rsidP="000E05D9" w14:paraId="2DA33D10" w14:textId="77777777">
            <w:pPr>
              <w:widowControl/>
              <w:outlineLvl w:val="1"/>
              <w:rPr>
                <w:szCs w:val="22"/>
              </w:rPr>
            </w:pPr>
            <w:r w:rsidRPr="000E05D9">
              <w:rPr>
                <w:szCs w:val="22"/>
              </w:rPr>
              <w:t>47.0-47.2</w:t>
            </w:r>
          </w:p>
        </w:tc>
        <w:tc>
          <w:tcPr>
            <w:tcW w:w="2875" w:type="dxa"/>
            <w:tcBorders>
              <w:right w:val="nil"/>
            </w:tcBorders>
            <w:shd w:val="clear" w:color="auto" w:fill="auto"/>
          </w:tcPr>
          <w:p w:rsidR="00085CE2" w:rsidRPr="000E05D9" w:rsidP="000E05D9" w14:paraId="6A6A47D5" w14:textId="77777777">
            <w:pPr>
              <w:widowControl/>
              <w:outlineLvl w:val="1"/>
              <w:rPr>
                <w:szCs w:val="22"/>
              </w:rPr>
            </w:pPr>
          </w:p>
        </w:tc>
      </w:tr>
      <w:tr w14:paraId="7EEAD9AC" w14:textId="77777777" w:rsidTr="000E05D9">
        <w:tblPrEx>
          <w:tblW w:w="0" w:type="auto"/>
          <w:tblLook w:val="04A0"/>
        </w:tblPrEx>
        <w:tc>
          <w:tcPr>
            <w:tcW w:w="1885" w:type="dxa"/>
            <w:tcBorders>
              <w:left w:val="nil"/>
            </w:tcBorders>
            <w:shd w:val="clear" w:color="auto" w:fill="auto"/>
          </w:tcPr>
          <w:p w:rsidR="00085CE2" w:rsidRPr="000E05D9" w:rsidP="000E05D9" w14:paraId="1DC3D6E3" w14:textId="77777777">
            <w:pPr>
              <w:widowControl/>
              <w:outlineLvl w:val="1"/>
              <w:rPr>
                <w:szCs w:val="22"/>
              </w:rPr>
            </w:pPr>
            <w:r w:rsidRPr="000E05D9">
              <w:rPr>
                <w:szCs w:val="22"/>
              </w:rPr>
              <w:t>4 mm</w:t>
            </w:r>
          </w:p>
        </w:tc>
        <w:tc>
          <w:tcPr>
            <w:tcW w:w="1530" w:type="dxa"/>
            <w:shd w:val="clear" w:color="auto" w:fill="auto"/>
          </w:tcPr>
          <w:p w:rsidR="00085CE2" w:rsidRPr="000E05D9" w:rsidP="000E05D9" w14:paraId="7D17860C" w14:textId="77777777">
            <w:pPr>
              <w:widowControl/>
              <w:outlineLvl w:val="1"/>
              <w:rPr>
                <w:szCs w:val="22"/>
              </w:rPr>
            </w:pPr>
            <w:r w:rsidRPr="000E05D9">
              <w:rPr>
                <w:szCs w:val="22"/>
              </w:rPr>
              <w:t>76-81</w:t>
            </w:r>
          </w:p>
        </w:tc>
        <w:tc>
          <w:tcPr>
            <w:tcW w:w="1530" w:type="dxa"/>
            <w:shd w:val="clear" w:color="auto" w:fill="auto"/>
          </w:tcPr>
          <w:p w:rsidR="00085CE2" w:rsidRPr="000E05D9" w:rsidP="000E05D9" w14:paraId="0A7E746C" w14:textId="77777777">
            <w:pPr>
              <w:widowControl/>
              <w:outlineLvl w:val="1"/>
              <w:rPr>
                <w:szCs w:val="22"/>
              </w:rPr>
            </w:pPr>
            <w:r w:rsidRPr="000E05D9">
              <w:rPr>
                <w:szCs w:val="22"/>
              </w:rPr>
              <w:t>76-81</w:t>
            </w:r>
          </w:p>
        </w:tc>
        <w:tc>
          <w:tcPr>
            <w:tcW w:w="1530" w:type="dxa"/>
            <w:shd w:val="clear" w:color="auto" w:fill="auto"/>
          </w:tcPr>
          <w:p w:rsidR="00085CE2" w:rsidRPr="000E05D9" w:rsidP="000E05D9" w14:paraId="304502AA" w14:textId="77777777">
            <w:pPr>
              <w:widowControl/>
              <w:outlineLvl w:val="1"/>
              <w:rPr>
                <w:szCs w:val="22"/>
              </w:rPr>
            </w:pPr>
            <w:r w:rsidRPr="000E05D9">
              <w:rPr>
                <w:szCs w:val="22"/>
              </w:rPr>
              <w:t>76-81</w:t>
            </w:r>
          </w:p>
        </w:tc>
        <w:tc>
          <w:tcPr>
            <w:tcW w:w="2875" w:type="dxa"/>
            <w:tcBorders>
              <w:right w:val="nil"/>
            </w:tcBorders>
            <w:shd w:val="clear" w:color="auto" w:fill="auto"/>
          </w:tcPr>
          <w:p w:rsidR="00085CE2" w:rsidRPr="000E05D9" w:rsidP="000E05D9" w14:paraId="62840CC5" w14:textId="77777777">
            <w:pPr>
              <w:widowControl/>
              <w:outlineLvl w:val="1"/>
              <w:rPr>
                <w:szCs w:val="22"/>
              </w:rPr>
            </w:pPr>
            <w:r w:rsidRPr="000E05D9">
              <w:rPr>
                <w:szCs w:val="22"/>
              </w:rPr>
              <w:t>(c), (f), (s)</w:t>
            </w:r>
          </w:p>
        </w:tc>
      </w:tr>
      <w:tr w14:paraId="500CC28A" w14:textId="77777777" w:rsidTr="000E05D9">
        <w:tblPrEx>
          <w:tblW w:w="0" w:type="auto"/>
          <w:tblLook w:val="04A0"/>
        </w:tblPrEx>
        <w:tc>
          <w:tcPr>
            <w:tcW w:w="1885" w:type="dxa"/>
            <w:tcBorders>
              <w:left w:val="nil"/>
            </w:tcBorders>
            <w:shd w:val="clear" w:color="auto" w:fill="auto"/>
          </w:tcPr>
          <w:p w:rsidR="00085CE2" w:rsidRPr="000E05D9" w:rsidP="000E05D9" w14:paraId="12ADA235" w14:textId="77777777">
            <w:pPr>
              <w:widowControl/>
              <w:outlineLvl w:val="1"/>
              <w:rPr>
                <w:szCs w:val="22"/>
              </w:rPr>
            </w:pPr>
            <w:r w:rsidRPr="000E05D9">
              <w:rPr>
                <w:szCs w:val="22"/>
              </w:rPr>
              <w:t>2.5 mm</w:t>
            </w:r>
          </w:p>
        </w:tc>
        <w:tc>
          <w:tcPr>
            <w:tcW w:w="1530" w:type="dxa"/>
            <w:shd w:val="clear" w:color="auto" w:fill="auto"/>
          </w:tcPr>
          <w:p w:rsidR="00085CE2" w:rsidRPr="000E05D9" w:rsidP="000E05D9" w14:paraId="2A349582" w14:textId="77777777">
            <w:pPr>
              <w:widowControl/>
              <w:outlineLvl w:val="1"/>
              <w:rPr>
                <w:szCs w:val="22"/>
              </w:rPr>
            </w:pPr>
            <w:r w:rsidRPr="000E05D9">
              <w:rPr>
                <w:szCs w:val="22"/>
              </w:rPr>
              <w:t>122.25-123.00</w:t>
            </w:r>
          </w:p>
        </w:tc>
        <w:tc>
          <w:tcPr>
            <w:tcW w:w="1530" w:type="dxa"/>
            <w:shd w:val="clear" w:color="auto" w:fill="auto"/>
          </w:tcPr>
          <w:p w:rsidR="00085CE2" w:rsidRPr="000E05D9" w:rsidP="000E05D9" w14:paraId="3E58764A" w14:textId="77777777">
            <w:pPr>
              <w:widowControl/>
              <w:outlineLvl w:val="1"/>
              <w:rPr>
                <w:szCs w:val="22"/>
              </w:rPr>
            </w:pPr>
            <w:r w:rsidRPr="000E05D9">
              <w:rPr>
                <w:szCs w:val="22"/>
              </w:rPr>
              <w:t>122.25-123.00</w:t>
            </w:r>
          </w:p>
        </w:tc>
        <w:tc>
          <w:tcPr>
            <w:tcW w:w="1530" w:type="dxa"/>
            <w:shd w:val="clear" w:color="auto" w:fill="auto"/>
          </w:tcPr>
          <w:p w:rsidR="00085CE2" w:rsidRPr="000E05D9" w:rsidP="000E05D9" w14:paraId="62BEDB75" w14:textId="77777777">
            <w:pPr>
              <w:widowControl/>
              <w:outlineLvl w:val="1"/>
              <w:rPr>
                <w:szCs w:val="22"/>
              </w:rPr>
            </w:pPr>
            <w:r w:rsidRPr="000E05D9">
              <w:rPr>
                <w:szCs w:val="22"/>
              </w:rPr>
              <w:t>122.25-123.00</w:t>
            </w:r>
          </w:p>
        </w:tc>
        <w:tc>
          <w:tcPr>
            <w:tcW w:w="2875" w:type="dxa"/>
            <w:tcBorders>
              <w:right w:val="nil"/>
            </w:tcBorders>
            <w:shd w:val="clear" w:color="auto" w:fill="auto"/>
          </w:tcPr>
          <w:p w:rsidR="00085CE2" w:rsidRPr="000E05D9" w:rsidP="000E05D9" w14:paraId="4EF60AE5" w14:textId="77777777">
            <w:pPr>
              <w:widowControl/>
              <w:outlineLvl w:val="1"/>
              <w:rPr>
                <w:szCs w:val="22"/>
              </w:rPr>
            </w:pPr>
            <w:r w:rsidRPr="000E05D9">
              <w:rPr>
                <w:szCs w:val="22"/>
              </w:rPr>
              <w:t>(e), (t)</w:t>
            </w:r>
          </w:p>
        </w:tc>
      </w:tr>
      <w:tr w14:paraId="797B5845" w14:textId="77777777" w:rsidTr="000E05D9">
        <w:tblPrEx>
          <w:tblW w:w="0" w:type="auto"/>
          <w:tblLook w:val="04A0"/>
        </w:tblPrEx>
        <w:tc>
          <w:tcPr>
            <w:tcW w:w="1885" w:type="dxa"/>
            <w:tcBorders>
              <w:left w:val="nil"/>
            </w:tcBorders>
            <w:shd w:val="clear" w:color="auto" w:fill="auto"/>
          </w:tcPr>
          <w:p w:rsidR="00085CE2" w:rsidRPr="000E05D9" w:rsidP="000E05D9" w14:paraId="14900FB0" w14:textId="77777777">
            <w:pPr>
              <w:widowControl/>
              <w:outlineLvl w:val="1"/>
              <w:rPr>
                <w:szCs w:val="22"/>
              </w:rPr>
            </w:pPr>
            <w:r w:rsidRPr="000E05D9">
              <w:rPr>
                <w:szCs w:val="22"/>
              </w:rPr>
              <w:t>2 mm</w:t>
            </w:r>
          </w:p>
        </w:tc>
        <w:tc>
          <w:tcPr>
            <w:tcW w:w="1530" w:type="dxa"/>
            <w:shd w:val="clear" w:color="auto" w:fill="auto"/>
          </w:tcPr>
          <w:p w:rsidR="00085CE2" w:rsidRPr="000E05D9" w:rsidP="000E05D9" w14:paraId="75B68776" w14:textId="77777777">
            <w:pPr>
              <w:widowControl/>
              <w:outlineLvl w:val="1"/>
              <w:rPr>
                <w:szCs w:val="22"/>
              </w:rPr>
            </w:pPr>
            <w:r w:rsidRPr="000E05D9">
              <w:rPr>
                <w:szCs w:val="22"/>
              </w:rPr>
              <w:t>134-141</w:t>
            </w:r>
          </w:p>
        </w:tc>
        <w:tc>
          <w:tcPr>
            <w:tcW w:w="1530" w:type="dxa"/>
            <w:shd w:val="clear" w:color="auto" w:fill="auto"/>
          </w:tcPr>
          <w:p w:rsidR="00085CE2" w:rsidRPr="000E05D9" w:rsidP="000E05D9" w14:paraId="7677A05E" w14:textId="77777777">
            <w:pPr>
              <w:widowControl/>
              <w:outlineLvl w:val="1"/>
              <w:rPr>
                <w:szCs w:val="22"/>
              </w:rPr>
            </w:pPr>
            <w:r w:rsidRPr="000E05D9">
              <w:rPr>
                <w:szCs w:val="22"/>
              </w:rPr>
              <w:t>134-141</w:t>
            </w:r>
          </w:p>
        </w:tc>
        <w:tc>
          <w:tcPr>
            <w:tcW w:w="1530" w:type="dxa"/>
            <w:shd w:val="clear" w:color="auto" w:fill="auto"/>
          </w:tcPr>
          <w:p w:rsidR="00085CE2" w:rsidRPr="000E05D9" w:rsidP="000E05D9" w14:paraId="66502291" w14:textId="77777777">
            <w:pPr>
              <w:widowControl/>
              <w:outlineLvl w:val="1"/>
              <w:rPr>
                <w:szCs w:val="22"/>
              </w:rPr>
            </w:pPr>
            <w:r w:rsidRPr="000E05D9">
              <w:rPr>
                <w:szCs w:val="22"/>
              </w:rPr>
              <w:t>134-141</w:t>
            </w:r>
          </w:p>
        </w:tc>
        <w:tc>
          <w:tcPr>
            <w:tcW w:w="2875" w:type="dxa"/>
            <w:tcBorders>
              <w:right w:val="nil"/>
            </w:tcBorders>
            <w:shd w:val="clear" w:color="auto" w:fill="auto"/>
          </w:tcPr>
          <w:p w:rsidR="00085CE2" w:rsidRPr="000E05D9" w:rsidP="000E05D9" w14:paraId="2B4B0E96" w14:textId="77777777">
            <w:pPr>
              <w:widowControl/>
              <w:outlineLvl w:val="1"/>
              <w:rPr>
                <w:szCs w:val="22"/>
              </w:rPr>
            </w:pPr>
            <w:r w:rsidRPr="000E05D9">
              <w:rPr>
                <w:szCs w:val="22"/>
              </w:rPr>
              <w:t>(c), (f)</w:t>
            </w:r>
          </w:p>
        </w:tc>
      </w:tr>
      <w:tr w14:paraId="71866CB0" w14:textId="77777777" w:rsidTr="000E05D9">
        <w:tblPrEx>
          <w:tblW w:w="0" w:type="auto"/>
          <w:tblLook w:val="04A0"/>
        </w:tblPrEx>
        <w:tc>
          <w:tcPr>
            <w:tcW w:w="1885" w:type="dxa"/>
            <w:tcBorders>
              <w:left w:val="nil"/>
            </w:tcBorders>
            <w:shd w:val="clear" w:color="auto" w:fill="auto"/>
          </w:tcPr>
          <w:p w:rsidR="00085CE2" w:rsidRPr="000E05D9" w:rsidP="000E05D9" w14:paraId="0BF64FB9" w14:textId="77777777">
            <w:pPr>
              <w:widowControl/>
              <w:outlineLvl w:val="1"/>
              <w:rPr>
                <w:szCs w:val="22"/>
              </w:rPr>
            </w:pPr>
            <w:r w:rsidRPr="000E05D9">
              <w:rPr>
                <w:szCs w:val="22"/>
              </w:rPr>
              <w:t>1 mm</w:t>
            </w:r>
          </w:p>
        </w:tc>
        <w:tc>
          <w:tcPr>
            <w:tcW w:w="1530" w:type="dxa"/>
            <w:shd w:val="clear" w:color="auto" w:fill="auto"/>
          </w:tcPr>
          <w:p w:rsidR="00085CE2" w:rsidRPr="000E05D9" w:rsidP="000E05D9" w14:paraId="035D1B0B" w14:textId="77777777">
            <w:pPr>
              <w:widowControl/>
              <w:outlineLvl w:val="1"/>
              <w:rPr>
                <w:szCs w:val="22"/>
              </w:rPr>
            </w:pPr>
            <w:r w:rsidRPr="000E05D9">
              <w:rPr>
                <w:szCs w:val="22"/>
              </w:rPr>
              <w:t>241-250</w:t>
            </w:r>
          </w:p>
        </w:tc>
        <w:tc>
          <w:tcPr>
            <w:tcW w:w="1530" w:type="dxa"/>
            <w:shd w:val="clear" w:color="auto" w:fill="auto"/>
          </w:tcPr>
          <w:p w:rsidR="00085CE2" w:rsidRPr="000E05D9" w:rsidP="000E05D9" w14:paraId="25E31644" w14:textId="77777777">
            <w:pPr>
              <w:widowControl/>
              <w:outlineLvl w:val="1"/>
              <w:rPr>
                <w:szCs w:val="22"/>
              </w:rPr>
            </w:pPr>
            <w:r w:rsidRPr="000E05D9">
              <w:rPr>
                <w:szCs w:val="22"/>
              </w:rPr>
              <w:t>241-250</w:t>
            </w:r>
          </w:p>
        </w:tc>
        <w:tc>
          <w:tcPr>
            <w:tcW w:w="1530" w:type="dxa"/>
            <w:shd w:val="clear" w:color="auto" w:fill="auto"/>
          </w:tcPr>
          <w:p w:rsidR="00085CE2" w:rsidRPr="000E05D9" w:rsidP="000E05D9" w14:paraId="13D9FB0F" w14:textId="77777777">
            <w:pPr>
              <w:widowControl/>
              <w:outlineLvl w:val="1"/>
              <w:rPr>
                <w:szCs w:val="22"/>
              </w:rPr>
            </w:pPr>
            <w:r w:rsidRPr="000E05D9">
              <w:rPr>
                <w:szCs w:val="22"/>
              </w:rPr>
              <w:t>241-250</w:t>
            </w:r>
          </w:p>
        </w:tc>
        <w:tc>
          <w:tcPr>
            <w:tcW w:w="2875" w:type="dxa"/>
            <w:tcBorders>
              <w:right w:val="nil"/>
            </w:tcBorders>
            <w:shd w:val="clear" w:color="auto" w:fill="auto"/>
          </w:tcPr>
          <w:p w:rsidR="00085CE2" w:rsidRPr="000E05D9" w:rsidP="000E05D9" w14:paraId="2C812573" w14:textId="77777777">
            <w:pPr>
              <w:widowControl/>
              <w:outlineLvl w:val="1"/>
              <w:rPr>
                <w:szCs w:val="22"/>
              </w:rPr>
            </w:pPr>
            <w:r w:rsidRPr="000E05D9">
              <w:rPr>
                <w:szCs w:val="22"/>
              </w:rPr>
              <w:t>(c), (e), (f)</w:t>
            </w:r>
          </w:p>
        </w:tc>
      </w:tr>
      <w:tr w14:paraId="0D60D83D" w14:textId="77777777" w:rsidTr="000E05D9">
        <w:tblPrEx>
          <w:tblW w:w="0" w:type="auto"/>
          <w:tblLook w:val="04A0"/>
        </w:tblPrEx>
        <w:tc>
          <w:tcPr>
            <w:tcW w:w="1885" w:type="dxa"/>
            <w:tcBorders>
              <w:left w:val="nil"/>
            </w:tcBorders>
            <w:shd w:val="clear" w:color="auto" w:fill="auto"/>
          </w:tcPr>
          <w:p w:rsidR="00085CE2" w:rsidRPr="000E05D9" w:rsidP="000E05D9" w14:paraId="4D0499D1" w14:textId="77777777">
            <w:pPr>
              <w:widowControl/>
              <w:outlineLvl w:val="1"/>
              <w:rPr>
                <w:szCs w:val="22"/>
              </w:rPr>
            </w:pPr>
          </w:p>
        </w:tc>
        <w:tc>
          <w:tcPr>
            <w:tcW w:w="1530" w:type="dxa"/>
            <w:shd w:val="clear" w:color="auto" w:fill="auto"/>
          </w:tcPr>
          <w:p w:rsidR="00085CE2" w:rsidRPr="000E05D9" w:rsidP="000E05D9" w14:paraId="448DC6C2" w14:textId="77777777">
            <w:pPr>
              <w:widowControl/>
              <w:outlineLvl w:val="1"/>
              <w:rPr>
                <w:szCs w:val="22"/>
              </w:rPr>
            </w:pPr>
            <w:r w:rsidRPr="000E05D9">
              <w:rPr>
                <w:szCs w:val="22"/>
              </w:rPr>
              <w:t>Above 275</w:t>
            </w:r>
          </w:p>
        </w:tc>
        <w:tc>
          <w:tcPr>
            <w:tcW w:w="1530" w:type="dxa"/>
            <w:shd w:val="clear" w:color="auto" w:fill="auto"/>
          </w:tcPr>
          <w:p w:rsidR="00085CE2" w:rsidRPr="000E05D9" w:rsidP="000E05D9" w14:paraId="0E0EE688" w14:textId="77777777">
            <w:pPr>
              <w:widowControl/>
              <w:outlineLvl w:val="1"/>
              <w:rPr>
                <w:szCs w:val="22"/>
              </w:rPr>
            </w:pPr>
            <w:r w:rsidRPr="000E05D9">
              <w:rPr>
                <w:szCs w:val="22"/>
              </w:rPr>
              <w:t>Above 275</w:t>
            </w:r>
          </w:p>
        </w:tc>
        <w:tc>
          <w:tcPr>
            <w:tcW w:w="1530" w:type="dxa"/>
            <w:shd w:val="clear" w:color="auto" w:fill="auto"/>
          </w:tcPr>
          <w:p w:rsidR="00085CE2" w:rsidRPr="000E05D9" w:rsidP="000E05D9" w14:paraId="6CAEB204" w14:textId="77777777">
            <w:pPr>
              <w:widowControl/>
              <w:outlineLvl w:val="1"/>
              <w:rPr>
                <w:szCs w:val="22"/>
              </w:rPr>
            </w:pPr>
            <w:r w:rsidRPr="000E05D9">
              <w:rPr>
                <w:szCs w:val="22"/>
              </w:rPr>
              <w:t>Above 275</w:t>
            </w:r>
          </w:p>
        </w:tc>
        <w:tc>
          <w:tcPr>
            <w:tcW w:w="2875" w:type="dxa"/>
            <w:tcBorders>
              <w:right w:val="nil"/>
            </w:tcBorders>
            <w:shd w:val="clear" w:color="auto" w:fill="auto"/>
          </w:tcPr>
          <w:p w:rsidR="00085CE2" w:rsidRPr="000E05D9" w:rsidP="000E05D9" w14:paraId="04F02FA7" w14:textId="77777777">
            <w:pPr>
              <w:widowControl/>
              <w:outlineLvl w:val="1"/>
              <w:rPr>
                <w:szCs w:val="22"/>
              </w:rPr>
            </w:pPr>
            <w:r w:rsidRPr="000E05D9">
              <w:rPr>
                <w:szCs w:val="22"/>
              </w:rPr>
              <w:t>(f)</w:t>
            </w:r>
          </w:p>
        </w:tc>
      </w:tr>
    </w:tbl>
    <w:p w:rsidR="00085CE2" w:rsidRPr="00AE2C6F" w:rsidP="00085CE2" w14:paraId="575442F9" w14:textId="77777777">
      <w:pPr>
        <w:pStyle w:val="ParaNum"/>
        <w:numPr>
          <w:ilvl w:val="0"/>
          <w:numId w:val="0"/>
        </w:numPr>
        <w:spacing w:after="0"/>
        <w:rPr>
          <w:snapToGrid/>
          <w:szCs w:val="22"/>
        </w:rPr>
      </w:pPr>
    </w:p>
    <w:p w:rsidR="00085CE2" w:rsidP="00C23CAA" w14:paraId="569A27BE" w14:textId="77777777">
      <w:pPr>
        <w:pStyle w:val="ParaNum"/>
        <w:tabs>
          <w:tab w:val="clear" w:pos="1080"/>
        </w:tabs>
        <w:spacing w:after="0"/>
      </w:pPr>
      <w:r w:rsidRPr="00B123E8">
        <w:t>In § 97.303, revise paragraph</w:t>
      </w:r>
      <w:r>
        <w:t xml:space="preserve">s (b) and </w:t>
      </w:r>
      <w:r w:rsidRPr="00B123E8">
        <w:t>(f) and remove and reserve paragraph (q)</w:t>
      </w:r>
      <w:r>
        <w:t xml:space="preserve"> </w:t>
      </w:r>
      <w:r w:rsidRPr="00B123E8">
        <w:t>to read as follows:</w:t>
      </w:r>
    </w:p>
    <w:p w:rsidR="00085CE2" w:rsidRPr="00B123E8" w:rsidP="00085CE2" w14:paraId="72F38354" w14:textId="77777777">
      <w:pPr>
        <w:pStyle w:val="ParaNum"/>
        <w:numPr>
          <w:ilvl w:val="0"/>
          <w:numId w:val="0"/>
        </w:numPr>
        <w:spacing w:after="0"/>
        <w:ind w:left="720"/>
      </w:pPr>
    </w:p>
    <w:p w:rsidR="00085CE2" w:rsidRPr="00C23CAA" w:rsidP="00085CE2" w14:paraId="03022F85" w14:textId="77777777">
      <w:pPr>
        <w:widowControl/>
        <w:shd w:val="clear" w:color="auto" w:fill="FFFFFF"/>
        <w:outlineLvl w:val="1"/>
        <w:rPr>
          <w:b/>
          <w:bCs/>
          <w:snapToGrid/>
          <w:color w:val="000000"/>
          <w:kern w:val="0"/>
          <w:szCs w:val="22"/>
          <w:u w:val="single"/>
        </w:rPr>
      </w:pPr>
      <w:r w:rsidRPr="00C23CAA">
        <w:rPr>
          <w:b/>
          <w:bCs/>
          <w:snapToGrid/>
          <w:color w:val="000000"/>
          <w:kern w:val="0"/>
          <w:szCs w:val="22"/>
          <w:u w:val="single"/>
        </w:rPr>
        <w:t>§ 97.303   Frequency sharing requirements.</w:t>
      </w:r>
    </w:p>
    <w:p w:rsidR="00085CE2" w:rsidRPr="00F62AFD" w:rsidP="00085CE2" w14:paraId="05E5BA7E" w14:textId="77777777">
      <w:pPr>
        <w:widowControl/>
        <w:shd w:val="clear" w:color="auto" w:fill="FFFFFF"/>
        <w:outlineLvl w:val="1"/>
        <w:rPr>
          <w:b/>
          <w:bCs/>
          <w:snapToGrid/>
          <w:color w:val="000000"/>
          <w:kern w:val="0"/>
          <w:szCs w:val="22"/>
        </w:rPr>
      </w:pPr>
    </w:p>
    <w:p w:rsidR="00085CE2" w:rsidRPr="003C1AA7" w:rsidP="00085CE2" w14:paraId="59301797" w14:textId="77777777">
      <w:pPr>
        <w:widowControl/>
        <w:shd w:val="clear" w:color="auto" w:fill="FFFFFF"/>
        <w:ind w:firstLine="360"/>
        <w:outlineLvl w:val="1"/>
        <w:rPr>
          <w:bCs/>
          <w:snapToGrid/>
          <w:color w:val="000000"/>
          <w:kern w:val="0"/>
          <w:szCs w:val="22"/>
        </w:rPr>
      </w:pPr>
      <w:r w:rsidRPr="00F62AFD">
        <w:rPr>
          <w:bCs/>
          <w:snapToGrid/>
          <w:color w:val="000000"/>
          <w:kern w:val="0"/>
          <w:szCs w:val="22"/>
        </w:rPr>
        <w:t>* * * * *</w:t>
      </w:r>
    </w:p>
    <w:p w:rsidR="00085CE2" w:rsidRPr="003C1AA7" w:rsidP="00085CE2" w14:paraId="2505E5F2" w14:textId="77777777">
      <w:pPr>
        <w:widowControl/>
        <w:shd w:val="clear" w:color="auto" w:fill="FFFFFF"/>
        <w:ind w:firstLine="360"/>
        <w:outlineLvl w:val="1"/>
        <w:rPr>
          <w:bCs/>
          <w:snapToGrid/>
          <w:color w:val="000000"/>
          <w:kern w:val="0"/>
          <w:szCs w:val="22"/>
        </w:rPr>
      </w:pPr>
    </w:p>
    <w:p w:rsidR="00085CE2" w:rsidRPr="003C1AA7" w:rsidP="00085CE2" w14:paraId="6E534742" w14:textId="77777777">
      <w:pPr>
        <w:widowControl/>
        <w:shd w:val="clear" w:color="auto" w:fill="FFFFFF"/>
        <w:ind w:firstLine="360"/>
        <w:outlineLvl w:val="1"/>
        <w:rPr>
          <w:bCs/>
          <w:snapToGrid/>
          <w:color w:val="000000"/>
          <w:kern w:val="0"/>
          <w:szCs w:val="22"/>
        </w:rPr>
      </w:pPr>
      <w:r w:rsidRPr="00F62AFD">
        <w:rPr>
          <w:color w:val="000000"/>
          <w:szCs w:val="22"/>
          <w:shd w:val="clear" w:color="auto" w:fill="FFFFFF"/>
        </w:rPr>
        <w:t xml:space="preserve">(b) </w:t>
      </w:r>
      <w:r w:rsidRPr="00CF2555">
        <w:rPr>
          <w:color w:val="000000"/>
          <w:szCs w:val="22"/>
          <w:shd w:val="clear" w:color="auto" w:fill="FFFFFF"/>
        </w:rPr>
        <w:t>Amateur stations transmitting in the 70 cm band, the 33 cm band, the 23 cm band,  the 5 cm band, the 3 cm band, or the 24.05-24.25 GHz segment must not cause harmful interference to, and must accept interference from, stations authorized by the United States Government in the radiolocation service.</w:t>
      </w:r>
    </w:p>
    <w:p w:rsidR="00085CE2" w:rsidRPr="003C1AA7" w:rsidP="00085CE2" w14:paraId="0BE1A0B9" w14:textId="77777777">
      <w:pPr>
        <w:widowControl/>
        <w:shd w:val="clear" w:color="auto" w:fill="FFFFFF"/>
        <w:ind w:firstLine="360"/>
        <w:outlineLvl w:val="1"/>
        <w:rPr>
          <w:bCs/>
          <w:snapToGrid/>
          <w:color w:val="000000"/>
          <w:kern w:val="0"/>
          <w:szCs w:val="22"/>
        </w:rPr>
      </w:pPr>
    </w:p>
    <w:p w:rsidR="00085CE2" w:rsidRPr="003C1AA7" w:rsidP="00085CE2" w14:paraId="69DF827E" w14:textId="77777777">
      <w:pPr>
        <w:widowControl/>
        <w:shd w:val="clear" w:color="auto" w:fill="FFFFFF"/>
        <w:ind w:firstLine="360"/>
        <w:outlineLvl w:val="1"/>
        <w:rPr>
          <w:bCs/>
          <w:snapToGrid/>
          <w:color w:val="000000"/>
          <w:kern w:val="0"/>
          <w:szCs w:val="22"/>
        </w:rPr>
      </w:pPr>
      <w:r w:rsidRPr="003C1AA7">
        <w:rPr>
          <w:bCs/>
          <w:snapToGrid/>
          <w:color w:val="000000"/>
          <w:kern w:val="0"/>
          <w:szCs w:val="22"/>
        </w:rPr>
        <w:t>* * * * *</w:t>
      </w:r>
    </w:p>
    <w:p w:rsidR="00085CE2" w:rsidRPr="00F62AFD" w:rsidP="00085CE2" w14:paraId="3E9DF8D6" w14:textId="77777777">
      <w:pPr>
        <w:widowControl/>
        <w:shd w:val="clear" w:color="auto" w:fill="FFFFFF"/>
        <w:ind w:firstLine="360"/>
        <w:outlineLvl w:val="1"/>
        <w:rPr>
          <w:bCs/>
          <w:snapToGrid/>
          <w:color w:val="000000"/>
          <w:kern w:val="0"/>
          <w:szCs w:val="22"/>
        </w:rPr>
      </w:pPr>
    </w:p>
    <w:p w:rsidR="00085CE2" w:rsidP="00085CE2" w14:paraId="4D5FF425" w14:textId="77777777">
      <w:pPr>
        <w:widowControl/>
        <w:shd w:val="clear" w:color="auto" w:fill="FFFFFF"/>
        <w:ind w:firstLine="360"/>
        <w:outlineLvl w:val="1"/>
        <w:rPr>
          <w:color w:val="000000"/>
          <w:szCs w:val="22"/>
          <w:shd w:val="clear" w:color="auto" w:fill="FFFFFF"/>
        </w:rPr>
      </w:pPr>
      <w:r w:rsidRPr="00F62AFD">
        <w:rPr>
          <w:color w:val="000000"/>
          <w:szCs w:val="22"/>
          <w:shd w:val="clear" w:color="auto" w:fill="FFFFFF"/>
        </w:rPr>
        <w:t xml:space="preserve">(f) </w:t>
      </w:r>
      <w:r w:rsidRPr="003C1AA7">
        <w:rPr>
          <w:color w:val="000000"/>
          <w:szCs w:val="22"/>
          <w:shd w:val="clear" w:color="auto" w:fill="FFFFFF"/>
        </w:rPr>
        <w:t xml:space="preserve">Amateur stations transmitting in the following segments must not cause harmful interference to radio astronomy stations: </w:t>
      </w:r>
      <w:r w:rsidRPr="00910967">
        <w:rPr>
          <w:color w:val="000000"/>
          <w:szCs w:val="22"/>
          <w:shd w:val="clear" w:color="auto" w:fill="FFFFFF"/>
        </w:rPr>
        <w:t>76-81 GHz, 136-141 GHz, 241-248 GHz</w:t>
      </w:r>
      <w:r w:rsidRPr="003C1AA7">
        <w:rPr>
          <w:color w:val="000000"/>
          <w:szCs w:val="22"/>
          <w:shd w:val="clear" w:color="auto" w:fill="FFFFFF"/>
        </w:rPr>
        <w:t>, 275-323 GHz, 327-371 GHz, 388</w:t>
      </w:r>
      <w:r>
        <w:rPr>
          <w:color w:val="000000"/>
          <w:szCs w:val="22"/>
          <w:shd w:val="clear" w:color="auto" w:fill="FFFFFF"/>
        </w:rPr>
        <w:noBreakHyphen/>
      </w:r>
      <w:r w:rsidRPr="003C1AA7">
        <w:rPr>
          <w:color w:val="000000"/>
          <w:szCs w:val="22"/>
          <w:shd w:val="clear" w:color="auto" w:fill="FFFFFF"/>
        </w:rPr>
        <w:t>424 GHz, 426-442 GHz, 453-510 GHz, 623-711 GHz, 795-909 GHz, or 926-945 GHz.</w:t>
      </w:r>
      <w:r>
        <w:rPr>
          <w:color w:val="000000"/>
          <w:szCs w:val="22"/>
          <w:shd w:val="clear" w:color="auto" w:fill="FFFFFF"/>
        </w:rPr>
        <w:t xml:space="preserve">  </w:t>
      </w:r>
      <w:r w:rsidRPr="003C1AA7">
        <w:rPr>
          <w:color w:val="000000"/>
          <w:szCs w:val="22"/>
          <w:shd w:val="clear" w:color="auto" w:fill="FFFFFF"/>
        </w:rPr>
        <w:t>In addition, amateur stations transmitting in the following segments must not cause harmful interference to stations in the Earth</w:t>
      </w:r>
      <w:r w:rsidRPr="00B123E8">
        <w:rPr>
          <w:color w:val="000000"/>
          <w:szCs w:val="22"/>
          <w:shd w:val="clear" w:color="auto" w:fill="FFFFFF"/>
        </w:rPr>
        <w:t xml:space="preserve"> exploration-satellite service (passive) or the space research service (passive): </w:t>
      </w:r>
      <w:r w:rsidRPr="006477DC">
        <w:rPr>
          <w:color w:val="000000"/>
        </w:rPr>
        <w:t>275</w:t>
      </w:r>
      <w:r w:rsidRPr="006477DC">
        <w:rPr>
          <w:color w:val="000000"/>
          <w:spacing w:val="-5"/>
        </w:rPr>
        <w:noBreakHyphen/>
      </w:r>
      <w:r>
        <w:rPr>
          <w:color w:val="000000"/>
          <w:spacing w:val="-5"/>
        </w:rPr>
        <w:t>286</w:t>
      </w:r>
      <w:r w:rsidRPr="006477DC">
        <w:rPr>
          <w:color w:val="000000"/>
        </w:rPr>
        <w:t xml:space="preserve"> GHz, </w:t>
      </w:r>
      <w:r>
        <w:rPr>
          <w:color w:val="000000"/>
        </w:rPr>
        <w:t>296</w:t>
      </w:r>
      <w:r w:rsidRPr="006477DC">
        <w:rPr>
          <w:color w:val="000000"/>
        </w:rPr>
        <w:noBreakHyphen/>
        <w:t xml:space="preserve">306 GHz, </w:t>
      </w:r>
      <w:r>
        <w:rPr>
          <w:color w:val="000000"/>
        </w:rPr>
        <w:t>313</w:t>
      </w:r>
      <w:r w:rsidRPr="006477DC">
        <w:rPr>
          <w:color w:val="000000"/>
        </w:rPr>
        <w:t>-</w:t>
      </w:r>
      <w:r>
        <w:rPr>
          <w:color w:val="000000"/>
        </w:rPr>
        <w:t>356</w:t>
      </w:r>
      <w:r w:rsidRPr="006477DC">
        <w:rPr>
          <w:color w:val="000000"/>
        </w:rPr>
        <w:t xml:space="preserve"> GHz, </w:t>
      </w:r>
      <w:r>
        <w:rPr>
          <w:color w:val="000000"/>
        </w:rPr>
        <w:t>361</w:t>
      </w:r>
      <w:r w:rsidRPr="006477DC">
        <w:rPr>
          <w:color w:val="000000"/>
        </w:rPr>
        <w:t xml:space="preserve">-365 GHz, </w:t>
      </w:r>
      <w:r>
        <w:rPr>
          <w:color w:val="000000"/>
        </w:rPr>
        <w:t>369</w:t>
      </w:r>
      <w:r w:rsidRPr="006477DC">
        <w:rPr>
          <w:color w:val="000000"/>
        </w:rPr>
        <w:noBreakHyphen/>
      </w:r>
      <w:r>
        <w:rPr>
          <w:color w:val="000000"/>
        </w:rPr>
        <w:t>392</w:t>
      </w:r>
      <w:r w:rsidRPr="006477DC">
        <w:rPr>
          <w:color w:val="000000"/>
        </w:rPr>
        <w:t> GHz,</w:t>
      </w:r>
      <w:r>
        <w:rPr>
          <w:color w:val="000000"/>
        </w:rPr>
        <w:t xml:space="preserve"> 397</w:t>
      </w:r>
      <w:r>
        <w:rPr>
          <w:color w:val="000000"/>
        </w:rPr>
        <w:noBreakHyphen/>
        <w:t>399 GHz, 409-411 GHz,</w:t>
      </w:r>
      <w:r w:rsidRPr="006477DC">
        <w:rPr>
          <w:color w:val="000000"/>
        </w:rPr>
        <w:t xml:space="preserve"> 416</w:t>
      </w:r>
      <w:r w:rsidRPr="006477DC">
        <w:rPr>
          <w:color w:val="000000"/>
        </w:rPr>
        <w:noBreakHyphen/>
        <w:t xml:space="preserve">434 GHz, </w:t>
      </w:r>
      <w:r>
        <w:rPr>
          <w:color w:val="000000"/>
        </w:rPr>
        <w:t>439</w:t>
      </w:r>
      <w:r w:rsidRPr="006477DC">
        <w:rPr>
          <w:color w:val="000000"/>
        </w:rPr>
        <w:noBreakHyphen/>
      </w:r>
      <w:r>
        <w:rPr>
          <w:color w:val="000000"/>
        </w:rPr>
        <w:t>467</w:t>
      </w:r>
      <w:r w:rsidRPr="006477DC">
        <w:rPr>
          <w:color w:val="000000"/>
        </w:rPr>
        <w:t xml:space="preserve"> GHz, </w:t>
      </w:r>
      <w:r>
        <w:rPr>
          <w:color w:val="000000"/>
        </w:rPr>
        <w:t>477</w:t>
      </w:r>
      <w:r w:rsidRPr="006477DC">
        <w:rPr>
          <w:color w:val="000000"/>
        </w:rPr>
        <w:t>-</w:t>
      </w:r>
      <w:r>
        <w:rPr>
          <w:color w:val="000000"/>
        </w:rPr>
        <w:t>502</w:t>
      </w:r>
      <w:r w:rsidRPr="006477DC">
        <w:rPr>
          <w:color w:val="000000"/>
        </w:rPr>
        <w:t xml:space="preserve"> GHz, </w:t>
      </w:r>
      <w:r>
        <w:rPr>
          <w:color w:val="000000"/>
        </w:rPr>
        <w:t>523-527 GHz, 538</w:t>
      </w:r>
      <w:r w:rsidRPr="006477DC">
        <w:rPr>
          <w:color w:val="000000"/>
        </w:rPr>
        <w:t>-</w:t>
      </w:r>
      <w:r>
        <w:rPr>
          <w:color w:val="000000"/>
        </w:rPr>
        <w:t>581</w:t>
      </w:r>
      <w:r w:rsidRPr="006477DC">
        <w:rPr>
          <w:color w:val="000000"/>
        </w:rPr>
        <w:t xml:space="preserve"> GHz, </w:t>
      </w:r>
      <w:r>
        <w:rPr>
          <w:color w:val="000000"/>
        </w:rPr>
        <w:t>611</w:t>
      </w:r>
      <w:r w:rsidRPr="006477DC">
        <w:rPr>
          <w:color w:val="000000"/>
        </w:rPr>
        <w:t>-</w:t>
      </w:r>
      <w:r>
        <w:rPr>
          <w:color w:val="000000"/>
        </w:rPr>
        <w:t>630</w:t>
      </w:r>
      <w:r w:rsidRPr="006477DC">
        <w:rPr>
          <w:color w:val="000000"/>
        </w:rPr>
        <w:t> GHz, 634</w:t>
      </w:r>
      <w:r>
        <w:rPr>
          <w:color w:val="000000"/>
        </w:rPr>
        <w:noBreakHyphen/>
      </w:r>
      <w:r w:rsidRPr="006477DC">
        <w:rPr>
          <w:color w:val="000000"/>
        </w:rPr>
        <w:t xml:space="preserve">654 GHz, </w:t>
      </w:r>
      <w:r>
        <w:rPr>
          <w:color w:val="000000"/>
        </w:rPr>
        <w:t>657</w:t>
      </w:r>
      <w:r w:rsidRPr="006477DC">
        <w:rPr>
          <w:color w:val="000000"/>
        </w:rPr>
        <w:noBreakHyphen/>
        <w:t xml:space="preserve">692 GHz, </w:t>
      </w:r>
      <w:r>
        <w:rPr>
          <w:color w:val="000000"/>
        </w:rPr>
        <w:t>713-718 GHz, 729</w:t>
      </w:r>
      <w:r w:rsidRPr="006477DC">
        <w:rPr>
          <w:color w:val="000000"/>
        </w:rPr>
        <w:t>-</w:t>
      </w:r>
      <w:r>
        <w:rPr>
          <w:color w:val="000000"/>
        </w:rPr>
        <w:t>733</w:t>
      </w:r>
      <w:r w:rsidRPr="006477DC">
        <w:rPr>
          <w:color w:val="000000"/>
        </w:rPr>
        <w:t xml:space="preserve"> GHz, </w:t>
      </w:r>
      <w:r>
        <w:t>750-754 GHz, 771-776 GHz, 823-846 GHz, 850</w:t>
      </w:r>
      <w:r w:rsidRPr="006477DC">
        <w:rPr>
          <w:color w:val="000000"/>
        </w:rPr>
        <w:t>-</w:t>
      </w:r>
      <w:r>
        <w:rPr>
          <w:color w:val="000000"/>
        </w:rPr>
        <w:t>854</w:t>
      </w:r>
      <w:r w:rsidRPr="006477DC">
        <w:rPr>
          <w:color w:val="000000"/>
        </w:rPr>
        <w:t> GHz</w:t>
      </w:r>
      <w:r>
        <w:t>, 857-862 GHz, 866-882 GHz, 905-928 GHz,</w:t>
      </w:r>
      <w:r w:rsidRPr="00711B2E">
        <w:t xml:space="preserve"> </w:t>
      </w:r>
      <w:r w:rsidRPr="006477DC">
        <w:rPr>
          <w:color w:val="000000"/>
        </w:rPr>
        <w:t>951-956 GHz</w:t>
      </w:r>
      <w:r>
        <w:rPr>
          <w:color w:val="000000"/>
        </w:rPr>
        <w:t xml:space="preserve">, </w:t>
      </w:r>
      <w:r>
        <w:t>968-973 GHz and 985</w:t>
      </w:r>
      <w:r>
        <w:noBreakHyphen/>
        <w:t>990 GHz</w:t>
      </w:r>
      <w:r w:rsidRPr="00B123E8">
        <w:rPr>
          <w:color w:val="000000"/>
          <w:szCs w:val="22"/>
          <w:shd w:val="clear" w:color="auto" w:fill="FFFFFF"/>
        </w:rPr>
        <w:t>.</w:t>
      </w:r>
    </w:p>
    <w:p w:rsidR="00085CE2" w:rsidRPr="00CB61D1" w:rsidP="00085CE2" w14:paraId="75261770" w14:textId="77777777">
      <w:pPr>
        <w:widowControl/>
        <w:shd w:val="clear" w:color="auto" w:fill="FFFFFF"/>
        <w:ind w:firstLine="360"/>
        <w:outlineLvl w:val="1"/>
        <w:rPr>
          <w:color w:val="000000"/>
          <w:szCs w:val="22"/>
          <w:shd w:val="clear" w:color="auto" w:fill="FFFFFF"/>
        </w:rPr>
      </w:pPr>
    </w:p>
    <w:p w:rsidR="00085CE2" w:rsidRPr="00AE2C6F" w:rsidP="00085CE2" w14:paraId="515E2863" w14:textId="77777777">
      <w:pPr>
        <w:widowControl/>
        <w:shd w:val="clear" w:color="auto" w:fill="FFFFFF"/>
        <w:ind w:firstLine="360"/>
        <w:outlineLvl w:val="1"/>
        <w:rPr>
          <w:bCs/>
          <w:snapToGrid/>
          <w:color w:val="000000"/>
          <w:kern w:val="0"/>
          <w:szCs w:val="22"/>
        </w:rPr>
      </w:pPr>
      <w:r w:rsidRPr="00CB61D1">
        <w:rPr>
          <w:bCs/>
          <w:snapToGrid/>
          <w:color w:val="000000"/>
          <w:kern w:val="0"/>
          <w:szCs w:val="22"/>
        </w:rPr>
        <w:t>* * * * *</w:t>
      </w:r>
    </w:p>
    <w:p w:rsidR="00085CE2" w:rsidRPr="00CB61D1" w:rsidP="00085CE2" w14:paraId="24402BD1" w14:textId="77777777">
      <w:pPr>
        <w:widowControl/>
        <w:shd w:val="clear" w:color="auto" w:fill="FFFFFF"/>
        <w:ind w:firstLine="360"/>
        <w:outlineLvl w:val="1"/>
        <w:rPr>
          <w:bCs/>
          <w:snapToGrid/>
          <w:color w:val="000000"/>
          <w:kern w:val="0"/>
          <w:szCs w:val="22"/>
        </w:rPr>
      </w:pPr>
    </w:p>
    <w:p w:rsidR="00085CE2" w:rsidRPr="00AE2C6F" w:rsidP="00085CE2" w14:paraId="4CDDC033" w14:textId="77777777">
      <w:pPr>
        <w:widowControl/>
        <w:shd w:val="clear" w:color="auto" w:fill="FFFFFF"/>
        <w:ind w:firstLine="360"/>
        <w:outlineLvl w:val="1"/>
        <w:rPr>
          <w:bCs/>
          <w:snapToGrid/>
          <w:color w:val="000000"/>
          <w:kern w:val="0"/>
          <w:szCs w:val="22"/>
        </w:rPr>
      </w:pPr>
      <w:r w:rsidRPr="00CB61D1">
        <w:rPr>
          <w:bCs/>
          <w:snapToGrid/>
          <w:color w:val="000000"/>
          <w:kern w:val="0"/>
          <w:szCs w:val="22"/>
        </w:rPr>
        <w:t>(q) [Reserved]</w:t>
      </w:r>
    </w:p>
    <w:p w:rsidR="00085CE2" w:rsidRPr="00AE2C6F" w:rsidP="00085CE2" w14:paraId="7223451B" w14:textId="77777777">
      <w:pPr>
        <w:widowControl/>
        <w:shd w:val="clear" w:color="auto" w:fill="FFFFFF"/>
        <w:ind w:firstLine="360"/>
        <w:outlineLvl w:val="1"/>
        <w:rPr>
          <w:bCs/>
          <w:snapToGrid/>
          <w:color w:val="000000"/>
          <w:kern w:val="0"/>
          <w:szCs w:val="22"/>
        </w:rPr>
      </w:pPr>
    </w:p>
    <w:p w:rsidR="00085CE2" w:rsidRPr="00AE2C6F" w:rsidP="00085CE2" w14:paraId="4E1F222E" w14:textId="77777777">
      <w:pPr>
        <w:widowControl/>
        <w:shd w:val="clear" w:color="auto" w:fill="FFFFFF"/>
        <w:ind w:firstLine="360"/>
        <w:outlineLvl w:val="1"/>
        <w:rPr>
          <w:bCs/>
          <w:snapToGrid/>
          <w:color w:val="000000"/>
          <w:kern w:val="0"/>
          <w:szCs w:val="22"/>
        </w:rPr>
      </w:pPr>
      <w:r w:rsidRPr="00AE2C6F">
        <w:rPr>
          <w:bCs/>
          <w:snapToGrid/>
          <w:color w:val="000000"/>
          <w:kern w:val="0"/>
          <w:szCs w:val="22"/>
        </w:rPr>
        <w:t>* * * * *</w:t>
      </w:r>
    </w:p>
    <w:p w:rsidR="00085CE2" w:rsidRPr="00AE2C6F" w:rsidP="00085CE2" w14:paraId="1B6F24D7" w14:textId="77777777">
      <w:pPr>
        <w:widowControl/>
        <w:shd w:val="clear" w:color="auto" w:fill="FFFFFF"/>
        <w:ind w:firstLine="360"/>
        <w:outlineLvl w:val="1"/>
        <w:rPr>
          <w:bCs/>
          <w:snapToGrid/>
          <w:color w:val="000000"/>
          <w:kern w:val="0"/>
          <w:szCs w:val="22"/>
        </w:rPr>
      </w:pPr>
    </w:p>
    <w:p w:rsidR="00085CE2" w:rsidP="00085CE2" w14:paraId="11E515B0" w14:textId="77777777">
      <w:pPr>
        <w:pStyle w:val="ParaNum"/>
        <w:tabs>
          <w:tab w:val="clear" w:pos="1080"/>
        </w:tabs>
        <w:spacing w:after="0"/>
        <w:rPr>
          <w:snapToGrid/>
          <w:szCs w:val="22"/>
        </w:rPr>
      </w:pPr>
      <w:r w:rsidRPr="00AE2C6F">
        <w:rPr>
          <w:snapToGrid/>
          <w:szCs w:val="22"/>
        </w:rPr>
        <w:t xml:space="preserve">In § 97.305, revise the </w:t>
      </w:r>
      <w:r>
        <w:rPr>
          <w:snapToGrid/>
          <w:szCs w:val="22"/>
        </w:rPr>
        <w:t xml:space="preserve">SHF portion of the </w:t>
      </w:r>
      <w:r w:rsidRPr="00AE2C6F">
        <w:rPr>
          <w:snapToGrid/>
          <w:szCs w:val="22"/>
        </w:rPr>
        <w:t>table in paragraph (c) by removing the entry for the 9 cm band</w:t>
      </w:r>
      <w:r>
        <w:rPr>
          <w:snapToGrid/>
          <w:szCs w:val="22"/>
        </w:rPr>
        <w:t xml:space="preserve"> to read as follows</w:t>
      </w:r>
      <w:r w:rsidRPr="00AE2C6F">
        <w:rPr>
          <w:snapToGrid/>
          <w:szCs w:val="22"/>
        </w:rPr>
        <w:t>.</w:t>
      </w:r>
    </w:p>
    <w:p w:rsidR="00085CE2" w:rsidRPr="00AE2C6F" w:rsidP="00085CE2" w14:paraId="1C7DC2A7" w14:textId="77777777">
      <w:pPr>
        <w:pStyle w:val="ParaNum"/>
        <w:numPr>
          <w:ilvl w:val="0"/>
          <w:numId w:val="0"/>
        </w:numPr>
        <w:spacing w:after="0"/>
        <w:ind w:left="720"/>
        <w:rPr>
          <w:snapToGrid/>
          <w:szCs w:val="22"/>
        </w:rPr>
      </w:pPr>
    </w:p>
    <w:p w:rsidR="00085CE2" w:rsidRPr="00C23CAA" w:rsidP="00085CE2" w14:paraId="1FA13F9C" w14:textId="77777777">
      <w:pPr>
        <w:widowControl/>
        <w:shd w:val="clear" w:color="auto" w:fill="FFFFFF"/>
        <w:outlineLvl w:val="1"/>
        <w:rPr>
          <w:b/>
          <w:bCs/>
          <w:snapToGrid/>
          <w:color w:val="000000"/>
          <w:kern w:val="0"/>
          <w:szCs w:val="22"/>
          <w:u w:val="single"/>
        </w:rPr>
      </w:pPr>
      <w:r w:rsidRPr="00C23CAA">
        <w:rPr>
          <w:b/>
          <w:bCs/>
          <w:snapToGrid/>
          <w:color w:val="000000"/>
          <w:kern w:val="0"/>
          <w:szCs w:val="22"/>
          <w:u w:val="single"/>
        </w:rPr>
        <w:t>§ 97.305   Authorized emission types.</w:t>
      </w:r>
    </w:p>
    <w:p w:rsidR="00085CE2" w:rsidRPr="00F62AFD" w:rsidP="00085CE2" w14:paraId="08120D55" w14:textId="77777777">
      <w:pPr>
        <w:widowControl/>
        <w:shd w:val="clear" w:color="auto" w:fill="FFFFFF"/>
        <w:outlineLvl w:val="1"/>
        <w:rPr>
          <w:b/>
          <w:bCs/>
          <w:snapToGrid/>
          <w:color w:val="000000"/>
          <w:kern w:val="0"/>
          <w:szCs w:val="22"/>
        </w:rPr>
      </w:pPr>
    </w:p>
    <w:p w:rsidR="00085CE2" w:rsidRPr="00AE2C6F" w:rsidP="00085CE2" w14:paraId="37961832" w14:textId="77777777">
      <w:pPr>
        <w:widowControl/>
        <w:shd w:val="clear" w:color="auto" w:fill="FFFFFF"/>
        <w:ind w:firstLine="360"/>
        <w:outlineLvl w:val="1"/>
        <w:rPr>
          <w:bCs/>
          <w:snapToGrid/>
          <w:color w:val="000000"/>
          <w:kern w:val="0"/>
          <w:szCs w:val="22"/>
        </w:rPr>
      </w:pPr>
      <w:r w:rsidRPr="00AE2C6F">
        <w:rPr>
          <w:bCs/>
          <w:snapToGrid/>
          <w:color w:val="000000"/>
          <w:kern w:val="0"/>
          <w:szCs w:val="22"/>
        </w:rPr>
        <w:t>* * * * *</w:t>
      </w:r>
    </w:p>
    <w:p w:rsidR="00085CE2" w:rsidRPr="00AE2C6F" w:rsidP="00085CE2" w14:paraId="142B1759" w14:textId="77777777">
      <w:pPr>
        <w:widowControl/>
        <w:shd w:val="clear" w:color="auto" w:fill="FFFFFF"/>
        <w:ind w:firstLine="360"/>
        <w:outlineLvl w:val="1"/>
        <w:rPr>
          <w:bCs/>
          <w:snapToGrid/>
          <w:color w:val="000000"/>
          <w:kern w:val="0"/>
          <w:szCs w:val="22"/>
        </w:rPr>
      </w:pPr>
    </w:p>
    <w:p w:rsidR="00085CE2" w:rsidP="00085CE2" w14:paraId="542B7B5C" w14:textId="77777777">
      <w:pPr>
        <w:widowControl/>
        <w:shd w:val="clear" w:color="auto" w:fill="FFFFFF"/>
        <w:ind w:firstLine="360"/>
        <w:outlineLvl w:val="1"/>
        <w:rPr>
          <w:bCs/>
          <w:snapToGrid/>
          <w:color w:val="000000"/>
          <w:kern w:val="0"/>
          <w:szCs w:val="22"/>
        </w:rPr>
      </w:pPr>
      <w:r w:rsidRPr="00AE2C6F">
        <w:rPr>
          <w:bCs/>
          <w:snapToGrid/>
          <w:color w:val="000000"/>
          <w:kern w:val="0"/>
          <w:szCs w:val="22"/>
        </w:rPr>
        <w:t>(c) * * *</w:t>
      </w:r>
    </w:p>
    <w:p w:rsidR="00085CE2" w:rsidP="00085CE2" w14:paraId="232863F2" w14:textId="77777777">
      <w:pPr>
        <w:widowControl/>
        <w:shd w:val="clear" w:color="auto" w:fill="FFFFFF"/>
        <w:outlineLvl w:val="1"/>
        <w:rPr>
          <w:bCs/>
          <w:snapToGrid/>
          <w:color w:val="000000"/>
          <w:kern w:val="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688"/>
        <w:gridCol w:w="3690"/>
        <w:gridCol w:w="2605"/>
      </w:tblGrid>
      <w:tr w14:paraId="7589BC3E" w14:textId="77777777" w:rsidTr="000E05D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367" w:type="dxa"/>
            <w:tcBorders>
              <w:left w:val="nil"/>
            </w:tcBorders>
            <w:shd w:val="clear" w:color="auto" w:fill="auto"/>
          </w:tcPr>
          <w:p w:rsidR="00085CE2" w:rsidRPr="000E05D9" w:rsidP="000E05D9" w14:paraId="5F8F077D" w14:textId="77777777">
            <w:pPr>
              <w:widowControl/>
              <w:ind w:left="-105"/>
              <w:outlineLvl w:val="1"/>
              <w:rPr>
                <w:b/>
                <w:bCs/>
                <w:color w:val="000000"/>
                <w:kern w:val="0"/>
                <w:szCs w:val="22"/>
              </w:rPr>
            </w:pPr>
            <w:r w:rsidRPr="000E05D9">
              <w:rPr>
                <w:b/>
                <w:bCs/>
                <w:color w:val="000000"/>
                <w:kern w:val="0"/>
                <w:szCs w:val="22"/>
              </w:rPr>
              <w:t>Wavelength</w:t>
            </w:r>
          </w:p>
          <w:p w:rsidR="00085CE2" w:rsidRPr="000E05D9" w:rsidP="000E05D9" w14:paraId="0D1F38AE" w14:textId="77777777">
            <w:pPr>
              <w:widowControl/>
              <w:ind w:left="-105"/>
              <w:outlineLvl w:val="1"/>
              <w:rPr>
                <w:b/>
                <w:bCs/>
                <w:color w:val="000000"/>
                <w:kern w:val="0"/>
                <w:szCs w:val="22"/>
              </w:rPr>
            </w:pPr>
            <w:r w:rsidRPr="000E05D9">
              <w:rPr>
                <w:b/>
                <w:bCs/>
                <w:color w:val="000000"/>
                <w:kern w:val="0"/>
                <w:szCs w:val="22"/>
              </w:rPr>
              <w:t>Band</w:t>
            </w:r>
          </w:p>
        </w:tc>
        <w:tc>
          <w:tcPr>
            <w:tcW w:w="1688" w:type="dxa"/>
            <w:shd w:val="clear" w:color="auto" w:fill="auto"/>
          </w:tcPr>
          <w:p w:rsidR="00085CE2" w:rsidRPr="000E05D9" w:rsidP="000E05D9" w14:paraId="01CE1EC4" w14:textId="77777777">
            <w:pPr>
              <w:widowControl/>
              <w:outlineLvl w:val="1"/>
              <w:rPr>
                <w:b/>
                <w:bCs/>
                <w:color w:val="000000"/>
                <w:kern w:val="0"/>
                <w:szCs w:val="22"/>
              </w:rPr>
            </w:pPr>
            <w:r w:rsidRPr="000E05D9">
              <w:rPr>
                <w:b/>
                <w:bCs/>
                <w:color w:val="000000"/>
                <w:kern w:val="0"/>
                <w:szCs w:val="22"/>
              </w:rPr>
              <w:t>Frequencies</w:t>
            </w:r>
          </w:p>
        </w:tc>
        <w:tc>
          <w:tcPr>
            <w:tcW w:w="3690" w:type="dxa"/>
            <w:shd w:val="clear" w:color="auto" w:fill="auto"/>
          </w:tcPr>
          <w:p w:rsidR="00085CE2" w:rsidRPr="000E05D9" w:rsidP="000E05D9" w14:paraId="5B7EF77B" w14:textId="77777777">
            <w:pPr>
              <w:widowControl/>
              <w:outlineLvl w:val="1"/>
              <w:rPr>
                <w:b/>
                <w:bCs/>
                <w:color w:val="000000"/>
                <w:kern w:val="0"/>
                <w:szCs w:val="22"/>
              </w:rPr>
            </w:pPr>
            <w:r w:rsidRPr="000E05D9">
              <w:rPr>
                <w:b/>
                <w:bCs/>
                <w:color w:val="000000"/>
                <w:kern w:val="0"/>
                <w:szCs w:val="22"/>
              </w:rPr>
              <w:t>Emission types authorized</w:t>
            </w:r>
          </w:p>
        </w:tc>
        <w:tc>
          <w:tcPr>
            <w:tcW w:w="2605" w:type="dxa"/>
            <w:tcBorders>
              <w:right w:val="nil"/>
            </w:tcBorders>
            <w:shd w:val="clear" w:color="auto" w:fill="auto"/>
          </w:tcPr>
          <w:p w:rsidR="00085CE2" w:rsidRPr="000E05D9" w:rsidP="000E05D9" w14:paraId="30E8FEF5" w14:textId="77777777">
            <w:pPr>
              <w:widowControl/>
              <w:outlineLvl w:val="1"/>
              <w:rPr>
                <w:b/>
                <w:bCs/>
                <w:color w:val="000000"/>
                <w:kern w:val="0"/>
                <w:szCs w:val="22"/>
              </w:rPr>
            </w:pPr>
            <w:r w:rsidRPr="000E05D9">
              <w:rPr>
                <w:b/>
                <w:bCs/>
                <w:color w:val="000000"/>
                <w:kern w:val="0"/>
                <w:szCs w:val="22"/>
                <w:shd w:val="clear" w:color="auto" w:fill="FFFFFF"/>
              </w:rPr>
              <w:t>Standards see §97.307(f), paragraph:</w:t>
            </w:r>
          </w:p>
        </w:tc>
      </w:tr>
      <w:tr w14:paraId="6411C334" w14:textId="77777777" w:rsidTr="000E05D9">
        <w:tblPrEx>
          <w:tblW w:w="0" w:type="auto"/>
          <w:tblLook w:val="04A0"/>
        </w:tblPrEx>
        <w:tc>
          <w:tcPr>
            <w:tcW w:w="1367" w:type="dxa"/>
            <w:tcBorders>
              <w:left w:val="nil"/>
            </w:tcBorders>
            <w:shd w:val="clear" w:color="auto" w:fill="auto"/>
          </w:tcPr>
          <w:p w:rsidR="00085CE2" w:rsidRPr="000E05D9" w:rsidP="000E05D9" w14:paraId="40077C0D" w14:textId="77777777">
            <w:pPr>
              <w:widowControl/>
              <w:ind w:left="-105"/>
              <w:outlineLvl w:val="1"/>
              <w:rPr>
                <w:bCs/>
                <w:color w:val="000000"/>
                <w:kern w:val="0"/>
                <w:szCs w:val="22"/>
              </w:rPr>
            </w:pPr>
            <w:r w:rsidRPr="000E05D9">
              <w:rPr>
                <w:bCs/>
                <w:color w:val="000000"/>
                <w:kern w:val="0"/>
                <w:szCs w:val="22"/>
              </w:rPr>
              <w:t>* *</w:t>
            </w:r>
          </w:p>
        </w:tc>
        <w:tc>
          <w:tcPr>
            <w:tcW w:w="1688" w:type="dxa"/>
            <w:shd w:val="clear" w:color="auto" w:fill="auto"/>
          </w:tcPr>
          <w:p w:rsidR="00085CE2" w:rsidRPr="000E05D9" w:rsidP="000E05D9" w14:paraId="7A2EDD5B" w14:textId="77777777">
            <w:pPr>
              <w:widowControl/>
              <w:outlineLvl w:val="1"/>
              <w:rPr>
                <w:bCs/>
                <w:color w:val="000000"/>
                <w:kern w:val="0"/>
                <w:szCs w:val="22"/>
              </w:rPr>
            </w:pPr>
            <w:r w:rsidRPr="000E05D9">
              <w:rPr>
                <w:bCs/>
                <w:color w:val="000000"/>
                <w:kern w:val="0"/>
                <w:szCs w:val="22"/>
              </w:rPr>
              <w:t>*</w:t>
            </w:r>
          </w:p>
        </w:tc>
        <w:tc>
          <w:tcPr>
            <w:tcW w:w="3690" w:type="dxa"/>
            <w:shd w:val="clear" w:color="auto" w:fill="auto"/>
          </w:tcPr>
          <w:p w:rsidR="00085CE2" w:rsidRPr="000E05D9" w:rsidP="000E05D9" w14:paraId="72EED5B4" w14:textId="77777777">
            <w:pPr>
              <w:widowControl/>
              <w:outlineLvl w:val="1"/>
              <w:rPr>
                <w:bCs/>
                <w:color w:val="000000"/>
                <w:kern w:val="0"/>
                <w:szCs w:val="22"/>
              </w:rPr>
            </w:pPr>
            <w:r w:rsidRPr="000E05D9">
              <w:rPr>
                <w:bCs/>
                <w:color w:val="000000"/>
                <w:kern w:val="0"/>
                <w:szCs w:val="22"/>
              </w:rPr>
              <w:t>*</w:t>
            </w:r>
          </w:p>
        </w:tc>
        <w:tc>
          <w:tcPr>
            <w:tcW w:w="2605" w:type="dxa"/>
            <w:tcBorders>
              <w:right w:val="nil"/>
            </w:tcBorders>
            <w:shd w:val="clear" w:color="auto" w:fill="auto"/>
          </w:tcPr>
          <w:p w:rsidR="00085CE2" w:rsidRPr="000E05D9" w:rsidP="000E05D9" w14:paraId="4F895F17" w14:textId="77777777">
            <w:pPr>
              <w:widowControl/>
              <w:outlineLvl w:val="1"/>
              <w:rPr>
                <w:bCs/>
                <w:color w:val="000000"/>
                <w:kern w:val="0"/>
                <w:szCs w:val="22"/>
              </w:rPr>
            </w:pPr>
            <w:r w:rsidRPr="000E05D9">
              <w:rPr>
                <w:bCs/>
                <w:color w:val="000000"/>
                <w:kern w:val="0"/>
                <w:szCs w:val="22"/>
              </w:rPr>
              <w:t>*</w:t>
            </w:r>
          </w:p>
        </w:tc>
      </w:tr>
      <w:tr w14:paraId="5C13AD43" w14:textId="77777777" w:rsidTr="000E05D9">
        <w:tblPrEx>
          <w:tblW w:w="0" w:type="auto"/>
          <w:tblLook w:val="04A0"/>
        </w:tblPrEx>
        <w:tc>
          <w:tcPr>
            <w:tcW w:w="0" w:type="auto"/>
            <w:tcBorders>
              <w:left w:val="nil"/>
            </w:tcBorders>
            <w:shd w:val="clear" w:color="auto" w:fill="auto"/>
            <w:hideMark/>
          </w:tcPr>
          <w:p w:rsidR="00085CE2" w:rsidRPr="000E05D9" w:rsidP="000E05D9" w14:paraId="187A9788" w14:textId="77777777">
            <w:pPr>
              <w:widowControl/>
              <w:ind w:left="-105"/>
              <w:rPr>
                <w:color w:val="000000"/>
                <w:kern w:val="0"/>
                <w:szCs w:val="22"/>
              </w:rPr>
            </w:pPr>
            <w:r w:rsidRPr="000E05D9">
              <w:rPr>
                <w:color w:val="000000"/>
                <w:kern w:val="0"/>
                <w:szCs w:val="22"/>
              </w:rPr>
              <w:t>SHF:</w:t>
            </w:r>
          </w:p>
        </w:tc>
        <w:tc>
          <w:tcPr>
            <w:tcW w:w="1688" w:type="dxa"/>
            <w:shd w:val="clear" w:color="auto" w:fill="auto"/>
            <w:hideMark/>
          </w:tcPr>
          <w:p w:rsidR="00085CE2" w:rsidRPr="000E05D9" w:rsidP="000E05D9" w14:paraId="3213F6A0" w14:textId="77777777">
            <w:pPr>
              <w:widowControl/>
              <w:rPr>
                <w:color w:val="000000"/>
                <w:kern w:val="0"/>
                <w:szCs w:val="22"/>
              </w:rPr>
            </w:pPr>
          </w:p>
        </w:tc>
        <w:tc>
          <w:tcPr>
            <w:tcW w:w="3690" w:type="dxa"/>
            <w:shd w:val="clear" w:color="auto" w:fill="auto"/>
            <w:hideMark/>
          </w:tcPr>
          <w:p w:rsidR="00085CE2" w:rsidRPr="000E05D9" w:rsidP="000E05D9" w14:paraId="42E93722" w14:textId="77777777">
            <w:pPr>
              <w:widowControl/>
              <w:rPr>
                <w:kern w:val="0"/>
                <w:szCs w:val="22"/>
              </w:rPr>
            </w:pPr>
          </w:p>
        </w:tc>
        <w:tc>
          <w:tcPr>
            <w:tcW w:w="2605" w:type="dxa"/>
            <w:tcBorders>
              <w:right w:val="nil"/>
            </w:tcBorders>
            <w:shd w:val="clear" w:color="auto" w:fill="auto"/>
            <w:hideMark/>
          </w:tcPr>
          <w:p w:rsidR="00085CE2" w:rsidRPr="000E05D9" w:rsidP="000E05D9" w14:paraId="07F4F97C" w14:textId="77777777">
            <w:pPr>
              <w:widowControl/>
              <w:rPr>
                <w:kern w:val="0"/>
                <w:szCs w:val="22"/>
              </w:rPr>
            </w:pPr>
          </w:p>
        </w:tc>
      </w:tr>
      <w:tr w14:paraId="13361B5D" w14:textId="77777777" w:rsidTr="000E05D9">
        <w:tblPrEx>
          <w:tblW w:w="0" w:type="auto"/>
          <w:tblLook w:val="04A0"/>
        </w:tblPrEx>
        <w:tc>
          <w:tcPr>
            <w:tcW w:w="0" w:type="auto"/>
            <w:tcBorders>
              <w:left w:val="nil"/>
            </w:tcBorders>
            <w:shd w:val="clear" w:color="auto" w:fill="auto"/>
            <w:hideMark/>
          </w:tcPr>
          <w:p w:rsidR="00085CE2" w:rsidRPr="000E05D9" w:rsidP="000E05D9" w14:paraId="79EACB69" w14:textId="77777777">
            <w:pPr>
              <w:widowControl/>
              <w:ind w:left="-105"/>
              <w:rPr>
                <w:color w:val="000000"/>
                <w:kern w:val="0"/>
                <w:szCs w:val="22"/>
              </w:rPr>
            </w:pPr>
            <w:r w:rsidRPr="000E05D9">
              <w:rPr>
                <w:color w:val="000000"/>
                <w:kern w:val="0"/>
                <w:szCs w:val="22"/>
              </w:rPr>
              <w:t>5 cm</w:t>
            </w:r>
          </w:p>
        </w:tc>
        <w:tc>
          <w:tcPr>
            <w:tcW w:w="1688" w:type="dxa"/>
            <w:shd w:val="clear" w:color="auto" w:fill="auto"/>
            <w:hideMark/>
          </w:tcPr>
          <w:p w:rsidR="00085CE2" w:rsidRPr="000E05D9" w:rsidP="000E05D9" w14:paraId="3F8A86D0" w14:textId="77777777">
            <w:pPr>
              <w:widowControl/>
              <w:rPr>
                <w:color w:val="000000"/>
                <w:kern w:val="0"/>
                <w:szCs w:val="22"/>
              </w:rPr>
            </w:pPr>
            <w:r w:rsidRPr="000E05D9">
              <w:rPr>
                <w:color w:val="000000"/>
                <w:kern w:val="0"/>
                <w:szCs w:val="22"/>
              </w:rPr>
              <w:t>Entire band</w:t>
            </w:r>
          </w:p>
        </w:tc>
        <w:tc>
          <w:tcPr>
            <w:tcW w:w="3690" w:type="dxa"/>
            <w:shd w:val="clear" w:color="auto" w:fill="auto"/>
            <w:hideMark/>
          </w:tcPr>
          <w:p w:rsidR="00085CE2" w:rsidRPr="000E05D9" w:rsidP="000E05D9" w14:paraId="4062A338" w14:textId="77777777">
            <w:pPr>
              <w:widowControl/>
              <w:rPr>
                <w:color w:val="000000"/>
                <w:kern w:val="0"/>
                <w:szCs w:val="22"/>
              </w:rPr>
            </w:pPr>
            <w:r w:rsidRPr="000E05D9">
              <w:rPr>
                <w:color w:val="000000"/>
                <w:kern w:val="0"/>
                <w:szCs w:val="22"/>
              </w:rPr>
              <w:t>MCW, phone, image, RTTY, data, SS, test, pulse</w:t>
            </w:r>
          </w:p>
        </w:tc>
        <w:tc>
          <w:tcPr>
            <w:tcW w:w="2605" w:type="dxa"/>
            <w:tcBorders>
              <w:right w:val="nil"/>
            </w:tcBorders>
            <w:shd w:val="clear" w:color="auto" w:fill="auto"/>
            <w:hideMark/>
          </w:tcPr>
          <w:p w:rsidR="00085CE2" w:rsidRPr="000E05D9" w:rsidP="000E05D9" w14:paraId="231C6407" w14:textId="77777777">
            <w:pPr>
              <w:widowControl/>
              <w:rPr>
                <w:color w:val="000000"/>
                <w:kern w:val="0"/>
                <w:szCs w:val="22"/>
              </w:rPr>
            </w:pPr>
            <w:r w:rsidRPr="000E05D9">
              <w:rPr>
                <w:color w:val="000000"/>
                <w:kern w:val="0"/>
                <w:szCs w:val="22"/>
              </w:rPr>
              <w:t>(7), (8), and (12).</w:t>
            </w:r>
          </w:p>
        </w:tc>
      </w:tr>
      <w:tr w14:paraId="74ABC689" w14:textId="77777777" w:rsidTr="000E05D9">
        <w:tblPrEx>
          <w:tblW w:w="0" w:type="auto"/>
          <w:tblLook w:val="04A0"/>
        </w:tblPrEx>
        <w:tc>
          <w:tcPr>
            <w:tcW w:w="0" w:type="auto"/>
            <w:tcBorders>
              <w:left w:val="nil"/>
            </w:tcBorders>
            <w:shd w:val="clear" w:color="auto" w:fill="auto"/>
            <w:hideMark/>
          </w:tcPr>
          <w:p w:rsidR="00085CE2" w:rsidRPr="000E05D9" w:rsidP="000E05D9" w14:paraId="1DC488D1" w14:textId="77777777">
            <w:pPr>
              <w:widowControl/>
              <w:ind w:left="-105"/>
              <w:rPr>
                <w:color w:val="000000"/>
                <w:kern w:val="0"/>
                <w:szCs w:val="22"/>
              </w:rPr>
            </w:pPr>
            <w:r w:rsidRPr="000E05D9">
              <w:rPr>
                <w:color w:val="000000"/>
                <w:kern w:val="0"/>
                <w:szCs w:val="22"/>
              </w:rPr>
              <w:t>3 cm</w:t>
            </w:r>
          </w:p>
        </w:tc>
        <w:tc>
          <w:tcPr>
            <w:tcW w:w="1688" w:type="dxa"/>
            <w:shd w:val="clear" w:color="auto" w:fill="auto"/>
            <w:hideMark/>
          </w:tcPr>
          <w:p w:rsidR="00085CE2" w:rsidRPr="000E05D9" w:rsidP="000E05D9" w14:paraId="17C17F16" w14:textId="77777777">
            <w:pPr>
              <w:widowControl/>
              <w:rPr>
                <w:color w:val="000000"/>
                <w:kern w:val="0"/>
                <w:szCs w:val="22"/>
              </w:rPr>
            </w:pPr>
            <w:r w:rsidRPr="000E05D9">
              <w:rPr>
                <w:color w:val="000000"/>
                <w:kern w:val="0"/>
                <w:szCs w:val="22"/>
              </w:rPr>
              <w:t>Entire band</w:t>
            </w:r>
          </w:p>
        </w:tc>
        <w:tc>
          <w:tcPr>
            <w:tcW w:w="3690" w:type="dxa"/>
            <w:shd w:val="clear" w:color="auto" w:fill="auto"/>
            <w:hideMark/>
          </w:tcPr>
          <w:p w:rsidR="00085CE2" w:rsidRPr="000E05D9" w:rsidP="000E05D9" w14:paraId="75353B91" w14:textId="77777777">
            <w:pPr>
              <w:widowControl/>
              <w:rPr>
                <w:color w:val="000000"/>
                <w:kern w:val="0"/>
                <w:szCs w:val="22"/>
              </w:rPr>
            </w:pPr>
            <w:r w:rsidRPr="000E05D9">
              <w:rPr>
                <w:color w:val="000000"/>
                <w:kern w:val="0"/>
                <w:szCs w:val="22"/>
              </w:rPr>
              <w:t>MCW, phone, image, RTTY, data, SS, test</w:t>
            </w:r>
          </w:p>
        </w:tc>
        <w:tc>
          <w:tcPr>
            <w:tcW w:w="2605" w:type="dxa"/>
            <w:tcBorders>
              <w:right w:val="nil"/>
            </w:tcBorders>
            <w:shd w:val="clear" w:color="auto" w:fill="auto"/>
            <w:hideMark/>
          </w:tcPr>
          <w:p w:rsidR="00085CE2" w:rsidRPr="000E05D9" w:rsidP="000E05D9" w14:paraId="163B1BF2" w14:textId="77777777">
            <w:pPr>
              <w:widowControl/>
              <w:rPr>
                <w:color w:val="000000"/>
                <w:kern w:val="0"/>
                <w:szCs w:val="22"/>
              </w:rPr>
            </w:pPr>
            <w:r w:rsidRPr="000E05D9">
              <w:rPr>
                <w:color w:val="000000"/>
                <w:kern w:val="0"/>
                <w:szCs w:val="22"/>
              </w:rPr>
              <w:t>(7), (8), and (12).</w:t>
            </w:r>
          </w:p>
        </w:tc>
      </w:tr>
      <w:tr w14:paraId="411EFF49" w14:textId="77777777" w:rsidTr="000E05D9">
        <w:tblPrEx>
          <w:tblW w:w="0" w:type="auto"/>
          <w:tblLook w:val="04A0"/>
        </w:tblPrEx>
        <w:tc>
          <w:tcPr>
            <w:tcW w:w="0" w:type="auto"/>
            <w:tcBorders>
              <w:left w:val="nil"/>
            </w:tcBorders>
            <w:shd w:val="clear" w:color="auto" w:fill="auto"/>
            <w:hideMark/>
          </w:tcPr>
          <w:p w:rsidR="00085CE2" w:rsidRPr="000E05D9" w:rsidP="000E05D9" w14:paraId="7CEC7BBD" w14:textId="77777777">
            <w:pPr>
              <w:widowControl/>
              <w:ind w:left="-105"/>
              <w:rPr>
                <w:color w:val="000000"/>
                <w:kern w:val="0"/>
                <w:szCs w:val="22"/>
              </w:rPr>
            </w:pPr>
            <w:r w:rsidRPr="000E05D9">
              <w:rPr>
                <w:color w:val="000000"/>
                <w:kern w:val="0"/>
                <w:szCs w:val="22"/>
              </w:rPr>
              <w:t>1.2 cm</w:t>
            </w:r>
          </w:p>
        </w:tc>
        <w:tc>
          <w:tcPr>
            <w:tcW w:w="1688" w:type="dxa"/>
            <w:shd w:val="clear" w:color="auto" w:fill="auto"/>
            <w:hideMark/>
          </w:tcPr>
          <w:p w:rsidR="00085CE2" w:rsidRPr="000E05D9" w:rsidP="000E05D9" w14:paraId="1753F92C" w14:textId="77777777">
            <w:pPr>
              <w:widowControl/>
              <w:rPr>
                <w:color w:val="000000"/>
                <w:kern w:val="0"/>
                <w:szCs w:val="22"/>
              </w:rPr>
            </w:pPr>
            <w:r w:rsidRPr="000E05D9">
              <w:rPr>
                <w:color w:val="000000"/>
                <w:kern w:val="0"/>
                <w:szCs w:val="22"/>
              </w:rPr>
              <w:t>Entire band</w:t>
            </w:r>
          </w:p>
        </w:tc>
        <w:tc>
          <w:tcPr>
            <w:tcW w:w="3690" w:type="dxa"/>
            <w:shd w:val="clear" w:color="auto" w:fill="auto"/>
            <w:hideMark/>
          </w:tcPr>
          <w:p w:rsidR="00085CE2" w:rsidRPr="000E05D9" w:rsidP="000E05D9" w14:paraId="0B8ADC0A" w14:textId="77777777">
            <w:pPr>
              <w:widowControl/>
              <w:rPr>
                <w:color w:val="000000"/>
                <w:kern w:val="0"/>
                <w:szCs w:val="22"/>
              </w:rPr>
            </w:pPr>
            <w:r w:rsidRPr="000E05D9">
              <w:rPr>
                <w:color w:val="000000"/>
                <w:kern w:val="0"/>
                <w:szCs w:val="22"/>
              </w:rPr>
              <w:t>MCW, phone, image, RTTY, data, SS, test, pulse</w:t>
            </w:r>
          </w:p>
        </w:tc>
        <w:tc>
          <w:tcPr>
            <w:tcW w:w="2605" w:type="dxa"/>
            <w:tcBorders>
              <w:right w:val="nil"/>
            </w:tcBorders>
            <w:shd w:val="clear" w:color="auto" w:fill="auto"/>
            <w:hideMark/>
          </w:tcPr>
          <w:p w:rsidR="00085CE2" w:rsidRPr="000E05D9" w:rsidP="000E05D9" w14:paraId="692810F2" w14:textId="77777777">
            <w:pPr>
              <w:widowControl/>
              <w:rPr>
                <w:color w:val="000000"/>
                <w:kern w:val="0"/>
                <w:szCs w:val="22"/>
              </w:rPr>
            </w:pPr>
            <w:r w:rsidRPr="000E05D9">
              <w:rPr>
                <w:color w:val="000000"/>
                <w:kern w:val="0"/>
                <w:szCs w:val="22"/>
              </w:rPr>
              <w:t>(7), (8), and (12).</w:t>
            </w:r>
          </w:p>
        </w:tc>
      </w:tr>
      <w:tr w14:paraId="253EF4CA" w14:textId="77777777" w:rsidTr="000E05D9">
        <w:tblPrEx>
          <w:tblW w:w="0" w:type="auto"/>
          <w:tblLook w:val="04A0"/>
        </w:tblPrEx>
        <w:tc>
          <w:tcPr>
            <w:tcW w:w="1367" w:type="dxa"/>
            <w:tcBorders>
              <w:left w:val="nil"/>
            </w:tcBorders>
            <w:shd w:val="clear" w:color="auto" w:fill="auto"/>
          </w:tcPr>
          <w:p w:rsidR="00085CE2" w:rsidRPr="000E05D9" w:rsidP="000E05D9" w14:paraId="5D347885" w14:textId="77777777">
            <w:pPr>
              <w:widowControl/>
              <w:ind w:left="-105"/>
              <w:outlineLvl w:val="1"/>
              <w:rPr>
                <w:bCs/>
                <w:color w:val="000000"/>
                <w:kern w:val="0"/>
                <w:szCs w:val="22"/>
              </w:rPr>
            </w:pPr>
            <w:r w:rsidRPr="000E05D9">
              <w:rPr>
                <w:bCs/>
                <w:color w:val="000000"/>
                <w:kern w:val="0"/>
                <w:szCs w:val="22"/>
              </w:rPr>
              <w:t>* *</w:t>
            </w:r>
          </w:p>
        </w:tc>
        <w:tc>
          <w:tcPr>
            <w:tcW w:w="1688" w:type="dxa"/>
            <w:shd w:val="clear" w:color="auto" w:fill="auto"/>
          </w:tcPr>
          <w:p w:rsidR="00085CE2" w:rsidRPr="000E05D9" w:rsidP="000E05D9" w14:paraId="410080D3" w14:textId="77777777">
            <w:pPr>
              <w:widowControl/>
              <w:outlineLvl w:val="1"/>
              <w:rPr>
                <w:bCs/>
                <w:color w:val="000000"/>
                <w:kern w:val="0"/>
                <w:szCs w:val="22"/>
              </w:rPr>
            </w:pPr>
            <w:r w:rsidRPr="000E05D9">
              <w:rPr>
                <w:bCs/>
                <w:color w:val="000000"/>
                <w:kern w:val="0"/>
                <w:szCs w:val="22"/>
              </w:rPr>
              <w:t>*</w:t>
            </w:r>
          </w:p>
        </w:tc>
        <w:tc>
          <w:tcPr>
            <w:tcW w:w="3690" w:type="dxa"/>
            <w:shd w:val="clear" w:color="auto" w:fill="auto"/>
          </w:tcPr>
          <w:p w:rsidR="00085CE2" w:rsidRPr="000E05D9" w:rsidP="000E05D9" w14:paraId="4B5AF7D1" w14:textId="77777777">
            <w:pPr>
              <w:widowControl/>
              <w:outlineLvl w:val="1"/>
              <w:rPr>
                <w:bCs/>
                <w:color w:val="000000"/>
                <w:kern w:val="0"/>
                <w:szCs w:val="22"/>
              </w:rPr>
            </w:pPr>
            <w:r w:rsidRPr="000E05D9">
              <w:rPr>
                <w:bCs/>
                <w:color w:val="000000"/>
                <w:kern w:val="0"/>
                <w:szCs w:val="22"/>
              </w:rPr>
              <w:t>*</w:t>
            </w:r>
          </w:p>
        </w:tc>
        <w:tc>
          <w:tcPr>
            <w:tcW w:w="2605" w:type="dxa"/>
            <w:tcBorders>
              <w:right w:val="nil"/>
            </w:tcBorders>
            <w:shd w:val="clear" w:color="auto" w:fill="auto"/>
          </w:tcPr>
          <w:p w:rsidR="00085CE2" w:rsidRPr="000E05D9" w:rsidP="000E05D9" w14:paraId="7BE1EC9B" w14:textId="77777777">
            <w:pPr>
              <w:widowControl/>
              <w:outlineLvl w:val="1"/>
              <w:rPr>
                <w:bCs/>
                <w:color w:val="000000"/>
                <w:kern w:val="0"/>
                <w:szCs w:val="22"/>
              </w:rPr>
            </w:pPr>
            <w:r w:rsidRPr="000E05D9">
              <w:rPr>
                <w:bCs/>
                <w:color w:val="000000"/>
                <w:kern w:val="0"/>
                <w:szCs w:val="22"/>
              </w:rPr>
              <w:t>*</w:t>
            </w:r>
          </w:p>
        </w:tc>
      </w:tr>
    </w:tbl>
    <w:p w:rsidR="00E21929" w14:paraId="63F21B5D" w14:textId="77777777">
      <w:pPr>
        <w:widowControl/>
      </w:pPr>
    </w:p>
    <w:p w:rsidR="00E21929" w:rsidP="00E21929" w14:paraId="44C724ED" w14:textId="77777777">
      <w:pPr>
        <w:pStyle w:val="Heading1"/>
        <w:numPr>
          <w:ilvl w:val="0"/>
          <w:numId w:val="0"/>
        </w:numPr>
        <w:jc w:val="center"/>
        <w:sectPr w:rsidSect="00A463CD">
          <w:footnotePr>
            <w:numRestart w:val="eachSect"/>
          </w:footnotePr>
          <w:endnotePr>
            <w:numFmt w:val="decimal"/>
          </w:endnotePr>
          <w:type w:val="continuous"/>
          <w:pgSz w:w="12240" w:h="15840"/>
          <w:pgMar w:top="1440" w:right="1440" w:bottom="720" w:left="1440" w:header="720" w:footer="720" w:gutter="0"/>
          <w:cols w:space="720"/>
          <w:noEndnote/>
          <w:titlePg/>
        </w:sectPr>
      </w:pPr>
    </w:p>
    <w:p w:rsidR="007C0162" w:rsidP="00E21929" w14:paraId="1F5CAAE7" w14:textId="40D19ED5">
      <w:pPr>
        <w:pStyle w:val="Heading1"/>
        <w:numPr>
          <w:ilvl w:val="0"/>
          <w:numId w:val="0"/>
        </w:numPr>
        <w:jc w:val="center"/>
      </w:pPr>
      <w:r>
        <w:t xml:space="preserve">APPENDIX </w:t>
      </w:r>
      <w:r>
        <w:t>B</w:t>
      </w:r>
    </w:p>
    <w:p w:rsidR="007C0162" w:rsidRPr="00A90566" w:rsidP="007C0162" w14:paraId="41153137" w14:textId="77777777">
      <w:pPr>
        <w:pStyle w:val="ParaNum"/>
        <w:numPr>
          <w:ilvl w:val="0"/>
          <w:numId w:val="0"/>
        </w:numPr>
        <w:jc w:val="center"/>
        <w:rPr>
          <w:b/>
        </w:rPr>
      </w:pPr>
      <w:r w:rsidRPr="00A90566">
        <w:rPr>
          <w:b/>
        </w:rPr>
        <w:t>Initial Regulatory Flexibility Analysis</w:t>
      </w:r>
    </w:p>
    <w:p w:rsidR="00A51AC4" w:rsidP="00193BF2" w14:paraId="650DE7E4" w14:textId="77777777">
      <w:pPr>
        <w:pStyle w:val="ParaNum"/>
        <w:widowControl/>
        <w:numPr>
          <w:ilvl w:val="0"/>
          <w:numId w:val="45"/>
        </w:numPr>
        <w:tabs>
          <w:tab w:val="clear" w:pos="1080"/>
          <w:tab w:val="num" w:pos="1440"/>
        </w:tabs>
      </w:pPr>
      <w:bookmarkStart w:id="392" w:name="_Hlk518035810"/>
      <w:r w:rsidRPr="00FA470E">
        <w:t>As</w:t>
      </w:r>
      <w:r w:rsidRPr="00F07F6F">
        <w:t xml:space="preserve"> required by the Regulatory Flexibility Act of 1980, as amended (RFA),</w:t>
      </w:r>
      <w:r>
        <w:rPr>
          <w:rStyle w:val="FootnoteReference"/>
        </w:rPr>
        <w:footnoteReference w:id="33"/>
      </w:r>
      <w:r w:rsidRPr="00F07F6F">
        <w:t xml:space="preserve"> the Commission has prepared this Initial Regulatory Flexibility Analysis (IRFA) of the possible significant economic impact on a substantial number of small entities by the policies and rules proposed in th</w:t>
      </w:r>
      <w:r>
        <w:t>e</w:t>
      </w:r>
      <w:r w:rsidRPr="00F07F6F">
        <w:t xml:space="preserve"> </w:t>
      </w:r>
      <w:r w:rsidRPr="00193BF2">
        <w:rPr>
          <w:i/>
        </w:rPr>
        <w:t>Notice of Proposed Rulemaking</w:t>
      </w:r>
      <w:r w:rsidRPr="00F07F6F">
        <w:t xml:space="preserve"> (</w:t>
      </w:r>
      <w:r w:rsidRPr="00193BF2">
        <w:rPr>
          <w:i/>
        </w:rPr>
        <w:t>Notice</w:t>
      </w:r>
      <w:r w:rsidRPr="00F07F6F">
        <w:t xml:space="preserve">).  Written comments are requested on this IRFA.  Comments must be identified as responses to the IRFA and must be filed by the deadlines for comments on the </w:t>
      </w:r>
      <w:r w:rsidRPr="00193BF2">
        <w:rPr>
          <w:i/>
        </w:rPr>
        <w:t>Notice</w:t>
      </w:r>
      <w:r w:rsidRPr="00F07F6F">
        <w:t xml:space="preserve">.  The Commission will send a copy of the </w:t>
      </w:r>
      <w:r w:rsidRPr="00193BF2">
        <w:rPr>
          <w:i/>
        </w:rPr>
        <w:t>Notice</w:t>
      </w:r>
      <w:r w:rsidRPr="00F07F6F">
        <w:t>, including this IRFA, to the Chief Counsel for Advocacy of the Small Business Administration (SBA).</w:t>
      </w:r>
      <w:r>
        <w:rPr>
          <w:vertAlign w:val="superscript"/>
        </w:rPr>
        <w:footnoteReference w:id="34"/>
      </w:r>
      <w:r w:rsidRPr="00F07F6F">
        <w:t xml:space="preserve">  In addition, the </w:t>
      </w:r>
      <w:r w:rsidRPr="00193BF2">
        <w:rPr>
          <w:i/>
        </w:rPr>
        <w:t>Notice</w:t>
      </w:r>
      <w:r w:rsidRPr="00F07F6F">
        <w:t xml:space="preserve"> and IRFA (or summaries thereof) will be published in the Federal Register.</w:t>
      </w:r>
      <w:r>
        <w:rPr>
          <w:vertAlign w:val="superscript"/>
        </w:rPr>
        <w:footnoteReference w:id="35"/>
      </w:r>
    </w:p>
    <w:p w:rsidR="00A51AC4" w:rsidP="00A51AC4" w14:paraId="6185F8A8" w14:textId="77777777">
      <w:pPr>
        <w:pStyle w:val="Heading2"/>
        <w:numPr>
          <w:ilvl w:val="1"/>
          <w:numId w:val="14"/>
        </w:numPr>
      </w:pPr>
      <w:bookmarkStart w:id="393" w:name="_Toc475025971"/>
      <w:bookmarkStart w:id="394" w:name="_Toc475983673"/>
      <w:bookmarkStart w:id="395" w:name="_Toc477890098"/>
      <w:bookmarkStart w:id="396" w:name="_Toc477954588"/>
      <w:bookmarkStart w:id="397" w:name="_Toc487204680"/>
      <w:bookmarkStart w:id="398" w:name="_Toc487210206"/>
      <w:bookmarkStart w:id="399" w:name="_Toc487210307"/>
      <w:bookmarkStart w:id="400" w:name="_Toc487211225"/>
      <w:bookmarkStart w:id="401" w:name="_Toc487540966"/>
      <w:bookmarkStart w:id="402" w:name="_Toc487547972"/>
      <w:bookmarkStart w:id="403" w:name="_Toc487629348"/>
      <w:bookmarkStart w:id="404" w:name="_Toc487629427"/>
      <w:bookmarkStart w:id="405" w:name="_Toc489351711"/>
      <w:bookmarkStart w:id="406" w:name="_Toc489473399"/>
      <w:bookmarkStart w:id="407" w:name="_Toc489515914"/>
      <w:bookmarkStart w:id="408" w:name="_Toc516847085"/>
      <w:r w:rsidRPr="0001653D">
        <w:t>Need f</w:t>
      </w:r>
      <w:r w:rsidRPr="00C80C89">
        <w:t xml:space="preserve">or, </w:t>
      </w:r>
      <w:r>
        <w:t>and Objectives of, the Proposed Rules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B84C32" w:rsidP="00193BF2" w14:paraId="6BA13546" w14:textId="77777777">
      <w:pPr>
        <w:pStyle w:val="ParaNum"/>
        <w:widowControl/>
        <w:tabs>
          <w:tab w:val="clear" w:pos="1080"/>
          <w:tab w:val="num" w:pos="1440"/>
        </w:tabs>
      </w:pPr>
      <w:r>
        <w:t xml:space="preserve">This </w:t>
      </w:r>
      <w:r w:rsidRPr="00E21929">
        <w:rPr>
          <w:i/>
        </w:rPr>
        <w:t xml:space="preserve">Notice </w:t>
      </w:r>
      <w:r w:rsidRPr="00E21929" w:rsidR="006E3BF4">
        <w:rPr>
          <w:i/>
        </w:rPr>
        <w:t xml:space="preserve">of Proposed Rulemaking </w:t>
      </w:r>
      <w:r w:rsidRPr="006E3BF4" w:rsidR="006E3BF4">
        <w:t>(</w:t>
      </w:r>
      <w:r w:rsidRPr="00E21929" w:rsidR="006E3BF4">
        <w:rPr>
          <w:i/>
        </w:rPr>
        <w:t>Notice</w:t>
      </w:r>
      <w:r w:rsidRPr="006E3BF4" w:rsidR="006E3BF4">
        <w:t>)</w:t>
      </w:r>
      <w:r>
        <w:t xml:space="preserve"> proposes </w:t>
      </w:r>
      <w:r w:rsidRPr="00E21929">
        <w:rPr>
          <w:rStyle w:val="normaltextrun"/>
          <w:color w:val="000000"/>
          <w:szCs w:val="22"/>
          <w:shd w:val="clear" w:color="auto" w:fill="FFFFFF"/>
        </w:rPr>
        <w:t xml:space="preserve">to remove the existing non-federal radiolocation and amateur allocations in the 3.3-3.55 GHz band and </w:t>
      </w:r>
      <w:r w:rsidRPr="00E21929" w:rsidR="008C70AC">
        <w:rPr>
          <w:rStyle w:val="normaltextrun"/>
          <w:color w:val="000000"/>
          <w:szCs w:val="22"/>
          <w:shd w:val="clear" w:color="auto" w:fill="FFFFFF"/>
        </w:rPr>
        <w:t>to</w:t>
      </w:r>
      <w:r w:rsidRPr="00E21929">
        <w:rPr>
          <w:rStyle w:val="normaltextrun"/>
          <w:color w:val="000000"/>
          <w:szCs w:val="22"/>
          <w:shd w:val="clear" w:color="auto" w:fill="FFFFFF"/>
        </w:rPr>
        <w:t xml:space="preserve"> relocat</w:t>
      </w:r>
      <w:r w:rsidRPr="00E21929" w:rsidR="008C70AC">
        <w:rPr>
          <w:rStyle w:val="normaltextrun"/>
          <w:color w:val="000000"/>
          <w:szCs w:val="22"/>
          <w:shd w:val="clear" w:color="auto" w:fill="FFFFFF"/>
        </w:rPr>
        <w:t>e</w:t>
      </w:r>
      <w:r w:rsidRPr="00E21929">
        <w:rPr>
          <w:rStyle w:val="normaltextrun"/>
          <w:color w:val="000000"/>
          <w:szCs w:val="22"/>
          <w:shd w:val="clear" w:color="auto" w:fill="FFFFFF"/>
        </w:rPr>
        <w:t> incumbent non-federal operations out of the band</w:t>
      </w:r>
      <w:r w:rsidRPr="00E21929" w:rsidR="006E3BF4">
        <w:rPr>
          <w:rStyle w:val="normaltextrun"/>
          <w:color w:val="000000"/>
          <w:szCs w:val="22"/>
          <w:shd w:val="clear" w:color="auto" w:fill="FFFFFF"/>
        </w:rPr>
        <w:t xml:space="preserve">, </w:t>
      </w:r>
      <w:r w:rsidR="007E2DA8">
        <w:t>in order to prepare the band for possible future shared use between commercial wireless services and federal incumbents</w:t>
      </w:r>
      <w:r w:rsidRPr="00E21929">
        <w:rPr>
          <w:rStyle w:val="normaltextrun"/>
          <w:color w:val="000000"/>
          <w:szCs w:val="22"/>
          <w:shd w:val="clear" w:color="auto" w:fill="FFFFFF"/>
        </w:rPr>
        <w:t>.</w:t>
      </w:r>
      <w:r w:rsidRPr="00E21929" w:rsidR="006E3BF4">
        <w:rPr>
          <w:rStyle w:val="normaltextrun"/>
          <w:color w:val="000000"/>
          <w:szCs w:val="22"/>
          <w:shd w:val="clear" w:color="auto" w:fill="FFFFFF"/>
        </w:rPr>
        <w:t xml:space="preserve"> </w:t>
      </w:r>
      <w:r w:rsidRPr="00E21929" w:rsidR="007E2DA8">
        <w:rPr>
          <w:rStyle w:val="normaltextrun"/>
          <w:color w:val="000000"/>
          <w:szCs w:val="22"/>
          <w:shd w:val="clear" w:color="auto" w:fill="FFFFFF"/>
        </w:rPr>
        <w:t xml:space="preserve"> </w:t>
      </w:r>
      <w:r w:rsidR="00B91087">
        <w:t xml:space="preserve">It also seeks comment on relocation options and transition mechanisms for incumbent non-federal operations.  </w:t>
      </w:r>
      <w:r w:rsidR="0032343E">
        <w:t xml:space="preserve">If non-federal licensees are relocated to the 3.1-3.3 GHz band, the Commission proposes that they would continue to operate on a secondary basis to federal operations, consistent with the current allocations in the band. </w:t>
      </w:r>
      <w:r w:rsidR="006D696F">
        <w:t xml:space="preserve"> </w:t>
      </w:r>
      <w:r w:rsidR="00B91087">
        <w:t xml:space="preserve">This </w:t>
      </w:r>
      <w:r w:rsidRPr="00E21929" w:rsidR="0044319E">
        <w:rPr>
          <w:i/>
        </w:rPr>
        <w:t xml:space="preserve">Notice </w:t>
      </w:r>
      <w:r w:rsidR="0044319E">
        <w:t>is consistent with the Commission’s respon</w:t>
      </w:r>
      <w:r w:rsidR="00440B2B">
        <w:t>s</w:t>
      </w:r>
      <w:r w:rsidR="0044319E">
        <w:t>ibilities</w:t>
      </w:r>
      <w:r>
        <w:t>, as specified in the</w:t>
      </w:r>
      <w:r w:rsidRPr="00E21929" w:rsidR="00A51AC4">
        <w:rPr>
          <w:rStyle w:val="normaltextrun"/>
          <w:color w:val="000000"/>
          <w:szCs w:val="22"/>
          <w:shd w:val="clear" w:color="auto" w:fill="FFFFFF"/>
        </w:rPr>
        <w:t xml:space="preserve"> MOBILE NOW Act</w:t>
      </w:r>
      <w:r w:rsidRPr="00E21929">
        <w:rPr>
          <w:rStyle w:val="normaltextrun"/>
          <w:color w:val="000000"/>
          <w:szCs w:val="22"/>
          <w:shd w:val="clear" w:color="auto" w:fill="FFFFFF"/>
        </w:rPr>
        <w:t>,</w:t>
      </w:r>
      <w:r w:rsidRPr="00E21929" w:rsidR="00440B2B">
        <w:rPr>
          <w:rStyle w:val="normaltextrun"/>
          <w:color w:val="000000"/>
          <w:szCs w:val="22"/>
          <w:shd w:val="clear" w:color="auto" w:fill="FFFFFF"/>
        </w:rPr>
        <w:t xml:space="preserve"> </w:t>
      </w:r>
      <w:r w:rsidRPr="00E21929" w:rsidR="00A51AC4">
        <w:rPr>
          <w:rStyle w:val="normaltextrun"/>
          <w:color w:val="000000"/>
          <w:szCs w:val="22"/>
          <w:shd w:val="clear" w:color="auto" w:fill="FFFFFF"/>
        </w:rPr>
        <w:t>to work with the National Telecommunications and Information Administration (NTIA) </w:t>
      </w:r>
      <w:r w:rsidR="006A6DD9">
        <w:t>to identify spectrum for new mobile and fixed wireless use and, specifically,</w:t>
      </w:r>
      <w:r w:rsidRPr="00E21929" w:rsidR="009E1600">
        <w:rPr>
          <w:rStyle w:val="normaltextrun"/>
          <w:color w:val="000000"/>
          <w:szCs w:val="22"/>
          <w:shd w:val="clear" w:color="auto" w:fill="FFFFFF"/>
        </w:rPr>
        <w:t xml:space="preserve"> to </w:t>
      </w:r>
      <w:r w:rsidRPr="00E21929" w:rsidR="006A6DD9">
        <w:rPr>
          <w:rStyle w:val="normaltextrun"/>
          <w:color w:val="000000"/>
          <w:szCs w:val="22"/>
          <w:shd w:val="clear" w:color="auto" w:fill="FFFFFF"/>
        </w:rPr>
        <w:t xml:space="preserve">work in consultation with </w:t>
      </w:r>
      <w:r w:rsidRPr="00E21929" w:rsidR="009E1600">
        <w:rPr>
          <w:rStyle w:val="normaltextrun"/>
          <w:color w:val="000000"/>
          <w:szCs w:val="22"/>
          <w:shd w:val="clear" w:color="auto" w:fill="FFFFFF"/>
        </w:rPr>
        <w:t xml:space="preserve">NTIA </w:t>
      </w:r>
      <w:r w:rsidRPr="00E21929" w:rsidR="006A6DD9">
        <w:rPr>
          <w:rStyle w:val="normaltextrun"/>
          <w:color w:val="000000"/>
          <w:szCs w:val="22"/>
          <w:shd w:val="clear" w:color="auto" w:fill="FFFFFF"/>
        </w:rPr>
        <w:t xml:space="preserve">to </w:t>
      </w:r>
      <w:r w:rsidRPr="00E21929" w:rsidR="009E1600">
        <w:rPr>
          <w:rStyle w:val="normaltextrun"/>
          <w:color w:val="000000"/>
          <w:szCs w:val="22"/>
          <w:shd w:val="clear" w:color="auto" w:fill="FFFFFF"/>
        </w:rPr>
        <w:t>evaluat</w:t>
      </w:r>
      <w:r w:rsidRPr="00E21929" w:rsidR="006A6DD9">
        <w:rPr>
          <w:rStyle w:val="normaltextrun"/>
          <w:color w:val="000000"/>
          <w:szCs w:val="22"/>
          <w:shd w:val="clear" w:color="auto" w:fill="FFFFFF"/>
        </w:rPr>
        <w:t>e</w:t>
      </w:r>
      <w:r w:rsidRPr="00E21929" w:rsidR="009E1600">
        <w:rPr>
          <w:rStyle w:val="normaltextrun"/>
          <w:color w:val="000000"/>
          <w:szCs w:val="22"/>
          <w:shd w:val="clear" w:color="auto" w:fill="FFFFFF"/>
        </w:rPr>
        <w:t xml:space="preserve"> </w:t>
      </w:r>
      <w:r w:rsidRPr="00E21929" w:rsidR="00A51AC4">
        <w:rPr>
          <w:rStyle w:val="normaltextrun"/>
          <w:color w:val="000000"/>
          <w:szCs w:val="22"/>
          <w:shd w:val="clear" w:color="auto" w:fill="FFFFFF"/>
        </w:rPr>
        <w:t>the feasibility of allowing commercial wireless services to share use of spectrum between 3.1 and 3.55 GHz.</w:t>
      </w:r>
      <w:r>
        <w:rPr>
          <w:rStyle w:val="FootnoteReference"/>
          <w:szCs w:val="22"/>
          <w:shd w:val="clear" w:color="auto" w:fill="FFFFFF"/>
        </w:rPr>
        <w:footnoteReference w:id="36"/>
      </w:r>
      <w:r w:rsidRPr="00E21929" w:rsidR="00A51AC4">
        <w:rPr>
          <w:rStyle w:val="normaltextrun"/>
          <w:color w:val="000000"/>
          <w:szCs w:val="22"/>
          <w:shd w:val="clear" w:color="auto" w:fill="FFFFFF"/>
        </w:rPr>
        <w:t xml:space="preserve">  The Commission’s proposal to </w:t>
      </w:r>
      <w:r w:rsidRPr="00E21929" w:rsidR="00D76D92">
        <w:rPr>
          <w:rStyle w:val="normaltextrun"/>
          <w:color w:val="000000"/>
          <w:szCs w:val="22"/>
          <w:shd w:val="clear" w:color="auto" w:fill="FFFFFF"/>
        </w:rPr>
        <w:t>delete</w:t>
      </w:r>
      <w:r w:rsidRPr="00E21929" w:rsidR="00A51AC4">
        <w:rPr>
          <w:rStyle w:val="normaltextrun"/>
          <w:color w:val="000000"/>
          <w:szCs w:val="22"/>
          <w:shd w:val="clear" w:color="auto" w:fill="FFFFFF"/>
        </w:rPr>
        <w:t xml:space="preserve"> the existing non-federal</w:t>
      </w:r>
      <w:r w:rsidRPr="00E21929" w:rsidR="00BA4E11">
        <w:rPr>
          <w:rStyle w:val="normaltextrun"/>
          <w:color w:val="000000"/>
          <w:szCs w:val="22"/>
          <w:shd w:val="clear" w:color="auto" w:fill="FFFFFF"/>
        </w:rPr>
        <w:t xml:space="preserve"> secondary allocations from the</w:t>
      </w:r>
      <w:r w:rsidRPr="00E21929" w:rsidR="00A51AC4">
        <w:rPr>
          <w:rStyle w:val="normaltextrun"/>
          <w:color w:val="000000"/>
          <w:szCs w:val="22"/>
          <w:shd w:val="clear" w:color="auto" w:fill="FFFFFF"/>
        </w:rPr>
        <w:t xml:space="preserve"> 3.3-3.55 GHz band </w:t>
      </w:r>
      <w:r w:rsidRPr="00E21929" w:rsidR="00BA4E11">
        <w:rPr>
          <w:rStyle w:val="normaltextrun"/>
          <w:color w:val="000000"/>
          <w:szCs w:val="22"/>
          <w:shd w:val="clear" w:color="auto" w:fill="FFFFFF"/>
        </w:rPr>
        <w:t>in the Table of Frequency Allocations</w:t>
      </w:r>
      <w:r w:rsidRPr="00E21929" w:rsidR="00A51AC4">
        <w:rPr>
          <w:rStyle w:val="normaltextrun"/>
          <w:color w:val="000000"/>
          <w:szCs w:val="22"/>
          <w:shd w:val="clear" w:color="auto" w:fill="FFFFFF"/>
        </w:rPr>
        <w:t xml:space="preserve"> is a</w:t>
      </w:r>
      <w:r w:rsidRPr="00E21929" w:rsidR="00693AF2">
        <w:rPr>
          <w:rStyle w:val="normaltextrun"/>
          <w:color w:val="000000"/>
          <w:szCs w:val="22"/>
          <w:shd w:val="clear" w:color="auto" w:fill="FFFFFF"/>
        </w:rPr>
        <w:t>n</w:t>
      </w:r>
      <w:r w:rsidRPr="00E21929" w:rsidR="00BA4E11">
        <w:rPr>
          <w:rStyle w:val="normaltextrun"/>
          <w:color w:val="000000"/>
          <w:szCs w:val="22"/>
          <w:shd w:val="clear" w:color="auto" w:fill="FFFFFF"/>
        </w:rPr>
        <w:t xml:space="preserve"> important</w:t>
      </w:r>
      <w:r w:rsidRPr="00E21929" w:rsidR="00693AF2">
        <w:rPr>
          <w:rStyle w:val="normaltextrun"/>
          <w:color w:val="000000"/>
          <w:szCs w:val="22"/>
          <w:shd w:val="clear" w:color="auto" w:fill="FFFFFF"/>
        </w:rPr>
        <w:t xml:space="preserve"> initial</w:t>
      </w:r>
      <w:r w:rsidRPr="00E21929" w:rsidR="00A51AC4">
        <w:rPr>
          <w:rStyle w:val="normaltextrun"/>
          <w:color w:val="000000"/>
          <w:szCs w:val="22"/>
          <w:shd w:val="clear" w:color="auto" w:fill="FFFFFF"/>
        </w:rPr>
        <w:t xml:space="preserve"> step towards </w:t>
      </w:r>
      <w:r w:rsidRPr="00E21929" w:rsidR="00693AF2">
        <w:rPr>
          <w:rStyle w:val="normaltextrun"/>
          <w:color w:val="000000"/>
          <w:szCs w:val="22"/>
          <w:shd w:val="clear" w:color="auto" w:fill="FFFFFF"/>
        </w:rPr>
        <w:t>satisfying Congress’s directives</w:t>
      </w:r>
      <w:r w:rsidRPr="00E21929" w:rsidR="00693AF2">
        <w:rPr>
          <w:rStyle w:val="normaltextrun"/>
          <w:color w:val="000000"/>
          <w:szCs w:val="22"/>
          <w:shd w:val="clear" w:color="auto" w:fill="FFFFFF"/>
        </w:rPr>
        <w:t xml:space="preserve"> </w:t>
      </w:r>
      <w:r w:rsidRPr="00E21929" w:rsidR="00693AF2">
        <w:rPr>
          <w:rStyle w:val="normaltextrun"/>
          <w:color w:val="000000"/>
          <w:szCs w:val="22"/>
          <w:shd w:val="clear" w:color="auto" w:fill="FFFFFF"/>
        </w:rPr>
        <w:t xml:space="preserve">and </w:t>
      </w:r>
      <w:r w:rsidRPr="00E21929" w:rsidR="00A51AC4">
        <w:rPr>
          <w:rStyle w:val="normaltextrun"/>
          <w:color w:val="000000"/>
          <w:szCs w:val="22"/>
          <w:shd w:val="clear" w:color="auto" w:fill="FFFFFF"/>
        </w:rPr>
        <w:t>making as much as 250 megahertz of spectrum </w:t>
      </w:r>
      <w:r w:rsidRPr="00E21929" w:rsidR="00693AF2">
        <w:rPr>
          <w:rStyle w:val="normaltextrun"/>
          <w:color w:val="000000"/>
          <w:szCs w:val="22"/>
          <w:shd w:val="clear" w:color="auto" w:fill="FFFFFF"/>
        </w:rPr>
        <w:t xml:space="preserve">from the band potentially </w:t>
      </w:r>
      <w:r w:rsidRPr="00E21929" w:rsidR="00A51AC4">
        <w:rPr>
          <w:rStyle w:val="normaltextrun"/>
          <w:color w:val="000000"/>
          <w:szCs w:val="22"/>
          <w:shd w:val="clear" w:color="auto" w:fill="FFFFFF"/>
        </w:rPr>
        <w:t>available for advanced wireless services, including 5G.</w:t>
      </w:r>
    </w:p>
    <w:p w:rsidR="00A51AC4" w:rsidP="00A51AC4" w14:paraId="22859C04" w14:textId="77777777">
      <w:pPr>
        <w:pStyle w:val="Heading2"/>
      </w:pPr>
      <w:bookmarkStart w:id="409" w:name="_Toc487204681"/>
      <w:bookmarkStart w:id="410" w:name="_Toc487210207"/>
      <w:bookmarkStart w:id="411" w:name="_Toc487210308"/>
      <w:bookmarkStart w:id="412" w:name="_Toc487211226"/>
      <w:bookmarkStart w:id="413" w:name="_Toc487540967"/>
      <w:bookmarkStart w:id="414" w:name="_Toc487547973"/>
      <w:bookmarkStart w:id="415" w:name="_Toc487629349"/>
      <w:bookmarkStart w:id="416" w:name="_Toc487629428"/>
      <w:bookmarkStart w:id="417" w:name="_Toc489351712"/>
      <w:bookmarkStart w:id="418" w:name="_Toc489473400"/>
      <w:bookmarkStart w:id="419" w:name="_Toc489515915"/>
      <w:bookmarkStart w:id="420" w:name="_Toc516847086"/>
      <w:r w:rsidRPr="0001653D">
        <w:t>Leg</w:t>
      </w:r>
      <w:r>
        <w:t>al Basis</w:t>
      </w:r>
      <w:bookmarkEnd w:id="409"/>
      <w:bookmarkEnd w:id="410"/>
      <w:bookmarkEnd w:id="411"/>
      <w:bookmarkEnd w:id="412"/>
      <w:bookmarkEnd w:id="413"/>
      <w:bookmarkEnd w:id="414"/>
      <w:bookmarkEnd w:id="415"/>
      <w:bookmarkEnd w:id="416"/>
      <w:bookmarkEnd w:id="417"/>
      <w:bookmarkEnd w:id="418"/>
      <w:bookmarkEnd w:id="419"/>
      <w:bookmarkEnd w:id="420"/>
    </w:p>
    <w:p w:rsidR="00A51AC4" w:rsidRPr="00484F38" w:rsidP="00193BF2" w14:paraId="7ABF1A58" w14:textId="77777777">
      <w:pPr>
        <w:pStyle w:val="ParaNum"/>
        <w:widowControl/>
        <w:tabs>
          <w:tab w:val="clear" w:pos="1080"/>
          <w:tab w:val="num" w:pos="1440"/>
        </w:tabs>
      </w:pPr>
      <w:r w:rsidRPr="00484F38">
        <w:t xml:space="preserve">The proposed action is </w:t>
      </w:r>
      <w:r>
        <w:t xml:space="preserve">authorized </w:t>
      </w:r>
      <w:r w:rsidRPr="00484F38">
        <w:t xml:space="preserve">pursuant to </w:t>
      </w:r>
      <w:r w:rsidR="00036FC0">
        <w:rPr>
          <w:szCs w:val="22"/>
        </w:rPr>
        <w:t>s</w:t>
      </w:r>
      <w:r w:rsidRPr="00212825" w:rsidR="00036FC0">
        <w:rPr>
          <w:szCs w:val="22"/>
        </w:rPr>
        <w:t>ections 1, 2, 4(i), 303,</w:t>
      </w:r>
      <w:r w:rsidR="00036FC0">
        <w:rPr>
          <w:szCs w:val="22"/>
        </w:rPr>
        <w:t xml:space="preserve"> 316</w:t>
      </w:r>
      <w:r w:rsidR="00907D25">
        <w:rPr>
          <w:szCs w:val="22"/>
        </w:rPr>
        <w:t>,</w:t>
      </w:r>
      <w:r w:rsidR="00036FC0">
        <w:rPr>
          <w:szCs w:val="22"/>
        </w:rPr>
        <w:t xml:space="preserve"> and 1502 </w:t>
      </w:r>
      <w:r w:rsidRPr="00212825" w:rsidR="00036FC0">
        <w:rPr>
          <w:szCs w:val="22"/>
        </w:rPr>
        <w:t>of the Communications Act of 1934, 47 U.S.C. §§ 151, 152, 154(i), 201</w:t>
      </w:r>
      <w:r w:rsidR="00036FC0">
        <w:rPr>
          <w:szCs w:val="22"/>
        </w:rPr>
        <w:t>(b)</w:t>
      </w:r>
      <w:r w:rsidRPr="00212825" w:rsidR="00036FC0">
        <w:rPr>
          <w:szCs w:val="22"/>
        </w:rPr>
        <w:t>, 303,</w:t>
      </w:r>
      <w:r w:rsidR="00036FC0">
        <w:rPr>
          <w:szCs w:val="22"/>
        </w:rPr>
        <w:t xml:space="preserve"> 316, and 1502, </w:t>
      </w:r>
      <w:r w:rsidRPr="00E84B84" w:rsidR="00036FC0">
        <w:rPr>
          <w:szCs w:val="22"/>
        </w:rPr>
        <w:t>and section 1.411 of the Commission’s Rules, 47 C.F.R § 1.411</w:t>
      </w:r>
      <w:r>
        <w:rPr>
          <w:rStyle w:val="normaltextrun"/>
          <w:color w:val="000000"/>
          <w:szCs w:val="22"/>
          <w:bdr w:val="none" w:sz="0" w:space="0" w:color="auto" w:frame="1"/>
        </w:rPr>
        <w:t>.</w:t>
      </w:r>
    </w:p>
    <w:p w:rsidR="00A51AC4" w:rsidP="00A51AC4" w14:paraId="10629A75" w14:textId="77777777">
      <w:pPr>
        <w:pStyle w:val="Heading2"/>
      </w:pPr>
      <w:bookmarkStart w:id="421" w:name="_Toc475025973"/>
      <w:bookmarkStart w:id="422" w:name="_Toc475983675"/>
      <w:bookmarkStart w:id="423" w:name="_Toc477890100"/>
      <w:bookmarkStart w:id="424" w:name="_Toc477954590"/>
      <w:bookmarkStart w:id="425" w:name="_Toc487204682"/>
      <w:bookmarkStart w:id="426" w:name="_Toc487210208"/>
      <w:bookmarkStart w:id="427" w:name="_Toc487210309"/>
      <w:bookmarkStart w:id="428" w:name="_Toc487211227"/>
      <w:bookmarkStart w:id="429" w:name="_Toc487540968"/>
      <w:bookmarkStart w:id="430" w:name="_Toc487547974"/>
      <w:bookmarkStart w:id="431" w:name="_Toc487629350"/>
      <w:bookmarkStart w:id="432" w:name="_Toc487629429"/>
      <w:bookmarkStart w:id="433" w:name="_Toc489351713"/>
      <w:bookmarkStart w:id="434" w:name="_Toc489473401"/>
      <w:bookmarkStart w:id="435" w:name="_Toc489515916"/>
      <w:bookmarkStart w:id="436" w:name="_Toc516847087"/>
      <w:r w:rsidRPr="0001653D">
        <w:t>Des</w:t>
      </w:r>
      <w:r w:rsidRPr="003A7FC5">
        <w:t>cription and Estimate of the Number of Small Entities to Which the Proposed Rules Will Apply</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rsidR="00A51AC4" w:rsidRPr="00DA6563" w:rsidP="00193BF2" w14:paraId="31CC30FA" w14:textId="77777777">
      <w:pPr>
        <w:pStyle w:val="ParaNum"/>
        <w:widowControl/>
        <w:tabs>
          <w:tab w:val="clear" w:pos="1080"/>
          <w:tab w:val="num" w:pos="1440"/>
        </w:tabs>
      </w:pPr>
      <w:r w:rsidRPr="00DA6563">
        <w:t>The RFA directs agencies to provide a description of</w:t>
      </w:r>
      <w:r>
        <w:t xml:space="preserve">, </w:t>
      </w:r>
      <w:r w:rsidRPr="00DA6563">
        <w:t>and where feasible, an estimate of</w:t>
      </w:r>
      <w:r>
        <w:t xml:space="preserve">, </w:t>
      </w:r>
      <w:r w:rsidRPr="00DA6563">
        <w:t xml:space="preserve">the number of small </w:t>
      </w:r>
      <w:r w:rsidRPr="000C1594">
        <w:rPr>
          <w:rStyle w:val="normaltextrun"/>
          <w:color w:val="000000"/>
          <w:szCs w:val="22"/>
          <w:shd w:val="clear" w:color="auto" w:fill="FFFFFF"/>
        </w:rPr>
        <w:t>entities</w:t>
      </w:r>
      <w:r w:rsidRPr="00DA6563">
        <w:t xml:space="preserve"> that may be affected by the </w:t>
      </w:r>
      <w:r>
        <w:t xml:space="preserve">proposed </w:t>
      </w:r>
      <w:r w:rsidRPr="00DA6563">
        <w:t>rules</w:t>
      </w:r>
      <w:r>
        <w:t>, if</w:t>
      </w:r>
      <w:r w:rsidRPr="00DA6563">
        <w:t xml:space="preserve"> adopted.</w:t>
      </w:r>
      <w:r>
        <w:rPr>
          <w:rStyle w:val="FootnoteReference"/>
          <w:szCs w:val="22"/>
        </w:rPr>
        <w:footnoteReference w:id="37"/>
      </w:r>
      <w:r w:rsidRPr="00DA6563">
        <w:t xml:space="preserve">  The RFA generally defines the term “small entity” as having the same meaning as the terms “small business,” “small organization,” and “small governmental jurisdiction.”</w:t>
      </w:r>
      <w:r>
        <w:rPr>
          <w:rStyle w:val="FootnoteReference"/>
          <w:szCs w:val="22"/>
        </w:rPr>
        <w:footnoteReference w:id="38"/>
      </w:r>
      <w:r w:rsidRPr="00DA6563">
        <w:t xml:space="preserve">  In addition, the term “small business” has the </w:t>
      </w:r>
      <w:r w:rsidRPr="00DA6563">
        <w:t>same meaning as the term “small business concern” under the Small Business Act.</w:t>
      </w:r>
      <w:r>
        <w:rPr>
          <w:rStyle w:val="FootnoteReference"/>
          <w:szCs w:val="22"/>
        </w:rPr>
        <w:footnoteReference w:id="39"/>
      </w:r>
      <w:r w:rsidRPr="00DA6563">
        <w:t xml:space="preserve">  A small business concern is one </w:t>
      </w:r>
      <w:r>
        <w:t>that</w:t>
      </w:r>
      <w:r w:rsidRPr="00DA6563">
        <w:t>:  (1) is independently owned and operated; (2) is not dominant in its field of operation; and (3) satisfies any additional criteria established by the SBA.</w:t>
      </w:r>
      <w:r>
        <w:rPr>
          <w:rStyle w:val="FootnoteReference"/>
          <w:szCs w:val="22"/>
        </w:rPr>
        <w:footnoteReference w:id="40"/>
      </w:r>
    </w:p>
    <w:p w:rsidR="00A51AC4" w:rsidRPr="000B6A17" w:rsidP="00193BF2" w14:paraId="017FC2B0" w14:textId="77777777">
      <w:pPr>
        <w:pStyle w:val="ParaNum"/>
        <w:widowControl/>
        <w:tabs>
          <w:tab w:val="clear" w:pos="1080"/>
          <w:tab w:val="num" w:pos="1440"/>
        </w:tabs>
      </w:pPr>
      <w:r w:rsidRPr="000B6A17">
        <w:rPr>
          <w:i/>
        </w:rPr>
        <w:t xml:space="preserve">Small </w:t>
      </w:r>
      <w:r w:rsidRPr="00C96D5D">
        <w:rPr>
          <w:i/>
        </w:rPr>
        <w:t>Businesses</w:t>
      </w:r>
      <w:r w:rsidRPr="000B6A17">
        <w:rPr>
          <w:i/>
        </w:rPr>
        <w:t>, Small Organizations, and Small Governmental Jurisdictions</w:t>
      </w:r>
      <w:r w:rsidRPr="000B6A17">
        <w:t xml:space="preserve">.  Our action may, over time, affect small entities that are not easily categorized at present.  We therefore describe here, at the outset, </w:t>
      </w:r>
      <w:r>
        <w:t xml:space="preserve">three </w:t>
      </w:r>
      <w:r w:rsidRPr="000B6A17">
        <w:t xml:space="preserve">broad groups of small </w:t>
      </w:r>
      <w:r w:rsidRPr="000C1594">
        <w:rPr>
          <w:rStyle w:val="normaltextrun"/>
          <w:color w:val="000000"/>
          <w:szCs w:val="22"/>
          <w:shd w:val="clear" w:color="auto" w:fill="FFFFFF"/>
        </w:rPr>
        <w:t>entities</w:t>
      </w:r>
      <w:r w:rsidRPr="000B6A17">
        <w:t xml:space="preserve"> that could be directly affected herein.</w:t>
      </w:r>
      <w:r>
        <w:rPr>
          <w:rStyle w:val="FootnoteReference"/>
        </w:rPr>
        <w:footnoteReference w:id="41"/>
      </w:r>
      <w:r w:rsidRPr="000B6A17">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rPr>
        <w:footnoteReference w:id="42"/>
      </w:r>
      <w:r w:rsidRPr="000B6A17">
        <w:t xml:space="preserve">  These types of small businesses represent 99.9 percent of all businesses in the United States, which translates to 28.8 million businesses.</w:t>
      </w:r>
      <w:r>
        <w:rPr>
          <w:rStyle w:val="FootnoteReference"/>
        </w:rPr>
        <w:footnoteReference w:id="43"/>
      </w:r>
    </w:p>
    <w:p w:rsidR="00A51AC4" w:rsidRPr="00EE3196" w:rsidP="00A51AC4" w14:paraId="1D5C8194" w14:textId="77777777">
      <w:pPr>
        <w:pStyle w:val="ParaNum"/>
        <w:widowControl/>
        <w:tabs>
          <w:tab w:val="clear" w:pos="1080"/>
          <w:tab w:val="num" w:pos="1440"/>
        </w:tabs>
      </w:pPr>
      <w:r w:rsidRPr="00EE3196">
        <w:rPr>
          <w:bCs/>
        </w:rPr>
        <w:t xml:space="preserve">Next, the type of small entity described as </w:t>
      </w:r>
      <w:r w:rsidRPr="00EE3196">
        <w:rPr>
          <w:szCs w:val="22"/>
        </w:rPr>
        <w:t xml:space="preserve">a “small organization” is generally “any not-for-profit enterprise which is </w:t>
      </w:r>
      <w:r w:rsidRPr="002031E9">
        <w:t>independently</w:t>
      </w:r>
      <w:r w:rsidRPr="00EE3196">
        <w:rPr>
          <w:szCs w:val="22"/>
        </w:rPr>
        <w:t xml:space="preserve"> owned and operated and is not dominant in its field.”</w:t>
      </w:r>
      <w:r>
        <w:rPr>
          <w:rStyle w:val="FootnoteReference"/>
          <w:szCs w:val="22"/>
        </w:rPr>
        <w:footnoteReference w:id="44"/>
      </w:r>
      <w:r w:rsidRPr="00EE3196">
        <w:rPr>
          <w:szCs w:val="22"/>
        </w:rPr>
        <w:t xml:space="preserve">  </w:t>
      </w:r>
      <w:r w:rsidRPr="00EE3196">
        <w:t xml:space="preserve"> Nationwide, as of August 2016, there were approximately 356,494 small organizations based on registration and tax data filed by nonprofits with the Internal Revenue Service (IRS)</w:t>
      </w:r>
      <w:r w:rsidRPr="00EE3196">
        <w:rPr>
          <w:szCs w:val="22"/>
        </w:rPr>
        <w:t>.</w:t>
      </w:r>
      <w:r>
        <w:rPr>
          <w:rStyle w:val="FootnoteReference"/>
          <w:szCs w:val="22"/>
        </w:rPr>
        <w:footnoteReference w:id="45"/>
      </w:r>
    </w:p>
    <w:p w:rsidR="00A51AC4" w:rsidP="00A51AC4" w14:paraId="00E3C19E" w14:textId="77777777">
      <w:pPr>
        <w:pStyle w:val="ParaNum"/>
        <w:widowControl/>
        <w:tabs>
          <w:tab w:val="clear" w:pos="1080"/>
          <w:tab w:val="num" w:pos="1440"/>
        </w:tabs>
      </w:pPr>
      <w:r w:rsidRPr="00EE3196">
        <w:rPr>
          <w:szCs w:val="22"/>
        </w:rPr>
        <w:t xml:space="preserve">Finally, the </w:t>
      </w:r>
      <w:r w:rsidRPr="00EE3196">
        <w:t xml:space="preserve">small entity described as a </w:t>
      </w:r>
      <w:r w:rsidRPr="00EE3196">
        <w:rPr>
          <w:szCs w:val="22"/>
        </w:rPr>
        <w:t>“sma</w:t>
      </w:r>
      <w:r w:rsidRPr="00EE3196">
        <w:t xml:space="preserve">ll governmental jurisdiction” is </w:t>
      </w:r>
      <w:r w:rsidRPr="00EE3196">
        <w:rPr>
          <w:szCs w:val="22"/>
        </w:rPr>
        <w:t xml:space="preserve">defined generally as “governments </w:t>
      </w:r>
      <w:r w:rsidRPr="00EF4927">
        <w:rPr>
          <w:bCs/>
        </w:rPr>
        <w:t>of</w:t>
      </w:r>
      <w:r w:rsidRPr="00EE3196">
        <w:rPr>
          <w:szCs w:val="22"/>
        </w:rPr>
        <w:t xml:space="preserve"> cities, counties, towns, townships, villages, school districts, or special districts, with a population of less than fifty thousand.”</w:t>
      </w:r>
      <w:r>
        <w:rPr>
          <w:rStyle w:val="FootnoteReference"/>
          <w:szCs w:val="22"/>
        </w:rPr>
        <w:footnoteReference w:id="46"/>
      </w:r>
      <w:r w:rsidRPr="00EE3196">
        <w:rPr>
          <w:szCs w:val="22"/>
        </w:rPr>
        <w:t xml:space="preserve">  </w:t>
      </w:r>
      <w:r w:rsidRPr="00EE3196">
        <w:t>U.S. Census Bureau data from the 2012 Census of Governments</w:t>
      </w:r>
      <w:r>
        <w:rPr>
          <w:rStyle w:val="FootnoteReference"/>
        </w:rPr>
        <w:footnoteReference w:id="47"/>
      </w:r>
      <w:r w:rsidRPr="00EE3196">
        <w:t xml:space="preserve"> indicate that there were </w:t>
      </w:r>
      <w:r w:rsidRPr="00EE3196">
        <w:rPr>
          <w:color w:val="000000"/>
        </w:rPr>
        <w:t xml:space="preserve">90,056 </w:t>
      </w:r>
      <w:r w:rsidRPr="00EE3196">
        <w:t xml:space="preserve">local governmental jurisdictions consisting of general </w:t>
      </w:r>
      <w:r w:rsidRPr="00EE3196">
        <w:t>purpose governments and special purpose governments in the United States.</w:t>
      </w:r>
      <w:r>
        <w:rPr>
          <w:rStyle w:val="FootnoteReference"/>
        </w:rPr>
        <w:footnoteReference w:id="48"/>
      </w:r>
      <w:r w:rsidRPr="00EE3196">
        <w:t xml:space="preserve">  Of this number there were 37, 132 General purpose governments (county</w:t>
      </w:r>
      <w:r>
        <w:rPr>
          <w:rStyle w:val="FootnoteReference"/>
        </w:rPr>
        <w:footnoteReference w:id="49"/>
      </w:r>
      <w:r w:rsidRPr="00EE3196">
        <w:t>, municipal and town or township</w:t>
      </w:r>
      <w:r>
        <w:rPr>
          <w:rStyle w:val="FootnoteReference"/>
        </w:rPr>
        <w:footnoteReference w:id="50"/>
      </w:r>
      <w:r w:rsidRPr="00EE3196">
        <w:t>) with populations of less than 50,000 and 12,184 Special purpose governments (independent school districts</w:t>
      </w:r>
      <w:r>
        <w:rPr>
          <w:rStyle w:val="FootnoteReference"/>
        </w:rPr>
        <w:footnoteReference w:id="51"/>
      </w:r>
      <w:r w:rsidRPr="00EE3196">
        <w:t xml:space="preserve"> and special districts</w:t>
      </w:r>
      <w:r>
        <w:rPr>
          <w:rStyle w:val="FootnoteReference"/>
        </w:rPr>
        <w:footnoteReference w:id="52"/>
      </w:r>
      <w:r w:rsidRPr="00EE3196">
        <w:t>) with populations of less than 50,000.  The 2012 U.S. Census Bureau data for most types of governments in the local government category show that the majority of these governments have populations of less than 50,000.</w:t>
      </w:r>
      <w:r>
        <w:rPr>
          <w:rStyle w:val="FootnoteReference"/>
        </w:rPr>
        <w:footnoteReference w:id="53"/>
      </w:r>
      <w:r w:rsidRPr="00EE3196">
        <w:t xml:space="preserve"> Based on this data we estimate that at least 49,316 local government jurisdictions fall in the category of “small governmental jurisdictions.”</w:t>
      </w:r>
      <w:r>
        <w:rPr>
          <w:rStyle w:val="FootnoteReference"/>
        </w:rPr>
        <w:footnoteReference w:id="54"/>
      </w:r>
    </w:p>
    <w:p w:rsidR="00A51AC4" w:rsidP="00C23CAA" w14:paraId="3C8787E1" w14:textId="77777777">
      <w:pPr>
        <w:pStyle w:val="ParaNum"/>
        <w:widowControl/>
        <w:tabs>
          <w:tab w:val="clear" w:pos="1080"/>
          <w:tab w:val="num" w:pos="1440"/>
        </w:tabs>
      </w:pPr>
      <w:r w:rsidRPr="004010F2">
        <w:rPr>
          <w:i/>
        </w:rPr>
        <w:t>Radio</w:t>
      </w:r>
      <w:r w:rsidRPr="00077FA2">
        <w:rPr>
          <w:i/>
        </w:rPr>
        <w:t xml:space="preserve"> </w:t>
      </w:r>
      <w:r w:rsidRPr="00C94C90">
        <w:rPr>
          <w:i/>
          <w:szCs w:val="22"/>
        </w:rPr>
        <w:t>Frequency</w:t>
      </w:r>
      <w:r w:rsidRPr="00077FA2">
        <w:rPr>
          <w:i/>
        </w:rPr>
        <w:t xml:space="preserve"> Equipment Manufacturers (RF Manufacturers)</w:t>
      </w:r>
      <w:r w:rsidRPr="0049067A">
        <w:t xml:space="preserve">. </w:t>
      </w:r>
      <w:r>
        <w:t xml:space="preserve"> </w:t>
      </w:r>
      <w:r w:rsidRPr="0049067A">
        <w:t>Neither</w:t>
      </w:r>
      <w:r>
        <w:t xml:space="preserve"> t</w:t>
      </w:r>
      <w:r w:rsidRPr="00E81709">
        <w:t xml:space="preserve">he Commission </w:t>
      </w:r>
      <w:r>
        <w:t xml:space="preserve">nor the SBA </w:t>
      </w:r>
      <w:r w:rsidRPr="00E81709">
        <w:t xml:space="preserve">has </w:t>
      </w:r>
      <w:r w:rsidRPr="000C1594">
        <w:rPr>
          <w:rStyle w:val="normaltextrun"/>
          <w:color w:val="000000"/>
          <w:szCs w:val="22"/>
          <w:shd w:val="clear" w:color="auto" w:fill="FFFFFF"/>
        </w:rPr>
        <w:t>developed</w:t>
      </w:r>
      <w:r w:rsidRPr="00E81709">
        <w:t xml:space="preserve"> a </w:t>
      </w:r>
      <w:r w:rsidRPr="000C1594">
        <w:rPr>
          <w:rStyle w:val="normaltextrun"/>
          <w:color w:val="000000"/>
          <w:szCs w:val="22"/>
          <w:shd w:val="clear" w:color="auto" w:fill="FFFFFF"/>
        </w:rPr>
        <w:t>small</w:t>
      </w:r>
      <w:r>
        <w:t xml:space="preserve"> business size standard </w:t>
      </w:r>
      <w:r w:rsidRPr="00E81709">
        <w:t xml:space="preserve">applicable to Radio Frequency Equipment </w:t>
      </w:r>
      <w:r w:rsidRPr="00EF4927">
        <w:rPr>
          <w:szCs w:val="22"/>
        </w:rPr>
        <w:t>Manufacturers</w:t>
      </w:r>
      <w:r w:rsidRPr="00E81709">
        <w:t xml:space="preserve"> (RF Manufacturers).  The</w:t>
      </w:r>
      <w:r>
        <w:t xml:space="preserve">re are several </w:t>
      </w:r>
      <w:r w:rsidRPr="00E81709">
        <w:t xml:space="preserve">analogous </w:t>
      </w:r>
      <w:r>
        <w:t xml:space="preserve">SBA </w:t>
      </w:r>
      <w:r w:rsidRPr="00E81709">
        <w:t xml:space="preserve">small entity </w:t>
      </w:r>
      <w:r>
        <w:t xml:space="preserve">categories </w:t>
      </w:r>
      <w:r w:rsidRPr="00E81709">
        <w:t xml:space="preserve">applicable to </w:t>
      </w:r>
      <w:r>
        <w:t>RF M</w:t>
      </w:r>
      <w:r w:rsidRPr="00E81709">
        <w:t xml:space="preserve">anufacturers </w:t>
      </w:r>
      <w:r>
        <w:t xml:space="preserve">-- </w:t>
      </w:r>
      <w:r w:rsidRPr="00E81709">
        <w:t xml:space="preserve">Fixed Microwave Services, Other Communications Equipment Manufacturing, </w:t>
      </w:r>
      <w:r>
        <w:t xml:space="preserve">and </w:t>
      </w:r>
      <w:r w:rsidRPr="00E81709">
        <w:t xml:space="preserve">Radio and Television Broadcasting and Wireless Communications Equipment Manufacturing.  </w:t>
      </w:r>
      <w:r w:rsidRPr="00E83113">
        <w:t xml:space="preserve">A description of these small entity categories and the </w:t>
      </w:r>
      <w:r>
        <w:t xml:space="preserve">small business </w:t>
      </w:r>
      <w:r w:rsidRPr="00E83113">
        <w:t>size standard</w:t>
      </w:r>
      <w:r>
        <w:t>s</w:t>
      </w:r>
      <w:r w:rsidRPr="00E83113">
        <w:t xml:space="preserve"> under the SBA rules are detailed below.</w:t>
      </w:r>
    </w:p>
    <w:p w:rsidR="00A51AC4" w:rsidP="00C23CAA" w14:paraId="36748AC9" w14:textId="77777777">
      <w:pPr>
        <w:pStyle w:val="ParaNum"/>
        <w:widowControl/>
        <w:tabs>
          <w:tab w:val="clear" w:pos="1080"/>
          <w:tab w:val="num" w:pos="1440"/>
        </w:tabs>
      </w:pPr>
      <w:r w:rsidRPr="00BC5A34">
        <w:rPr>
          <w:i/>
          <w:szCs w:val="22"/>
        </w:rPr>
        <w:t>Fixed</w:t>
      </w:r>
      <w:r w:rsidRPr="00077FA2">
        <w:rPr>
          <w:i/>
          <w:szCs w:val="22"/>
        </w:rPr>
        <w:t xml:space="preserve"> </w:t>
      </w:r>
      <w:r w:rsidRPr="004F19B5">
        <w:rPr>
          <w:rStyle w:val="normaltextrun"/>
          <w:i/>
          <w:color w:val="000000"/>
          <w:shd w:val="clear" w:color="auto" w:fill="FFFFFF"/>
        </w:rPr>
        <w:t>Microwave</w:t>
      </w:r>
      <w:r w:rsidRPr="00077FA2">
        <w:rPr>
          <w:i/>
          <w:szCs w:val="22"/>
        </w:rPr>
        <w:t xml:space="preserve"> Services</w:t>
      </w:r>
      <w:r w:rsidRPr="00632AAC">
        <w:rPr>
          <w:i/>
          <w:szCs w:val="22"/>
        </w:rPr>
        <w:t>.</w:t>
      </w:r>
      <w:r w:rsidRPr="00632AAC">
        <w:rPr>
          <w:szCs w:val="22"/>
        </w:rPr>
        <w:t xml:space="preserve">  Microwave services include common carrier,</w:t>
      </w:r>
      <w:r>
        <w:rPr>
          <w:rStyle w:val="FootnoteReference"/>
          <w:szCs w:val="22"/>
        </w:rPr>
        <w:footnoteReference w:id="55"/>
      </w:r>
      <w:r w:rsidRPr="00632AAC">
        <w:rPr>
          <w:szCs w:val="22"/>
        </w:rPr>
        <w:t xml:space="preserve"> private-operational fixed,</w:t>
      </w:r>
      <w:r>
        <w:rPr>
          <w:rStyle w:val="FootnoteReference"/>
          <w:szCs w:val="22"/>
        </w:rPr>
        <w:footnoteReference w:id="56"/>
      </w:r>
      <w:r w:rsidRPr="00632AAC">
        <w:rPr>
          <w:szCs w:val="22"/>
        </w:rPr>
        <w:t xml:space="preserve"> and broadcast auxiliary radio services.</w:t>
      </w:r>
      <w:r>
        <w:rPr>
          <w:rStyle w:val="FootnoteReference"/>
          <w:szCs w:val="22"/>
        </w:rPr>
        <w:footnoteReference w:id="57"/>
      </w:r>
      <w:r w:rsidRPr="00632AAC">
        <w:rPr>
          <w:szCs w:val="22"/>
        </w:rPr>
        <w:t xml:space="preserve">  They also include the </w:t>
      </w:r>
      <w:r>
        <w:t xml:space="preserve">Upper Microwave </w:t>
      </w:r>
      <w:r>
        <w:t>Flexible Use Service</w:t>
      </w:r>
      <w:r>
        <w:rPr>
          <w:vertAlign w:val="superscript"/>
        </w:rPr>
        <w:footnoteReference w:id="58"/>
      </w:r>
      <w:r>
        <w:t xml:space="preserve">, </w:t>
      </w:r>
      <w:r w:rsidRPr="00B801C3">
        <w:t>Millimeter Wave Service</w:t>
      </w:r>
      <w:r>
        <w:rPr>
          <w:sz w:val="20"/>
          <w:vertAlign w:val="superscript"/>
        </w:rPr>
        <w:footnoteReference w:id="59"/>
      </w:r>
      <w:r>
        <w:t xml:space="preserve">, </w:t>
      </w:r>
      <w:r w:rsidRPr="00B801C3">
        <w:t xml:space="preserve"> </w:t>
      </w:r>
      <w:bookmarkStart w:id="437" w:name="_Hlk510607394"/>
      <w:r w:rsidRPr="00632AAC">
        <w:rPr>
          <w:szCs w:val="22"/>
        </w:rPr>
        <w:t>Local Multipoint Distribution Service (LMDS),</w:t>
      </w:r>
      <w:r>
        <w:rPr>
          <w:rStyle w:val="FootnoteReference"/>
          <w:szCs w:val="22"/>
        </w:rPr>
        <w:footnoteReference w:id="60"/>
      </w:r>
      <w:r w:rsidRPr="00632AAC">
        <w:rPr>
          <w:szCs w:val="22"/>
        </w:rPr>
        <w:t xml:space="preserve"> the Digital Electronic Message Service (DEMS),</w:t>
      </w:r>
      <w:r>
        <w:rPr>
          <w:rStyle w:val="FootnoteReference"/>
          <w:szCs w:val="22"/>
        </w:rPr>
        <w:footnoteReference w:id="61"/>
      </w:r>
      <w:r w:rsidRPr="00632AAC">
        <w:rPr>
          <w:szCs w:val="22"/>
        </w:rPr>
        <w:t xml:space="preserve"> and the 24 GHz Service,</w:t>
      </w:r>
      <w:r>
        <w:rPr>
          <w:rStyle w:val="FootnoteReference"/>
          <w:szCs w:val="22"/>
        </w:rPr>
        <w:footnoteReference w:id="62"/>
      </w:r>
      <w:r w:rsidRPr="00632AAC">
        <w:rPr>
          <w:szCs w:val="22"/>
        </w:rPr>
        <w:t xml:space="preserve"> </w:t>
      </w:r>
      <w:bookmarkEnd w:id="437"/>
      <w:r w:rsidRPr="00632AAC">
        <w:rPr>
          <w:szCs w:val="22"/>
        </w:rPr>
        <w:t>where licensees can choose between common carrier and non-common carrier status.</w:t>
      </w:r>
      <w:r>
        <w:rPr>
          <w:rStyle w:val="FootnoteReference"/>
          <w:szCs w:val="22"/>
        </w:rPr>
        <w:footnoteReference w:id="63"/>
      </w:r>
      <w:r w:rsidRPr="00632AAC">
        <w:rPr>
          <w:szCs w:val="22"/>
        </w:rPr>
        <w:t xml:space="preserve">  T</w:t>
      </w:r>
      <w:r w:rsidRPr="00B801C3">
        <w:t xml:space="preserve">here are approximately </w:t>
      </w:r>
      <w:r>
        <w:t>66,680</w:t>
      </w:r>
      <w:r w:rsidRPr="00632AAC">
        <w:rPr>
          <w:b/>
        </w:rPr>
        <w:t xml:space="preserve"> </w:t>
      </w:r>
      <w:r w:rsidRPr="00B801C3">
        <w:t xml:space="preserve">common carrier fixed licensees, </w:t>
      </w:r>
      <w:r>
        <w:t>69,360</w:t>
      </w:r>
      <w:r w:rsidRPr="00B801C3">
        <w:t xml:space="preserve"> private and public safety operational-fixed licensees, 20,</w:t>
      </w:r>
      <w:r>
        <w:t>150</w:t>
      </w:r>
      <w:r w:rsidRPr="00B801C3">
        <w:t xml:space="preserve"> broadcast auxiliary radio licensees, 41</w:t>
      </w:r>
      <w:r>
        <w:t>1</w:t>
      </w:r>
      <w:r w:rsidRPr="00B801C3">
        <w:t xml:space="preserve"> LMDS licenses, </w:t>
      </w:r>
      <w:r>
        <w:t xml:space="preserve">33 24 GHz </w:t>
      </w:r>
      <w:r w:rsidRPr="00B801C3">
        <w:t xml:space="preserve">DEMS licenses, </w:t>
      </w:r>
      <w:r>
        <w:t>777</w:t>
      </w:r>
      <w:r w:rsidRPr="00B801C3">
        <w:t xml:space="preserve"> 39 GHz licenses, and </w:t>
      </w:r>
      <w:r>
        <w:t xml:space="preserve">five </w:t>
      </w:r>
      <w:r w:rsidRPr="00B801C3">
        <w:t>24 GHz licenses, and 4</w:t>
      </w:r>
      <w:r>
        <w:t>67</w:t>
      </w:r>
      <w:r w:rsidRPr="00B801C3">
        <w:t xml:space="preserve"> Millimeter Wave licenses in the microwave services.</w:t>
      </w:r>
      <w:r>
        <w:rPr>
          <w:sz w:val="20"/>
          <w:vertAlign w:val="superscript"/>
        </w:rPr>
        <w:footnoteReference w:id="64"/>
      </w:r>
      <w:r w:rsidRPr="00B801C3">
        <w:t xml:space="preserve"> </w:t>
      </w:r>
      <w:r w:rsidRPr="00632AAC">
        <w:rPr>
          <w:szCs w:val="22"/>
        </w:rPr>
        <w:t xml:space="preserve">The Commission has not yet defined a small business with respect to microwave services.  </w:t>
      </w:r>
      <w:r w:rsidRPr="008041C5">
        <w:t>The closest applicable SBA category is</w:t>
      </w:r>
      <w:r w:rsidRPr="00632AAC">
        <w:rPr>
          <w:szCs w:val="22"/>
        </w:rPr>
        <w:t xml:space="preserve"> </w:t>
      </w:r>
      <w:r w:rsidRPr="008041C5">
        <w:t xml:space="preserve">Wireless Telecommunications Carriers (except Satellite) </w:t>
      </w:r>
      <w:r w:rsidRPr="00632AAC">
        <w:rPr>
          <w:szCs w:val="22"/>
        </w:rPr>
        <w:t xml:space="preserve">and </w:t>
      </w:r>
      <w:r>
        <w:t>t</w:t>
      </w:r>
      <w:r w:rsidRPr="008041C5">
        <w:t>he appropriate size standard for this category under SBA rules is that such a business is small if it has 1,500 or fewer employees.</w:t>
      </w:r>
      <w:r>
        <w:rPr>
          <w:rStyle w:val="FootnoteReference"/>
        </w:rPr>
        <w:footnoteReference w:id="65"/>
      </w:r>
      <w:r w:rsidRPr="008041C5">
        <w:t xml:space="preserve">  For this industry, U.S. Census </w:t>
      </w:r>
      <w:r>
        <w:t xml:space="preserve">Bureau </w:t>
      </w:r>
      <w:r w:rsidRPr="008041C5">
        <w:t>data for 2012 show that there were 967 firms that operated for the entire year.</w:t>
      </w:r>
      <w:r>
        <w:rPr>
          <w:rStyle w:val="FootnoteReference"/>
        </w:rPr>
        <w:footnoteReference w:id="66"/>
      </w:r>
      <w:r w:rsidRPr="008041C5">
        <w:t xml:space="preserve">  Of this total, 955 firms had </w:t>
      </w:r>
      <w:r>
        <w:t xml:space="preserve">employment of 999 or fewer </w:t>
      </w:r>
      <w:r w:rsidRPr="008041C5">
        <w:t>employees and 12 had employment of 1000 employees or more.</w:t>
      </w:r>
      <w:r>
        <w:rPr>
          <w:rStyle w:val="FootnoteReference"/>
        </w:rPr>
        <w:footnoteReference w:id="67"/>
      </w:r>
      <w:r w:rsidRPr="008041C5">
        <w:t xml:space="preserve"> Thus under this </w:t>
      </w:r>
      <w:r>
        <w:t xml:space="preserve">SBA </w:t>
      </w:r>
      <w:r w:rsidRPr="008041C5">
        <w:t>category and the associated size standard, the Commission estimates that a majority of f</w:t>
      </w:r>
      <w:r>
        <w:t>ixed microwave service licensees</w:t>
      </w:r>
      <w:r w:rsidRPr="008041C5">
        <w:t xml:space="preserve"> can be considered small.</w:t>
      </w:r>
    </w:p>
    <w:p w:rsidR="00A51AC4" w:rsidRPr="00C54A58" w:rsidP="00A51AC4" w14:paraId="2FFD05A8" w14:textId="77777777">
      <w:pPr>
        <w:pStyle w:val="ParaNum"/>
        <w:tabs>
          <w:tab w:val="clear" w:pos="1080"/>
          <w:tab w:val="num" w:pos="1440"/>
        </w:tabs>
      </w:pPr>
      <w:r w:rsidRPr="004010F2">
        <w:rPr>
          <w:i/>
        </w:rPr>
        <w:t>Other</w:t>
      </w:r>
      <w:r w:rsidRPr="00E81709">
        <w:rPr>
          <w:i/>
        </w:rPr>
        <w:t xml:space="preserve"> Communications Equipment Manufacturing</w:t>
      </w:r>
      <w:r w:rsidRPr="004F19B5">
        <w:t xml:space="preserve">. </w:t>
      </w:r>
      <w:r w:rsidRPr="00E81709">
        <w:t xml:space="preserve"> </w:t>
      </w:r>
      <w:r w:rsidRPr="00C54A58">
        <w:t>This industry comprises establishments primarily engaged in manufacturing communications equipment (except telephone apparatus, and radio and television broadcast, and wireless communications equipment).</w:t>
      </w:r>
      <w:r>
        <w:rPr>
          <w:rStyle w:val="FootnoteReference"/>
        </w:rPr>
        <w:footnoteReference w:id="68"/>
      </w:r>
      <w:r w:rsidRPr="00C54A58">
        <w:t xml:space="preserve">  Examples of such manufacturing include fire detection and alarm systems manufacturing, Intercom systems and equipment manufacturing, and signals (e.g., highway, pedestrian, railway, traffic) manufacturing.</w:t>
      </w:r>
      <w:r>
        <w:rPr>
          <w:rStyle w:val="FootnoteReference"/>
        </w:rPr>
        <w:footnoteReference w:id="69"/>
      </w:r>
      <w:r w:rsidRPr="00C54A58">
        <w:t xml:space="preserve"> The SBA has established a size standard for this industry as all such firms having 750 or fewer employees.</w:t>
      </w:r>
      <w:r>
        <w:rPr>
          <w:rStyle w:val="FootnoteReference"/>
        </w:rPr>
        <w:footnoteReference w:id="70"/>
      </w:r>
      <w:r w:rsidRPr="00C54A58">
        <w:t xml:space="preserve"> U.S. Census </w:t>
      </w:r>
      <w:r>
        <w:t xml:space="preserve">Bureau </w:t>
      </w:r>
      <w:r w:rsidRPr="00C54A58">
        <w:t>data for 2012 show that 383 establishments operated in that year.</w:t>
      </w:r>
      <w:r>
        <w:rPr>
          <w:rStyle w:val="FootnoteReference"/>
        </w:rPr>
        <w:footnoteReference w:id="71"/>
      </w:r>
      <w:r w:rsidRPr="00C54A58">
        <w:t xml:space="preserve">  Of that number, </w:t>
      </w:r>
      <w:r w:rsidRPr="00C54A58">
        <w:t>379 operated with fewer than 500 employees and 4 had 500 to 999 employees.</w:t>
      </w:r>
      <w:r>
        <w:rPr>
          <w:rStyle w:val="FootnoteReference"/>
        </w:rPr>
        <w:footnoteReference w:id="72"/>
      </w:r>
      <w:r w:rsidRPr="00C54A58">
        <w:t xml:space="preserve">  Based on this data, we conclude that the majority of Other Communications Equipment Manufacturers are small.</w:t>
      </w:r>
      <w:r w:rsidRPr="00EF4927">
        <w:t xml:space="preserve"> </w:t>
      </w:r>
    </w:p>
    <w:p w:rsidR="00A51AC4" w:rsidP="00A51AC4" w14:paraId="18CEC032" w14:textId="77777777">
      <w:pPr>
        <w:pStyle w:val="ParaNum"/>
        <w:widowControl/>
        <w:tabs>
          <w:tab w:val="clear" w:pos="1080"/>
          <w:tab w:val="num" w:pos="1440"/>
        </w:tabs>
      </w:pPr>
      <w:r w:rsidRPr="004010F2">
        <w:rPr>
          <w:i/>
        </w:rPr>
        <w:t>Radio</w:t>
      </w:r>
      <w:r w:rsidRPr="00E81709">
        <w:rPr>
          <w:i/>
        </w:rPr>
        <w:t xml:space="preserve"> and Television Broadcasting and Wireless Communications Equipment Manufacturing</w:t>
      </w:r>
      <w:r w:rsidRPr="00E81709">
        <w:t xml:space="preserve">.  This industry comprises establishments primarily engaged in manufacturing radio and television broadcast and wireless </w:t>
      </w:r>
      <w:r w:rsidRPr="00E81709">
        <w:rPr>
          <w:szCs w:val="22"/>
        </w:rPr>
        <w:t>communications</w:t>
      </w:r>
      <w:r w:rsidRPr="00E81709">
        <w:t xml:space="preserve"> equipment.</w:t>
      </w:r>
      <w:r>
        <w:rPr>
          <w:sz w:val="20"/>
          <w:vertAlign w:val="superscript"/>
        </w:rPr>
        <w:footnoteReference w:id="73"/>
      </w:r>
      <w:r w:rsidRPr="00E81709">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74"/>
      </w:r>
      <w:r w:rsidRPr="00E81709">
        <w:t xml:space="preserve">  The SBA has established a small business size standard for this industry of 1,250 employees or less.</w:t>
      </w:r>
      <w:r>
        <w:rPr>
          <w:sz w:val="20"/>
          <w:vertAlign w:val="superscript"/>
        </w:rPr>
        <w:footnoteReference w:id="75"/>
      </w:r>
      <w:r w:rsidRPr="00E81709">
        <w:t xml:space="preserve">  U.S. Census Bureau data for 2012 show that 841 establishments operated in this industry in that year.</w:t>
      </w:r>
      <w:r>
        <w:rPr>
          <w:sz w:val="20"/>
          <w:vertAlign w:val="superscript"/>
        </w:rPr>
        <w:footnoteReference w:id="76"/>
      </w:r>
      <w:r w:rsidRPr="00E81709">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77"/>
      </w:r>
      <w:r w:rsidRPr="00E81709">
        <w:t xml:space="preserve">  Based on this data, we conclude that a majority of manufacturers in this industry are small.</w:t>
      </w:r>
    </w:p>
    <w:p w:rsidR="00A51AC4" w:rsidP="00A51AC4" w14:paraId="4EB0008D" w14:textId="77777777">
      <w:pPr>
        <w:pStyle w:val="Heading2"/>
      </w:pPr>
      <w:bookmarkStart w:id="438" w:name="_Toc477890101"/>
      <w:bookmarkStart w:id="439" w:name="_Toc477954591"/>
      <w:bookmarkStart w:id="440" w:name="_Toc487204683"/>
      <w:bookmarkStart w:id="441" w:name="_Toc487210209"/>
      <w:bookmarkStart w:id="442" w:name="_Toc487210310"/>
      <w:bookmarkStart w:id="443" w:name="_Toc487211228"/>
      <w:bookmarkStart w:id="444" w:name="_Toc487540969"/>
      <w:bookmarkStart w:id="445" w:name="_Toc487547975"/>
      <w:bookmarkStart w:id="446" w:name="_Toc487629351"/>
      <w:bookmarkStart w:id="447" w:name="_Toc487629430"/>
      <w:bookmarkStart w:id="448" w:name="_Toc489351714"/>
      <w:bookmarkStart w:id="449" w:name="_Toc489473402"/>
      <w:bookmarkStart w:id="450" w:name="_Toc489515917"/>
      <w:bookmarkStart w:id="451" w:name="_Toc516847088"/>
      <w:r w:rsidRPr="0001653D">
        <w:t>Des</w:t>
      </w:r>
      <w:r w:rsidRPr="00E24744">
        <w:t>cription of Project</w:t>
      </w:r>
      <w:r>
        <w:t>ed</w:t>
      </w:r>
      <w:r w:rsidRPr="00E24744">
        <w:t xml:space="preserve"> Reporting, Recordkeeping, and Other Compliance Requirements for Small Entities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A51AC4" w:rsidP="00C23CAA" w14:paraId="5111F883" w14:textId="77777777">
      <w:pPr>
        <w:pStyle w:val="ParaNum"/>
        <w:widowControl/>
        <w:tabs>
          <w:tab w:val="clear" w:pos="1080"/>
          <w:tab w:val="num" w:pos="1440"/>
        </w:tabs>
      </w:pPr>
      <w:r>
        <w:t xml:space="preserve">The proposed actions in the </w:t>
      </w:r>
      <w:r w:rsidRPr="004F19B5">
        <w:rPr>
          <w:i/>
        </w:rPr>
        <w:t>Notice</w:t>
      </w:r>
      <w:r>
        <w:t xml:space="preserve"> </w:t>
      </w:r>
      <w:r w:rsidRPr="00EB541C">
        <w:t>to remove the existing non-federal radiolocation and amateur allocations in the 3.3-3.55 GHz band and relocate incumbent non-federal operations out of the band</w:t>
      </w:r>
      <w:r>
        <w:t xml:space="preserve">, if adopted, may impose reporting, recordkeeping and other compliance requirements on small entities as well as other licensees. </w:t>
      </w:r>
      <w:r w:rsidRPr="00B7727E">
        <w:t xml:space="preserve"> In the event the proposed actions are adopted, </w:t>
      </w:r>
      <w:r>
        <w:t xml:space="preserve">the </w:t>
      </w:r>
      <w:r w:rsidRPr="00C52201">
        <w:rPr>
          <w:i/>
        </w:rPr>
        <w:t>Notice</w:t>
      </w:r>
      <w:r>
        <w:t xml:space="preserve"> </w:t>
      </w:r>
      <w:r w:rsidRPr="006C6EE1">
        <w:rPr>
          <w:rStyle w:val="normaltextrun"/>
          <w:color w:val="000000"/>
          <w:szCs w:val="22"/>
          <w:shd w:val="clear" w:color="auto" w:fill="FFFFFF"/>
        </w:rPr>
        <w:t>seeks comment on relocation options</w:t>
      </w:r>
      <w:r>
        <w:rPr>
          <w:rStyle w:val="normaltextrun"/>
          <w:color w:val="000000"/>
          <w:szCs w:val="22"/>
          <w:shd w:val="clear" w:color="auto" w:fill="FFFFFF"/>
        </w:rPr>
        <w:t xml:space="preserve"> </w:t>
      </w:r>
      <w:r w:rsidRPr="00B7727E">
        <w:rPr>
          <w:rStyle w:val="normaltextrun"/>
          <w:color w:val="000000"/>
          <w:szCs w:val="22"/>
          <w:shd w:val="clear" w:color="auto" w:fill="FFFFFF"/>
        </w:rPr>
        <w:t>and on transition and protection mechanisms</w:t>
      </w:r>
      <w:r w:rsidRPr="006C6EE1">
        <w:rPr>
          <w:rStyle w:val="normaltextrun"/>
          <w:color w:val="000000"/>
          <w:szCs w:val="22"/>
          <w:shd w:val="clear" w:color="auto" w:fill="FFFFFF"/>
        </w:rPr>
        <w:t xml:space="preserve"> for incumbent non-federal operations</w:t>
      </w:r>
      <w:r>
        <w:t>.</w:t>
      </w:r>
      <w:r>
        <w:rPr>
          <w:rStyle w:val="FootnoteReference"/>
        </w:rPr>
        <w:footnoteReference w:id="78"/>
      </w:r>
      <w:r>
        <w:t xml:space="preserve">  </w:t>
      </w:r>
      <w:r w:rsidRPr="00A762F1">
        <w:t>We note that between 3.3 and 3.55 GHz, there are only eight active licenses being used for a variety of commercial and industrial radiolocation services, with the majority being held by large entities.</w:t>
      </w:r>
      <w:r>
        <w:rPr>
          <w:rStyle w:val="FootnoteReference"/>
        </w:rPr>
        <w:footnoteReference w:id="79"/>
      </w:r>
      <w:r w:rsidRPr="00A762F1">
        <w:t xml:space="preserve">  We also note that </w:t>
      </w:r>
      <w:r>
        <w:t xml:space="preserve">between </w:t>
      </w:r>
      <w:r w:rsidRPr="00A762F1">
        <w:t>3.1-3.3 GHz, the band is allocated for space research (active) and earth exploration satellite (active) in addition to radiolocation services, and that there are 17 non-federal radiolocation licenses below 3.3 GHz, that held by large power companies and municipalities.</w:t>
      </w:r>
      <w:r>
        <w:rPr>
          <w:rStyle w:val="FootnoteReference"/>
        </w:rPr>
        <w:footnoteReference w:id="80"/>
      </w:r>
      <w:r>
        <w:t xml:space="preserve">  Thus, while the Commission is not currently in a position to determine whether, if adopted, the rule changes that could result from the proposals and the questions raised in the </w:t>
      </w:r>
      <w:r w:rsidRPr="00C52201">
        <w:rPr>
          <w:i/>
        </w:rPr>
        <w:t>Notice</w:t>
      </w:r>
      <w:r>
        <w:t xml:space="preserve"> will require small entities to hire attorneys, engineers, consultants, or other professionals, and we cannot quantify the cost of compliance </w:t>
      </w:r>
      <w:r>
        <w:t>with any potential rule changes that may be adopted, we do not believe that the costs and/or administrative burdens associated with any of the potential rule changes will unduly burden small entities.</w:t>
      </w:r>
    </w:p>
    <w:p w:rsidR="00A51AC4" w:rsidP="00C23CAA" w14:paraId="3977AAE2" w14:textId="77777777">
      <w:pPr>
        <w:pStyle w:val="ParaNum"/>
        <w:widowControl/>
        <w:tabs>
          <w:tab w:val="clear" w:pos="1080"/>
          <w:tab w:val="num" w:pos="1440"/>
        </w:tabs>
      </w:pPr>
      <w:r>
        <w:t xml:space="preserve">In the discussion of the proposals in the </w:t>
      </w:r>
      <w:r w:rsidRPr="00C52201">
        <w:rPr>
          <w:i/>
        </w:rPr>
        <w:t>Notice</w:t>
      </w:r>
      <w:r>
        <w:rPr>
          <w:i/>
        </w:rPr>
        <w:t xml:space="preserve">, </w:t>
      </w:r>
      <w:r>
        <w:t>the Commission has sought comments from parties in the proceeding on options, alternatives and other matters we should consider, including seeking cost and benefit analyses.</w:t>
      </w:r>
      <w:r>
        <w:rPr>
          <w:rStyle w:val="FootnoteReference"/>
        </w:rPr>
        <w:footnoteReference w:id="81"/>
      </w:r>
      <w:r>
        <w:t xml:space="preserve"> </w:t>
      </w:r>
      <w:r w:rsidR="009E09B6">
        <w:t xml:space="preserve"> </w:t>
      </w:r>
      <w:r w:rsidR="00CD54F0">
        <w:t>The Commission</w:t>
      </w:r>
      <w:r w:rsidRPr="00E34863" w:rsidR="00CD54F0">
        <w:t xml:space="preserve"> </w:t>
      </w:r>
      <w:r w:rsidRPr="00E34863">
        <w:t>expect</w:t>
      </w:r>
      <w:r w:rsidR="00CD54F0">
        <w:t>s that</w:t>
      </w:r>
      <w:r w:rsidRPr="00E34863">
        <w:t xml:space="preserve"> the information </w:t>
      </w:r>
      <w:r w:rsidR="00CD54F0">
        <w:t>it</w:t>
      </w:r>
      <w:r w:rsidRPr="00E34863" w:rsidR="00CD54F0">
        <w:t xml:space="preserve"> receive</w:t>
      </w:r>
      <w:r w:rsidR="00CD54F0">
        <w:t>s</w:t>
      </w:r>
      <w:r w:rsidRPr="00E34863" w:rsidR="00CD54F0">
        <w:t xml:space="preserve"> </w:t>
      </w:r>
      <w:r w:rsidRPr="00E34863">
        <w:t>in comments</w:t>
      </w:r>
      <w:r>
        <w:t xml:space="preserve"> </w:t>
      </w:r>
      <w:r w:rsidR="00CD54F0">
        <w:t xml:space="preserve">will </w:t>
      </w:r>
      <w:r>
        <w:t xml:space="preserve">help </w:t>
      </w:r>
      <w:r w:rsidR="00CD54F0">
        <w:t>it</w:t>
      </w:r>
      <w:r>
        <w:t xml:space="preserve"> identify and evaluate all relevant matters associated with the proposed </w:t>
      </w:r>
      <w:r w:rsidRPr="004C2C0D">
        <w:t>remov</w:t>
      </w:r>
      <w:r>
        <w:t>al of</w:t>
      </w:r>
      <w:r w:rsidRPr="004C2C0D">
        <w:t xml:space="preserve"> the existing non-federal </w:t>
      </w:r>
      <w:r>
        <w:t xml:space="preserve">radiolocation and amateur </w:t>
      </w:r>
      <w:r w:rsidRPr="004C2C0D">
        <w:t>allocation</w:t>
      </w:r>
      <w:r>
        <w:t>s in the 3.3-3.55 GHz band and the relocation of</w:t>
      </w:r>
      <w:r w:rsidRPr="004C2C0D">
        <w:t xml:space="preserve"> incumbent non-federal operations out of the band</w:t>
      </w:r>
      <w:r>
        <w:t>, including compliance costs and burdens on small entities.</w:t>
      </w:r>
    </w:p>
    <w:p w:rsidR="00A51AC4" w:rsidRPr="00454F29" w:rsidP="00A51AC4" w14:paraId="3EE36C27" w14:textId="77777777">
      <w:pPr>
        <w:pStyle w:val="Heading2"/>
      </w:pPr>
      <w:bookmarkStart w:id="452" w:name="_Toc477890102"/>
      <w:bookmarkStart w:id="453" w:name="_Toc477954592"/>
      <w:bookmarkStart w:id="454" w:name="_Toc487204684"/>
      <w:bookmarkStart w:id="455" w:name="_Toc487210210"/>
      <w:bookmarkStart w:id="456" w:name="_Toc487210311"/>
      <w:bookmarkStart w:id="457" w:name="_Toc487211229"/>
      <w:bookmarkStart w:id="458" w:name="_Toc487540970"/>
      <w:bookmarkStart w:id="459" w:name="_Toc487547976"/>
      <w:bookmarkStart w:id="460" w:name="_Toc487629352"/>
      <w:bookmarkStart w:id="461" w:name="_Toc487629431"/>
      <w:bookmarkStart w:id="462" w:name="_Toc489351715"/>
      <w:bookmarkStart w:id="463" w:name="_Toc489473403"/>
      <w:bookmarkStart w:id="464" w:name="_Toc489515918"/>
      <w:bookmarkStart w:id="465" w:name="_Toc516847089"/>
      <w:r w:rsidRPr="00E24744">
        <w:t>Steps Taken to Minimize the Significant Economic Impact on Small Entities, and Significant Alternatives Considered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rsidR="00A51AC4" w:rsidRPr="006C6EE1" w:rsidP="00C23CAA" w14:paraId="35B8FC05" w14:textId="77777777">
      <w:pPr>
        <w:pStyle w:val="ParaNum"/>
        <w:widowControl/>
        <w:tabs>
          <w:tab w:val="clear" w:pos="1080"/>
          <w:tab w:val="num" w:pos="1440"/>
        </w:tabs>
        <w:rPr>
          <w:rStyle w:val="normaltextrun"/>
          <w:b/>
          <w:color w:val="000000"/>
          <w:szCs w:val="22"/>
          <w:shd w:val="clear" w:color="auto" w:fill="FFFFFF"/>
        </w:rPr>
      </w:pPr>
      <w:r w:rsidRPr="00D64FAB">
        <w:t xml:space="preserve">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w:t>
      </w:r>
      <w:r w:rsidRPr="006C6EE1">
        <w:rPr>
          <w:rStyle w:val="normaltextrun"/>
          <w:color w:val="000000"/>
          <w:szCs w:val="22"/>
          <w:shd w:val="clear" w:color="auto" w:fill="FFFFFF"/>
        </w:rPr>
        <w:t>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Pr>
          <w:rStyle w:val="normaltextrun"/>
          <w:color w:val="000000"/>
          <w:szCs w:val="22"/>
          <w:shd w:val="clear" w:color="auto" w:fill="FFFFFF"/>
          <w:vertAlign w:val="superscript"/>
        </w:rPr>
        <w:footnoteReference w:id="82"/>
      </w:r>
    </w:p>
    <w:p w:rsidR="00A51AC4" w:rsidRPr="006C6EE1" w:rsidP="00C23CAA" w14:paraId="14A91C38" w14:textId="77777777">
      <w:pPr>
        <w:pStyle w:val="ParaNum"/>
        <w:widowControl/>
        <w:tabs>
          <w:tab w:val="clear" w:pos="1080"/>
          <w:tab w:val="num" w:pos="1440"/>
        </w:tabs>
      </w:pPr>
      <w:bookmarkStart w:id="466" w:name="_Toc477890103"/>
      <w:bookmarkStart w:id="467" w:name="_Toc477954593"/>
      <w:bookmarkStart w:id="468" w:name="_Toc487204685"/>
      <w:bookmarkStart w:id="469" w:name="_Toc487210211"/>
      <w:bookmarkStart w:id="470" w:name="_Toc487210312"/>
      <w:bookmarkStart w:id="471" w:name="_Toc487211230"/>
      <w:bookmarkStart w:id="472" w:name="_Toc487540971"/>
      <w:bookmarkStart w:id="473" w:name="_Toc487547977"/>
      <w:bookmarkStart w:id="474" w:name="_Toc487629353"/>
      <w:bookmarkStart w:id="475" w:name="_Toc487629432"/>
      <w:bookmarkStart w:id="476" w:name="_Toc489351716"/>
      <w:bookmarkStart w:id="477" w:name="_Toc489473404"/>
      <w:bookmarkStart w:id="478" w:name="_Toc489515919"/>
      <w:bookmarkStart w:id="479" w:name="_Toc516847090"/>
      <w:r w:rsidRPr="00413431">
        <w:rPr>
          <w:rStyle w:val="normaltextrun"/>
          <w:color w:val="000000"/>
          <w:szCs w:val="22"/>
          <w:shd w:val="clear" w:color="auto" w:fill="FFFFFF"/>
        </w:rPr>
        <w:t>To assist in the Commission’s evaluation of the economic impact on small entities and alternatives</w:t>
      </w:r>
      <w:r>
        <w:rPr>
          <w:rStyle w:val="normaltextrun"/>
          <w:color w:val="000000"/>
          <w:szCs w:val="22"/>
          <w:shd w:val="clear" w:color="auto" w:fill="FFFFFF"/>
        </w:rPr>
        <w:t>,</w:t>
      </w:r>
      <w:r w:rsidRPr="00413431">
        <w:rPr>
          <w:rStyle w:val="normaltextrun"/>
          <w:color w:val="000000"/>
          <w:szCs w:val="22"/>
          <w:shd w:val="clear" w:color="auto" w:fill="FFFFFF"/>
        </w:rPr>
        <w:t xml:space="preserve"> as a result of the actions that have been proposed in this proceeding,</w:t>
      </w:r>
      <w:r>
        <w:rPr>
          <w:rStyle w:val="normaltextrun"/>
          <w:color w:val="000000"/>
          <w:szCs w:val="22"/>
          <w:shd w:val="clear" w:color="auto" w:fill="FFFFFF"/>
        </w:rPr>
        <w:t xml:space="preserve"> i</w:t>
      </w:r>
      <w:r w:rsidRPr="006C6EE1">
        <w:rPr>
          <w:rStyle w:val="normaltextrun"/>
          <w:color w:val="000000"/>
          <w:szCs w:val="22"/>
          <w:shd w:val="clear" w:color="auto" w:fill="FFFFFF"/>
        </w:rPr>
        <w:t xml:space="preserve">n the </w:t>
      </w:r>
      <w:r w:rsidRPr="004F19B5">
        <w:rPr>
          <w:rStyle w:val="normaltextrun"/>
          <w:i/>
          <w:color w:val="000000"/>
          <w:szCs w:val="22"/>
          <w:shd w:val="clear" w:color="auto" w:fill="FFFFFF"/>
        </w:rPr>
        <w:t>Notice</w:t>
      </w:r>
      <w:r w:rsidRPr="006C6EE1">
        <w:rPr>
          <w:rStyle w:val="normaltextrun"/>
          <w:color w:val="000000"/>
          <w:szCs w:val="22"/>
          <w:shd w:val="clear" w:color="auto" w:fill="FFFFFF"/>
        </w:rPr>
        <w:t xml:space="preserve"> the Commission has raised questions and </w:t>
      </w:r>
      <w:r>
        <w:rPr>
          <w:rStyle w:val="normaltextrun"/>
          <w:color w:val="000000"/>
          <w:szCs w:val="22"/>
          <w:shd w:val="clear" w:color="auto" w:fill="FFFFFF"/>
        </w:rPr>
        <w:t xml:space="preserve">sought comment on </w:t>
      </w:r>
      <w:r w:rsidRPr="006C6EE1">
        <w:rPr>
          <w:rStyle w:val="normaltextrun"/>
          <w:color w:val="000000"/>
          <w:szCs w:val="22"/>
          <w:shd w:val="clear" w:color="auto" w:fill="FFFFFF"/>
        </w:rPr>
        <w:t>alternatives to identify appropriate relocation options, mechanisms, timing, and costs.</w:t>
      </w:r>
      <w:r>
        <w:rPr>
          <w:rStyle w:val="FootnoteReference"/>
          <w:szCs w:val="22"/>
          <w:shd w:val="clear" w:color="auto" w:fill="FFFFFF"/>
        </w:rPr>
        <w:footnoteReference w:id="83"/>
      </w:r>
      <w:r w:rsidRPr="006C6EE1">
        <w:rPr>
          <w:rStyle w:val="normaltextrun"/>
          <w:color w:val="000000"/>
          <w:szCs w:val="22"/>
          <w:shd w:val="clear" w:color="auto" w:fill="FFFFFF"/>
        </w:rPr>
        <w:t xml:space="preserve">  </w:t>
      </w:r>
      <w:r w:rsidRPr="00413431">
        <w:rPr>
          <w:rStyle w:val="normaltextrun"/>
          <w:color w:val="000000"/>
          <w:szCs w:val="22"/>
          <w:shd w:val="clear" w:color="auto" w:fill="FFFFFF"/>
        </w:rPr>
        <w:t>Regarding costs, the Commission has specifically requested information on the potential costs to non-federal incumbent licensees to relocate their operations to another band as compared to the benefits of preparing the band for future shared use, and on how non-federal incumbent licensees should be compensated for their relocation costs</w:t>
      </w:r>
      <w:r>
        <w:rPr>
          <w:rStyle w:val="normaltextrun"/>
          <w:color w:val="000000"/>
          <w:szCs w:val="22"/>
          <w:shd w:val="clear" w:color="auto" w:fill="FFFFFF"/>
        </w:rPr>
        <w:t xml:space="preserve">.  </w:t>
      </w:r>
      <w:r w:rsidRPr="006C6EE1">
        <w:rPr>
          <w:rStyle w:val="normaltextrun"/>
          <w:color w:val="000000"/>
          <w:szCs w:val="22"/>
          <w:shd w:val="clear" w:color="auto" w:fill="FFFFFF"/>
        </w:rPr>
        <w:t>The Commission expects to consider more fully the economic impact on small</w:t>
      </w:r>
      <w:r>
        <w:t xml:space="preserve"> entities following its review of comments filed in response to the </w:t>
      </w:r>
      <w:r w:rsidRPr="00C52201">
        <w:rPr>
          <w:i/>
        </w:rPr>
        <w:t>Notice</w:t>
      </w:r>
      <w:r>
        <w:t>, including costs and benefits information.  The Commission’s evaluation of the comments filed in this proceeding will shape the final conclusions it reaches, the final alternatives it considers, and the actions it ultimately takes in this proceeding to minimize any significant economic impact that may occur on small entities.</w:t>
      </w:r>
    </w:p>
    <w:p w:rsidR="00A51AC4" w:rsidRPr="00DD51F5" w:rsidP="00A51AC4" w14:paraId="36AC4000" w14:textId="77777777">
      <w:pPr>
        <w:pStyle w:val="Heading2"/>
      </w:pPr>
      <w:r w:rsidRPr="00D64FAB">
        <w:t>Federal Rules that May Duplicate, Overlap, or Conflict with the Proposed Rules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1E72CC" w:rsidP="00852534" w14:paraId="53764353" w14:textId="18A8BF48">
      <w:pPr>
        <w:pStyle w:val="ParaNum"/>
        <w:widowControl/>
        <w:tabs>
          <w:tab w:val="clear" w:pos="1080"/>
          <w:tab w:val="num" w:pos="1440"/>
        </w:tabs>
      </w:pPr>
      <w:r w:rsidRPr="00C23CAA">
        <w:rPr>
          <w:rStyle w:val="normaltextrun"/>
          <w:color w:val="000000"/>
          <w:szCs w:val="22"/>
          <w:shd w:val="clear" w:color="auto" w:fill="FFFFFF"/>
        </w:rPr>
        <w:t>None</w:t>
      </w:r>
      <w:r>
        <w:t>.</w:t>
      </w:r>
      <w:bookmarkEnd w:id="392"/>
    </w:p>
    <w:p w:rsidR="00885256" w:rsidRPr="00885256" w:rsidP="00885256" w14:paraId="3BA4843C" w14:textId="77777777">
      <w:pPr>
        <w:jc w:val="center"/>
        <w:rPr>
          <w:rFonts w:eastAsia="Calibri"/>
          <w:b/>
          <w:snapToGrid/>
          <w:kern w:val="0"/>
          <w:szCs w:val="22"/>
        </w:rPr>
      </w:pPr>
      <w:r>
        <w:br w:type="page"/>
      </w:r>
      <w:r w:rsidRPr="00885256">
        <w:rPr>
          <w:rFonts w:eastAsia="Calibri"/>
          <w:b/>
          <w:snapToGrid/>
          <w:kern w:val="0"/>
          <w:szCs w:val="22"/>
        </w:rPr>
        <w:t>STATEMENT OF</w:t>
      </w:r>
    </w:p>
    <w:p w:rsidR="00885256" w:rsidRPr="00885256" w:rsidP="00885256" w14:paraId="3171CDF6" w14:textId="77777777">
      <w:pPr>
        <w:widowControl/>
        <w:jc w:val="center"/>
        <w:rPr>
          <w:rFonts w:eastAsia="Calibri"/>
          <w:b/>
          <w:snapToGrid/>
          <w:kern w:val="0"/>
          <w:szCs w:val="22"/>
        </w:rPr>
      </w:pPr>
      <w:r w:rsidRPr="00885256">
        <w:rPr>
          <w:rFonts w:eastAsia="Calibri"/>
          <w:b/>
          <w:snapToGrid/>
          <w:kern w:val="0"/>
          <w:szCs w:val="22"/>
        </w:rPr>
        <w:t>CHAIRMAN AJIT PAI</w:t>
      </w:r>
    </w:p>
    <w:p w:rsidR="00885256" w:rsidRPr="00885256" w:rsidP="00885256" w14:paraId="75F719E0" w14:textId="77777777">
      <w:pPr>
        <w:widowControl/>
        <w:jc w:val="center"/>
        <w:rPr>
          <w:rFonts w:eastAsia="Calibri"/>
          <w:b/>
          <w:snapToGrid/>
          <w:kern w:val="0"/>
          <w:szCs w:val="22"/>
        </w:rPr>
      </w:pPr>
    </w:p>
    <w:p w:rsidR="00885256" w:rsidRPr="00885256" w:rsidP="00885256" w14:paraId="23A89978" w14:textId="77777777">
      <w:pPr>
        <w:widowControl/>
        <w:ind w:left="720" w:hanging="720"/>
        <w:rPr>
          <w:rFonts w:eastAsia="Calibri"/>
          <w:snapToGrid/>
          <w:kern w:val="0"/>
          <w:szCs w:val="22"/>
        </w:rPr>
      </w:pPr>
      <w:bookmarkStart w:id="480" w:name="_Hlk26369549"/>
      <w:r w:rsidRPr="00885256">
        <w:rPr>
          <w:rFonts w:eastAsia="Calibri"/>
          <w:snapToGrid/>
          <w:kern w:val="0"/>
          <w:szCs w:val="22"/>
        </w:rPr>
        <w:t>RE:</w:t>
      </w:r>
      <w:r w:rsidRPr="00885256">
        <w:rPr>
          <w:rFonts w:eastAsia="Calibri"/>
          <w:snapToGrid/>
          <w:kern w:val="0"/>
          <w:szCs w:val="22"/>
        </w:rPr>
        <w:tab/>
      </w:r>
      <w:r w:rsidRPr="00885256">
        <w:rPr>
          <w:rFonts w:eastAsia="Calibri"/>
          <w:i/>
          <w:snapToGrid/>
          <w:kern w:val="0"/>
          <w:szCs w:val="22"/>
        </w:rPr>
        <w:t xml:space="preserve">Facilitating Shared Use in the 3.1-3.55 GHz Band, </w:t>
      </w:r>
      <w:r w:rsidRPr="00885256">
        <w:rPr>
          <w:rFonts w:eastAsia="Calibri"/>
          <w:snapToGrid/>
          <w:kern w:val="0"/>
          <w:szCs w:val="22"/>
        </w:rPr>
        <w:t>WT Docket No. 19-348</w:t>
      </w:r>
    </w:p>
    <w:p w:rsidR="00885256" w:rsidRPr="00885256" w:rsidP="00885256" w14:paraId="16144413" w14:textId="77777777">
      <w:pPr>
        <w:widowControl/>
        <w:ind w:left="720" w:hanging="720"/>
        <w:rPr>
          <w:rFonts w:eastAsia="Calibri"/>
          <w:i/>
          <w:iCs/>
          <w:snapToGrid/>
          <w:kern w:val="0"/>
          <w:szCs w:val="22"/>
        </w:rPr>
      </w:pPr>
    </w:p>
    <w:p w:rsidR="00885256" w:rsidRPr="00885256" w:rsidP="00885256" w14:paraId="22843837" w14:textId="77777777">
      <w:pPr>
        <w:widowControl/>
        <w:ind w:firstLine="720"/>
        <w:rPr>
          <w:rFonts w:eastAsia="Calibri"/>
          <w:iCs/>
          <w:snapToGrid/>
          <w:kern w:val="0"/>
          <w:szCs w:val="22"/>
        </w:rPr>
      </w:pPr>
      <w:r w:rsidRPr="00885256">
        <w:rPr>
          <w:rFonts w:eastAsia="Calibri"/>
          <w:iCs/>
          <w:snapToGrid/>
          <w:kern w:val="0"/>
          <w:szCs w:val="22"/>
        </w:rPr>
        <w:t>In March 2018, Congress passed, and the President signed the MOBILE NOW Act.  That law aims to advance American leadership in wireless technologies in several ways.  Among other things, it requires the executive branch to explore sharing of the 3.1-3.55 GHz band between federal operations and commercial wireless services.  Currently, portions of this band are used by the Department of Defense, with some non-federal users offering services on a secondary basis.</w:t>
      </w:r>
    </w:p>
    <w:p w:rsidR="00885256" w:rsidRPr="00885256" w:rsidP="00885256" w14:paraId="456D4902" w14:textId="77777777">
      <w:pPr>
        <w:widowControl/>
        <w:ind w:firstLine="720"/>
        <w:rPr>
          <w:rFonts w:eastAsia="Calibri"/>
          <w:iCs/>
          <w:snapToGrid/>
          <w:kern w:val="0"/>
          <w:szCs w:val="22"/>
        </w:rPr>
      </w:pPr>
    </w:p>
    <w:p w:rsidR="00885256" w:rsidRPr="00885256" w:rsidP="00885256" w14:paraId="0C969FF5" w14:textId="77777777">
      <w:pPr>
        <w:widowControl/>
        <w:ind w:firstLine="720"/>
        <w:rPr>
          <w:rFonts w:eastAsia="Calibri"/>
          <w:iCs/>
          <w:snapToGrid/>
          <w:kern w:val="0"/>
          <w:szCs w:val="22"/>
        </w:rPr>
      </w:pPr>
      <w:r w:rsidRPr="00885256">
        <w:rPr>
          <w:rFonts w:eastAsia="Calibri"/>
          <w:iCs/>
          <w:snapToGrid/>
          <w:kern w:val="0"/>
          <w:szCs w:val="22"/>
        </w:rPr>
        <w:t xml:space="preserve">To prepare the upper portion of the 3.1-3.55 GHz band for the future shared use contemplated by Congress, today we are proposing to remove the existing non-federal secondary radiolocation and amateur allocations in the 3.3-3.55 GHz band and relocate those operations to other frequencies, such as the 3.1-3.3 GHz portion of the band.  Today’s proposal would enable continued use of the spectrum by the Department of Defense, while creating a glidepath for this critical mid-band spectrum to be freed up for 5G.  Clearing the upper 250 megahertz of the band of existing non-federal operations would build upon the Commission’s ongoing work to enable commercial use of spectrum in nearby bands, including the 3.55-3.7 GHz band and the 3.7-4.2 GHz band, commonly called the C-band.  Together, these three bands would make a massive amount of prime mid-band spectrum—as much as 680 megahertz—available for new fixed and mobile wireless services.  </w:t>
      </w:r>
    </w:p>
    <w:p w:rsidR="00885256" w:rsidRPr="00885256" w:rsidP="00885256" w14:paraId="09831F66" w14:textId="77777777">
      <w:pPr>
        <w:widowControl/>
        <w:ind w:firstLine="720"/>
        <w:rPr>
          <w:rFonts w:eastAsia="Calibri"/>
          <w:iCs/>
          <w:snapToGrid/>
          <w:kern w:val="0"/>
          <w:szCs w:val="22"/>
        </w:rPr>
      </w:pPr>
    </w:p>
    <w:p w:rsidR="00885256" w:rsidRPr="00885256" w:rsidP="00885256" w14:paraId="065831AC" w14:textId="77777777">
      <w:pPr>
        <w:widowControl/>
        <w:ind w:firstLine="720"/>
        <w:rPr>
          <w:rFonts w:eastAsia="Calibri"/>
          <w:snapToGrid/>
          <w:kern w:val="0"/>
          <w:szCs w:val="22"/>
        </w:rPr>
      </w:pPr>
      <w:r w:rsidRPr="00885256">
        <w:rPr>
          <w:rFonts w:eastAsia="Calibri"/>
          <w:snapToGrid/>
          <w:kern w:val="0"/>
          <w:szCs w:val="22"/>
        </w:rPr>
        <w:t xml:space="preserve">Our action today is just another example of our comprehensive strategy to free up spectrum for commercial use across the country and advance American leadership in the next generation of wireless connectivity.  We have been aggressive in freeing up mid-band spectrum in particular.  For instance, an auction of the 3.5 GHz band will commence on June 25, 2020.  The Commission is also focused on commencing an auction of 280 MHz of spectrum in the C-band late next year.  And we recently voted to put the 2.5 GHz band—the largest swath of contiguous spectrum in the country below 3 GHz—to use for the American people.  </w:t>
      </w:r>
    </w:p>
    <w:p w:rsidR="00885256" w:rsidRPr="00885256" w:rsidP="00885256" w14:paraId="00764E02" w14:textId="77777777">
      <w:pPr>
        <w:widowControl/>
        <w:ind w:firstLine="720"/>
        <w:rPr>
          <w:rFonts w:eastAsia="Calibri"/>
          <w:snapToGrid/>
          <w:kern w:val="0"/>
          <w:szCs w:val="22"/>
        </w:rPr>
      </w:pPr>
    </w:p>
    <w:p w:rsidR="00885256" w:rsidRPr="00885256" w:rsidP="00885256" w14:paraId="559B50E2" w14:textId="77777777">
      <w:pPr>
        <w:widowControl/>
        <w:ind w:firstLine="720"/>
        <w:rPr>
          <w:rFonts w:eastAsia="Calibri"/>
          <w:snapToGrid/>
          <w:kern w:val="0"/>
          <w:szCs w:val="22"/>
        </w:rPr>
      </w:pPr>
      <w:r w:rsidRPr="00885256">
        <w:rPr>
          <w:rFonts w:eastAsia="Calibri"/>
          <w:snapToGrid/>
          <w:kern w:val="0"/>
          <w:szCs w:val="22"/>
        </w:rPr>
        <w:t xml:space="preserve">In addition to these mid-band efforts, we’ve also been hard at work when it comes to high-band spectrum.  In January, we finished an auction of spectrum in the 28 GHz band.  In May, we concluded an auction of spectrum in the 24 GHz band.  And earlier this week, we launched an auction of 3,400 MHz of spectrum in the upper 37, 39, and 47 GHz bands, which is the largest spectrum auction in American history.   </w:t>
      </w:r>
    </w:p>
    <w:p w:rsidR="00885256" w:rsidRPr="00885256" w:rsidP="00885256" w14:paraId="427AC3BF" w14:textId="77777777">
      <w:pPr>
        <w:widowControl/>
        <w:ind w:firstLine="720"/>
        <w:rPr>
          <w:rFonts w:eastAsia="Calibri"/>
          <w:iCs/>
          <w:snapToGrid/>
          <w:kern w:val="0"/>
          <w:szCs w:val="22"/>
        </w:rPr>
      </w:pPr>
    </w:p>
    <w:p w:rsidR="00885256" w:rsidRPr="00885256" w:rsidP="00885256" w14:paraId="7AB44CED" w14:textId="77777777">
      <w:pPr>
        <w:widowControl/>
        <w:ind w:firstLine="720"/>
        <w:rPr>
          <w:rFonts w:eastAsia="Calibri"/>
          <w:iCs/>
          <w:snapToGrid/>
          <w:kern w:val="0"/>
          <w:szCs w:val="22"/>
        </w:rPr>
      </w:pPr>
      <w:r w:rsidRPr="00885256">
        <w:rPr>
          <w:rFonts w:eastAsia="Calibri"/>
          <w:snapToGrid/>
          <w:kern w:val="0"/>
          <w:szCs w:val="22"/>
        </w:rPr>
        <w:t>None of these accomplishments would be possible without the labors of our talented staff.  And in particular, I would like to thank the following for their work on this item: Jessica Greffenius,</w:t>
      </w:r>
      <w:r w:rsidRPr="00885256">
        <w:rPr>
          <w:rFonts w:eastAsia="Calibri"/>
          <w:iCs/>
          <w:snapToGrid/>
          <w:kern w:val="0"/>
          <w:szCs w:val="22"/>
        </w:rPr>
        <w:t xml:space="preserve"> </w:t>
      </w:r>
      <w:r w:rsidRPr="00885256">
        <w:rPr>
          <w:rFonts w:eastAsia="Calibri"/>
          <w:snapToGrid/>
          <w:kern w:val="0"/>
          <w:szCs w:val="22"/>
        </w:rPr>
        <w:t>Roger Noel, Matthew Pearl, Paul Powell, Milton Price, Jaclyn Rosen, Becky Schwartz, Dana Shaffer, Joshua Smith, Don Stockdale, Scot Stone, and Mary Claire York of the Wireless Telecommunications Bureau; Michael Ha, Julie Knapp, Tom Mooring, Nicholas Oros, and Anthony Serafini of the Office of Engineering and Technology; Chana Wilkerson from the Office of Communications Business Opportunities; and Michael Carlson, David Horowitz, Bill Richardson, and Anjali Singh from the Office of General Counsel.</w:t>
      </w:r>
      <w:bookmarkEnd w:id="480"/>
    </w:p>
    <w:p w:rsidR="00885256" w:rsidP="00885256" w14:paraId="423F7CEF" w14:textId="25EC5D1D">
      <w:pPr>
        <w:pStyle w:val="ParaNum"/>
        <w:widowControl/>
        <w:numPr>
          <w:ilvl w:val="0"/>
          <w:numId w:val="0"/>
        </w:numPr>
      </w:pPr>
    </w:p>
    <w:p w:rsidR="00332A20" w:rsidRPr="00332A20" w:rsidP="00332A20" w14:paraId="1AD5BF4E" w14:textId="77777777">
      <w:pPr>
        <w:jc w:val="center"/>
        <w:rPr>
          <w:rFonts w:eastAsia="Calibri"/>
          <w:b/>
          <w:snapToGrid/>
          <w:kern w:val="0"/>
          <w:szCs w:val="22"/>
        </w:rPr>
      </w:pPr>
      <w:r>
        <w:br w:type="page"/>
      </w:r>
      <w:r w:rsidRPr="00332A20">
        <w:rPr>
          <w:rFonts w:eastAsia="Calibri"/>
          <w:b/>
          <w:snapToGrid/>
          <w:kern w:val="0"/>
          <w:szCs w:val="22"/>
        </w:rPr>
        <w:t xml:space="preserve">STATEMENT OF </w:t>
      </w:r>
    </w:p>
    <w:p w:rsidR="00332A20" w:rsidRPr="00332A20" w:rsidP="00332A20" w14:paraId="1518C34B" w14:textId="77777777">
      <w:pPr>
        <w:widowControl/>
        <w:jc w:val="center"/>
        <w:rPr>
          <w:rFonts w:eastAsia="Calibri"/>
          <w:b/>
          <w:snapToGrid/>
          <w:kern w:val="0"/>
          <w:szCs w:val="22"/>
        </w:rPr>
      </w:pPr>
      <w:r w:rsidRPr="00332A20">
        <w:rPr>
          <w:rFonts w:eastAsia="Calibri"/>
          <w:b/>
          <w:snapToGrid/>
          <w:kern w:val="0"/>
          <w:szCs w:val="22"/>
        </w:rPr>
        <w:t>COMMISSIONER MICHAEL O’RIELLY</w:t>
      </w:r>
    </w:p>
    <w:p w:rsidR="00332A20" w:rsidRPr="00332A20" w:rsidP="00332A20" w14:paraId="7208D14F" w14:textId="77777777">
      <w:pPr>
        <w:widowControl/>
        <w:jc w:val="center"/>
        <w:rPr>
          <w:rFonts w:eastAsia="Calibri"/>
          <w:b/>
          <w:snapToGrid/>
          <w:kern w:val="0"/>
          <w:szCs w:val="22"/>
        </w:rPr>
      </w:pPr>
    </w:p>
    <w:p w:rsidR="00332A20" w:rsidRPr="00332A20" w:rsidP="00332A20" w14:paraId="5752C553" w14:textId="77777777">
      <w:pPr>
        <w:widowControl/>
        <w:ind w:left="720" w:hanging="720"/>
        <w:rPr>
          <w:rFonts w:eastAsia="Calibri"/>
          <w:snapToGrid/>
          <w:kern w:val="0"/>
          <w:szCs w:val="22"/>
        </w:rPr>
      </w:pPr>
      <w:r w:rsidRPr="00332A20">
        <w:rPr>
          <w:rFonts w:eastAsia="Calibri"/>
          <w:snapToGrid/>
          <w:kern w:val="0"/>
          <w:szCs w:val="22"/>
        </w:rPr>
        <w:t>RE:</w:t>
      </w:r>
      <w:r w:rsidRPr="00332A20">
        <w:rPr>
          <w:rFonts w:eastAsia="Calibri"/>
          <w:snapToGrid/>
          <w:kern w:val="0"/>
          <w:szCs w:val="22"/>
        </w:rPr>
        <w:tab/>
      </w:r>
      <w:r w:rsidRPr="00332A20">
        <w:rPr>
          <w:rFonts w:eastAsia="Calibri"/>
          <w:i/>
          <w:snapToGrid/>
          <w:kern w:val="0"/>
          <w:szCs w:val="22"/>
        </w:rPr>
        <w:t xml:space="preserve">Facilitating Shared Use in the 3.1-3.55 GHz Band, </w:t>
      </w:r>
      <w:r w:rsidRPr="00332A20">
        <w:rPr>
          <w:rFonts w:eastAsia="Calibri"/>
          <w:snapToGrid/>
          <w:kern w:val="0"/>
          <w:szCs w:val="22"/>
        </w:rPr>
        <w:t>WT Docket No. 19-348</w:t>
      </w:r>
    </w:p>
    <w:p w:rsidR="00332A20" w:rsidRPr="00332A20" w:rsidP="00332A20" w14:paraId="1D68E449" w14:textId="77777777">
      <w:pPr>
        <w:widowControl/>
        <w:rPr>
          <w:rFonts w:ascii="Calibri" w:eastAsia="Calibri" w:hAnsi="Calibri"/>
          <w:snapToGrid/>
          <w:kern w:val="0"/>
          <w:szCs w:val="22"/>
        </w:rPr>
      </w:pPr>
    </w:p>
    <w:p w:rsidR="00332A20" w:rsidRPr="00332A20" w:rsidP="00332A20" w14:paraId="5C0A83E8" w14:textId="77777777">
      <w:pPr>
        <w:widowControl/>
        <w:ind w:firstLine="720"/>
        <w:rPr>
          <w:rFonts w:eastAsia="Calibri"/>
          <w:snapToGrid/>
          <w:kern w:val="0"/>
          <w:szCs w:val="22"/>
        </w:rPr>
      </w:pPr>
      <w:r w:rsidRPr="00332A20">
        <w:rPr>
          <w:rFonts w:eastAsia="Calibri"/>
          <w:snapToGrid/>
          <w:kern w:val="0"/>
          <w:szCs w:val="22"/>
        </w:rPr>
        <w:t xml:space="preserve">I happily approve today’s notice starting a proceeding to take the initial steps towards opening the 3.1 to 3.55 GHz band for next-generation commercial wireless services.  To realize the true potential of 5G, the Commission will need far more mid-band spectrum than is currently available or already in the pipeline.  Unlike high- and low-band spectrum, the mid bands provide the perfect combination of increased capacity and improved geographic coverage that is ideal for 5G offerings.  It is why it’s been the focus of my spectrum efforts for the last several years.  Because of the greater propagation, the mid bands are considered a crucial input to provide 5G in less populated areas of America where there is unlikely to be a business case for dense millimeter wave deployments. </w:t>
      </w:r>
    </w:p>
    <w:p w:rsidR="00332A20" w:rsidRPr="00332A20" w:rsidP="00332A20" w14:paraId="1A734EC0" w14:textId="77777777">
      <w:pPr>
        <w:widowControl/>
        <w:rPr>
          <w:rFonts w:eastAsia="Calibri"/>
          <w:snapToGrid/>
          <w:kern w:val="0"/>
          <w:szCs w:val="22"/>
        </w:rPr>
      </w:pPr>
    </w:p>
    <w:p w:rsidR="00332A20" w:rsidRPr="00332A20" w:rsidP="00332A20" w14:paraId="54A0CBB4" w14:textId="77777777">
      <w:pPr>
        <w:widowControl/>
        <w:ind w:firstLine="720"/>
        <w:rPr>
          <w:rFonts w:eastAsia="Calibri"/>
          <w:snapToGrid/>
          <w:kern w:val="0"/>
          <w:szCs w:val="22"/>
        </w:rPr>
      </w:pPr>
      <w:r w:rsidRPr="00332A20">
        <w:rPr>
          <w:rFonts w:eastAsia="Calibri"/>
          <w:snapToGrid/>
          <w:kern w:val="0"/>
          <w:szCs w:val="22"/>
        </w:rPr>
        <w:t>Currently, we have general authorized access – or unlicensed-like – 3.5 GHz spectrum available, with priority access licenses being auctioned in June, and C-band scheduled to be auctioned in late 2020.  While this spectrum schedule is great news, we will need even more to meet the needs of all those interested in deploying 5G or other innovative services.  Accordingly, it is imperative that we find additional bandwidth, and the 3.1 to 3.55 GHz frequencies – located adjacent to the 3.5 GHz band – are the best candidate.</w:t>
      </w:r>
    </w:p>
    <w:p w:rsidR="00332A20" w:rsidRPr="00332A20" w:rsidP="00332A20" w14:paraId="37B39BD2" w14:textId="77777777">
      <w:pPr>
        <w:widowControl/>
        <w:rPr>
          <w:rFonts w:eastAsia="Calibri"/>
          <w:snapToGrid/>
          <w:kern w:val="0"/>
          <w:szCs w:val="22"/>
        </w:rPr>
      </w:pPr>
    </w:p>
    <w:p w:rsidR="00332A20" w:rsidRPr="00332A20" w:rsidP="00332A20" w14:paraId="006DA28E" w14:textId="77777777">
      <w:pPr>
        <w:widowControl/>
        <w:ind w:firstLine="720"/>
        <w:rPr>
          <w:rFonts w:eastAsia="Calibri"/>
          <w:snapToGrid/>
          <w:kern w:val="0"/>
          <w:szCs w:val="22"/>
        </w:rPr>
      </w:pPr>
      <w:r w:rsidRPr="00332A20">
        <w:rPr>
          <w:rFonts w:eastAsia="Calibri"/>
          <w:snapToGrid/>
          <w:kern w:val="0"/>
          <w:szCs w:val="22"/>
        </w:rPr>
        <w:t xml:space="preserve">This item starts the fairly benign task of moving the non-federal incumbents out of the 3.3 to 3.55 GHz portion of the band.  And, for those unfamiliar, these are the very same frequencies that other countries are targeting for 5G, with portions of the band already globally harmonized or in the process of being studied for that purpose.  One positive outcome from WRC-19 is that the international community agreed to study the 3.3 to 3.4 GHz band for IMT, so that it would have the same designation as 3.4 to 3.55 GHz, which is mostly harmonized.  As such, I am completely supportive of this item. </w:t>
      </w:r>
    </w:p>
    <w:p w:rsidR="00332A20" w:rsidRPr="00332A20" w:rsidP="00332A20" w14:paraId="0901DE35" w14:textId="77777777">
      <w:pPr>
        <w:widowControl/>
        <w:rPr>
          <w:rFonts w:eastAsia="Calibri"/>
          <w:snapToGrid/>
          <w:kern w:val="0"/>
          <w:szCs w:val="22"/>
        </w:rPr>
      </w:pPr>
    </w:p>
    <w:p w:rsidR="00332A20" w:rsidRPr="00332A20" w:rsidP="00332A20" w14:paraId="27B648B6" w14:textId="77777777">
      <w:pPr>
        <w:widowControl/>
        <w:ind w:firstLine="720"/>
        <w:rPr>
          <w:rFonts w:eastAsia="Calibri"/>
          <w:snapToGrid/>
          <w:kern w:val="0"/>
          <w:szCs w:val="22"/>
        </w:rPr>
      </w:pPr>
      <w:r w:rsidRPr="00332A20">
        <w:rPr>
          <w:rFonts w:eastAsia="Calibri"/>
          <w:snapToGrid/>
          <w:kern w:val="0"/>
          <w:szCs w:val="22"/>
        </w:rPr>
        <w:t xml:space="preserve">At the same time, while we start to relocate non-federal systems, the bigger challenge of the federal incumbent users still remains, which will require considerably more attention and energy.  Consider that Congress identified the 3.1 to 3.55 GHz band numerous times for possible commercial wireless use and ordered NTIA to report on the feasibility of sharing this band by March 2020.  By all accounts, however, they are only studying 3.45 to 3.55 GHz.  This is not what Congress required, and it is even more disappointing because the U.S. Department of Defense (DoD) previously signaled years ago that it would cede this spectrum for commercial purposes, before reversing course and engaging in protracted, unnecessary studies.  I’ve seen comments that DoD disputes this point, but it has been verified multiple times by reputable individuals in the know, so everyone should stop pretending otherwise.  Simply put, this upper 100 megahertz of spectrum should be cleared and repurposed for commercial use immediately. </w:t>
      </w:r>
    </w:p>
    <w:p w:rsidR="00332A20" w:rsidRPr="00332A20" w:rsidP="00332A20" w14:paraId="1710289A" w14:textId="77777777">
      <w:pPr>
        <w:widowControl/>
        <w:rPr>
          <w:rFonts w:eastAsia="Calibri"/>
          <w:snapToGrid/>
          <w:kern w:val="0"/>
          <w:szCs w:val="22"/>
        </w:rPr>
      </w:pPr>
    </w:p>
    <w:p w:rsidR="00332A20" w:rsidRPr="00332A20" w:rsidP="00332A20" w14:paraId="61F259CC" w14:textId="77777777">
      <w:pPr>
        <w:widowControl/>
        <w:ind w:firstLine="720"/>
        <w:rPr>
          <w:rFonts w:eastAsia="Calibri"/>
          <w:snapToGrid/>
          <w:kern w:val="0"/>
          <w:szCs w:val="22"/>
        </w:rPr>
      </w:pPr>
      <w:r w:rsidRPr="00332A20">
        <w:rPr>
          <w:rFonts w:eastAsia="Calibri"/>
          <w:snapToGrid/>
          <w:kern w:val="0"/>
          <w:szCs w:val="22"/>
        </w:rPr>
        <w:t xml:space="preserve">As for the spectrum below 3.45 GHz, work may still have to be completed to determine whether it can be cleared, and, if clearing is not possible, then sharing the spectrum with the federal incumbents must be explored.  Any needed studies should be completed as soon as possible.  We can’t wait for years to figure out how much and where the spectrum is used, what needs to occur to relocate users, or what protection mechanisms need to be put into place.  </w:t>
      </w:r>
    </w:p>
    <w:p w:rsidR="00332A20" w:rsidRPr="00332A20" w:rsidP="00332A20" w14:paraId="296BD1FF" w14:textId="77777777">
      <w:pPr>
        <w:widowControl/>
        <w:rPr>
          <w:rFonts w:eastAsia="Calibri"/>
          <w:snapToGrid/>
          <w:kern w:val="0"/>
          <w:szCs w:val="22"/>
        </w:rPr>
      </w:pPr>
    </w:p>
    <w:p w:rsidR="00332A20" w:rsidRPr="00332A20" w:rsidP="00332A20" w14:paraId="2863EE91" w14:textId="77777777">
      <w:pPr>
        <w:widowControl/>
        <w:ind w:firstLine="720"/>
        <w:rPr>
          <w:rFonts w:eastAsia="Calibri"/>
          <w:snapToGrid/>
          <w:kern w:val="0"/>
          <w:szCs w:val="22"/>
        </w:rPr>
      </w:pPr>
      <w:r w:rsidRPr="00332A20">
        <w:rPr>
          <w:rFonts w:eastAsia="Calibri"/>
          <w:snapToGrid/>
          <w:kern w:val="0"/>
          <w:szCs w:val="22"/>
        </w:rPr>
        <w:t>In this vein, I am slightly disappointed that we do not take this opportunity to move non-federal users out of the lower 200 megahertz, similarly starting the process for introducing next-generation services into 3.1 to 3.3 GHz.  As this is ultimately our intention, it doesn’t make sense to me to consider moving the current non-federal users of the upper portion of the band into the lower portion of this band when it is clear that we must either clear or share that spectrum too.  But, I look forward to reviewing the record as it develops and discussing this issue with interested parties.</w:t>
      </w:r>
    </w:p>
    <w:p w:rsidR="00332A20" w:rsidRPr="00332A20" w:rsidP="00332A20" w14:paraId="1CC3FCBB" w14:textId="77777777">
      <w:pPr>
        <w:widowControl/>
        <w:rPr>
          <w:rFonts w:eastAsia="Calibri"/>
          <w:snapToGrid/>
          <w:kern w:val="0"/>
          <w:szCs w:val="22"/>
        </w:rPr>
      </w:pPr>
    </w:p>
    <w:p w:rsidR="00332A20" w:rsidRPr="00332A20" w:rsidP="00332A20" w14:paraId="25C3536C" w14:textId="77777777">
      <w:pPr>
        <w:widowControl/>
        <w:ind w:firstLine="720"/>
        <w:rPr>
          <w:rFonts w:eastAsia="Calibri"/>
          <w:snapToGrid/>
          <w:kern w:val="0"/>
          <w:szCs w:val="22"/>
        </w:rPr>
      </w:pPr>
      <w:r w:rsidRPr="00332A20">
        <w:rPr>
          <w:rFonts w:eastAsia="Calibri"/>
          <w:snapToGrid/>
          <w:kern w:val="0"/>
          <w:szCs w:val="22"/>
        </w:rPr>
        <w:t>I thank the Chairman for starting the process of repurposing these bands for next-generation wireless services.  In particular, I appreciate his willingness to add language to the draft stating that clearing spectrum is the Commission’s priority and that repurposing the 3.45 to 3.55 band should be a matter of greatest importance.</w:t>
      </w:r>
    </w:p>
    <w:p w:rsidR="00D762FA" w:rsidP="00885256" w14:paraId="26FBD378" w14:textId="54F884C9">
      <w:pPr>
        <w:pStyle w:val="ParaNum"/>
        <w:widowControl/>
        <w:numPr>
          <w:ilvl w:val="0"/>
          <w:numId w:val="0"/>
        </w:numPr>
      </w:pPr>
    </w:p>
    <w:p w:rsidR="00D762FA" w:rsidRPr="00D762FA" w:rsidP="00D762FA" w14:paraId="09AF26F0" w14:textId="77777777">
      <w:pPr>
        <w:jc w:val="center"/>
        <w:rPr>
          <w:rFonts w:eastAsia="Calibri"/>
          <w:b/>
          <w:snapToGrid/>
          <w:kern w:val="0"/>
          <w:szCs w:val="22"/>
        </w:rPr>
      </w:pPr>
      <w:r>
        <w:br w:type="page"/>
      </w:r>
      <w:bookmarkStart w:id="481" w:name="_Hlk23517911"/>
      <w:r w:rsidRPr="00D762FA">
        <w:rPr>
          <w:rFonts w:eastAsia="Calibri"/>
          <w:b/>
          <w:snapToGrid/>
          <w:kern w:val="0"/>
          <w:szCs w:val="22"/>
        </w:rPr>
        <w:t>STATEMENT OF</w:t>
      </w:r>
    </w:p>
    <w:p w:rsidR="00D762FA" w:rsidRPr="00D762FA" w:rsidP="00D762FA" w14:paraId="1F757DE9" w14:textId="77777777">
      <w:pPr>
        <w:widowControl/>
        <w:jc w:val="center"/>
        <w:rPr>
          <w:rFonts w:eastAsia="Calibri"/>
          <w:b/>
          <w:snapToGrid/>
          <w:kern w:val="0"/>
          <w:szCs w:val="22"/>
        </w:rPr>
      </w:pPr>
      <w:r w:rsidRPr="00D762FA">
        <w:rPr>
          <w:rFonts w:eastAsia="Calibri"/>
          <w:b/>
          <w:snapToGrid/>
          <w:kern w:val="0"/>
          <w:szCs w:val="22"/>
        </w:rPr>
        <w:t>COMMISSIONER BRENDAN CARR</w:t>
      </w:r>
    </w:p>
    <w:p w:rsidR="00D762FA" w:rsidRPr="00D762FA" w:rsidP="00D762FA" w14:paraId="796C1A60" w14:textId="77777777">
      <w:pPr>
        <w:widowControl/>
        <w:jc w:val="center"/>
        <w:rPr>
          <w:rFonts w:eastAsia="Calibri"/>
          <w:snapToGrid/>
          <w:kern w:val="0"/>
          <w:szCs w:val="22"/>
        </w:rPr>
      </w:pPr>
    </w:p>
    <w:p w:rsidR="00D762FA" w:rsidRPr="00D762FA" w:rsidP="00D762FA" w14:paraId="433CC0B2" w14:textId="77777777">
      <w:pPr>
        <w:widowControl/>
        <w:ind w:left="720" w:hanging="720"/>
        <w:rPr>
          <w:rFonts w:eastAsia="Calibri"/>
          <w:snapToGrid/>
          <w:kern w:val="0"/>
          <w:szCs w:val="22"/>
        </w:rPr>
      </w:pPr>
      <w:r w:rsidRPr="00D762FA">
        <w:rPr>
          <w:rFonts w:eastAsia="Calibri"/>
          <w:snapToGrid/>
          <w:kern w:val="0"/>
          <w:szCs w:val="22"/>
        </w:rPr>
        <w:t>RE:</w:t>
      </w:r>
      <w:r w:rsidRPr="00D762FA">
        <w:rPr>
          <w:rFonts w:eastAsia="Calibri"/>
          <w:snapToGrid/>
          <w:kern w:val="0"/>
          <w:szCs w:val="22"/>
        </w:rPr>
        <w:tab/>
      </w:r>
      <w:r w:rsidRPr="00D762FA">
        <w:rPr>
          <w:rFonts w:eastAsia="Calibri"/>
          <w:i/>
          <w:snapToGrid/>
          <w:kern w:val="0"/>
          <w:szCs w:val="22"/>
        </w:rPr>
        <w:t xml:space="preserve">Facilitating Shared Use in the 3.1-3.55 GHz Band, </w:t>
      </w:r>
      <w:r w:rsidRPr="00D762FA">
        <w:rPr>
          <w:rFonts w:eastAsia="Calibri"/>
          <w:snapToGrid/>
          <w:kern w:val="0"/>
          <w:szCs w:val="22"/>
        </w:rPr>
        <w:t>WT Docket No. 19-348</w:t>
      </w:r>
    </w:p>
    <w:p w:rsidR="00D762FA" w:rsidRPr="00D762FA" w:rsidP="00D762FA" w14:paraId="0CB95531" w14:textId="77777777">
      <w:pPr>
        <w:widowControl/>
        <w:rPr>
          <w:rFonts w:eastAsia="Calibri"/>
          <w:b/>
          <w:snapToGrid/>
          <w:kern w:val="0"/>
          <w:szCs w:val="22"/>
        </w:rPr>
      </w:pPr>
    </w:p>
    <w:p w:rsidR="00D762FA" w:rsidRPr="00D762FA" w:rsidP="00D762FA" w14:paraId="3D05FB30" w14:textId="77777777">
      <w:pPr>
        <w:widowControl/>
        <w:rPr>
          <w:rFonts w:eastAsia="Calibri"/>
          <w:snapToGrid/>
          <w:kern w:val="0"/>
          <w:szCs w:val="22"/>
        </w:rPr>
      </w:pPr>
      <w:r w:rsidRPr="00D762FA">
        <w:rPr>
          <w:rFonts w:eastAsia="Calibri"/>
          <w:b/>
          <w:snapToGrid/>
          <w:kern w:val="0"/>
          <w:szCs w:val="22"/>
        </w:rPr>
        <w:tab/>
      </w:r>
      <w:bookmarkEnd w:id="481"/>
      <w:r w:rsidRPr="00D762FA">
        <w:rPr>
          <w:rFonts w:eastAsia="Calibri"/>
          <w:snapToGrid/>
          <w:kern w:val="0"/>
          <w:szCs w:val="22"/>
        </w:rPr>
        <w:t xml:space="preserve">In January, I began calling 2019 the “Year of 5G.”  The </w:t>
      </w:r>
      <w:r w:rsidRPr="00D762FA">
        <w:rPr>
          <w:rFonts w:eastAsia="Calibri"/>
          <w:i/>
          <w:snapToGrid/>
          <w:kern w:val="0"/>
          <w:szCs w:val="22"/>
        </w:rPr>
        <w:t>concept</w:t>
      </w:r>
      <w:r w:rsidRPr="00D762FA">
        <w:rPr>
          <w:rFonts w:eastAsia="Calibri"/>
          <w:snapToGrid/>
          <w:kern w:val="0"/>
          <w:szCs w:val="22"/>
        </w:rPr>
        <w:t xml:space="preserve"> of 5G leadership in America did, in fact, go viral.  My </w:t>
      </w:r>
      <w:r w:rsidRPr="00D762FA">
        <w:rPr>
          <w:rFonts w:eastAsia="Calibri"/>
          <w:i/>
          <w:snapToGrid/>
          <w:kern w:val="0"/>
          <w:szCs w:val="22"/>
        </w:rPr>
        <w:t>hashtag</w:t>
      </w:r>
      <w:r w:rsidRPr="00D762FA">
        <w:rPr>
          <w:rFonts w:eastAsia="Calibri"/>
          <w:snapToGrid/>
          <w:kern w:val="0"/>
          <w:szCs w:val="22"/>
        </w:rPr>
        <w:t xml:space="preserve"> #YearOf5G sadly did not.  In my annual pursuit of dominating a very, very particular part of Twitter, today’s item gives me yet another hashtag candidate: The Year of 3 GHz.  That’s because 2020 is shaping up for tremendous action in that band.</w:t>
      </w:r>
    </w:p>
    <w:p w:rsidR="00D762FA" w:rsidRPr="00D762FA" w:rsidP="00D762FA" w14:paraId="298237BB" w14:textId="77777777">
      <w:pPr>
        <w:widowControl/>
        <w:rPr>
          <w:rFonts w:eastAsia="Calibri"/>
          <w:snapToGrid/>
          <w:kern w:val="0"/>
          <w:szCs w:val="22"/>
        </w:rPr>
      </w:pPr>
    </w:p>
    <w:p w:rsidR="00D762FA" w:rsidRPr="00D762FA" w:rsidP="00D762FA" w14:paraId="03A0CBDE" w14:textId="77777777">
      <w:pPr>
        <w:widowControl/>
        <w:rPr>
          <w:rFonts w:eastAsia="Calibri"/>
          <w:snapToGrid/>
          <w:kern w:val="0"/>
          <w:szCs w:val="22"/>
        </w:rPr>
      </w:pPr>
      <w:r w:rsidRPr="00D762FA">
        <w:rPr>
          <w:rFonts w:eastAsia="Calibri"/>
          <w:snapToGrid/>
          <w:kern w:val="0"/>
          <w:szCs w:val="22"/>
        </w:rPr>
        <w:tab/>
        <w:t>At the top of 3 GHz, we are focused on a 2020 auction of C-Band spectrum.  In the middle of the band, we have a 2020 auction of CBRS spectrum lined up.  And here at the bottom of 3 GHz, we are now taking steps that could make available up to 250 MHz of additional spectrum for advanced wireless services, including 5G.</w:t>
      </w:r>
    </w:p>
    <w:p w:rsidR="00D762FA" w:rsidRPr="00D762FA" w:rsidP="00D762FA" w14:paraId="4AB9A956" w14:textId="77777777">
      <w:pPr>
        <w:widowControl/>
        <w:rPr>
          <w:rFonts w:eastAsia="Calibri"/>
          <w:snapToGrid/>
          <w:kern w:val="0"/>
          <w:szCs w:val="22"/>
        </w:rPr>
      </w:pPr>
    </w:p>
    <w:p w:rsidR="00D762FA" w:rsidRPr="00D762FA" w:rsidP="00D762FA" w14:paraId="4FA23018" w14:textId="77777777">
      <w:pPr>
        <w:widowControl/>
        <w:rPr>
          <w:rFonts w:eastAsia="Calibri"/>
          <w:snapToGrid/>
          <w:kern w:val="0"/>
          <w:szCs w:val="22"/>
        </w:rPr>
      </w:pPr>
      <w:r w:rsidRPr="00D762FA">
        <w:rPr>
          <w:rFonts w:eastAsia="Calibri"/>
          <w:snapToGrid/>
          <w:kern w:val="0"/>
          <w:szCs w:val="22"/>
        </w:rPr>
        <w:tab/>
        <w:t>This is an NPRM, so I cannot promise where we will land precisely on all of the questions in 3.1-3.55 GHz—much as I cannot promise just how viral #YearOf3GHz will go.  But I can promise that this Commission will continue our work to free up more spectrum for next-gen applications.</w:t>
      </w:r>
    </w:p>
    <w:p w:rsidR="00D762FA" w:rsidRPr="00D762FA" w:rsidP="00D762FA" w14:paraId="1C1BD91F" w14:textId="77777777">
      <w:pPr>
        <w:widowControl/>
        <w:rPr>
          <w:rFonts w:eastAsia="Calibri"/>
          <w:snapToGrid/>
          <w:kern w:val="0"/>
          <w:szCs w:val="22"/>
        </w:rPr>
      </w:pPr>
    </w:p>
    <w:p w:rsidR="00D762FA" w:rsidRPr="00D762FA" w:rsidP="00D762FA" w14:paraId="736529EA" w14:textId="77777777">
      <w:pPr>
        <w:widowControl/>
        <w:ind w:firstLine="720"/>
        <w:rPr>
          <w:rFonts w:eastAsia="Calibri"/>
          <w:snapToGrid/>
          <w:kern w:val="0"/>
          <w:szCs w:val="22"/>
        </w:rPr>
      </w:pPr>
      <w:r w:rsidRPr="00D762FA">
        <w:rPr>
          <w:rFonts w:eastAsia="Calibri"/>
          <w:snapToGrid/>
          <w:kern w:val="0"/>
          <w:szCs w:val="22"/>
        </w:rPr>
        <w:t>I want to thank the Wireless Bureau for its work on this item.  It has my support.</w:t>
      </w:r>
    </w:p>
    <w:p w:rsidR="00D762FA" w:rsidRPr="00D762FA" w:rsidP="00D762FA" w14:paraId="0B05E3EE" w14:textId="77777777">
      <w:pPr>
        <w:widowControl/>
        <w:ind w:firstLine="720"/>
        <w:rPr>
          <w:rFonts w:eastAsia="Calibri"/>
          <w:snapToGrid/>
          <w:kern w:val="0"/>
          <w:szCs w:val="22"/>
        </w:rPr>
      </w:pPr>
    </w:p>
    <w:p w:rsidR="0010443B" w:rsidP="00885256" w14:paraId="59560B33" w14:textId="1AC6CDA6">
      <w:pPr>
        <w:pStyle w:val="ParaNum"/>
        <w:widowControl/>
        <w:numPr>
          <w:ilvl w:val="0"/>
          <w:numId w:val="0"/>
        </w:numPr>
      </w:pPr>
    </w:p>
    <w:p w:rsidR="002860E6" w:rsidRPr="002860E6" w:rsidP="002860E6" w14:paraId="11335508" w14:textId="77777777">
      <w:pPr>
        <w:jc w:val="center"/>
        <w:rPr>
          <w:rFonts w:eastAsiaTheme="minorHAnsi"/>
          <w:b/>
          <w:bCs/>
          <w:snapToGrid/>
          <w:kern w:val="0"/>
          <w:szCs w:val="22"/>
        </w:rPr>
      </w:pPr>
      <w:r>
        <w:br w:type="page"/>
      </w:r>
      <w:r w:rsidRPr="002860E6">
        <w:rPr>
          <w:rFonts w:eastAsiaTheme="minorHAnsi"/>
          <w:b/>
          <w:bCs/>
          <w:snapToGrid/>
          <w:kern w:val="0"/>
          <w:szCs w:val="22"/>
        </w:rPr>
        <w:t>STATEMENT OF</w:t>
      </w:r>
    </w:p>
    <w:p w:rsidR="002860E6" w:rsidRPr="002860E6" w:rsidP="002860E6" w14:paraId="7951CB5A" w14:textId="77777777">
      <w:pPr>
        <w:widowControl/>
        <w:jc w:val="center"/>
        <w:rPr>
          <w:rFonts w:eastAsiaTheme="minorHAnsi"/>
          <w:b/>
          <w:bCs/>
          <w:snapToGrid/>
          <w:kern w:val="0"/>
          <w:szCs w:val="22"/>
        </w:rPr>
      </w:pPr>
      <w:r w:rsidRPr="002860E6">
        <w:rPr>
          <w:rFonts w:eastAsiaTheme="minorHAnsi"/>
          <w:b/>
          <w:bCs/>
          <w:snapToGrid/>
          <w:kern w:val="0"/>
          <w:szCs w:val="22"/>
        </w:rPr>
        <w:t>COMMISSIONER JESSICA ROSENWORCEL</w:t>
      </w:r>
    </w:p>
    <w:p w:rsidR="002860E6" w:rsidRPr="002860E6" w:rsidP="002860E6" w14:paraId="51F3256B" w14:textId="77777777">
      <w:pPr>
        <w:widowControl/>
        <w:jc w:val="center"/>
        <w:rPr>
          <w:rFonts w:eastAsiaTheme="minorHAnsi"/>
          <w:b/>
          <w:bCs/>
          <w:snapToGrid/>
          <w:kern w:val="0"/>
          <w:szCs w:val="22"/>
        </w:rPr>
      </w:pPr>
    </w:p>
    <w:p w:rsidR="002860E6" w:rsidRPr="002860E6" w:rsidP="002860E6" w14:paraId="77EF5F19" w14:textId="77777777">
      <w:pPr>
        <w:widowControl/>
        <w:ind w:left="720" w:hanging="720"/>
        <w:rPr>
          <w:rFonts w:eastAsiaTheme="minorHAnsi"/>
          <w:snapToGrid/>
          <w:kern w:val="0"/>
          <w:szCs w:val="22"/>
        </w:rPr>
      </w:pPr>
      <w:r w:rsidRPr="002860E6">
        <w:rPr>
          <w:rFonts w:eastAsiaTheme="minorHAnsi"/>
          <w:snapToGrid/>
          <w:kern w:val="0"/>
          <w:szCs w:val="22"/>
        </w:rPr>
        <w:t>RE:</w:t>
      </w:r>
      <w:r w:rsidRPr="002860E6">
        <w:rPr>
          <w:rFonts w:eastAsiaTheme="minorHAnsi"/>
          <w:snapToGrid/>
          <w:kern w:val="0"/>
          <w:szCs w:val="22"/>
        </w:rPr>
        <w:tab/>
      </w:r>
      <w:r w:rsidRPr="002860E6">
        <w:rPr>
          <w:rFonts w:eastAsiaTheme="minorHAnsi"/>
          <w:i/>
          <w:snapToGrid/>
          <w:kern w:val="0"/>
          <w:szCs w:val="22"/>
        </w:rPr>
        <w:t xml:space="preserve">Facilitating Shared Use in the 3.1-3.55 GHz Band, </w:t>
      </w:r>
      <w:r w:rsidRPr="002860E6">
        <w:rPr>
          <w:rFonts w:eastAsiaTheme="minorHAnsi"/>
          <w:snapToGrid/>
          <w:kern w:val="0"/>
          <w:szCs w:val="22"/>
        </w:rPr>
        <w:t>WT Docket No. 19-348</w:t>
      </w:r>
    </w:p>
    <w:p w:rsidR="002860E6" w:rsidRPr="002860E6" w:rsidP="002860E6" w14:paraId="35202B22" w14:textId="77777777">
      <w:pPr>
        <w:widowControl/>
        <w:ind w:firstLine="720"/>
        <w:rPr>
          <w:rFonts w:eastAsiaTheme="minorHAnsi"/>
          <w:snapToGrid/>
          <w:kern w:val="0"/>
          <w:szCs w:val="22"/>
        </w:rPr>
      </w:pPr>
    </w:p>
    <w:p w:rsidR="002860E6" w:rsidRPr="002860E6" w:rsidP="002860E6" w14:paraId="2E23844E" w14:textId="77777777">
      <w:pPr>
        <w:widowControl/>
        <w:ind w:firstLine="720"/>
        <w:rPr>
          <w:rFonts w:eastAsiaTheme="minorHAnsi"/>
          <w:snapToGrid/>
          <w:kern w:val="0"/>
          <w:szCs w:val="22"/>
        </w:rPr>
      </w:pPr>
      <w:r w:rsidRPr="002860E6">
        <w:rPr>
          <w:rFonts w:eastAsiaTheme="minorHAnsi"/>
          <w:snapToGrid/>
          <w:kern w:val="0"/>
          <w:szCs w:val="22"/>
        </w:rPr>
        <w:t>This Notice of Proposed Rulemaking is the kind of forward-looking, proactive effort we need to start freeing up valuable mid-band spectrum for next-generation 5G wireless services.</w:t>
      </w:r>
    </w:p>
    <w:p w:rsidR="002860E6" w:rsidRPr="002860E6" w:rsidP="002860E6" w14:paraId="23976CB8" w14:textId="77777777">
      <w:pPr>
        <w:widowControl/>
        <w:ind w:firstLine="720"/>
        <w:rPr>
          <w:rFonts w:eastAsiaTheme="minorHAnsi"/>
          <w:snapToGrid/>
          <w:kern w:val="0"/>
          <w:szCs w:val="22"/>
        </w:rPr>
      </w:pPr>
    </w:p>
    <w:p w:rsidR="002860E6" w:rsidRPr="002860E6" w:rsidP="002860E6" w14:paraId="03329428" w14:textId="77777777">
      <w:pPr>
        <w:widowControl/>
        <w:ind w:firstLine="720"/>
        <w:rPr>
          <w:rFonts w:eastAsiaTheme="minorHAnsi"/>
          <w:snapToGrid/>
          <w:kern w:val="0"/>
          <w:szCs w:val="22"/>
        </w:rPr>
      </w:pPr>
      <w:r w:rsidRPr="002860E6">
        <w:rPr>
          <w:rFonts w:eastAsiaTheme="minorHAnsi"/>
          <w:snapToGrid/>
          <w:kern w:val="0"/>
          <w:szCs w:val="22"/>
        </w:rPr>
        <w:t xml:space="preserve">In it, we recognize that our federal partners at the National Telecommunications and Information Administration actively are studying opportunities to make the 3.1-3.55 GHz band available for 5G use.  But rather than sitting on our hands while that work is being done, we are here today getting a head start.  We are taking steps to clean up our own house so that when the time is right we can move quickly to repurpose some or all of this band for new uses.  To this end, today’s rulemaking asks questions about removing non-federal, secondary allocations and relocating incumbent users.  This is the preliminary stuff.  The truth is we have a long way to go before this set of airwaves can be opened for 5G.  Still, this effort is a small step in the right direction and it has my support.  </w:t>
      </w:r>
    </w:p>
    <w:p w:rsidR="002860E6" w:rsidRPr="002860E6" w:rsidP="002860E6" w14:paraId="466A76AE" w14:textId="77777777">
      <w:pPr>
        <w:widowControl/>
        <w:ind w:firstLine="720"/>
        <w:rPr>
          <w:rFonts w:eastAsiaTheme="minorHAnsi"/>
          <w:snapToGrid/>
          <w:kern w:val="0"/>
          <w:szCs w:val="22"/>
        </w:rPr>
      </w:pPr>
    </w:p>
    <w:p w:rsidR="002860E6" w:rsidRPr="002860E6" w:rsidP="002860E6" w14:paraId="7D57DB3C" w14:textId="77777777">
      <w:pPr>
        <w:widowControl/>
        <w:rPr>
          <w:rFonts w:eastAsiaTheme="minorHAnsi"/>
          <w:snapToGrid/>
          <w:kern w:val="0"/>
          <w:szCs w:val="22"/>
        </w:rPr>
      </w:pPr>
      <w:r w:rsidRPr="002860E6">
        <w:rPr>
          <w:rFonts w:eastAsiaTheme="minorHAnsi"/>
          <w:snapToGrid/>
          <w:kern w:val="0"/>
          <w:szCs w:val="22"/>
        </w:rPr>
        <w:tab/>
        <w:t>When it comes to mid-band spectrum for 5G I think one thing is clear: we need to move more and move faster.</w:t>
      </w:r>
    </w:p>
    <w:p w:rsidR="002860E6" w:rsidRPr="002860E6" w:rsidP="002860E6" w14:paraId="2E827E77" w14:textId="77777777">
      <w:pPr>
        <w:widowControl/>
        <w:rPr>
          <w:rFonts w:eastAsiaTheme="minorHAnsi"/>
          <w:snapToGrid/>
          <w:kern w:val="0"/>
          <w:szCs w:val="22"/>
        </w:rPr>
      </w:pPr>
    </w:p>
    <w:p w:rsidR="002860E6" w:rsidRPr="002860E6" w:rsidP="002860E6" w14:paraId="5F3A63D6" w14:textId="77777777">
      <w:pPr>
        <w:widowControl/>
        <w:rPr>
          <w:rFonts w:eastAsiaTheme="minorHAnsi"/>
          <w:snapToGrid/>
          <w:kern w:val="0"/>
          <w:szCs w:val="22"/>
        </w:rPr>
      </w:pPr>
      <w:r w:rsidRPr="002860E6">
        <w:rPr>
          <w:rFonts w:eastAsiaTheme="minorHAnsi"/>
          <w:snapToGrid/>
          <w:kern w:val="0"/>
          <w:szCs w:val="22"/>
        </w:rPr>
        <w:tab/>
        <w:t>That’s why when the agency started a proceeding to slow down plans to bring mid-band spectrum in the 3.5 GHz band to auction, I dissented.</w:t>
      </w:r>
    </w:p>
    <w:p w:rsidR="002860E6" w:rsidRPr="002860E6" w:rsidP="002860E6" w14:paraId="5E14E2F4" w14:textId="77777777">
      <w:pPr>
        <w:widowControl/>
        <w:rPr>
          <w:rFonts w:eastAsiaTheme="minorHAnsi"/>
          <w:snapToGrid/>
          <w:kern w:val="0"/>
          <w:szCs w:val="22"/>
        </w:rPr>
      </w:pPr>
    </w:p>
    <w:p w:rsidR="002860E6" w:rsidRPr="002860E6" w:rsidP="002860E6" w14:paraId="62539F27" w14:textId="77777777">
      <w:pPr>
        <w:widowControl/>
        <w:rPr>
          <w:rFonts w:eastAsiaTheme="minorHAnsi"/>
          <w:snapToGrid/>
          <w:kern w:val="0"/>
          <w:szCs w:val="22"/>
        </w:rPr>
      </w:pPr>
      <w:r w:rsidRPr="002860E6">
        <w:rPr>
          <w:rFonts w:eastAsiaTheme="minorHAnsi"/>
          <w:snapToGrid/>
          <w:kern w:val="0"/>
          <w:szCs w:val="22"/>
        </w:rPr>
        <w:tab/>
        <w:t>It’s why when the agency passed up an opportunity to reimagine the 2.5 GHz band for 5G and instead opted for a messy and limited auction instead, I dissented.</w:t>
      </w:r>
    </w:p>
    <w:p w:rsidR="002860E6" w:rsidRPr="002860E6" w:rsidP="002860E6" w14:paraId="3D0D8651" w14:textId="77777777">
      <w:pPr>
        <w:widowControl/>
        <w:rPr>
          <w:rFonts w:eastAsiaTheme="minorHAnsi"/>
          <w:snapToGrid/>
          <w:kern w:val="0"/>
          <w:szCs w:val="22"/>
        </w:rPr>
      </w:pPr>
    </w:p>
    <w:p w:rsidR="002860E6" w:rsidRPr="002860E6" w:rsidP="002860E6" w14:paraId="4AE6A186" w14:textId="77777777">
      <w:pPr>
        <w:widowControl/>
        <w:rPr>
          <w:rFonts w:eastAsiaTheme="minorHAnsi"/>
          <w:snapToGrid/>
          <w:kern w:val="0"/>
          <w:szCs w:val="22"/>
        </w:rPr>
      </w:pPr>
      <w:r w:rsidRPr="002860E6">
        <w:rPr>
          <w:rFonts w:eastAsiaTheme="minorHAnsi"/>
          <w:snapToGrid/>
          <w:kern w:val="0"/>
          <w:szCs w:val="22"/>
        </w:rPr>
        <w:tab/>
        <w:t>It’s why when the agency prioritized auctioning its third, fourth, and fifth millimeter wave bands this year before what could have been its very first mid-band auction, I dissented.</w:t>
      </w:r>
    </w:p>
    <w:p w:rsidR="002860E6" w:rsidRPr="002860E6" w:rsidP="002860E6" w14:paraId="0CCF7231" w14:textId="77777777">
      <w:pPr>
        <w:widowControl/>
        <w:rPr>
          <w:rFonts w:eastAsiaTheme="minorHAnsi"/>
          <w:snapToGrid/>
          <w:kern w:val="0"/>
          <w:szCs w:val="22"/>
        </w:rPr>
      </w:pPr>
    </w:p>
    <w:p w:rsidR="002860E6" w:rsidRPr="002860E6" w:rsidP="002860E6" w14:paraId="0D5C737B" w14:textId="77777777">
      <w:pPr>
        <w:widowControl/>
        <w:rPr>
          <w:rFonts w:eastAsiaTheme="minorHAnsi"/>
          <w:snapToGrid/>
          <w:kern w:val="0"/>
          <w:szCs w:val="22"/>
        </w:rPr>
      </w:pPr>
      <w:r w:rsidRPr="002860E6">
        <w:rPr>
          <w:rFonts w:eastAsiaTheme="minorHAnsi"/>
          <w:snapToGrid/>
          <w:kern w:val="0"/>
          <w:szCs w:val="22"/>
        </w:rPr>
        <w:tab/>
        <w:t>And it’s why when the agency started a rulemaking on the C-band, I suggested that if we wanted to avoid delay we should include Congress in our work—but that too was ignored and now we are paying for it in lost time and fresh ambiguities about authority.</w:t>
      </w:r>
    </w:p>
    <w:p w:rsidR="002860E6" w:rsidRPr="002860E6" w:rsidP="002860E6" w14:paraId="2EC6F992" w14:textId="77777777">
      <w:pPr>
        <w:widowControl/>
        <w:rPr>
          <w:rFonts w:eastAsiaTheme="minorHAnsi"/>
          <w:snapToGrid/>
          <w:kern w:val="0"/>
          <w:szCs w:val="22"/>
        </w:rPr>
      </w:pPr>
    </w:p>
    <w:p w:rsidR="002860E6" w:rsidRPr="002860E6" w:rsidP="002860E6" w14:paraId="22611F3F" w14:textId="77777777">
      <w:pPr>
        <w:widowControl/>
        <w:rPr>
          <w:rFonts w:eastAsiaTheme="minorHAnsi"/>
          <w:snapToGrid/>
          <w:kern w:val="0"/>
          <w:szCs w:val="22"/>
        </w:rPr>
      </w:pPr>
      <w:r w:rsidRPr="002860E6">
        <w:rPr>
          <w:rFonts w:eastAsiaTheme="minorHAnsi"/>
          <w:snapToGrid/>
          <w:kern w:val="0"/>
          <w:szCs w:val="22"/>
        </w:rPr>
        <w:tab/>
        <w:t>Here’s the truth.  If you survey these proceedings you will see that our spectrum policies are increasingly divorced from the realities on the ground in the United States and the priorities in the rest of the world—and this has consequences for our wireless leadership, digital divide, and national security.</w:t>
      </w:r>
    </w:p>
    <w:p w:rsidR="002860E6" w:rsidRPr="002860E6" w:rsidP="002860E6" w14:paraId="02F87920" w14:textId="77777777">
      <w:pPr>
        <w:widowControl/>
        <w:rPr>
          <w:rFonts w:eastAsiaTheme="minorHAnsi"/>
          <w:snapToGrid/>
          <w:kern w:val="0"/>
          <w:szCs w:val="22"/>
        </w:rPr>
      </w:pPr>
    </w:p>
    <w:p w:rsidR="002860E6" w:rsidRPr="002860E6" w:rsidP="002860E6" w14:paraId="114B6DCF" w14:textId="77777777">
      <w:pPr>
        <w:widowControl/>
        <w:rPr>
          <w:rFonts w:eastAsiaTheme="minorHAnsi"/>
          <w:snapToGrid/>
          <w:kern w:val="0"/>
          <w:szCs w:val="22"/>
        </w:rPr>
      </w:pPr>
      <w:r w:rsidRPr="002860E6">
        <w:rPr>
          <w:rFonts w:eastAsiaTheme="minorHAnsi"/>
          <w:snapToGrid/>
          <w:kern w:val="0"/>
          <w:szCs w:val="22"/>
        </w:rPr>
        <w:tab/>
        <w:t>If you want evidence, you don’t need to take my word for it.  Earlier this year the Defense Innovation Board—the United States military’s premier advisory board of academic researchers and private sector technologists—surveyed the state of next-generation 5G networks and issued a sober warning.  They found that “the country that owns 5G will own innovations and set the standards for the rest of the world,” and “that country is currently not likely to be the United States.”</w:t>
      </w:r>
    </w:p>
    <w:p w:rsidR="002860E6" w:rsidRPr="002860E6" w:rsidP="002860E6" w14:paraId="15C065FC" w14:textId="77777777">
      <w:pPr>
        <w:widowControl/>
        <w:rPr>
          <w:rFonts w:eastAsiaTheme="minorHAnsi"/>
          <w:snapToGrid/>
          <w:kern w:val="0"/>
          <w:szCs w:val="22"/>
        </w:rPr>
      </w:pPr>
    </w:p>
    <w:p w:rsidR="002860E6" w:rsidRPr="002860E6" w:rsidP="002860E6" w14:paraId="11153F7A" w14:textId="77777777">
      <w:pPr>
        <w:widowControl/>
        <w:rPr>
          <w:rFonts w:eastAsiaTheme="minorHAnsi"/>
          <w:snapToGrid/>
          <w:kern w:val="0"/>
          <w:szCs w:val="22"/>
        </w:rPr>
      </w:pPr>
      <w:r w:rsidRPr="002860E6">
        <w:rPr>
          <w:rFonts w:eastAsiaTheme="minorHAnsi"/>
          <w:snapToGrid/>
          <w:kern w:val="0"/>
          <w:szCs w:val="22"/>
        </w:rPr>
        <w:tab/>
        <w:t>Why is that?  Our failure to move fast on mid-band spectrum.  As the experts on the board stated, “the FCC is currently prioritizing mmWave over sub-6 mid-band spectrum . . . but this is a fundamentally flawed focus.”</w:t>
      </w:r>
    </w:p>
    <w:p w:rsidR="002860E6" w:rsidRPr="002860E6" w:rsidP="002860E6" w14:paraId="7730F75F" w14:textId="77777777">
      <w:pPr>
        <w:widowControl/>
        <w:rPr>
          <w:rFonts w:eastAsiaTheme="minorHAnsi"/>
          <w:snapToGrid/>
          <w:kern w:val="0"/>
          <w:szCs w:val="22"/>
        </w:rPr>
      </w:pPr>
    </w:p>
    <w:p w:rsidR="002860E6" w:rsidRPr="002860E6" w:rsidP="002860E6" w14:paraId="2C8EDF5D" w14:textId="77777777">
      <w:pPr>
        <w:widowControl/>
        <w:rPr>
          <w:rFonts w:eastAsiaTheme="minorHAnsi"/>
          <w:snapToGrid/>
          <w:kern w:val="0"/>
          <w:szCs w:val="22"/>
        </w:rPr>
      </w:pPr>
      <w:r w:rsidRPr="002860E6">
        <w:rPr>
          <w:rFonts w:eastAsiaTheme="minorHAnsi"/>
          <w:snapToGrid/>
          <w:kern w:val="0"/>
          <w:szCs w:val="22"/>
        </w:rPr>
        <w:tab/>
        <w:t xml:space="preserve">They’re right.  To date the Federal Communications Commission has focused its early efforts to support 5G wireless service by bringing only high-band spectrum to market.  The rest of the world does not share this singular, early focus on high-band, millimeter wave airwaves.  In fact, at least sixteen countries have already auctioned mid-band spectrum specifically for the provision of 5G wireless services.  They include Australia, Finland, Germany, Italy, Ireland, Japan, Kuwait, Latvia, Mexico, Oman, Qatar, Saudi Arabia, South Korea, Spain, the United Arab Emirates, and the United Kingdom.  In addition, China allocated mid-band spectrum for 5G use last year.  </w:t>
      </w:r>
    </w:p>
    <w:p w:rsidR="002860E6" w:rsidRPr="002860E6" w:rsidP="002860E6" w14:paraId="001BC356" w14:textId="77777777">
      <w:pPr>
        <w:widowControl/>
        <w:rPr>
          <w:rFonts w:eastAsiaTheme="minorHAnsi"/>
          <w:snapToGrid/>
          <w:kern w:val="0"/>
          <w:szCs w:val="22"/>
        </w:rPr>
      </w:pPr>
    </w:p>
    <w:p w:rsidR="002860E6" w:rsidRPr="002860E6" w:rsidP="002860E6" w14:paraId="442177D5" w14:textId="77777777">
      <w:pPr>
        <w:widowControl/>
        <w:rPr>
          <w:rFonts w:eastAsiaTheme="minorHAnsi"/>
          <w:snapToGrid/>
          <w:kern w:val="0"/>
          <w:szCs w:val="22"/>
        </w:rPr>
      </w:pPr>
      <w:r w:rsidRPr="002860E6">
        <w:rPr>
          <w:rFonts w:eastAsiaTheme="minorHAnsi"/>
          <w:snapToGrid/>
          <w:kern w:val="0"/>
          <w:szCs w:val="22"/>
        </w:rPr>
        <w:tab/>
        <w:t>But in the United States, we have yet to auction a single swath of mid-band spectrum.  To date, we have brought exactly zero megahertz of mid-band airwaves to market in the 5G era.  Rather than recognize this reality, this agency has simply insisted that all bands matter and all is well.  But that is clearly not the case when you look at efforts abroad or right here at home where our carriers are chomping at the bit for mid-band resources.</w:t>
      </w:r>
    </w:p>
    <w:p w:rsidR="002860E6" w:rsidRPr="002860E6" w:rsidP="002860E6" w14:paraId="52FF0C0F" w14:textId="77777777">
      <w:pPr>
        <w:widowControl/>
        <w:rPr>
          <w:rFonts w:eastAsiaTheme="minorHAnsi"/>
          <w:snapToGrid/>
          <w:kern w:val="0"/>
          <w:szCs w:val="22"/>
        </w:rPr>
      </w:pPr>
    </w:p>
    <w:p w:rsidR="002860E6" w:rsidRPr="002860E6" w:rsidP="002860E6" w14:paraId="1D7E6FF9" w14:textId="77777777">
      <w:pPr>
        <w:widowControl/>
        <w:rPr>
          <w:rFonts w:eastAsiaTheme="minorHAnsi"/>
          <w:snapToGrid/>
          <w:kern w:val="0"/>
          <w:szCs w:val="22"/>
        </w:rPr>
      </w:pPr>
      <w:r w:rsidRPr="002860E6">
        <w:rPr>
          <w:rFonts w:eastAsiaTheme="minorHAnsi"/>
          <w:snapToGrid/>
          <w:kern w:val="0"/>
          <w:szCs w:val="22"/>
        </w:rPr>
        <w:tab/>
        <w:t>So today’s effort to identify non-federal, secondary allocations in one swath of mid-band airwaves has benefits, but it’s not enough.  Because the evidence demonstrates very clearly that for too long the United States has been alone in its mission to make millimeter wave the center of our early 5G approach.  This is a problem.  It means we could find ourselves on the sidelines as mid-band spectrum becomes the core of worldwide 5G service.  That means less scale, higher costs, and interoperability challenges.  It also means—as I noted upfront—new challenges for national security, the digital divide, and our wireless leadership.</w:t>
      </w:r>
    </w:p>
    <w:p w:rsidR="002860E6" w:rsidRPr="002860E6" w:rsidP="002860E6" w14:paraId="169A52BD" w14:textId="77777777">
      <w:pPr>
        <w:widowControl/>
        <w:rPr>
          <w:rFonts w:eastAsiaTheme="minorHAnsi"/>
          <w:snapToGrid/>
          <w:kern w:val="0"/>
          <w:szCs w:val="22"/>
        </w:rPr>
      </w:pPr>
    </w:p>
    <w:p w:rsidR="002860E6" w:rsidRPr="002860E6" w:rsidP="002860E6" w14:paraId="3964E7BD" w14:textId="77777777">
      <w:pPr>
        <w:widowControl/>
        <w:rPr>
          <w:rFonts w:eastAsiaTheme="minorHAnsi"/>
          <w:snapToGrid/>
          <w:kern w:val="0"/>
          <w:szCs w:val="22"/>
        </w:rPr>
      </w:pPr>
      <w:r w:rsidRPr="002860E6">
        <w:rPr>
          <w:rFonts w:eastAsiaTheme="minorHAnsi"/>
          <w:snapToGrid/>
          <w:kern w:val="0"/>
          <w:szCs w:val="22"/>
        </w:rPr>
        <w:tab/>
        <w:t>First, national security.  Just over a month ago I testified before the Senate Committee on Homeland Security and Governmental Affairs that the most important step the United States can take to secure its networks in the short term is to make more mid-band spectrum available.  Right now, in many of these airwaves worldwide there is only one Chinese vendor offering equipment.  That means countries that are already building their 5G networks using mid-band spectrum do not have a competitive choice for secure equipment.  But in the United States we have unique skill and scale.  When deployment takes place here, vendors follow.  And when we expand the market for secure equipment at home, it also grows abroad.  On the heels of this hearing, the bipartisan leadership of the Senate Committees on Homeland Security and Government Affairs, Intelligence, Foreign Affairs, and Armed Services wrote the White House about this kind of problem and the lack of a national plan for 5G and security. They say we need one.  They’re right.</w:t>
      </w:r>
    </w:p>
    <w:p w:rsidR="002860E6" w:rsidRPr="002860E6" w:rsidP="002860E6" w14:paraId="6F1B17A6" w14:textId="77777777">
      <w:pPr>
        <w:widowControl/>
        <w:rPr>
          <w:rFonts w:eastAsiaTheme="minorHAnsi"/>
          <w:snapToGrid/>
          <w:kern w:val="0"/>
          <w:szCs w:val="22"/>
        </w:rPr>
      </w:pPr>
    </w:p>
    <w:p w:rsidR="002860E6" w:rsidRPr="002860E6" w:rsidP="002860E6" w14:paraId="7D671AE9" w14:textId="77777777">
      <w:pPr>
        <w:widowControl/>
        <w:rPr>
          <w:rFonts w:eastAsiaTheme="minorHAnsi"/>
          <w:snapToGrid/>
          <w:kern w:val="0"/>
          <w:szCs w:val="22"/>
        </w:rPr>
      </w:pPr>
      <w:r w:rsidRPr="002860E6">
        <w:rPr>
          <w:rFonts w:eastAsiaTheme="minorHAnsi"/>
          <w:snapToGrid/>
          <w:kern w:val="0"/>
          <w:szCs w:val="22"/>
        </w:rPr>
        <w:tab/>
        <w:t>Second, the digital divide.  Making millimeter wave spectrum the focus of our early 5G efforts is deepening the divide between rural and urban America.  Recent commercial launches of 5G service in the United States using these airwaves are confirming what we already know—that commercializing millimeter wave will not be easy, given its propagation challenges.  The network densification these airwaves require is costly, and this makes it unsuitable for rural areas.  So if we want to serve everywhere in this country—and not create communities of 5G haves and have-nots—we need mid-band airwaves that provide both coverage and capacity, and we need them now.  But just this week, the FCC kicked off yet another high-band spectrum auction.  This one has a record-setting 3,400 megahertz of spectrum that will again largely only provide capacity opportunities in urban America.  So I’ll say it again.  There is simply no reason we should be auctioning the 37, 39, and 47 GHz bands now before a mid-band auction of the 3.5 GHz band.</w:t>
      </w:r>
    </w:p>
    <w:p w:rsidR="002860E6" w:rsidRPr="002860E6" w:rsidP="002860E6" w14:paraId="77805427" w14:textId="77777777">
      <w:pPr>
        <w:widowControl/>
        <w:rPr>
          <w:rFonts w:eastAsiaTheme="minorHAnsi"/>
          <w:snapToGrid/>
          <w:kern w:val="0"/>
          <w:szCs w:val="22"/>
        </w:rPr>
      </w:pPr>
    </w:p>
    <w:p w:rsidR="002860E6" w:rsidRPr="002860E6" w:rsidP="002860E6" w14:paraId="11295195" w14:textId="77777777">
      <w:pPr>
        <w:widowControl/>
        <w:rPr>
          <w:rFonts w:eastAsiaTheme="minorHAnsi"/>
          <w:snapToGrid/>
          <w:kern w:val="0"/>
          <w:szCs w:val="22"/>
        </w:rPr>
      </w:pPr>
      <w:r w:rsidRPr="002860E6">
        <w:rPr>
          <w:rFonts w:eastAsiaTheme="minorHAnsi"/>
          <w:snapToGrid/>
          <w:kern w:val="0"/>
          <w:szCs w:val="22"/>
        </w:rPr>
        <w:tab/>
        <w:t xml:space="preserve">Third and finally, we are ceding international leadership when it comes to 5G.  The findings of the Defense Innovation Board made it clear that we chose the wrong road in the race to 5G.  We headed out with an exclusive focus on millimeter wave and got left behind by other nations that took action early on mid-band airwaves.  It’s time to correct course.  We need to do it with urgency.  </w:t>
      </w:r>
    </w:p>
    <w:p w:rsidR="002860E6" w:rsidRPr="002860E6" w:rsidP="002860E6" w14:paraId="792B8CE1" w14:textId="77777777">
      <w:pPr>
        <w:widowControl/>
        <w:rPr>
          <w:rFonts w:eastAsiaTheme="minorHAnsi"/>
          <w:snapToGrid/>
          <w:kern w:val="0"/>
          <w:szCs w:val="22"/>
        </w:rPr>
      </w:pPr>
    </w:p>
    <w:p w:rsidR="002860E6" w:rsidRPr="002860E6" w:rsidP="002860E6" w14:paraId="16C88615" w14:textId="77777777">
      <w:pPr>
        <w:widowControl/>
        <w:rPr>
          <w:rFonts w:eastAsiaTheme="minorHAnsi"/>
          <w:snapToGrid/>
          <w:kern w:val="0"/>
          <w:szCs w:val="22"/>
        </w:rPr>
      </w:pPr>
      <w:r w:rsidRPr="002860E6">
        <w:rPr>
          <w:rFonts w:eastAsiaTheme="minorHAnsi"/>
          <w:snapToGrid/>
          <w:kern w:val="0"/>
          <w:szCs w:val="22"/>
        </w:rPr>
        <w:tab/>
        <w:t xml:space="preserve">I worry that we don’t have that sense of urgency.  The plea to the White House from the bipartisan leadership of the Senate Committees on Homeland Security and Government Affairs, Intelligence, Foreign Affairs, and Armed Services has gone unanswered.  We still don’t have a national plan for 5G and security.  We still don’t have a national spectrum strategy.  This was the subject of an Executive Order last year and a national spectrum plan was due back in July.  And this agency still hasn’t held an auction of mid-band spectrum in the 5G era.   </w:t>
      </w:r>
    </w:p>
    <w:p w:rsidR="002860E6" w:rsidRPr="002860E6" w:rsidP="002860E6" w14:paraId="25CC8E4D" w14:textId="77777777">
      <w:pPr>
        <w:widowControl/>
        <w:rPr>
          <w:rFonts w:eastAsiaTheme="minorHAnsi"/>
          <w:snapToGrid/>
          <w:kern w:val="0"/>
          <w:szCs w:val="22"/>
        </w:rPr>
      </w:pPr>
    </w:p>
    <w:p w:rsidR="002860E6" w:rsidRPr="002860E6" w:rsidP="002860E6" w14:paraId="337BDC11" w14:textId="77777777">
      <w:pPr>
        <w:widowControl/>
        <w:rPr>
          <w:rFonts w:eastAsiaTheme="minorHAnsi"/>
          <w:snapToGrid/>
          <w:kern w:val="0"/>
          <w:szCs w:val="22"/>
        </w:rPr>
      </w:pPr>
      <w:r w:rsidRPr="002860E6">
        <w:rPr>
          <w:rFonts w:eastAsiaTheme="minorHAnsi"/>
          <w:snapToGrid/>
          <w:kern w:val="0"/>
          <w:szCs w:val="22"/>
        </w:rPr>
        <w:tab/>
        <w:t xml:space="preserve">These are challenges.  We need to own up to them.  Because if we want to secure global leadership, solve the digital divide, and secure our networks for the next generation, we have serious work to do. </w:t>
      </w:r>
    </w:p>
    <w:p w:rsidR="002860E6" w:rsidRPr="002860E6" w:rsidP="002860E6" w14:paraId="31B64594" w14:textId="77777777">
      <w:pPr>
        <w:widowControl/>
        <w:rPr>
          <w:rFonts w:eastAsiaTheme="minorHAnsi"/>
          <w:snapToGrid/>
          <w:kern w:val="0"/>
          <w:szCs w:val="22"/>
        </w:rPr>
      </w:pPr>
    </w:p>
    <w:p w:rsidR="002860E6" w:rsidRPr="002860E6" w:rsidP="002860E6" w14:paraId="38980A98" w14:textId="77777777">
      <w:pPr>
        <w:widowControl/>
        <w:rPr>
          <w:rFonts w:eastAsiaTheme="minorHAnsi"/>
          <w:snapToGrid/>
          <w:kern w:val="0"/>
          <w:szCs w:val="22"/>
        </w:rPr>
      </w:pPr>
      <w:r w:rsidRPr="002860E6">
        <w:rPr>
          <w:rFonts w:eastAsiaTheme="minorHAnsi"/>
          <w:snapToGrid/>
          <w:kern w:val="0"/>
          <w:szCs w:val="22"/>
        </w:rPr>
        <w:tab/>
        <w:t xml:space="preserve"> </w:t>
      </w:r>
    </w:p>
    <w:p w:rsidR="002860E6" w:rsidRPr="002860E6" w:rsidP="002860E6" w14:paraId="3BDB3C2A" w14:textId="77777777">
      <w:pPr>
        <w:widowControl/>
        <w:ind w:firstLine="720"/>
        <w:rPr>
          <w:rFonts w:eastAsiaTheme="minorHAnsi"/>
          <w:snapToGrid/>
          <w:kern w:val="0"/>
          <w:szCs w:val="22"/>
        </w:rPr>
      </w:pPr>
    </w:p>
    <w:p w:rsidR="002860E6" w:rsidP="00885256" w14:paraId="38BF37A7" w14:textId="2B0A0280">
      <w:pPr>
        <w:pStyle w:val="ParaNum"/>
        <w:widowControl/>
        <w:numPr>
          <w:ilvl w:val="0"/>
          <w:numId w:val="0"/>
        </w:numPr>
      </w:pPr>
    </w:p>
    <w:p w:rsidR="00E75D21" w:rsidRPr="00E75D21" w:rsidP="00E75D21" w14:paraId="31575BEF" w14:textId="77777777">
      <w:pPr>
        <w:jc w:val="center"/>
        <w:rPr>
          <w:rFonts w:eastAsia="Calibri"/>
          <w:b/>
          <w:snapToGrid/>
          <w:kern w:val="0"/>
          <w:szCs w:val="22"/>
        </w:rPr>
      </w:pPr>
      <w:r>
        <w:br w:type="page"/>
      </w:r>
      <w:r w:rsidRPr="00E75D21">
        <w:rPr>
          <w:rFonts w:eastAsia="Calibri"/>
          <w:b/>
          <w:snapToGrid/>
          <w:kern w:val="0"/>
          <w:szCs w:val="22"/>
        </w:rPr>
        <w:t xml:space="preserve">STATEMENT OF </w:t>
      </w:r>
    </w:p>
    <w:p w:rsidR="00E75D21" w:rsidRPr="00E75D21" w:rsidP="00E75D21" w14:paraId="7F6EA115" w14:textId="77777777">
      <w:pPr>
        <w:widowControl/>
        <w:jc w:val="center"/>
        <w:rPr>
          <w:rFonts w:eastAsia="Calibri"/>
          <w:b/>
          <w:snapToGrid/>
          <w:kern w:val="0"/>
          <w:szCs w:val="22"/>
        </w:rPr>
      </w:pPr>
      <w:r w:rsidRPr="00E75D21">
        <w:rPr>
          <w:rFonts w:eastAsia="Calibri"/>
          <w:b/>
          <w:snapToGrid/>
          <w:kern w:val="0"/>
          <w:szCs w:val="22"/>
        </w:rPr>
        <w:t xml:space="preserve">COMMISSIONER GEOFFREY STARKS </w:t>
      </w:r>
    </w:p>
    <w:p w:rsidR="00E75D21" w:rsidRPr="00E75D21" w:rsidP="00E75D21" w14:paraId="5226AAD9" w14:textId="77777777">
      <w:pPr>
        <w:widowControl/>
        <w:jc w:val="center"/>
        <w:rPr>
          <w:rFonts w:eastAsia="Calibri"/>
          <w:b/>
          <w:snapToGrid/>
          <w:kern w:val="0"/>
          <w:szCs w:val="22"/>
        </w:rPr>
      </w:pPr>
    </w:p>
    <w:p w:rsidR="00E75D21" w:rsidRPr="00E75D21" w:rsidP="00E75D21" w14:paraId="3075295D" w14:textId="77777777">
      <w:pPr>
        <w:widowControl/>
        <w:ind w:left="720" w:hanging="720"/>
        <w:rPr>
          <w:rFonts w:eastAsia="Calibri"/>
          <w:snapToGrid/>
          <w:kern w:val="0"/>
          <w:szCs w:val="22"/>
        </w:rPr>
      </w:pPr>
      <w:r w:rsidRPr="00E75D21">
        <w:rPr>
          <w:rFonts w:eastAsia="Calibri"/>
          <w:snapToGrid/>
          <w:kern w:val="0"/>
          <w:szCs w:val="22"/>
        </w:rPr>
        <w:t>RE:</w:t>
      </w:r>
      <w:r w:rsidRPr="00E75D21">
        <w:rPr>
          <w:rFonts w:eastAsia="Calibri"/>
          <w:snapToGrid/>
          <w:kern w:val="0"/>
          <w:szCs w:val="22"/>
        </w:rPr>
        <w:tab/>
      </w:r>
      <w:r w:rsidRPr="00E75D21">
        <w:rPr>
          <w:rFonts w:eastAsia="Calibri"/>
          <w:i/>
          <w:snapToGrid/>
          <w:kern w:val="0"/>
          <w:szCs w:val="22"/>
        </w:rPr>
        <w:t xml:space="preserve">Facilitating Shared Use in the 3.1-3.55 GHz Band, </w:t>
      </w:r>
      <w:r w:rsidRPr="00E75D21">
        <w:rPr>
          <w:rFonts w:eastAsia="Calibri"/>
          <w:snapToGrid/>
          <w:kern w:val="0"/>
          <w:szCs w:val="22"/>
        </w:rPr>
        <w:t>WT Docket No. 19-348</w:t>
      </w:r>
    </w:p>
    <w:p w:rsidR="00E75D21" w:rsidRPr="00E75D21" w:rsidP="00E75D21" w14:paraId="19C0A928" w14:textId="77777777">
      <w:pPr>
        <w:widowControl/>
        <w:ind w:left="720" w:hanging="720"/>
        <w:rPr>
          <w:rFonts w:eastAsia="Calibri"/>
          <w:snapToGrid/>
          <w:kern w:val="0"/>
          <w:szCs w:val="22"/>
        </w:rPr>
      </w:pPr>
    </w:p>
    <w:p w:rsidR="00E75D21" w:rsidRPr="00E75D21" w:rsidP="00E75D21" w14:paraId="0F262B3E" w14:textId="77777777">
      <w:pPr>
        <w:widowControl/>
        <w:ind w:firstLine="720"/>
        <w:rPr>
          <w:rFonts w:eastAsia="Calibri"/>
          <w:snapToGrid/>
          <w:kern w:val="0"/>
          <w:szCs w:val="22"/>
        </w:rPr>
      </w:pPr>
      <w:r w:rsidRPr="00E75D21">
        <w:rPr>
          <w:rFonts w:eastAsia="Calibri"/>
          <w:snapToGrid/>
          <w:kern w:val="0"/>
          <w:szCs w:val="22"/>
        </w:rPr>
        <w:t>This item is another step towards identifying new mid-band spectrum that is critical to our efforts to increase broadband access and drive 5G</w:t>
      </w:r>
      <w:bookmarkStart w:id="482" w:name="_GoBack"/>
      <w:bookmarkEnd w:id="482"/>
      <w:r w:rsidRPr="00E75D21">
        <w:rPr>
          <w:rFonts w:eastAsia="Calibri"/>
          <w:snapToGrid/>
          <w:kern w:val="0"/>
          <w:szCs w:val="22"/>
        </w:rPr>
        <w:t xml:space="preserve"> innovation.  Mid-band spectrum combines wide-ranging coverage with low latency and large capacity and will be fundamental to providers’ deployment of next-generation wireless services.  As the item states, the 3.1 to 3.55 GHz band is particularly attractive because of its proximity to other bands that we and the international community have already identified for such services.  </w:t>
      </w:r>
    </w:p>
    <w:p w:rsidR="00E75D21" w:rsidRPr="00E75D21" w:rsidP="00E75D21" w14:paraId="4655967B" w14:textId="77777777">
      <w:pPr>
        <w:widowControl/>
        <w:ind w:firstLine="720"/>
        <w:rPr>
          <w:rFonts w:eastAsia="Calibri"/>
          <w:snapToGrid/>
          <w:kern w:val="0"/>
          <w:szCs w:val="22"/>
        </w:rPr>
      </w:pPr>
    </w:p>
    <w:p w:rsidR="00E75D21" w:rsidRPr="00E75D21" w:rsidP="00E75D21" w14:paraId="5C7AC5EC" w14:textId="77777777">
      <w:pPr>
        <w:widowControl/>
        <w:ind w:firstLine="720"/>
        <w:rPr>
          <w:rFonts w:eastAsia="Calibri"/>
          <w:snapToGrid/>
          <w:kern w:val="0"/>
          <w:szCs w:val="22"/>
        </w:rPr>
      </w:pPr>
      <w:r w:rsidRPr="00E75D21">
        <w:rPr>
          <w:rFonts w:eastAsia="Calibri"/>
          <w:snapToGrid/>
          <w:kern w:val="0"/>
          <w:szCs w:val="22"/>
        </w:rPr>
        <w:t>We are in the midst of an era where technological innovation demands increasing amounts of spectrum, and identifying new bands that can be shared between incumbents and new uses will be critical.  As we continue to open new bands to new services, I look forward to exploring creative policy and technical approaches that will permit the most efficient use of our limited spectrum resources.</w:t>
      </w:r>
    </w:p>
    <w:p w:rsidR="00E75D21" w:rsidRPr="00E75D21" w:rsidP="00E75D21" w14:paraId="6D07D562" w14:textId="77777777">
      <w:pPr>
        <w:widowControl/>
        <w:ind w:firstLine="720"/>
        <w:rPr>
          <w:rFonts w:eastAsia="Calibri"/>
          <w:snapToGrid/>
          <w:kern w:val="0"/>
          <w:szCs w:val="22"/>
        </w:rPr>
      </w:pPr>
    </w:p>
    <w:p w:rsidR="00E75D21" w:rsidRPr="00E75D21" w:rsidP="00E75D21" w14:paraId="60920AF5" w14:textId="77777777">
      <w:pPr>
        <w:widowControl/>
        <w:ind w:firstLine="720"/>
        <w:rPr>
          <w:rFonts w:eastAsia="Calibri"/>
          <w:snapToGrid/>
          <w:kern w:val="0"/>
          <w:szCs w:val="22"/>
        </w:rPr>
      </w:pPr>
      <w:r w:rsidRPr="00E75D21">
        <w:rPr>
          <w:rFonts w:eastAsia="Calibri"/>
          <w:snapToGrid/>
          <w:kern w:val="0"/>
          <w:szCs w:val="22"/>
        </w:rPr>
        <w:t xml:space="preserve">Thank you to the staff of the Wireless Telecommunications Bureau for their work on this item. </w:t>
      </w:r>
    </w:p>
    <w:p w:rsidR="006213CC" w:rsidRPr="006213CC" w:rsidP="00885256" w14:paraId="25E3B100" w14:textId="77777777">
      <w:pPr>
        <w:pStyle w:val="ParaNum"/>
        <w:widowControl/>
        <w:numPr>
          <w:ilvl w:val="0"/>
          <w:numId w:val="0"/>
        </w:numPr>
      </w:pPr>
    </w:p>
    <w:sectPr w:rsidSect="00E2192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55614C" w14:paraId="5CA7D83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A3DE2" w14:paraId="2E1E59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A033C4" w14:paraId="248C09EB" w14:textId="77777777">
    <w:pPr>
      <w:pStyle w:val="Footer"/>
      <w:jc w:val="center"/>
    </w:pPr>
    <w:r>
      <w:fldChar w:fldCharType="begin"/>
    </w:r>
    <w:r>
      <w:instrText xml:space="preserve"> PAGE   \* MERGEFORMAT </w:instrText>
    </w:r>
    <w:r>
      <w:fldChar w:fldCharType="separate"/>
    </w:r>
    <w: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55614C" w14:paraId="6F28E585" w14:textId="77777777">
    <w:pPr>
      <w:pStyle w:val="Footer"/>
      <w:framePr w:wrap="around" w:vAnchor="text" w:hAnchor="margin" w:xAlign="center" w:y="1"/>
    </w:pPr>
    <w:r>
      <w:fldChar w:fldCharType="begin"/>
    </w:r>
    <w:r>
      <w:instrText xml:space="preserve">PAGE  </w:instrText>
    </w:r>
    <w:r>
      <w:fldChar w:fldCharType="separate"/>
    </w:r>
    <w:r>
      <w:fldChar w:fldCharType="end"/>
    </w:r>
  </w:p>
  <w:p w:rsidR="00BA3DE2" w14:paraId="0EFA1901"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1122F0" w14:paraId="215F7F8F" w14:textId="320A347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0C9E" w14:paraId="4D979B64" w14:textId="77777777">
      <w:r>
        <w:separator/>
      </w:r>
    </w:p>
  </w:footnote>
  <w:footnote w:type="continuationSeparator" w:id="1">
    <w:p w:rsidR="00890C9E" w:rsidP="00C721AC" w14:paraId="13F019DB" w14:textId="77777777">
      <w:pPr>
        <w:spacing w:before="120"/>
        <w:rPr>
          <w:sz w:val="20"/>
        </w:rPr>
      </w:pPr>
      <w:r>
        <w:rPr>
          <w:sz w:val="20"/>
        </w:rPr>
        <w:t xml:space="preserve">(Continued from previous page)  </w:t>
      </w:r>
      <w:r>
        <w:rPr>
          <w:sz w:val="20"/>
        </w:rPr>
        <w:separator/>
      </w:r>
    </w:p>
  </w:footnote>
  <w:footnote w:type="continuationNotice" w:id="2">
    <w:p w:rsidR="00890C9E" w:rsidP="00C721AC" w14:paraId="50CC14B8" w14:textId="77777777">
      <w:pPr>
        <w:jc w:val="right"/>
        <w:rPr>
          <w:sz w:val="20"/>
        </w:rPr>
      </w:pPr>
      <w:r>
        <w:rPr>
          <w:sz w:val="20"/>
        </w:rPr>
        <w:t>(continued….)</w:t>
      </w:r>
    </w:p>
  </w:footnote>
  <w:footnote w:id="3">
    <w:p w:rsidR="00BA3DE2" w:rsidP="00E36371" w14:paraId="08B7FFE1" w14:textId="77777777">
      <w:pPr>
        <w:pStyle w:val="FootnoteText"/>
      </w:pPr>
      <w:r>
        <w:rPr>
          <w:rStyle w:val="FootnoteReference"/>
        </w:rPr>
        <w:footnoteRef/>
      </w:r>
      <w:r>
        <w:t xml:space="preserve"> </w:t>
      </w:r>
      <w:r>
        <w:rPr>
          <w:i/>
        </w:rPr>
        <w:t>See</w:t>
      </w:r>
      <w:r>
        <w:t xml:space="preserve"> Consolidated Appropriations Act, 2018, P.L. 115-141, Division P, the Repack Airwaves Yielding Better Access for Users of Modern Services (RAY BAUM’S) Act, Title VI (the Making Opportunities for Broadband Investment and Limiting Excessive and Needless Obstacles to Wireless Act or MOBILE NOW Act).</w:t>
      </w:r>
    </w:p>
  </w:footnote>
  <w:footnote w:id="4">
    <w:p w:rsidR="00BA3DE2" w:rsidP="001122F0" w14:paraId="15E018B5" w14:textId="0BF6FCA1">
      <w:pPr>
        <w:pStyle w:val="FootnoteText"/>
        <w:tabs>
          <w:tab w:val="left" w:pos="2460"/>
        </w:tabs>
      </w:pPr>
      <w:r>
        <w:rPr>
          <w:rStyle w:val="FootnoteReference"/>
        </w:rPr>
        <w:footnoteRef/>
      </w:r>
      <w:r>
        <w:t xml:space="preserve"> </w:t>
      </w:r>
      <w:r w:rsidRPr="007A7329">
        <w:rPr>
          <w:i/>
          <w:snapToGrid w:val="0"/>
          <w:kern w:val="28"/>
        </w:rPr>
        <w:t xml:space="preserve">Id. </w:t>
      </w:r>
      <w:r w:rsidRPr="007A7329">
        <w:rPr>
          <w:bCs/>
          <w:snapToGrid w:val="0"/>
          <w:color w:val="222222"/>
          <w:kern w:val="28"/>
          <w:shd w:val="clear" w:color="auto" w:fill="FFFFFF"/>
        </w:rPr>
        <w:t>§</w:t>
      </w:r>
      <w:r w:rsidRPr="007A7329">
        <w:rPr>
          <w:snapToGrid w:val="0"/>
          <w:color w:val="222222"/>
          <w:kern w:val="28"/>
          <w:shd w:val="clear" w:color="auto" w:fill="FFFFFF"/>
        </w:rPr>
        <w:t xml:space="preserve"> 605(a).</w:t>
      </w:r>
    </w:p>
  </w:footnote>
  <w:footnote w:id="5">
    <w:p w:rsidR="00BA3DE2" w:rsidP="00574EA7" w14:paraId="5120938C" w14:textId="77777777">
      <w:pPr>
        <w:pStyle w:val="FootnoteText"/>
      </w:pPr>
      <w:r>
        <w:rPr>
          <w:rStyle w:val="FootnoteReference"/>
        </w:rPr>
        <w:footnoteRef/>
      </w:r>
      <w:r>
        <w:t xml:space="preserve"> </w:t>
      </w:r>
      <w:r w:rsidRPr="006657FE">
        <w:rPr>
          <w:i/>
        </w:rPr>
        <w:t xml:space="preserve">Id. </w:t>
      </w:r>
      <w:r w:rsidRPr="006657FE">
        <w:rPr>
          <w:bCs/>
          <w:color w:val="222222"/>
          <w:shd w:val="clear" w:color="auto" w:fill="FFFFFF"/>
        </w:rPr>
        <w:t>§</w:t>
      </w:r>
      <w:r w:rsidRPr="006657FE">
        <w:rPr>
          <w:color w:val="222222"/>
          <w:shd w:val="clear" w:color="auto" w:fill="FFFFFF"/>
        </w:rPr>
        <w:t xml:space="preserve"> </w:t>
      </w:r>
      <w:r w:rsidRPr="006657FE">
        <w:t>603(a)(1).</w:t>
      </w:r>
    </w:p>
  </w:footnote>
  <w:footnote w:id="6">
    <w:p w:rsidR="00BA3DE2" w14:paraId="69C939BF" w14:textId="77777777">
      <w:pPr>
        <w:pStyle w:val="FootnoteText"/>
      </w:pPr>
      <w:r>
        <w:rPr>
          <w:rStyle w:val="FootnoteReference"/>
        </w:rPr>
        <w:footnoteRef/>
      </w:r>
      <w:r>
        <w:t xml:space="preserve"> </w:t>
      </w:r>
      <w:r>
        <w:rPr>
          <w:i/>
        </w:rPr>
        <w:t>Id</w:t>
      </w:r>
      <w:r w:rsidRPr="0041445B">
        <w:t>. § 60</w:t>
      </w:r>
      <w:r>
        <w:t>3</w:t>
      </w:r>
      <w:r w:rsidRPr="0041445B">
        <w:t>(a)</w:t>
      </w:r>
      <w:r>
        <w:t>(2)(B)</w:t>
      </w:r>
      <w:r w:rsidRPr="0041445B">
        <w:t>.</w:t>
      </w:r>
    </w:p>
  </w:footnote>
  <w:footnote w:id="7">
    <w:p w:rsidR="00BA3DE2" w14:paraId="67B9570F" w14:textId="77777777">
      <w:pPr>
        <w:pStyle w:val="FootnoteText"/>
      </w:pPr>
      <w:r>
        <w:rPr>
          <w:rStyle w:val="FootnoteReference"/>
        </w:rPr>
        <w:footnoteRef/>
      </w:r>
      <w:r>
        <w:t xml:space="preserve"> </w:t>
      </w:r>
      <w:r>
        <w:rPr>
          <w:i/>
        </w:rPr>
        <w:t>Id</w:t>
      </w:r>
      <w:r w:rsidRPr="0041445B">
        <w:t>. § 60</w:t>
      </w:r>
      <w:r>
        <w:t>3</w:t>
      </w:r>
      <w:r w:rsidRPr="0041445B">
        <w:t>(a)</w:t>
      </w:r>
      <w:r>
        <w:t xml:space="preserve">(2)(A); </w:t>
      </w:r>
      <w:r w:rsidRPr="0085572B">
        <w:rPr>
          <w:i/>
        </w:rPr>
        <w:t>see also id.</w:t>
      </w:r>
      <w:r>
        <w:t xml:space="preserve"> § 603(a)(2)(C) (“</w:t>
      </w:r>
      <w:r w:rsidRPr="0085572B">
        <w:t>55 megahertz below the frequency of 8000 megahertz shall be identified for use on either a licensed or unlicensed basis, or a combination of licensed and unlicensed</w:t>
      </w:r>
      <w:r>
        <w:t>”)</w:t>
      </w:r>
      <w:r w:rsidRPr="0041445B">
        <w:t>.</w:t>
      </w:r>
      <w:r>
        <w:t xml:space="preserve">  </w:t>
      </w:r>
    </w:p>
  </w:footnote>
  <w:footnote w:id="8">
    <w:p w:rsidR="00BA3DE2" w:rsidP="006F1116" w14:paraId="4C4DD242" w14:textId="50D64ABB">
      <w:pPr>
        <w:pStyle w:val="FootnoteText"/>
      </w:pPr>
      <w:r>
        <w:rPr>
          <w:rStyle w:val="FootnoteReference"/>
        </w:rPr>
        <w:footnoteRef/>
      </w:r>
      <w:r>
        <w:t xml:space="preserve"> </w:t>
      </w:r>
      <w:r w:rsidRPr="00B25E9A">
        <w:rPr>
          <w:i/>
        </w:rPr>
        <w:t>See</w:t>
      </w:r>
      <w:r>
        <w:t xml:space="preserve"> U</w:t>
      </w:r>
      <w:r w:rsidRPr="000E4321">
        <w:t xml:space="preserve">.S. Dept. of Commerce, Annual Report on the Status of Spectrum Repurposing </w:t>
      </w:r>
      <w:r>
        <w:t xml:space="preserve">at 20 </w:t>
      </w:r>
      <w:r w:rsidRPr="000E4321">
        <w:t xml:space="preserve">(Aug. 2019), </w:t>
      </w:r>
      <w:r w:rsidRPr="000E4321">
        <w:rPr>
          <w:i/>
        </w:rPr>
        <w:t>available at</w:t>
      </w:r>
      <w:r w:rsidRPr="000E4321">
        <w:t xml:space="preserve"> </w:t>
      </w:r>
      <w:hyperlink r:id="rId1" w:history="1">
        <w:r w:rsidRPr="00E0646A">
          <w:rPr>
            <w:rStyle w:val="Hyperlink"/>
          </w:rPr>
          <w:t>https://go.usa.gov/xparp</w:t>
        </w:r>
      </w:hyperlink>
      <w:r>
        <w:t xml:space="preserve">; </w:t>
      </w:r>
      <w:r w:rsidRPr="0054477C">
        <w:rPr>
          <w:i/>
        </w:rPr>
        <w:t>see also</w:t>
      </w:r>
      <w:r w:rsidRPr="00123A0D">
        <w:t xml:space="preserve"> </w:t>
      </w:r>
      <w:r w:rsidRPr="00173051">
        <w:rPr>
          <w:i/>
        </w:rPr>
        <w:t>Our Wireless Future: Building A Comprehensive Approach to Spectrum Policy: Hearing Before the Subcomm. on Comms. and Technology of the H. Comm. o</w:t>
      </w:r>
      <w:r>
        <w:rPr>
          <w:i/>
        </w:rPr>
        <w:t>n</w:t>
      </w:r>
      <w:r w:rsidRPr="00173051">
        <w:rPr>
          <w:i/>
        </w:rPr>
        <w:t xml:space="preserve"> Energy and Commerce</w:t>
      </w:r>
      <w:r w:rsidRPr="00173051">
        <w:t xml:space="preserve">, 116th Cong. (July 16, 2019) (Testimony of Derek Khlopin, Senior Policy Advisor, NTIA) </w:t>
      </w:r>
      <w:r>
        <w:t>(“We started aggressively looking at [the 3.1-3.55 GHz] range, what we found in the short-term is the upper 100, the 3450-3550, presents the opportunity in the near-term to make spectrum available.  Having said that, we’ll continue to look for the larger block as well . . . [w]e’re very, very optimistic about it.”).</w:t>
      </w:r>
    </w:p>
  </w:footnote>
  <w:footnote w:id="9">
    <w:p w:rsidR="00BA3DE2" w:rsidP="006F1116" w14:paraId="608818D3" w14:textId="77777777">
      <w:pPr>
        <w:pStyle w:val="FootnoteText"/>
      </w:pPr>
      <w:r>
        <w:rPr>
          <w:rStyle w:val="FootnoteReference"/>
        </w:rPr>
        <w:footnoteRef/>
      </w:r>
      <w:r>
        <w:t xml:space="preserve"> </w:t>
      </w:r>
      <w:r>
        <w:rPr>
          <w:snapToGrid w:val="0"/>
          <w:kern w:val="28"/>
        </w:rPr>
        <w:t>MOBILE NOW Act</w:t>
      </w:r>
      <w:r w:rsidRPr="007A7329">
        <w:rPr>
          <w:i/>
          <w:snapToGrid w:val="0"/>
          <w:kern w:val="28"/>
        </w:rPr>
        <w:t xml:space="preserve"> </w:t>
      </w:r>
      <w:r w:rsidRPr="007A7329">
        <w:rPr>
          <w:bCs/>
          <w:snapToGrid w:val="0"/>
          <w:color w:val="222222"/>
          <w:kern w:val="28"/>
          <w:shd w:val="clear" w:color="auto" w:fill="FFFFFF"/>
        </w:rPr>
        <w:t>§</w:t>
      </w:r>
      <w:r w:rsidRPr="007A7329">
        <w:rPr>
          <w:snapToGrid w:val="0"/>
          <w:color w:val="222222"/>
          <w:kern w:val="28"/>
          <w:shd w:val="clear" w:color="auto" w:fill="FFFFFF"/>
        </w:rPr>
        <w:t xml:space="preserve"> 605(c).  </w:t>
      </w:r>
    </w:p>
  </w:footnote>
  <w:footnote w:id="10">
    <w:p w:rsidR="00BA3DE2" w:rsidP="006F1116" w14:paraId="602D313D" w14:textId="77777777">
      <w:pPr>
        <w:pStyle w:val="FootnoteText"/>
      </w:pPr>
      <w:r>
        <w:rPr>
          <w:rStyle w:val="FootnoteReference"/>
        </w:rPr>
        <w:footnoteRef/>
      </w:r>
      <w:r>
        <w:t xml:space="preserve"> </w:t>
      </w:r>
      <w:r w:rsidRPr="007A7329">
        <w:rPr>
          <w:i/>
          <w:snapToGrid w:val="0"/>
          <w:kern w:val="28"/>
        </w:rPr>
        <w:t xml:space="preserve">Id. </w:t>
      </w:r>
      <w:r w:rsidRPr="007A7329">
        <w:rPr>
          <w:bCs/>
          <w:snapToGrid w:val="0"/>
          <w:color w:val="222222"/>
          <w:kern w:val="28"/>
          <w:shd w:val="clear" w:color="auto" w:fill="FFFFFF"/>
        </w:rPr>
        <w:t>§</w:t>
      </w:r>
      <w:r w:rsidRPr="007A7329">
        <w:rPr>
          <w:snapToGrid w:val="0"/>
          <w:color w:val="222222"/>
          <w:kern w:val="28"/>
          <w:shd w:val="clear" w:color="auto" w:fill="FFFFFF"/>
        </w:rPr>
        <w:t xml:space="preserve"> 605(d).</w:t>
      </w:r>
    </w:p>
  </w:footnote>
  <w:footnote w:id="11">
    <w:p w:rsidR="00BA3DE2" w:rsidRPr="00A46C78" w:rsidP="006F7CA7" w14:paraId="40C6E227" w14:textId="77777777">
      <w:pPr>
        <w:pStyle w:val="FootnoteText"/>
      </w:pPr>
      <w:r>
        <w:rPr>
          <w:rStyle w:val="FootnoteReference"/>
        </w:rPr>
        <w:footnoteRef/>
      </w:r>
      <w:r>
        <w:t xml:space="preserve"> </w:t>
      </w:r>
      <w:r>
        <w:rPr>
          <w:i/>
        </w:rPr>
        <w:t xml:space="preserve">See </w:t>
      </w:r>
      <w:r>
        <w:t xml:space="preserve">47 CFR § 2.106 and US108; </w:t>
      </w:r>
      <w:r>
        <w:rPr>
          <w:i/>
        </w:rPr>
        <w:t xml:space="preserve">id. </w:t>
      </w:r>
      <w:r>
        <w:t>§ 90.103(b), (c)(12).</w:t>
      </w:r>
    </w:p>
  </w:footnote>
  <w:footnote w:id="12">
    <w:p w:rsidR="00BA3DE2" w14:paraId="28DEC8B6" w14:textId="77777777">
      <w:pPr>
        <w:pStyle w:val="FootnoteText"/>
      </w:pPr>
      <w:r>
        <w:rPr>
          <w:rStyle w:val="FootnoteReference"/>
        </w:rPr>
        <w:footnoteRef/>
      </w:r>
      <w:r>
        <w:t xml:space="preserve"> 47 CFR § 2.106.</w:t>
      </w:r>
    </w:p>
  </w:footnote>
  <w:footnote w:id="13">
    <w:p w:rsidR="00BA3DE2" w:rsidP="00BF3C66" w14:paraId="05C6C018" w14:textId="77777777">
      <w:pPr>
        <w:pStyle w:val="FootnoteText"/>
      </w:pPr>
      <w:r>
        <w:rPr>
          <w:rStyle w:val="FootnoteReference"/>
        </w:rPr>
        <w:footnoteRef/>
      </w:r>
      <w:r>
        <w:t xml:space="preserve"> </w:t>
      </w:r>
      <w:r w:rsidRPr="00AF49C9">
        <w:rPr>
          <w:i/>
        </w:rPr>
        <w:t>See</w:t>
      </w:r>
      <w:r>
        <w:t xml:space="preserve"> </w:t>
      </w:r>
      <w:r w:rsidRPr="00123A0D">
        <w:t xml:space="preserve">NTIA Compendium of Federal Spectrum Use, </w:t>
      </w:r>
      <w:r w:rsidRPr="00123A0D">
        <w:rPr>
          <w:i/>
        </w:rPr>
        <w:t>available at</w:t>
      </w:r>
      <w:r w:rsidRPr="008D2F8B">
        <w:t xml:space="preserve"> </w:t>
      </w:r>
      <w:hyperlink r:id="rId2" w:history="1">
        <w:r w:rsidRPr="00123A0D">
          <w:rPr>
            <w:color w:val="0000FF"/>
            <w:u w:val="single"/>
          </w:rPr>
          <w:t>https://www.ntia.doc.gov/other-publication/2017/federal-government-spectru</w:t>
        </w:r>
        <w:r w:rsidRPr="008D2F8B">
          <w:rPr>
            <w:color w:val="0000FF"/>
            <w:u w:val="single"/>
          </w:rPr>
          <w:t>m-compendium</w:t>
        </w:r>
      </w:hyperlink>
      <w:r>
        <w:t>;</w:t>
      </w:r>
      <w:r w:rsidRPr="00123A0D">
        <w:t xml:space="preserve"> </w:t>
      </w:r>
      <w:r>
        <w:t xml:space="preserve">NTIA </w:t>
      </w:r>
      <w:r w:rsidRPr="00912200">
        <w:t>Special Publication 00-40, Federal Radar Spectrum Requirements</w:t>
      </w:r>
      <w:r>
        <w:t xml:space="preserve"> at 26</w:t>
      </w:r>
      <w:r w:rsidRPr="00912200">
        <w:t xml:space="preserve"> (May 2000)</w:t>
      </w:r>
      <w:r>
        <w:t xml:space="preserve"> (explaining why certain radar systems are in certain bands)</w:t>
      </w:r>
      <w:r w:rsidRPr="00912200">
        <w:t xml:space="preserve">, </w:t>
      </w:r>
      <w:r w:rsidRPr="00AF49C9">
        <w:rPr>
          <w:i/>
        </w:rPr>
        <w:t>available at</w:t>
      </w:r>
      <w:r w:rsidRPr="00912200">
        <w:t xml:space="preserve"> </w:t>
      </w:r>
      <w:hyperlink r:id="rId3" w:history="1">
        <w:r w:rsidRPr="00E0646A">
          <w:rPr>
            <w:rStyle w:val="Hyperlink"/>
          </w:rPr>
          <w:t>https://www.ntia.doc.gov/report/2000/federal-radar-spectrum-requirements</w:t>
        </w:r>
      </w:hyperlink>
      <w:r w:rsidRPr="00912200">
        <w:t>.</w:t>
      </w:r>
    </w:p>
  </w:footnote>
  <w:footnote w:id="14">
    <w:p w:rsidR="00BA3DE2" w:rsidP="006D1E7A" w14:paraId="34C40142" w14:textId="77777777">
      <w:pPr>
        <w:pStyle w:val="FootnoteText"/>
      </w:pPr>
      <w:r>
        <w:rPr>
          <w:rStyle w:val="FootnoteReference"/>
        </w:rPr>
        <w:footnoteRef/>
      </w:r>
      <w:r>
        <w:t xml:space="preserve"> </w:t>
      </w:r>
      <w:r w:rsidRPr="00147228">
        <w:rPr>
          <w:i/>
        </w:rPr>
        <w:t>See</w:t>
      </w:r>
      <w:r>
        <w:t xml:space="preserve"> 47 CFR § 2.106.</w:t>
      </w:r>
    </w:p>
  </w:footnote>
  <w:footnote w:id="15">
    <w:p w:rsidR="00BA3DE2" w:rsidP="0041039B" w14:paraId="5E70FEB7" w14:textId="77777777">
      <w:pPr>
        <w:pStyle w:val="FootnoteText"/>
      </w:pPr>
      <w:r>
        <w:rPr>
          <w:rStyle w:val="FootnoteReference"/>
        </w:rPr>
        <w:footnoteRef/>
      </w:r>
      <w:r>
        <w:t xml:space="preserve"> </w:t>
      </w:r>
      <w:r w:rsidRPr="00C403CA">
        <w:t xml:space="preserve">Of the </w:t>
      </w:r>
      <w:r>
        <w:t>eight licenses</w:t>
      </w:r>
      <w:r w:rsidRPr="00C403CA">
        <w:t xml:space="preserve">, three are held by NBC Telemundo License LLC; one is held by Station Venture Operations, LP; </w:t>
      </w:r>
      <w:r>
        <w:t>one is</w:t>
      </w:r>
      <w:r w:rsidRPr="00C403CA">
        <w:t xml:space="preserve"> held by I.O.U. Acquisitions; </w:t>
      </w:r>
      <w:r>
        <w:t xml:space="preserve">one is </w:t>
      </w:r>
      <w:r w:rsidRPr="00C403CA">
        <w:t>held by Air-Tel, LLC; one is held by Nexstar Broadcasting, Inc</w:t>
      </w:r>
      <w:r>
        <w:t>; and one is held by the Town of Warrensburg/Warrensburg Police Department</w:t>
      </w:r>
      <w:r w:rsidRPr="00295AD7">
        <w:t>.</w:t>
      </w:r>
    </w:p>
  </w:footnote>
  <w:footnote w:id="16">
    <w:p w:rsidR="00BA3DE2" w:rsidP="0041039B" w14:paraId="2FE8A619" w14:textId="77777777">
      <w:pPr>
        <w:pStyle w:val="FootnoteText"/>
      </w:pPr>
      <w:r>
        <w:rPr>
          <w:rStyle w:val="FootnoteReference"/>
        </w:rPr>
        <w:footnoteRef/>
      </w:r>
      <w:r>
        <w:t xml:space="preserve"> </w:t>
      </w:r>
      <w:r w:rsidRPr="00F12618">
        <w:rPr>
          <w:i/>
        </w:rPr>
        <w:t>See</w:t>
      </w:r>
      <w:r w:rsidRPr="00060F63">
        <w:t xml:space="preserve"> 47 CFR §</w:t>
      </w:r>
      <w:r>
        <w:t xml:space="preserve"> 90.103(b), (c)(13).</w:t>
      </w:r>
    </w:p>
  </w:footnote>
  <w:footnote w:id="17">
    <w:p w:rsidR="00BA3DE2" w:rsidRPr="00A46C78" w:rsidP="005134CF" w14:paraId="0B38CAFA" w14:textId="77777777">
      <w:pPr>
        <w:pStyle w:val="FootnoteText"/>
      </w:pPr>
      <w:r>
        <w:rPr>
          <w:rStyle w:val="FootnoteReference"/>
        </w:rPr>
        <w:footnoteRef/>
      </w:r>
      <w:r>
        <w:t xml:space="preserve"> </w:t>
      </w:r>
      <w:r>
        <w:rPr>
          <w:i/>
        </w:rPr>
        <w:t>See</w:t>
      </w:r>
      <w:r w:rsidRPr="00060F63">
        <w:t xml:space="preserve"> </w:t>
      </w:r>
      <w:r>
        <w:rPr>
          <w:i/>
        </w:rPr>
        <w:t>id.</w:t>
      </w:r>
      <w:r w:rsidRPr="00060F63">
        <w:t xml:space="preserve"> §</w:t>
      </w:r>
      <w:r>
        <w:t xml:space="preserve"> 2.106.</w:t>
      </w:r>
    </w:p>
  </w:footnote>
  <w:footnote w:id="18">
    <w:p w:rsidR="00BA3DE2" w:rsidP="005134CF" w14:paraId="1CCF8DA6" w14:textId="77777777">
      <w:pPr>
        <w:pStyle w:val="FootnoteText"/>
      </w:pPr>
      <w:r>
        <w:rPr>
          <w:rStyle w:val="FootnoteReference"/>
        </w:rPr>
        <w:footnoteRef/>
      </w:r>
      <w:r>
        <w:t xml:space="preserve"> Specifically, eight licenses are </w:t>
      </w:r>
      <w:r w:rsidRPr="000F097F">
        <w:rPr>
          <w:szCs w:val="22"/>
        </w:rPr>
        <w:t>held by Alabama Power Comp</w:t>
      </w:r>
      <w:r w:rsidRPr="00CF1AFB">
        <w:rPr>
          <w:szCs w:val="22"/>
        </w:rPr>
        <w:t>any</w:t>
      </w:r>
      <w:r>
        <w:rPr>
          <w:szCs w:val="22"/>
        </w:rPr>
        <w:t>;</w:t>
      </w:r>
      <w:r w:rsidRPr="00CF1AFB">
        <w:rPr>
          <w:szCs w:val="22"/>
        </w:rPr>
        <w:t xml:space="preserve"> </w:t>
      </w:r>
      <w:r>
        <w:rPr>
          <w:szCs w:val="22"/>
        </w:rPr>
        <w:t xml:space="preserve">seven licenses are held by </w:t>
      </w:r>
      <w:r w:rsidRPr="00CF1AFB">
        <w:rPr>
          <w:szCs w:val="22"/>
        </w:rPr>
        <w:t>Georgia Power Company</w:t>
      </w:r>
      <w:r>
        <w:rPr>
          <w:szCs w:val="22"/>
        </w:rPr>
        <w:t xml:space="preserve">; </w:t>
      </w:r>
      <w:r w:rsidRPr="00CF1AFB">
        <w:rPr>
          <w:szCs w:val="22"/>
        </w:rPr>
        <w:t xml:space="preserve">and </w:t>
      </w:r>
      <w:r>
        <w:rPr>
          <w:szCs w:val="22"/>
        </w:rPr>
        <w:t xml:space="preserve">two licenses are held by the </w:t>
      </w:r>
      <w:r w:rsidRPr="00CF1AFB">
        <w:rPr>
          <w:szCs w:val="22"/>
        </w:rPr>
        <w:t>city and county of Denver/Denver International Airport</w:t>
      </w:r>
      <w:r>
        <w:rPr>
          <w:szCs w:val="22"/>
        </w:rPr>
        <w:t>.</w:t>
      </w:r>
    </w:p>
  </w:footnote>
  <w:footnote w:id="19">
    <w:p w:rsidR="00BA3DE2" w:rsidP="0046682E" w14:paraId="6179CEF4" w14:textId="77777777">
      <w:pPr>
        <w:pStyle w:val="FootnoteText"/>
      </w:pPr>
      <w:r>
        <w:rPr>
          <w:rStyle w:val="FootnoteReference"/>
        </w:rPr>
        <w:footnoteRef/>
      </w:r>
      <w:r>
        <w:t xml:space="preserve"> The total number of active experimental authorizations is always changing. </w:t>
      </w:r>
      <w:r w:rsidRPr="0063291E">
        <w:t xml:space="preserve"> </w:t>
      </w:r>
      <w:r>
        <w:t xml:space="preserve">Experimental STAs, for example, may be requested for operation of a conventional experimental radio service station for a temporary period of no longer than six months.  </w:t>
      </w:r>
      <w:r w:rsidRPr="00A41B78">
        <w:rPr>
          <w:i/>
        </w:rPr>
        <w:t>See</w:t>
      </w:r>
      <w:r>
        <w:t xml:space="preserve"> 47 CFR §§ 5.54(a)(2), 5.61.  A current list of active experimental authorizations throughout the 3.1-3.55 GHz band can be found via the Office of Engineering and Technology’s </w:t>
      </w:r>
      <w:r w:rsidRPr="006C5839">
        <w:t>Experimental Licensing System Generic Search</w:t>
      </w:r>
      <w:r>
        <w:t xml:space="preserve">, available at </w:t>
      </w:r>
      <w:hyperlink r:id="rId4" w:history="1">
        <w:r>
          <w:rPr>
            <w:rStyle w:val="Hyperlink"/>
          </w:rPr>
          <w:t>https://apps.fcc.gov/oetcf/els/reports/GenericSearch.cfm</w:t>
        </w:r>
      </w:hyperlink>
      <w:r>
        <w:t>.</w:t>
      </w:r>
    </w:p>
  </w:footnote>
  <w:footnote w:id="20">
    <w:p w:rsidR="00BA3DE2" w:rsidRPr="00B82CD1" w:rsidP="00E036DC" w14:paraId="19054295" w14:textId="77777777">
      <w:pPr>
        <w:pStyle w:val="FootnoteText"/>
      </w:pPr>
      <w:r>
        <w:rPr>
          <w:rStyle w:val="FootnoteReference"/>
        </w:rPr>
        <w:footnoteRef/>
      </w:r>
      <w:r>
        <w:t xml:space="preserve"> </w:t>
      </w:r>
      <w:r>
        <w:rPr>
          <w:i/>
        </w:rPr>
        <w:t xml:space="preserve">See </w:t>
      </w:r>
      <w:r>
        <w:t>47 CFR §§ 5.3, 5.84.</w:t>
      </w:r>
    </w:p>
  </w:footnote>
  <w:footnote w:id="21">
    <w:p w:rsidR="00BA3DE2" w:rsidRPr="00B82CD1" w14:paraId="79D7FCBB" w14:textId="77777777">
      <w:pPr>
        <w:pStyle w:val="FootnoteText"/>
      </w:pPr>
      <w:r>
        <w:rPr>
          <w:rStyle w:val="FootnoteReference"/>
        </w:rPr>
        <w:footnoteRef/>
      </w:r>
      <w:r>
        <w:t xml:space="preserve"> </w:t>
      </w:r>
      <w:r>
        <w:rPr>
          <w:i/>
        </w:rPr>
        <w:t>See, e.g.</w:t>
      </w:r>
      <w:r>
        <w:t xml:space="preserve">, Broad Comm Inc. Application for Special Temporary Authority, File No. </w:t>
      </w:r>
      <w:r w:rsidRPr="009E314B">
        <w:t>1336-EX-ST-2019</w:t>
      </w:r>
      <w:r>
        <w:t xml:space="preserve"> (filed July 23, 2019) (requesting temporary use of</w:t>
      </w:r>
      <w:r w:rsidRPr="00617278">
        <w:t xml:space="preserve"> </w:t>
      </w:r>
      <w:r>
        <w:t xml:space="preserve">the </w:t>
      </w:r>
      <w:r w:rsidRPr="00617278">
        <w:t>3</w:t>
      </w:r>
      <w:r>
        <w:t xml:space="preserve">.31-3.51 </w:t>
      </w:r>
      <w:r w:rsidRPr="00617278">
        <w:t>GHz band</w:t>
      </w:r>
      <w:r>
        <w:t xml:space="preserve"> to provide</w:t>
      </w:r>
      <w:r w:rsidRPr="00617278">
        <w:t xml:space="preserve"> </w:t>
      </w:r>
      <w:r>
        <w:t xml:space="preserve">video </w:t>
      </w:r>
      <w:r w:rsidRPr="00617278">
        <w:t xml:space="preserve">coverage </w:t>
      </w:r>
      <w:r>
        <w:t>of</w:t>
      </w:r>
      <w:r w:rsidRPr="00617278">
        <w:t xml:space="preserve"> the </w:t>
      </w:r>
      <w:r>
        <w:t xml:space="preserve">2019 </w:t>
      </w:r>
      <w:r w:rsidRPr="00617278">
        <w:t>U</w:t>
      </w:r>
      <w:r>
        <w:t>.</w:t>
      </w:r>
      <w:r w:rsidRPr="00617278">
        <w:t>S</w:t>
      </w:r>
      <w:r>
        <w:t>.</w:t>
      </w:r>
      <w:r w:rsidRPr="00617278">
        <w:t xml:space="preserve"> Open Tennis </w:t>
      </w:r>
      <w:r>
        <w:t xml:space="preserve">Tournament and related activities using ten Nucomm transmitters, model number 23PT3-L02-1TO); CP Communications Application for Special Temporary Authority, File No. </w:t>
      </w:r>
      <w:r w:rsidRPr="00C00E29">
        <w:t xml:space="preserve">1236-EX-ST-2019 </w:t>
      </w:r>
      <w:r>
        <w:t>(filed July 3, 2019) (seeking a single experimental STA to provide remote audio and video at 32 NFL stadiums using eight “various” transmitters in the 3.2-3.55 GHz band).</w:t>
      </w:r>
    </w:p>
  </w:footnote>
  <w:footnote w:id="22">
    <w:p w:rsidR="00BA3DE2" w:rsidP="00AE3E8E" w14:paraId="6E079162" w14:textId="5CEE2770">
      <w:pPr>
        <w:pStyle w:val="FootnoteText"/>
      </w:pPr>
      <w:r>
        <w:rPr>
          <w:rStyle w:val="FootnoteReference"/>
        </w:rPr>
        <w:footnoteRef/>
      </w:r>
      <w:r>
        <w:t xml:space="preserve"> </w:t>
      </w:r>
      <w:r w:rsidRPr="00C77AA9">
        <w:rPr>
          <w:i/>
        </w:rPr>
        <w:t xml:space="preserve">Temporary Freeze </w:t>
      </w:r>
      <w:r>
        <w:rPr>
          <w:i/>
        </w:rPr>
        <w:t>o</w:t>
      </w:r>
      <w:r w:rsidRPr="00C77AA9">
        <w:rPr>
          <w:i/>
        </w:rPr>
        <w:t xml:space="preserve">n Non-Federal Applications </w:t>
      </w:r>
      <w:r>
        <w:rPr>
          <w:i/>
        </w:rPr>
        <w:t>i</w:t>
      </w:r>
      <w:r w:rsidRPr="00C77AA9">
        <w:rPr>
          <w:i/>
        </w:rPr>
        <w:t xml:space="preserve">n </w:t>
      </w:r>
      <w:r>
        <w:rPr>
          <w:i/>
        </w:rPr>
        <w:t>t</w:t>
      </w:r>
      <w:r w:rsidRPr="00C77AA9">
        <w:rPr>
          <w:i/>
        </w:rPr>
        <w:t>he 3100-3550 M</w:t>
      </w:r>
      <w:r>
        <w:rPr>
          <w:i/>
        </w:rPr>
        <w:t>H</w:t>
      </w:r>
      <w:r w:rsidRPr="00C77AA9">
        <w:rPr>
          <w:i/>
        </w:rPr>
        <w:t>z Band</w:t>
      </w:r>
      <w:r>
        <w:t xml:space="preserve">, WT Docket No. 19-39, Public Notice, </w:t>
      </w:r>
      <w:r w:rsidRPr="002471FD">
        <w:t>34 FCC Rcd</w:t>
      </w:r>
      <w:r>
        <w:t xml:space="preserve"> 19</w:t>
      </w:r>
      <w:r w:rsidRPr="002471FD">
        <w:t xml:space="preserve"> </w:t>
      </w:r>
      <w:r>
        <w:t xml:space="preserve">(WTB Feb. 22, 2019).  Two pending applications for new stations are subject to this freeze.  </w:t>
      </w:r>
      <w:r>
        <w:rPr>
          <w:i/>
        </w:rPr>
        <w:t xml:space="preserve">See </w:t>
      </w:r>
      <w:r>
        <w:t xml:space="preserve">Application of Fort Myers Broadcasting Company, ULS File No. 0008282472 (filed July 12, 2018); Application of Southern California Edison Company, ULS File No. 0008495115 (filed Jan. 17, 2019).  In May, Dynetics, Inc., filed requests for modification and waiver of the freeze to allow certain continued operations in the 3.1-3.3 GHz band; these petitions remain pending.  </w:t>
      </w:r>
      <w:r>
        <w:rPr>
          <w:i/>
        </w:rPr>
        <w:t xml:space="preserve">See </w:t>
      </w:r>
      <w:r>
        <w:t xml:space="preserve">Dynetics, Inc. Request for Modification of Temporary Freeze on Non-Federal Applications in the 3100-3550 MHz Band, WT Docket No. 19-39 (filed May 17, 2019); Dynetics, Inc. Request for Limited Waiver of Temporary Freeze on Non-Federal Applications in the 3100-3550 MHz Band, WT Docket No. 19-39 (filed May 17, 2019); </w:t>
      </w:r>
      <w:r>
        <w:rPr>
          <w:i/>
        </w:rPr>
        <w:t xml:space="preserve">see also </w:t>
      </w:r>
      <w:r>
        <w:t>Letter from Jeffrey E. Rummel, Attorney for Dynetics, Inc., to Marlene H. Dortch, Secretary, FCC, WT Docket No. 19-348 (filed Dec. 5, 2019) (renewing its requests for waiver and modification); Letter from Brett Kilbourne, Utilities Technology Council, to Marlene H. Dortch, Secretary, FCC, WT Docket No. 19-348 (filed Dec. 5, 2019) (supporting Dynetics’s requests); Letter from Jeffrey L. Sheldon, Counsel for Southern Company Services, Inc., to Marlene H. Dortch, Secretary, FCC, WT Docket No. 19-348 (filed Dec. 5, 2019) (same).</w:t>
      </w:r>
    </w:p>
  </w:footnote>
  <w:footnote w:id="23">
    <w:p w:rsidR="00BA3DE2" w14:paraId="33615BC2" w14:textId="77777777">
      <w:pPr>
        <w:pStyle w:val="FootnoteText"/>
      </w:pPr>
      <w:r>
        <w:rPr>
          <w:rStyle w:val="FootnoteReference"/>
        </w:rPr>
        <w:footnoteRef/>
      </w:r>
      <w:r>
        <w:t xml:space="preserve"> For example, </w:t>
      </w:r>
      <w:r w:rsidRPr="00466072">
        <w:t xml:space="preserve">3GPP, a global industry standards organization that develops protocols for mobile technology, has specified two spectrum operating bands for 5G that overlap with the </w:t>
      </w:r>
      <w:r w:rsidRPr="008040D3">
        <w:t xml:space="preserve">3.3-3.55 </w:t>
      </w:r>
      <w:r>
        <w:t>GHz band</w:t>
      </w:r>
      <w:r w:rsidRPr="00466072">
        <w:t>: band n77 between 3.3-4.2 GHz, and band n78 between 3.3-3.8 GHz</w:t>
      </w:r>
      <w:r>
        <w:t>.  3GPP TS 38.104, NR; Base Station (BS) Radio Transmission and Reception. Note: 3GPP specifications refer to 5G as New Radio (NR).</w:t>
      </w:r>
    </w:p>
  </w:footnote>
  <w:footnote w:id="24">
    <w:p w:rsidR="00BA3DE2" w:rsidRPr="003A7FF9" w14:paraId="3909DE65" w14:textId="77777777">
      <w:pPr>
        <w:pStyle w:val="FootnoteText"/>
      </w:pPr>
      <w:r>
        <w:rPr>
          <w:rStyle w:val="FootnoteReference"/>
        </w:rPr>
        <w:footnoteRef/>
      </w:r>
      <w:r>
        <w:t xml:space="preserve"> Specifically, we propose to remove these non-federal allocations from the Table of Frequency Allocations in section 2.106 of our rules, 47 CFR § 2.106, and make conforming rule changes in parts 90 and 97, 47 CFR pts. 90, 97.  </w:t>
      </w:r>
      <w:r>
        <w:rPr>
          <w:i/>
        </w:rPr>
        <w:t xml:space="preserve">See </w:t>
      </w:r>
      <w:r>
        <w:t>App. A, Proposed Rules.</w:t>
      </w:r>
    </w:p>
  </w:footnote>
  <w:footnote w:id="25">
    <w:p w:rsidR="00BA3DE2" w14:paraId="4AA59604" w14:textId="77777777">
      <w:pPr>
        <w:pStyle w:val="FootnoteText"/>
      </w:pPr>
      <w:r>
        <w:rPr>
          <w:rStyle w:val="FootnoteReference"/>
        </w:rPr>
        <w:footnoteRef/>
      </w:r>
      <w:r>
        <w:t xml:space="preserve"> </w:t>
      </w:r>
      <w:r>
        <w:rPr>
          <w:i/>
        </w:rPr>
        <w:t>See, e.g.</w:t>
      </w:r>
      <w:r>
        <w:t xml:space="preserve">, </w:t>
      </w:r>
      <w:r w:rsidRPr="004D738B">
        <w:rPr>
          <w:i/>
        </w:rPr>
        <w:t xml:space="preserve">Expanding Flexible Use of the </w:t>
      </w:r>
      <w:r w:rsidRPr="0064703D">
        <w:rPr>
          <w:i/>
        </w:rPr>
        <w:t xml:space="preserve">3.7 </w:t>
      </w:r>
      <w:r w:rsidRPr="004D738B">
        <w:rPr>
          <w:i/>
        </w:rPr>
        <w:t>to 4.2 GHz Band</w:t>
      </w:r>
      <w:r w:rsidRPr="004D738B">
        <w:t>, GN Docket No. 18-222, Order and Notice of Proposed Rulemaking, 33 FCC Rcd 6915, 6917-18, para. 5 (2018) (</w:t>
      </w:r>
      <w:r w:rsidRPr="00310AC1">
        <w:rPr>
          <w:i/>
        </w:rPr>
        <w:t>3.7 GHz NPRM</w:t>
      </w:r>
      <w:r>
        <w:t>).</w:t>
      </w:r>
    </w:p>
  </w:footnote>
  <w:footnote w:id="26">
    <w:p w:rsidR="00BA3DE2" w:rsidRPr="00BB4633" w14:paraId="4D7902AD" w14:textId="376BE67A">
      <w:pPr>
        <w:pStyle w:val="FootnoteText"/>
      </w:pPr>
      <w:r>
        <w:rPr>
          <w:rStyle w:val="FootnoteReference"/>
        </w:rPr>
        <w:footnoteRef/>
      </w:r>
      <w:r>
        <w:t xml:space="preserve"> </w:t>
      </w:r>
      <w:r w:rsidRPr="003B4B37">
        <w:rPr>
          <w:i/>
        </w:rPr>
        <w:t>See, e.g.</w:t>
      </w:r>
      <w:r w:rsidRPr="00055798">
        <w:t>,</w:t>
      </w:r>
      <w:r>
        <w:t xml:space="preserve"> </w:t>
      </w:r>
      <w:r w:rsidRPr="003B4B37">
        <w:rPr>
          <w:i/>
        </w:rPr>
        <w:t>Amendment of the Commission’s Rules with Regard to Commercial Operations in the 3550-3650 MHz Band</w:t>
      </w:r>
      <w:r w:rsidRPr="00EE079D">
        <w:t xml:space="preserve">, </w:t>
      </w:r>
      <w:r>
        <w:t xml:space="preserve">GN Docket No. 12-354, </w:t>
      </w:r>
      <w:r w:rsidRPr="00EE079D">
        <w:t>Report and Order and Second Further Notice of Proposed Rulemaking, 30 FCC Rcd 3959 (2015) (</w:t>
      </w:r>
      <w:r w:rsidRPr="0089705C">
        <w:rPr>
          <w:i/>
        </w:rPr>
        <w:t>3.5 GHz Order</w:t>
      </w:r>
      <w:r w:rsidRPr="00EE079D">
        <w:t>) (the Commission added co-primary fixed and mobile allocations to the 3550-3650 MHz band to facilitate a new commercial broadband service at 3550-3700 MHz)</w:t>
      </w:r>
      <w:r>
        <w:t xml:space="preserve">; 3G Wireless, LLC Application for Special Temporary Authority, File No. </w:t>
      </w:r>
      <w:r w:rsidRPr="003521B0">
        <w:t>1736-EX-ST-2019</w:t>
      </w:r>
      <w:r>
        <w:t xml:space="preserve"> (filed Sept. 15, 2019) (seeking experimental STA to support t</w:t>
      </w:r>
      <w:r w:rsidRPr="00A9107D">
        <w:t>ransmission of NFL Monday Night Football</w:t>
      </w:r>
      <w:r>
        <w:t xml:space="preserve"> </w:t>
      </w:r>
      <w:r w:rsidRPr="00A9107D">
        <w:t>games</w:t>
      </w:r>
      <w:r>
        <w:t xml:space="preserve"> throughout the season from various stadium sites); </w:t>
      </w:r>
      <w:r w:rsidRPr="0089705C">
        <w:rPr>
          <w:i/>
        </w:rPr>
        <w:t>3.7 GHz NPRM</w:t>
      </w:r>
      <w:r>
        <w:t xml:space="preserve">, 33 FCC Rcd at 6932-38, paras. 49-65; </w:t>
      </w:r>
      <w:r w:rsidRPr="00661DB1">
        <w:rPr>
          <w:i/>
        </w:rPr>
        <w:t>see</w:t>
      </w:r>
      <w:r>
        <w:rPr>
          <w:i/>
        </w:rPr>
        <w:t xml:space="preserve"> also </w:t>
      </w:r>
      <w:r>
        <w:t>Letter from Kara Graves, Director, Regulatory Affairs, CTIA, to Marlene H. Dortch, Secretary, FCC, GN Docket No. 19-348, at 1 (filed Dec. 5, 2019) (“The 3.1-3.55 GHz band presents a prime opportunity to make mid-band spectrum available for 5G use in part due to adjacent and international band characteristics.”).</w:t>
      </w:r>
    </w:p>
  </w:footnote>
  <w:footnote w:id="27">
    <w:p w:rsidR="00BA3DE2" w:rsidRPr="00614493" w:rsidP="009A003D" w14:paraId="36687DEA" w14:textId="77777777">
      <w:pPr>
        <w:pStyle w:val="FootnoteText"/>
      </w:pPr>
      <w:r>
        <w:rPr>
          <w:rStyle w:val="FootnoteReference"/>
        </w:rPr>
        <w:footnoteRef/>
      </w:r>
      <w:r>
        <w:t xml:space="preserve"> </w:t>
      </w:r>
      <w:r>
        <w:rPr>
          <w:i/>
        </w:rPr>
        <w:t>See, e.g.</w:t>
      </w:r>
      <w:r>
        <w:t xml:space="preserve">, CTIA Reply, GN Docket No. 12-354, at 8-9 (filed Aug. 8, 2017) (arguing that OOBE from high-power weather radar systems are high enough to cause base station shutdown or damage); Wireless Innovation Forum (WInnForum) Comments, GN Docket No. 12-354, at 4 (filed July 24, 2017) (“In particular, the power levels and rolloff characteristics of adjacent band weather radar systems will pose challenges to CBRS operations in the 3.5 GHz band.”).  In 2018, both CTIA and WInnForum opposed Fort Myers Broadcasting’s application for a new weather radar station to operate in the 3.5-3.55 GHz band for these reasons.  </w:t>
      </w:r>
      <w:r>
        <w:rPr>
          <w:i/>
        </w:rPr>
        <w:t>See</w:t>
      </w:r>
      <w:r>
        <w:t xml:space="preserve"> Informal Objection of WInnForum, ULS File No. 000828472 (filed Aug. 27, 2018); Informal Objection of CTIA, ULS File No. 000828472 (filed Aug. 14, 2018).</w:t>
      </w:r>
    </w:p>
  </w:footnote>
  <w:footnote w:id="28">
    <w:p w:rsidR="00BA3DE2" w14:paraId="61B35665" w14:textId="77777777">
      <w:pPr>
        <w:pStyle w:val="FootnoteText"/>
      </w:pPr>
      <w:r>
        <w:rPr>
          <w:rStyle w:val="FootnoteReference"/>
        </w:rPr>
        <w:footnoteRef/>
      </w:r>
      <w:r>
        <w:t xml:space="preserve"> </w:t>
      </w:r>
      <w:r w:rsidRPr="00AB539C">
        <w:rPr>
          <w:i/>
        </w:rPr>
        <w:t>See</w:t>
      </w:r>
      <w:r>
        <w:t xml:space="preserve"> 47 CFR </w:t>
      </w:r>
      <w:r w:rsidRPr="00005CBD">
        <w:rPr>
          <w:lang w:val="fr-FR"/>
        </w:rPr>
        <w:t>§§</w:t>
      </w:r>
      <w:r>
        <w:rPr>
          <w:lang w:val="fr-FR"/>
        </w:rPr>
        <w:t xml:space="preserve"> </w:t>
      </w:r>
      <w:r>
        <w:t>97.207-97.211.</w:t>
      </w:r>
    </w:p>
  </w:footnote>
  <w:footnote w:id="29">
    <w:p w:rsidR="00BA3DE2" w14:paraId="3806391C" w14:textId="77777777">
      <w:pPr>
        <w:pStyle w:val="FootnoteText"/>
      </w:pPr>
      <w:r>
        <w:rPr>
          <w:rStyle w:val="FootnoteReference"/>
        </w:rPr>
        <w:footnoteRef/>
      </w:r>
      <w:r>
        <w:t xml:space="preserve"> </w:t>
      </w:r>
      <w:r>
        <w:rPr>
          <w:i/>
        </w:rPr>
        <w:t>See, e.g.</w:t>
      </w:r>
      <w:r>
        <w:t>, Letter from Kevin Milner, Secretary, Treasurer, Ski Country Amateur Radio Club, to Federal Communications Commission, WT Docket No. 19-348, at 1 (filed Dec. 6, 2019) (arguing that its equipment cannot be re-channeled below 3.4 GHz and seeking relocation costs);</w:t>
      </w:r>
      <w:r w:rsidRPr="002102A4">
        <w:rPr>
          <w:i/>
          <w:snapToGrid w:val="0"/>
          <w:kern w:val="28"/>
          <w:sz w:val="22"/>
        </w:rPr>
        <w:t xml:space="preserve"> </w:t>
      </w:r>
      <w:r>
        <w:rPr>
          <w:i/>
        </w:rPr>
        <w:t>s</w:t>
      </w:r>
      <w:r w:rsidRPr="002102A4">
        <w:rPr>
          <w:i/>
        </w:rPr>
        <w:t xml:space="preserve">ee </w:t>
      </w:r>
      <w:r w:rsidRPr="002102A4">
        <w:t>Comment of Devin Ulibarri, WT Docket No. 19-348 (filed Nov. 29, 2019) (arguing that amateur networks in the</w:t>
      </w:r>
      <w:r>
        <w:t xml:space="preserve"> 3.1-3.55 GHz</w:t>
      </w:r>
      <w:r w:rsidRPr="002102A4">
        <w:t xml:space="preserve"> band cannot move easily into other amateur allocations</w:t>
      </w:r>
      <w:r>
        <w:t xml:space="preserve"> because there is no readily available commercial equipment to support the bandwidth</w:t>
      </w:r>
      <w:r w:rsidRPr="002102A4">
        <w:t>).</w:t>
      </w:r>
    </w:p>
  </w:footnote>
  <w:footnote w:id="30">
    <w:p w:rsidR="00BA3DE2" w14:paraId="61C9A789" w14:textId="77777777">
      <w:pPr>
        <w:pStyle w:val="FootnoteText"/>
      </w:pPr>
      <w:r>
        <w:rPr>
          <w:rStyle w:val="FootnoteReference"/>
        </w:rPr>
        <w:footnoteRef/>
      </w:r>
      <w:r>
        <w:t xml:space="preserve"> </w:t>
      </w:r>
      <w:r>
        <w:rPr>
          <w:i/>
          <w:lang w:val="fr-FR"/>
        </w:rPr>
        <w:t>Id.</w:t>
      </w:r>
      <w:r w:rsidRPr="00005CBD">
        <w:rPr>
          <w:lang w:val="fr-FR"/>
        </w:rPr>
        <w:t xml:space="preserve"> §</w:t>
      </w:r>
      <w:r>
        <w:rPr>
          <w:lang w:val="fr-FR"/>
        </w:rPr>
        <w:t xml:space="preserve"> </w:t>
      </w:r>
      <w:r>
        <w:t>90.103(b), (c)(12).</w:t>
      </w:r>
    </w:p>
  </w:footnote>
  <w:footnote w:id="31">
    <w:p w:rsidR="00BA3DE2" w:rsidRPr="00005CBD" w:rsidP="001B03C3" w14:paraId="102D0DBC" w14:textId="77777777">
      <w:pPr>
        <w:pStyle w:val="FootnoteText"/>
        <w:spacing w:before="120"/>
        <w:rPr>
          <w:i/>
          <w:iCs/>
          <w:lang w:val="fr-FR"/>
        </w:rPr>
      </w:pPr>
      <w:r w:rsidRPr="00FA0737">
        <w:rPr>
          <w:rStyle w:val="FootnoteReference"/>
        </w:rPr>
        <w:footnoteRef/>
      </w:r>
      <w:r w:rsidRPr="00005CBD">
        <w:rPr>
          <w:lang w:val="fr-FR"/>
        </w:rPr>
        <w:t xml:space="preserve"> </w:t>
      </w:r>
      <w:r>
        <w:rPr>
          <w:i/>
          <w:lang w:val="fr-FR"/>
        </w:rPr>
        <w:t>Id.</w:t>
      </w:r>
      <w:r w:rsidRPr="00005CBD">
        <w:rPr>
          <w:lang w:val="fr-FR"/>
        </w:rPr>
        <w:t xml:space="preserve"> §§ 1.1200 </w:t>
      </w:r>
      <w:r w:rsidRPr="00005CBD">
        <w:rPr>
          <w:i/>
          <w:iCs/>
          <w:lang w:val="fr-FR"/>
        </w:rPr>
        <w:t>et seq.</w:t>
      </w:r>
    </w:p>
  </w:footnote>
  <w:footnote w:id="32">
    <w:p w:rsidR="00BA3DE2" w:rsidRPr="0066642C" w:rsidP="001B03C3" w14:paraId="2B74AC68" w14:textId="77777777">
      <w:pPr>
        <w:pStyle w:val="FootnoteText"/>
        <w:spacing w:before="120"/>
      </w:pPr>
      <w:r w:rsidRPr="00FA0737">
        <w:rPr>
          <w:rStyle w:val="FootnoteReference"/>
        </w:rPr>
        <w:footnoteRef/>
      </w:r>
      <w:r w:rsidRPr="0066642C">
        <w:t xml:space="preserve"> 5 U.S.C. § 603.</w:t>
      </w:r>
    </w:p>
  </w:footnote>
  <w:footnote w:id="33">
    <w:p w:rsidR="00BA3DE2" w:rsidRPr="00073619" w:rsidP="00A51AC4" w14:paraId="3606D3B8" w14:textId="77777777">
      <w:pPr>
        <w:pStyle w:val="FootnoteText"/>
      </w:pPr>
      <w:r w:rsidRPr="00073619">
        <w:rPr>
          <w:rStyle w:val="FootnoteReference"/>
        </w:rPr>
        <w:footnoteRef/>
      </w:r>
      <w:r w:rsidRPr="00073619">
        <w:t xml:space="preserve"> </w:t>
      </w:r>
      <w:r w:rsidRPr="00073619">
        <w:rPr>
          <w:i/>
        </w:rPr>
        <w:t>See</w:t>
      </w:r>
      <w:r w:rsidRPr="00073619">
        <w:t xml:space="preserve"> 5 U.S.C. § 603.  The RFA, </w:t>
      </w:r>
      <w:r w:rsidRPr="00073619">
        <w:rPr>
          <w:i/>
        </w:rPr>
        <w:t>see</w:t>
      </w:r>
      <w:r w:rsidRPr="00073619">
        <w:t xml:space="preserve"> 5 U.S.C. §§ 601–612, has been amended by the Small Business Regulatory Enforcement Fairness Act of 1996 (SBREFA), Pub. L. No. 104-121, Title II, 110 Stat. 857 (1996).</w:t>
      </w:r>
    </w:p>
  </w:footnote>
  <w:footnote w:id="34">
    <w:p w:rsidR="00BA3DE2" w:rsidRPr="00073619" w:rsidP="00A51AC4" w14:paraId="3EF50DB0" w14:textId="77777777">
      <w:pPr>
        <w:pStyle w:val="FootnoteText"/>
      </w:pPr>
      <w:r w:rsidRPr="00073619">
        <w:rPr>
          <w:rStyle w:val="FootnoteReference"/>
        </w:rPr>
        <w:footnoteRef/>
      </w:r>
      <w:r w:rsidRPr="00073619">
        <w:t xml:space="preserve"> </w:t>
      </w:r>
      <w:r w:rsidRPr="00073619">
        <w:rPr>
          <w:i/>
        </w:rPr>
        <w:t xml:space="preserve">See </w:t>
      </w:r>
      <w:r w:rsidRPr="00073619">
        <w:t>5 U.S.C. § 603(a).</w:t>
      </w:r>
    </w:p>
  </w:footnote>
  <w:footnote w:id="35">
    <w:p w:rsidR="00BA3DE2" w:rsidRPr="00073619" w:rsidP="00A51AC4" w14:paraId="5A1AFC97" w14:textId="77777777">
      <w:pPr>
        <w:pStyle w:val="FootnoteText"/>
      </w:pPr>
      <w:r w:rsidRPr="00073619">
        <w:rPr>
          <w:rStyle w:val="FootnoteReference"/>
        </w:rPr>
        <w:footnoteRef/>
      </w:r>
      <w:r w:rsidRPr="00073619">
        <w:t xml:space="preserve"> </w:t>
      </w:r>
      <w:r w:rsidRPr="00073619">
        <w:rPr>
          <w:i/>
        </w:rPr>
        <w:t>See id</w:t>
      </w:r>
      <w:r w:rsidRPr="00073619">
        <w:t>.</w:t>
      </w:r>
    </w:p>
  </w:footnote>
  <w:footnote w:id="36">
    <w:p w:rsidR="00BA3DE2" w:rsidP="00A51AC4" w14:paraId="58591D06" w14:textId="77777777">
      <w:pPr>
        <w:pStyle w:val="FootnoteText"/>
      </w:pPr>
      <w:r>
        <w:rPr>
          <w:rStyle w:val="FootnoteReference"/>
        </w:rPr>
        <w:footnoteRef/>
      </w:r>
      <w:r>
        <w:t xml:space="preserve"> </w:t>
      </w:r>
      <w:r>
        <w:rPr>
          <w:i/>
        </w:rPr>
        <w:t>See</w:t>
      </w:r>
      <w:r>
        <w:t xml:space="preserve"> Consolidated Appropriations Act, 2018, P.L. 115-141, Division P, the Repack Airwaves Yielding Better Access for Users of Modern Services (RAY BAUM’S) Act, Title VI (the Making Opportunities for Broadband Investment and Limiting Excessive and Needless Obstacles to Wireless Act or MOBILE NOW Act).</w:t>
      </w:r>
    </w:p>
  </w:footnote>
  <w:footnote w:id="37">
    <w:p w:rsidR="00BA3DE2" w:rsidRPr="0068065B" w:rsidP="00A51AC4" w14:paraId="6DBB45CB" w14:textId="77777777">
      <w:pPr>
        <w:pStyle w:val="FootnoteText"/>
      </w:pPr>
      <w:r w:rsidRPr="0068065B">
        <w:rPr>
          <w:rStyle w:val="FootnoteReference"/>
          <w:spacing w:val="-2"/>
        </w:rPr>
        <w:footnoteRef/>
      </w:r>
      <w:r w:rsidRPr="0068065B">
        <w:rPr>
          <w:spacing w:val="-2"/>
        </w:rPr>
        <w:t xml:space="preserve"> 5 U.S.C. § 60</w:t>
      </w:r>
      <w:r>
        <w:rPr>
          <w:spacing w:val="-2"/>
        </w:rPr>
        <w:t>3</w:t>
      </w:r>
      <w:r w:rsidRPr="0068065B">
        <w:rPr>
          <w:spacing w:val="-2"/>
        </w:rPr>
        <w:t>(</w:t>
      </w:r>
      <w:r>
        <w:rPr>
          <w:spacing w:val="-2"/>
        </w:rPr>
        <w:t>b</w:t>
      </w:r>
      <w:r w:rsidRPr="0068065B">
        <w:rPr>
          <w:spacing w:val="-2"/>
        </w:rPr>
        <w:t>)(3).</w:t>
      </w:r>
    </w:p>
  </w:footnote>
  <w:footnote w:id="38">
    <w:p w:rsidR="00BA3DE2" w:rsidRPr="0068065B" w:rsidP="00A51AC4" w14:paraId="44717C0D" w14:textId="77777777">
      <w:pPr>
        <w:pStyle w:val="FootnoteText"/>
      </w:pPr>
      <w:r w:rsidRPr="0068065B">
        <w:rPr>
          <w:rStyle w:val="FootnoteReference"/>
          <w:spacing w:val="-2"/>
        </w:rPr>
        <w:footnoteRef/>
      </w:r>
      <w:r w:rsidRPr="0068065B">
        <w:rPr>
          <w:spacing w:val="-2"/>
        </w:rPr>
        <w:t xml:space="preserve"> 5 U.S.C. § 601(6).</w:t>
      </w:r>
    </w:p>
  </w:footnote>
  <w:footnote w:id="39">
    <w:p w:rsidR="00BA3DE2" w:rsidRPr="0068065B" w:rsidP="00A51AC4" w14:paraId="50B0C993" w14:textId="77777777">
      <w:pPr>
        <w:pStyle w:val="FootnoteText"/>
      </w:pPr>
      <w:r w:rsidRPr="0068065B">
        <w:rPr>
          <w:rStyle w:val="FootnoteReference"/>
          <w:spacing w:val="-2"/>
        </w:rPr>
        <w:footnoteRef/>
      </w:r>
      <w:r w:rsidRPr="0068065B">
        <w:rPr>
          <w:spacing w:val="-2"/>
        </w:rPr>
        <w:t xml:space="preserve"> 5 U.S.C. § 601(3) (incorporating by reference the definition of “small business concern” in 15 U.S.C. § 632).  Pursuant to </w:t>
      </w:r>
      <w:r>
        <w:rPr>
          <w:spacing w:val="-2"/>
        </w:rPr>
        <w:t>5 U.S.C. § 601(3)</w:t>
      </w:r>
      <w:r w:rsidRPr="0068065B">
        <w:rPr>
          <w:spacing w:val="-2"/>
        </w:rPr>
        <w:t>,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0">
    <w:p w:rsidR="00BA3DE2" w:rsidRPr="0068065B" w:rsidP="00A51AC4" w14:paraId="2931F7DA" w14:textId="77777777">
      <w:pPr>
        <w:pStyle w:val="FootnoteText"/>
      </w:pPr>
      <w:r w:rsidRPr="0068065B">
        <w:rPr>
          <w:rStyle w:val="FootnoteReference"/>
          <w:spacing w:val="-2"/>
        </w:rPr>
        <w:footnoteRef/>
      </w:r>
      <w:r w:rsidRPr="0068065B">
        <w:rPr>
          <w:spacing w:val="-2"/>
        </w:rPr>
        <w:t xml:space="preserve"> 15 U.S.C. § 632.</w:t>
      </w:r>
    </w:p>
  </w:footnote>
  <w:footnote w:id="41">
    <w:p w:rsidR="00BA3DE2" w:rsidRPr="0068065B" w:rsidP="00A51AC4" w14:paraId="7CFE2BCD" w14:textId="77777777">
      <w:pPr>
        <w:pStyle w:val="FootnoteText"/>
      </w:pPr>
      <w:r w:rsidRPr="0068065B">
        <w:rPr>
          <w:rStyle w:val="FootnoteReference"/>
        </w:rPr>
        <w:footnoteRef/>
      </w:r>
      <w:r w:rsidRPr="0068065B">
        <w:t xml:space="preserve"> </w:t>
      </w:r>
      <w:r w:rsidRPr="0068065B">
        <w:rPr>
          <w:i/>
        </w:rPr>
        <w:t>See</w:t>
      </w:r>
      <w:r w:rsidRPr="0068065B">
        <w:t xml:space="preserve"> 5 U.S.C. § 601(3)-(6).</w:t>
      </w:r>
    </w:p>
  </w:footnote>
  <w:footnote w:id="42">
    <w:p w:rsidR="00BA3DE2" w:rsidRPr="0068065B" w:rsidP="00A51AC4" w14:paraId="3DE34DDC" w14:textId="77777777">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1</w:t>
      </w:r>
      <w:r>
        <w:t>—</w:t>
      </w:r>
      <w:r w:rsidRPr="0068065B">
        <w:t>What is a small business?</w:t>
      </w:r>
      <w:r>
        <w:t>,</w:t>
      </w:r>
      <w:r w:rsidRPr="0068065B">
        <w:t xml:space="preserve">” </w:t>
      </w:r>
      <w:hyperlink r:id="rId5" w:history="1">
        <w:r w:rsidRPr="0068065B">
          <w:rPr>
            <w:rStyle w:val="Hyperlink"/>
          </w:rPr>
          <w:t>https://www.sba.gov/sites/default/files/advocacy/SB-FAQ-2016_WEB.pdf</w:t>
        </w:r>
      </w:hyperlink>
      <w:r w:rsidRPr="0068065B">
        <w:t xml:space="preserve"> (June 2016)</w:t>
      </w:r>
      <w:r>
        <w:t>.</w:t>
      </w:r>
    </w:p>
  </w:footnote>
  <w:footnote w:id="43">
    <w:p w:rsidR="00BA3DE2" w:rsidRPr="0068065B" w:rsidP="00A51AC4" w14:paraId="542ECA76" w14:textId="77777777">
      <w:pPr>
        <w:pStyle w:val="FootnoteText"/>
      </w:pPr>
      <w:r w:rsidRPr="0068065B">
        <w:rPr>
          <w:rStyle w:val="FootnoteReference"/>
        </w:rPr>
        <w:footnoteRef/>
      </w:r>
      <w:r w:rsidRPr="0068065B">
        <w:t xml:space="preserve"> </w:t>
      </w:r>
      <w:r w:rsidRPr="0068065B">
        <w:rPr>
          <w:i/>
        </w:rPr>
        <w:t>See</w:t>
      </w:r>
      <w:r w:rsidRPr="0068065B">
        <w:t xml:space="preserve"> SBA, Office of Advocacy, “Frequently Asked Questions, Question 2</w:t>
      </w:r>
      <w:r>
        <w:t>—</w:t>
      </w:r>
      <w:r w:rsidRPr="0068065B">
        <w:t>How many small business</w:t>
      </w:r>
      <w:r>
        <w:t>es</w:t>
      </w:r>
      <w:r w:rsidRPr="0068065B">
        <w:t xml:space="preserve"> are there in the U.S.?</w:t>
      </w:r>
      <w:r>
        <w:t>,</w:t>
      </w:r>
      <w:r w:rsidRPr="0068065B">
        <w:t xml:space="preserve">” </w:t>
      </w:r>
      <w:hyperlink r:id="rId5" w:history="1">
        <w:r w:rsidRPr="0068065B">
          <w:rPr>
            <w:rStyle w:val="Hyperlink"/>
          </w:rPr>
          <w:t>https://www.sba.gov/sites/default/files/advocacy/SB-FAQ-2016_WEB.pdf</w:t>
        </w:r>
      </w:hyperlink>
      <w:r w:rsidRPr="0068065B">
        <w:t xml:space="preserve"> (June 2016).</w:t>
      </w:r>
    </w:p>
  </w:footnote>
  <w:footnote w:id="44">
    <w:p w:rsidR="00BA3DE2" w:rsidRPr="0068065B" w:rsidP="00A51AC4" w14:paraId="2219ED08" w14:textId="77777777">
      <w:pPr>
        <w:pStyle w:val="FootnoteText"/>
      </w:pPr>
      <w:r w:rsidRPr="0068065B">
        <w:rPr>
          <w:rStyle w:val="FootnoteReference"/>
        </w:rPr>
        <w:footnoteRef/>
      </w:r>
      <w:r w:rsidRPr="0068065B">
        <w:t xml:space="preserve"> </w:t>
      </w:r>
      <w:r w:rsidRPr="0068065B">
        <w:rPr>
          <w:spacing w:val="-2"/>
        </w:rPr>
        <w:t>5 U.S.C.</w:t>
      </w:r>
      <w:r w:rsidRPr="0068065B">
        <w:t xml:space="preserve"> § 601(4).</w:t>
      </w:r>
    </w:p>
  </w:footnote>
  <w:footnote w:id="45">
    <w:p w:rsidR="00BA3DE2" w:rsidRPr="0068065B" w:rsidP="00A51AC4" w14:paraId="57A70F6A" w14:textId="77777777">
      <w:pPr>
        <w:pStyle w:val="FootnoteText"/>
      </w:pPr>
      <w:r w:rsidRPr="0068065B">
        <w:rPr>
          <w:rStyle w:val="FootnoteReference"/>
        </w:rPr>
        <w:footnoteRef/>
      </w:r>
      <w:r w:rsidRPr="008B2085">
        <w:rPr>
          <w:color w:val="000000"/>
        </w:rPr>
        <w:t xml:space="preserve"> </w:t>
      </w:r>
      <w:r>
        <w:rPr>
          <w:color w:val="000000"/>
        </w:rPr>
        <w:t>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 xml:space="preserve"> </w:t>
      </w:r>
      <w:r w:rsidRPr="00835723">
        <w:rPr>
          <w:color w:val="000000"/>
        </w:rPr>
        <w:t>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6" w:history="1">
        <w:r>
          <w:rPr>
            <w:rStyle w:val="Hyperlink"/>
          </w:rPr>
          <w:t>http://nccs.urban.org/sites/all/nccs-archive/html//tablewiz/tw.php</w:t>
        </w:r>
      </w:hyperlink>
      <w:r>
        <w:rPr>
          <w:color w:val="000000"/>
        </w:rPr>
        <w:t xml:space="preserve"> where the report showing this data can be generated by selecting the following data fields: Report: “The Number and Finances of All Registered 501(c) Nonprofits”; Show: “Registered Nonprofits”; By: “Total Revenue Level (years 1995, Aug to 2016, Aug)”; and For: “2016, Aug” then selecting “Show Results”</w:t>
      </w:r>
      <w:r w:rsidRPr="0068065B">
        <w:rPr>
          <w:color w:val="000000"/>
        </w:rPr>
        <w:t>.</w:t>
      </w:r>
    </w:p>
  </w:footnote>
  <w:footnote w:id="46">
    <w:p w:rsidR="00BA3DE2" w:rsidRPr="0068065B" w:rsidP="00A51AC4" w14:paraId="3F074899" w14:textId="77777777">
      <w:pPr>
        <w:pStyle w:val="FootnoteText"/>
      </w:pPr>
      <w:r w:rsidRPr="0068065B">
        <w:rPr>
          <w:rStyle w:val="FootnoteReference"/>
          <w:spacing w:val="-2"/>
        </w:rPr>
        <w:footnoteRef/>
      </w:r>
      <w:r w:rsidRPr="0068065B">
        <w:t xml:space="preserve"> 5 U.S.C. § 601(5).</w:t>
      </w:r>
    </w:p>
  </w:footnote>
  <w:footnote w:id="47">
    <w:p w:rsidR="00BA3DE2" w:rsidRPr="005E7451" w:rsidP="00A51AC4" w14:paraId="1578EF6D" w14:textId="77777777">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7" w:history="1">
        <w:r w:rsidRPr="000815D9">
          <w:rPr>
            <w:rStyle w:val="Hyperlink"/>
          </w:rPr>
          <w:t>https://factfinder.census.gov/faces/affhelp/jsf/pages/metadata.xhtml?lang=en&amp;type=program&amp;id=program.en.COG#</w:t>
        </w:r>
      </w:hyperlink>
      <w:r w:rsidRPr="000815D9">
        <w:t>.</w:t>
      </w:r>
    </w:p>
  </w:footnote>
  <w:footnote w:id="48">
    <w:p w:rsidR="00BA3DE2" w:rsidRPr="006B076E" w:rsidP="00A51AC4" w14:paraId="5B85D3E8" w14:textId="77777777">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8"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49">
    <w:p w:rsidR="00BA3DE2" w:rsidRPr="00835723" w:rsidP="00A51AC4" w14:paraId="381F44AC" w14:textId="77777777">
      <w:pPr>
        <w:pStyle w:val="FootnoteText"/>
      </w:pPr>
      <w:r>
        <w:rPr>
          <w:rStyle w:val="FootnoteReference"/>
        </w:rPr>
        <w:footnoteRef/>
      </w:r>
      <w:r>
        <w:t xml:space="preserve"> </w:t>
      </w:r>
      <w:r w:rsidRPr="00E31C8D">
        <w:rPr>
          <w:i/>
        </w:rPr>
        <w:t>See</w:t>
      </w:r>
      <w:r>
        <w:t xml:space="preserve"> </w:t>
      </w:r>
      <w:r w:rsidRPr="006B076E">
        <w:t xml:space="preserve">U.S. Census </w:t>
      </w:r>
      <w:r>
        <w:t xml:space="preserve">Bureau, 2012 Census of </w:t>
      </w:r>
      <w:r w:rsidRPr="00572915">
        <w:t xml:space="preserve">Governments, </w:t>
      </w:r>
      <w:r w:rsidRPr="00572915">
        <w:rPr>
          <w:bCs/>
        </w:rPr>
        <w:t xml:space="preserve">County Governments by Population-Size Group and State: 2012 </w:t>
      </w:r>
      <w:r w:rsidRPr="00572915">
        <w:rPr>
          <w:b/>
          <w:bCs/>
        </w:rPr>
        <w:t>-</w:t>
      </w:r>
      <w:r w:rsidRPr="00C23CAA">
        <w:rPr>
          <w:bCs/>
        </w:rPr>
        <w:t xml:space="preserve"> </w:t>
      </w:r>
      <w:r w:rsidRPr="00572915">
        <w:rPr>
          <w:bCs/>
        </w:rPr>
        <w:t>United States-States.</w:t>
      </w:r>
      <w:r w:rsidRPr="00572915">
        <w:t xml:space="preserve"> </w:t>
      </w:r>
      <w:hyperlink r:id="rId9" w:history="1">
        <w:r w:rsidRPr="00F51D2A">
          <w:rPr>
            <w:rStyle w:val="Hyperlink"/>
          </w:rPr>
          <w:t>https://factfinder.census.gov/bkmk/table/1.0/en/COG/2012/ORG06.US01</w:t>
        </w:r>
      </w:hyperlink>
      <w:r>
        <w:t xml:space="preserve">.  There were </w:t>
      </w:r>
      <w:r w:rsidRPr="00835723">
        <w:t>2,114 county governments with populations less than 50,000.</w:t>
      </w:r>
    </w:p>
  </w:footnote>
  <w:footnote w:id="50">
    <w:p w:rsidR="00BA3DE2" w:rsidRPr="00835723" w:rsidP="00A51AC4" w14:paraId="229A48B6"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10" w:history="1">
        <w:r w:rsidRPr="00DC2279">
          <w:rPr>
            <w:rStyle w:val="Hyperlink"/>
          </w:rPr>
          <w:t>https://factfinder.census.gov/bkmk/table/1.0/en/COG/2012/ORG07.US01</w:t>
        </w:r>
      </w:hyperlink>
      <w:r w:rsidRPr="000815D9">
        <w:rPr>
          <w:rStyle w:val="Hyperlink"/>
        </w:rPr>
        <w:t xml:space="preserve">. </w:t>
      </w:r>
      <w:r>
        <w:t>There were</w:t>
      </w:r>
      <w:r w:rsidRPr="00835723">
        <w:t xml:space="preserve"> 18,811 municipal and 16,207 town and township governments with populations less than 50,000. </w:t>
      </w:r>
    </w:p>
  </w:footnote>
  <w:footnote w:id="51">
    <w:p w:rsidR="00BA3DE2" w:rsidRPr="00835723" w:rsidP="00751E4F" w14:paraId="13E439DF"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751E4F">
        <w:t>.</w:t>
      </w:r>
      <w:r w:rsidRPr="00835723">
        <w:t xml:space="preserve"> </w:t>
      </w:r>
      <w:hyperlink r:id="rId11" w:history="1">
        <w:r w:rsidRPr="00751E4F">
          <w:t>https://factfinder.census.gov/bkmk/table/1.0/en/COG/2012/ORG11.US01</w:t>
        </w:r>
      </w:hyperlink>
      <w:r w:rsidRPr="00751E4F">
        <w:t xml:space="preserve">. </w:t>
      </w:r>
      <w:r w:rsidRPr="006B7181">
        <w:t xml:space="preserve">There were </w:t>
      </w:r>
      <w:r w:rsidRPr="00835723">
        <w:t>12,184 independent school districts with enrollment populations less than 50,000.</w:t>
      </w:r>
    </w:p>
  </w:footnote>
  <w:footnote w:id="52">
    <w:p w:rsidR="00BA3DE2" w:rsidRPr="00DF782D" w:rsidP="00751E4F" w14:paraId="358CEBFD" w14:textId="77777777">
      <w:pPr>
        <w:pStyle w:val="FootnoteText"/>
        <w:rPr>
          <w:bCs/>
          <w:color w:val="0000FF"/>
          <w:u w:val="single"/>
        </w:rPr>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751E4F">
        <w:t>-</w:t>
      </w:r>
      <w:r w:rsidRPr="00835723">
        <w:t xml:space="preserve"> United States</w:t>
      </w:r>
      <w:r w:rsidRPr="00751E4F">
        <w:t>-</w:t>
      </w:r>
      <w:r w:rsidRPr="00835723">
        <w:t xml:space="preserve">States. </w:t>
      </w:r>
      <w:hyperlink r:id="rId12" w:history="1">
        <w:r w:rsidRPr="00751E4F">
          <w:t>https://factfinder.census.gov/bkmk/table/1.0/en/COG/2012/ORG09.US01</w:t>
        </w:r>
      </w:hyperlink>
      <w:r w:rsidRPr="00751E4F">
        <w:t>.  The U.S. Census Bureau data did not provide a population breakout for special district governments.</w:t>
      </w:r>
    </w:p>
  </w:footnote>
  <w:footnote w:id="53">
    <w:p w:rsidR="00BA3DE2" w:rsidRPr="005B5966" w:rsidP="00A51AC4" w14:paraId="7A4629CA" w14:textId="77777777">
      <w:pPr>
        <w:pStyle w:val="FootnoteText"/>
      </w:pPr>
      <w:r w:rsidRPr="00835723">
        <w:rPr>
          <w:rStyle w:val="FootnoteReference"/>
        </w:rPr>
        <w:footnoteRef/>
      </w:r>
      <w:r w:rsidRPr="00835723">
        <w:t xml:space="preserve"> </w:t>
      </w:r>
      <w:r w:rsidRPr="00835723">
        <w:rPr>
          <w:i/>
        </w:rPr>
        <w:t>See</w:t>
      </w:r>
      <w:r w:rsidRPr="00835723">
        <w:t xml:space="preserve"> U.S. Census Bureau, 2012 </w:t>
      </w:r>
      <w:r w:rsidRPr="000815D9">
        <w:t xml:space="preserve">Census of Governments, </w:t>
      </w:r>
      <w:r w:rsidRPr="000815D9">
        <w:rPr>
          <w:bCs/>
        </w:rPr>
        <w:t xml:space="preserve">County Governments by Population-Size Group and State: 2012 - United States-States </w:t>
      </w:r>
      <w:r w:rsidRPr="007F3B6C">
        <w:rPr>
          <w:b/>
          <w:bCs/>
          <w:color w:val="4E4B47"/>
        </w:rPr>
        <w:t>-</w:t>
      </w:r>
      <w:r w:rsidRPr="007F3B6C">
        <w:t xml:space="preserve"> </w:t>
      </w:r>
      <w:hyperlink r:id="rId9"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10"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Pr>
          <w:bCs/>
          <w:color w:val="4E4B47"/>
        </w:rPr>
        <w:t xml:space="preserve"> - </w:t>
      </w:r>
      <w:r w:rsidRPr="00835723">
        <w:t xml:space="preserve"> </w:t>
      </w:r>
      <w:hyperlink r:id="rId11" w:history="1">
        <w:r w:rsidRPr="000815D9">
          <w:rPr>
            <w:rStyle w:val="Hyperlink"/>
          </w:rPr>
          <w:t>https://factfinder.census.gov/bkmk/table/1.0/en/COG/2012/ORG11.US01</w:t>
        </w:r>
      </w:hyperlink>
      <w:r>
        <w:t xml:space="preserve">.  </w:t>
      </w:r>
      <w:r w:rsidRPr="000815D9">
        <w:rPr>
          <w:rStyle w:val="Hyperlink"/>
          <w:bCs/>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4">
    <w:p w:rsidR="00BA3DE2" w:rsidP="00A51AC4" w14:paraId="70BE2543" w14:textId="77777777">
      <w:pPr>
        <w:pStyle w:val="FootnoteText"/>
      </w:pPr>
      <w:r>
        <w:rPr>
          <w:rStyle w:val="FootnoteReference"/>
        </w:rPr>
        <w:footnoteRef/>
      </w:r>
      <w:r>
        <w:t xml:space="preserve"> </w:t>
      </w:r>
      <w:r w:rsidRPr="00BE1BA4">
        <w:rPr>
          <w:i/>
        </w:rPr>
        <w:t>Id.</w:t>
      </w:r>
    </w:p>
  </w:footnote>
  <w:footnote w:id="55">
    <w:p w:rsidR="00BA3DE2" w:rsidRPr="002C21D5" w:rsidP="00A51AC4" w14:paraId="49A87759"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I.</w:t>
      </w:r>
    </w:p>
  </w:footnote>
  <w:footnote w:id="56">
    <w:p w:rsidR="00BA3DE2" w:rsidRPr="002C21D5" w:rsidP="00A51AC4" w14:paraId="5EF75C7C" w14:textId="77777777">
      <w:pPr>
        <w:pStyle w:val="FootnoteText"/>
      </w:pPr>
      <w:r w:rsidRPr="002C21D5">
        <w:rPr>
          <w:rStyle w:val="FootnoteReference"/>
        </w:rPr>
        <w:footnoteRef/>
      </w:r>
      <w:r w:rsidRPr="002C21D5">
        <w:t xml:space="preserve"> </w:t>
      </w:r>
      <w:r w:rsidRPr="002C21D5">
        <w:rPr>
          <w:i/>
        </w:rPr>
        <w:t xml:space="preserve">See </w:t>
      </w:r>
      <w:r w:rsidRPr="002C21D5">
        <w:t>47 CFR Part 101, Subparts C and H.</w:t>
      </w:r>
    </w:p>
  </w:footnote>
  <w:footnote w:id="57">
    <w:p w:rsidR="00BA3DE2" w:rsidRPr="002C21D5" w:rsidP="00A51AC4" w14:paraId="52A3E201" w14:textId="77777777">
      <w:pPr>
        <w:pStyle w:val="FootnoteText"/>
      </w:pPr>
      <w:r w:rsidRPr="002C21D5">
        <w:rPr>
          <w:rStyle w:val="FootnoteReference"/>
        </w:rPr>
        <w:footnoteRef/>
      </w:r>
      <w:r w:rsidRPr="002C21D5">
        <w:t xml:space="preserve"> Auxiliary Microwave Service is governed by Part 74 of Title 47 of the Commission’s Rules.  </w:t>
      </w:r>
      <w:r w:rsidRPr="002C21D5">
        <w:rPr>
          <w:i/>
        </w:rPr>
        <w:t>See</w:t>
      </w:r>
      <w:r w:rsidRPr="002C21D5">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8">
    <w:p w:rsidR="00BA3DE2" w:rsidRPr="00E95640" w:rsidP="00A51AC4" w14:paraId="74221BD9" w14:textId="77777777">
      <w:pPr>
        <w:pStyle w:val="FootnoteText"/>
      </w:pPr>
      <w:r w:rsidRPr="00E95640">
        <w:rPr>
          <w:rStyle w:val="FootnoteReference"/>
        </w:rPr>
        <w:footnoteRef/>
      </w:r>
      <w:r w:rsidRPr="00E95640">
        <w:t xml:space="preserve"> </w:t>
      </w:r>
      <w:r w:rsidRPr="00E95640">
        <w:rPr>
          <w:i/>
        </w:rPr>
        <w:t xml:space="preserve">See </w:t>
      </w:r>
      <w:r w:rsidRPr="00E95640">
        <w:t xml:space="preserve">47 </w:t>
      </w:r>
      <w:r>
        <w:t>CFR</w:t>
      </w:r>
      <w:r w:rsidRPr="00E95640">
        <w:t xml:space="preserve"> Part 30</w:t>
      </w:r>
      <w:r w:rsidRPr="00E95640">
        <w:rPr>
          <w:i/>
        </w:rPr>
        <w:t>.</w:t>
      </w:r>
    </w:p>
  </w:footnote>
  <w:footnote w:id="59">
    <w:p w:rsidR="00BA3DE2" w:rsidRPr="00E95640" w:rsidP="00A51AC4" w14:paraId="5B934BB7" w14:textId="77777777">
      <w:pPr>
        <w:pStyle w:val="FootnoteText"/>
      </w:pPr>
      <w:r w:rsidRPr="00E95640">
        <w:rPr>
          <w:rStyle w:val="FootnoteReference"/>
        </w:rPr>
        <w:footnoteRef/>
      </w:r>
      <w:r w:rsidRPr="00E95640">
        <w:t xml:space="preserve"> </w:t>
      </w:r>
      <w:r w:rsidRPr="00E95640">
        <w:rPr>
          <w:i/>
        </w:rPr>
        <w:t>See</w:t>
      </w:r>
      <w:r w:rsidRPr="00E95640">
        <w:t xml:space="preserve"> 47 CFR Part 101, Subpart Q.</w:t>
      </w:r>
    </w:p>
  </w:footnote>
  <w:footnote w:id="60">
    <w:p w:rsidR="00BA3DE2" w:rsidRPr="002C21D5" w:rsidP="00A51AC4" w14:paraId="3CCC9D4C" w14:textId="77777777">
      <w:pPr>
        <w:pStyle w:val="FootnoteText"/>
      </w:pPr>
      <w:r w:rsidRPr="002C21D5">
        <w:rPr>
          <w:rStyle w:val="FootnoteReference"/>
        </w:rPr>
        <w:footnoteRef/>
      </w:r>
      <w:r w:rsidRPr="002C21D5">
        <w:t xml:space="preserve"> </w:t>
      </w:r>
      <w:r w:rsidRPr="002C21D5">
        <w:rPr>
          <w:i/>
        </w:rPr>
        <w:t>See</w:t>
      </w:r>
      <w:r w:rsidRPr="002C21D5">
        <w:t xml:space="preserve"> 47 CFR Part 101, Subpart L.</w:t>
      </w:r>
    </w:p>
  </w:footnote>
  <w:footnote w:id="61">
    <w:p w:rsidR="00BA3DE2" w:rsidRPr="002C21D5" w:rsidP="00A51AC4" w14:paraId="10BB4314" w14:textId="77777777">
      <w:pPr>
        <w:pStyle w:val="FootnoteText"/>
      </w:pPr>
      <w:r w:rsidRPr="002C21D5">
        <w:rPr>
          <w:rStyle w:val="FootnoteReference"/>
        </w:rPr>
        <w:footnoteRef/>
      </w:r>
      <w:r w:rsidRPr="002C21D5">
        <w:t xml:space="preserve"> </w:t>
      </w:r>
      <w:r w:rsidRPr="002C21D5">
        <w:rPr>
          <w:i/>
        </w:rPr>
        <w:t>See</w:t>
      </w:r>
      <w:r w:rsidRPr="002C21D5">
        <w:t xml:space="preserve"> 47 CFR Part 101, Subpart G.</w:t>
      </w:r>
    </w:p>
  </w:footnote>
  <w:footnote w:id="62">
    <w:p w:rsidR="00BA3DE2" w:rsidRPr="002C21D5" w:rsidP="00A51AC4" w14:paraId="7B092144" w14:textId="77777777">
      <w:pPr>
        <w:spacing w:after="120"/>
        <w:rPr>
          <w:sz w:val="20"/>
        </w:rPr>
      </w:pPr>
      <w:r w:rsidRPr="002C21D5">
        <w:rPr>
          <w:rStyle w:val="FootnoteReference"/>
        </w:rPr>
        <w:footnoteRef/>
      </w:r>
      <w:r w:rsidRPr="002C21D5">
        <w:rPr>
          <w:sz w:val="20"/>
        </w:rPr>
        <w:t xml:space="preserve"> </w:t>
      </w:r>
      <w:r w:rsidRPr="00751E4F">
        <w:rPr>
          <w:i/>
          <w:snapToGrid/>
          <w:kern w:val="0"/>
          <w:sz w:val="20"/>
        </w:rPr>
        <w:t>See id.</w:t>
      </w:r>
    </w:p>
  </w:footnote>
  <w:footnote w:id="63">
    <w:p w:rsidR="00BA3DE2" w:rsidRPr="002C21D5" w:rsidP="00A51AC4" w14:paraId="284E2717" w14:textId="77777777">
      <w:pPr>
        <w:pStyle w:val="FootnoteText"/>
      </w:pPr>
      <w:r w:rsidRPr="002C21D5">
        <w:rPr>
          <w:rStyle w:val="FootnoteReference"/>
        </w:rPr>
        <w:footnoteRef/>
      </w:r>
      <w:r w:rsidRPr="002C21D5">
        <w:t xml:space="preserve"> </w:t>
      </w:r>
      <w:r w:rsidRPr="002C21D5">
        <w:rPr>
          <w:i/>
        </w:rPr>
        <w:t>See</w:t>
      </w:r>
      <w:r w:rsidRPr="002C21D5">
        <w:t xml:space="preserve"> 47 CFR §§ 101.533, 101.1017.</w:t>
      </w:r>
    </w:p>
  </w:footnote>
  <w:footnote w:id="64">
    <w:p w:rsidR="00BA3DE2" w:rsidRPr="00E95640" w:rsidP="00A51AC4" w14:paraId="593E5AB8" w14:textId="77777777">
      <w:pPr>
        <w:pStyle w:val="FootnoteText"/>
      </w:pPr>
      <w:r w:rsidRPr="00E95640">
        <w:rPr>
          <w:rStyle w:val="FootnoteReference"/>
        </w:rPr>
        <w:footnoteRef/>
      </w:r>
      <w:r w:rsidRPr="00E95640">
        <w:t xml:space="preserve"> These statistics are based on a review of the Universal Licensing System on September 22, 2015.</w:t>
      </w:r>
    </w:p>
  </w:footnote>
  <w:footnote w:id="65">
    <w:p w:rsidR="00BA3DE2" w:rsidRPr="008041C5" w:rsidP="00A51AC4" w14:paraId="482B3BFB" w14:textId="77777777">
      <w:pPr>
        <w:pStyle w:val="FootnoteText"/>
      </w:pPr>
      <w:r w:rsidRPr="008041C5">
        <w:rPr>
          <w:rStyle w:val="FootnoteReference"/>
        </w:rPr>
        <w:footnoteRef/>
      </w:r>
      <w:r w:rsidRPr="008041C5">
        <w:t xml:space="preserve"> </w:t>
      </w:r>
      <w:r w:rsidRPr="008041C5">
        <w:rPr>
          <w:i/>
        </w:rPr>
        <w:t>See</w:t>
      </w:r>
      <w:r w:rsidRPr="008041C5">
        <w:t xml:space="preserve"> 13 CFR § 121.201, NAICS code 517210.</w:t>
      </w:r>
    </w:p>
  </w:footnote>
  <w:footnote w:id="66">
    <w:p w:rsidR="00BA3DE2" w:rsidP="00A51AC4" w14:paraId="3DA8DEAE" w14:textId="77777777">
      <w:pPr>
        <w:pStyle w:val="FootnoteText"/>
      </w:pPr>
      <w:r>
        <w:rPr>
          <w:rStyle w:val="FootnoteReference"/>
        </w:rPr>
        <w:footnoteRef/>
      </w:r>
      <w:r>
        <w:t xml:space="preserve"> </w:t>
      </w:r>
      <w:r w:rsidRPr="006B076E">
        <w:t xml:space="preserve">U.S. Census Bureau, </w:t>
      </w:r>
      <w:r w:rsidRPr="001B5DD6">
        <w:rPr>
          <w:bCs/>
          <w:i/>
        </w:rPr>
        <w:t>2012</w:t>
      </w:r>
      <w:r w:rsidRPr="00C43F7F">
        <w:rPr>
          <w:i/>
        </w:rPr>
        <w:t xml:space="preserve"> Economic Census</w:t>
      </w:r>
      <w:r w:rsidRPr="001B5DD6">
        <w:rPr>
          <w:bCs/>
          <w:i/>
        </w:rPr>
        <w:t xml:space="preserve"> of the United States</w:t>
      </w:r>
      <w:r w:rsidRPr="001B5DD6">
        <w:t>, Table</w:t>
      </w:r>
      <w:r>
        <w:t xml:space="preserve"> </w:t>
      </w:r>
      <w:r w:rsidRPr="00725E0B">
        <w:t>EC1251SSSZ5</w:t>
      </w:r>
      <w:r>
        <w:t>,</w:t>
      </w:r>
      <w:r w:rsidRPr="001B5DD6">
        <w:t xml:space="preserve"> </w:t>
      </w:r>
      <w:r w:rsidRPr="00006F4E">
        <w:t>Information: Subject Series,</w:t>
      </w:r>
      <w:r>
        <w:t xml:space="preserve"> “Estab</w:t>
      </w:r>
      <w:r w:rsidRPr="006B076E">
        <w:t xml:space="preserve"> and Firm Size: Employment Size of Firms for t</w:t>
      </w:r>
      <w:r>
        <w:t>he U.S.: 2012 NAICS Code 517210”</w:t>
      </w:r>
      <w:r w:rsidRPr="006B076E">
        <w:t xml:space="preserve"> (rel. Jan. 8, 2016).</w:t>
      </w:r>
      <w:r>
        <w:t xml:space="preserve">  </w:t>
      </w:r>
      <w:hyperlink r:id="rId13" w:history="1">
        <w:r w:rsidRPr="00C57312">
          <w:rPr>
            <w:rStyle w:val="Hyperlink"/>
          </w:rPr>
          <w:t>https://factfinder.census.gov/bkmk/table/1.0/en/ECN/2012_US/51SSSZ5//naics~517210</w:t>
        </w:r>
      </w:hyperlink>
      <w:r>
        <w:rPr>
          <w:rStyle w:val="Hyperlink"/>
        </w:rPr>
        <w:t>.</w:t>
      </w:r>
    </w:p>
  </w:footnote>
  <w:footnote w:id="67">
    <w:p w:rsidR="00BA3DE2" w:rsidRPr="006B076E" w:rsidP="00A51AC4" w14:paraId="12739287" w14:textId="77777777">
      <w:pPr>
        <w:pStyle w:val="FootnoteText"/>
      </w:pPr>
      <w:r w:rsidRPr="008041C5">
        <w:rPr>
          <w:rStyle w:val="FootnoteReference"/>
        </w:rPr>
        <w:footnoteRef/>
      </w:r>
      <w:r w:rsidRPr="008041C5">
        <w:t xml:space="preserve"> </w:t>
      </w:r>
      <w:r w:rsidRPr="008041C5">
        <w:rPr>
          <w:i/>
        </w:rPr>
        <w:t>Id</w:t>
      </w:r>
      <w:r w:rsidRPr="008041C5">
        <w:t>.  Available census data do not provide a more precise estimate of the number of firms that have employment of 1,500 or fewer employees; the largest category provided is for firms with “1000 employees or more.”</w:t>
      </w:r>
    </w:p>
  </w:footnote>
  <w:footnote w:id="68">
    <w:p w:rsidR="00BA3DE2" w:rsidRPr="00C54A58" w:rsidP="00A51AC4" w14:paraId="76C90C4C" w14:textId="77777777">
      <w:pPr>
        <w:pStyle w:val="FootnoteText"/>
      </w:pPr>
      <w:r w:rsidRPr="00C54A58">
        <w:rPr>
          <w:rStyle w:val="FootnoteReference"/>
        </w:rPr>
        <w:footnoteRef/>
      </w:r>
      <w:r w:rsidRPr="00C54A58">
        <w:t xml:space="preserve"> </w:t>
      </w:r>
      <w:r w:rsidRPr="00C54A58">
        <w:rPr>
          <w:i/>
        </w:rPr>
        <w:t>See</w:t>
      </w:r>
      <w:r w:rsidRPr="00C54A58">
        <w:t xml:space="preserve"> U.S. Census Bureau, 2017 NAICS Definitions, NAICS Code “334290 Other Communications Equipment Manufacturing”, </w:t>
      </w:r>
      <w:hyperlink r:id="rId14" w:history="1">
        <w:r w:rsidRPr="00C54A58">
          <w:rPr>
            <w:rStyle w:val="Hyperlink"/>
          </w:rPr>
          <w:t>https://www.census.gov/cgi-bin/sssd/naics/naicsrch?input=334290&amp;search=2017+NAICS+Search&amp;search=2017</w:t>
        </w:r>
      </w:hyperlink>
      <w:r w:rsidRPr="00C54A58">
        <w:t>.</w:t>
      </w:r>
    </w:p>
  </w:footnote>
  <w:footnote w:id="69">
    <w:p w:rsidR="00BA3DE2" w:rsidRPr="00C54A58" w:rsidP="00A51AC4" w14:paraId="19E9B5D9" w14:textId="77777777">
      <w:pPr>
        <w:pStyle w:val="FootnoteText"/>
      </w:pPr>
      <w:r w:rsidRPr="00C54A58">
        <w:rPr>
          <w:rStyle w:val="FootnoteReference"/>
        </w:rPr>
        <w:footnoteRef/>
      </w:r>
      <w:r w:rsidRPr="00C54A58">
        <w:t xml:space="preserve"> </w:t>
      </w:r>
      <w:r w:rsidRPr="00C54A58">
        <w:rPr>
          <w:i/>
        </w:rPr>
        <w:t>Id.</w:t>
      </w:r>
    </w:p>
  </w:footnote>
  <w:footnote w:id="70">
    <w:p w:rsidR="00BA3DE2" w:rsidRPr="00C54A58" w:rsidP="00A51AC4" w14:paraId="35F21196" w14:textId="77777777">
      <w:pPr>
        <w:pStyle w:val="FootnoteText"/>
      </w:pPr>
      <w:r w:rsidRPr="00C54A58">
        <w:rPr>
          <w:rStyle w:val="FootnoteReference"/>
        </w:rPr>
        <w:footnoteRef/>
      </w:r>
      <w:r w:rsidRPr="00C54A58">
        <w:t xml:space="preserve"> See 13 CFR 121.201, NAICS Code 334290.</w:t>
      </w:r>
    </w:p>
  </w:footnote>
  <w:footnote w:id="71">
    <w:p w:rsidR="00BA3DE2" w:rsidRPr="00C54A58" w:rsidP="00A51AC4" w14:paraId="22997379" w14:textId="77777777">
      <w:pPr>
        <w:pStyle w:val="FootnoteText"/>
      </w:pPr>
      <w:r w:rsidRPr="00C54A58">
        <w:rPr>
          <w:rStyle w:val="FootnoteReference"/>
        </w:rPr>
        <w:footnoteRef/>
      </w:r>
      <w:r w:rsidRPr="00C54A58">
        <w:t xml:space="preserve"> U.S. Census Bureau, </w:t>
      </w:r>
      <w:r w:rsidRPr="00C54A58">
        <w:rPr>
          <w:bCs/>
          <w:i/>
        </w:rPr>
        <w:t>2012</w:t>
      </w:r>
      <w:r w:rsidRPr="00C54A58">
        <w:rPr>
          <w:i/>
        </w:rPr>
        <w:t xml:space="preserve"> Economic Census</w:t>
      </w:r>
      <w:r w:rsidRPr="00C54A58">
        <w:rPr>
          <w:bCs/>
          <w:i/>
        </w:rPr>
        <w:t xml:space="preserve"> of the United States</w:t>
      </w:r>
      <w:r w:rsidRPr="00C54A58">
        <w:t xml:space="preserve">, Table EC1231SG2, Manufacturing: Summary Series: General Summary: Industry Statistics for Subsectors and Industries by Employment Size: 2012, NAICS Code 334290, </w:t>
      </w:r>
      <w:hyperlink r:id="rId15" w:history="1">
        <w:r w:rsidRPr="00C54A58">
          <w:rPr>
            <w:rStyle w:val="Hyperlink"/>
          </w:rPr>
          <w:t>https://factfinder.census.gov/bkmk/table/1.0/en/ECN/2012_US/31SG2//naics~334290</w:t>
        </w:r>
      </w:hyperlink>
      <w:r w:rsidRPr="00C54A58">
        <w:t xml:space="preserve">. </w:t>
      </w:r>
    </w:p>
  </w:footnote>
  <w:footnote w:id="72">
    <w:p w:rsidR="00BA3DE2" w:rsidRPr="00C54A58" w:rsidP="00A51AC4" w14:paraId="73EFA379" w14:textId="77777777">
      <w:pPr>
        <w:pStyle w:val="FootnoteText"/>
        <w:rPr>
          <w:i/>
        </w:rPr>
      </w:pPr>
      <w:r w:rsidRPr="00C54A58">
        <w:rPr>
          <w:rStyle w:val="FootnoteReference"/>
        </w:rPr>
        <w:footnoteRef/>
      </w:r>
      <w:r w:rsidRPr="00C54A58">
        <w:t xml:space="preserve"> </w:t>
      </w:r>
      <w:r w:rsidRPr="00C54A58">
        <w:rPr>
          <w:i/>
        </w:rPr>
        <w:t>Id.</w:t>
      </w:r>
    </w:p>
  </w:footnote>
  <w:footnote w:id="73">
    <w:p w:rsidR="00BA3DE2" w:rsidP="00A51AC4" w14:paraId="4B5F53D7" w14:textId="77777777">
      <w:pPr>
        <w:pStyle w:val="FootnoteText"/>
      </w:pPr>
      <w:r>
        <w:rPr>
          <w:rStyle w:val="FootnoteReference"/>
        </w:rPr>
        <w:footnoteRef/>
      </w:r>
      <w:r w:rsidRPr="001A678D">
        <w:t xml:space="preserve"> </w:t>
      </w:r>
      <w:r w:rsidRPr="009655B9">
        <w:rPr>
          <w:i/>
        </w:rPr>
        <w:t xml:space="preserve">See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hyperlink r:id="rId16" w:history="1">
        <w:r w:rsidRPr="00C57312">
          <w:rPr>
            <w:rStyle w:val="Hyperlink"/>
            <w:i/>
          </w:rPr>
          <w:t>https://factfinder.census.gov/faces/affhelp/jsf/pages/metadata.xhtml?lang=en&amp;type=ib&amp;id=ib.en./ECN.NAICS2012.334220#</w:t>
        </w:r>
      </w:hyperlink>
      <w:r>
        <w:rPr>
          <w:i/>
        </w:rPr>
        <w:t>.</w:t>
      </w:r>
    </w:p>
  </w:footnote>
  <w:footnote w:id="74">
    <w:p w:rsidR="00BA3DE2" w:rsidP="00A51AC4" w14:paraId="232034C0" w14:textId="77777777">
      <w:pPr>
        <w:pStyle w:val="FootnoteText"/>
      </w:pPr>
      <w:r>
        <w:rPr>
          <w:rStyle w:val="FootnoteReference"/>
        </w:rPr>
        <w:footnoteRef/>
      </w:r>
      <w:r>
        <w:t xml:space="preserve"> </w:t>
      </w:r>
      <w:r w:rsidRPr="008259FA">
        <w:rPr>
          <w:i/>
        </w:rPr>
        <w:t>Id</w:t>
      </w:r>
      <w:r>
        <w:t>.</w:t>
      </w:r>
    </w:p>
  </w:footnote>
  <w:footnote w:id="75">
    <w:p w:rsidR="00BA3DE2" w:rsidP="00A51AC4" w14:paraId="259474D5" w14:textId="77777777">
      <w:pPr>
        <w:pStyle w:val="FootnoteText"/>
      </w:pPr>
      <w:r>
        <w:rPr>
          <w:rStyle w:val="FootnoteReference"/>
        </w:rPr>
        <w:footnoteRef/>
      </w:r>
      <w:r>
        <w:t xml:space="preserve"> 13 CFR </w:t>
      </w:r>
      <w:r w:rsidRPr="00411336">
        <w:t>§</w:t>
      </w:r>
      <w:r>
        <w:t xml:space="preserve"> 121.201, NAICS Code 334220.</w:t>
      </w:r>
    </w:p>
  </w:footnote>
  <w:footnote w:id="76">
    <w:p w:rsidR="00BA3DE2" w:rsidP="00A51AC4" w14:paraId="4B52C301" w14:textId="77777777">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7" w:history="1">
        <w:r w:rsidRPr="00C57312">
          <w:rPr>
            <w:rStyle w:val="Hyperlink"/>
          </w:rPr>
          <w:t>https://factfinder.census.gov/bkmk/table/1.0/en/ECN/2012_US/31SG2//naics~334220</w:t>
        </w:r>
      </w:hyperlink>
      <w:r>
        <w:rPr>
          <w:rStyle w:val="Hyperlink"/>
        </w:rPr>
        <w:t>.</w:t>
      </w:r>
    </w:p>
  </w:footnote>
  <w:footnote w:id="77">
    <w:p w:rsidR="00BA3DE2" w:rsidP="00A51AC4" w14:paraId="410FDCF9" w14:textId="77777777">
      <w:pPr>
        <w:pStyle w:val="FootnoteText"/>
      </w:pPr>
      <w:r>
        <w:rPr>
          <w:rStyle w:val="FootnoteReference"/>
        </w:rPr>
        <w:footnoteRef/>
      </w:r>
      <w:r>
        <w:t xml:space="preserve"> </w:t>
      </w:r>
      <w:r w:rsidRPr="003D51E9">
        <w:rPr>
          <w:i/>
        </w:rPr>
        <w:t>Id</w:t>
      </w:r>
      <w:r>
        <w:t>.</w:t>
      </w:r>
    </w:p>
  </w:footnote>
  <w:footnote w:id="78">
    <w:p w:rsidR="00BA3DE2" w:rsidP="00A51AC4" w14:paraId="189D0D9B" w14:textId="77777777">
      <w:pPr>
        <w:pStyle w:val="FootnoteText"/>
      </w:pPr>
      <w:r>
        <w:rPr>
          <w:rStyle w:val="FootnoteReference"/>
        </w:rPr>
        <w:footnoteRef/>
      </w:r>
      <w:r>
        <w:t xml:space="preserve"> </w:t>
      </w:r>
      <w:r>
        <w:rPr>
          <w:i/>
        </w:rPr>
        <w:t xml:space="preserve">See </w:t>
      </w:r>
      <w:r w:rsidRPr="00C23CAA">
        <w:rPr>
          <w:i/>
        </w:rPr>
        <w:t>Notice</w:t>
      </w:r>
      <w:r>
        <w:t>, paras. 10-12.</w:t>
      </w:r>
    </w:p>
  </w:footnote>
  <w:footnote w:id="79">
    <w:p w:rsidR="00BA3DE2" w:rsidP="00A51AC4" w14:paraId="5C1FC248" w14:textId="77777777">
      <w:pPr>
        <w:pStyle w:val="FootnoteText"/>
      </w:pPr>
      <w:r>
        <w:rPr>
          <w:rStyle w:val="FootnoteReference"/>
        </w:rPr>
        <w:footnoteRef/>
      </w:r>
      <w:r>
        <w:t xml:space="preserve"> </w:t>
      </w:r>
      <w:r w:rsidRPr="00C403CA">
        <w:t xml:space="preserve">Of the </w:t>
      </w:r>
      <w:r>
        <w:t>eight licenses</w:t>
      </w:r>
      <w:r w:rsidRPr="00C403CA">
        <w:t xml:space="preserve">, three are held by NBC Telemundo License LLC; one is held by Station Venture Operations, LP; </w:t>
      </w:r>
      <w:r>
        <w:t>one is</w:t>
      </w:r>
      <w:r w:rsidRPr="00C403CA">
        <w:t xml:space="preserve"> held by I.O.U. Acquisitions; </w:t>
      </w:r>
      <w:r>
        <w:t xml:space="preserve">one is </w:t>
      </w:r>
      <w:r w:rsidRPr="00C403CA">
        <w:t>held by Air-Tel, LLC; and one is held by Nexstar Broadcasting, Inc</w:t>
      </w:r>
      <w:r>
        <w:t>; and one by the Town of Warrensburg/Warrensburg Police Department</w:t>
      </w:r>
      <w:r w:rsidRPr="00295AD7">
        <w:t>.</w:t>
      </w:r>
    </w:p>
  </w:footnote>
  <w:footnote w:id="80">
    <w:p w:rsidR="00BA3DE2" w:rsidP="00A51AC4" w14:paraId="496D2F3B" w14:textId="77777777">
      <w:pPr>
        <w:pStyle w:val="FootnoteText"/>
      </w:pPr>
      <w:r>
        <w:rPr>
          <w:rStyle w:val="FootnoteReference"/>
        </w:rPr>
        <w:footnoteRef/>
      </w:r>
      <w:r>
        <w:t xml:space="preserve"> Eight licenses are </w:t>
      </w:r>
      <w:r w:rsidRPr="000F097F">
        <w:rPr>
          <w:szCs w:val="22"/>
        </w:rPr>
        <w:t>held by Alabama Power Comp</w:t>
      </w:r>
      <w:r w:rsidRPr="00CF1AFB">
        <w:rPr>
          <w:szCs w:val="22"/>
        </w:rPr>
        <w:t>any</w:t>
      </w:r>
      <w:r>
        <w:rPr>
          <w:szCs w:val="22"/>
        </w:rPr>
        <w:t>;</w:t>
      </w:r>
      <w:r w:rsidRPr="00CF1AFB">
        <w:rPr>
          <w:szCs w:val="22"/>
        </w:rPr>
        <w:t xml:space="preserve"> </w:t>
      </w:r>
      <w:r>
        <w:rPr>
          <w:szCs w:val="22"/>
        </w:rPr>
        <w:t xml:space="preserve">seven licenses are held by </w:t>
      </w:r>
      <w:r w:rsidRPr="00CF1AFB">
        <w:rPr>
          <w:szCs w:val="22"/>
        </w:rPr>
        <w:t>Georgia Power Company</w:t>
      </w:r>
      <w:r>
        <w:rPr>
          <w:szCs w:val="22"/>
        </w:rPr>
        <w:t xml:space="preserve">; </w:t>
      </w:r>
      <w:r w:rsidRPr="00CF1AFB">
        <w:rPr>
          <w:szCs w:val="22"/>
        </w:rPr>
        <w:t xml:space="preserve">and </w:t>
      </w:r>
      <w:r>
        <w:rPr>
          <w:szCs w:val="22"/>
        </w:rPr>
        <w:t xml:space="preserve">two licenses are held by the </w:t>
      </w:r>
      <w:r w:rsidRPr="00CF1AFB">
        <w:rPr>
          <w:szCs w:val="22"/>
        </w:rPr>
        <w:t>city and county of Denver/Denver International Airport</w:t>
      </w:r>
      <w:r>
        <w:rPr>
          <w:szCs w:val="22"/>
        </w:rPr>
        <w:t>.</w:t>
      </w:r>
    </w:p>
  </w:footnote>
  <w:footnote w:id="81">
    <w:p w:rsidR="00BA3DE2" w:rsidRPr="0041458E" w:rsidP="00A51AC4" w14:paraId="7CB9B38F" w14:textId="77777777">
      <w:pPr>
        <w:pStyle w:val="FootnoteText"/>
      </w:pPr>
      <w:r>
        <w:rPr>
          <w:rStyle w:val="FootnoteReference"/>
        </w:rPr>
        <w:footnoteRef/>
      </w:r>
      <w:r w:rsidRPr="007C74D3">
        <w:rPr>
          <w:i/>
        </w:rPr>
        <w:t xml:space="preserve"> </w:t>
      </w:r>
      <w:r>
        <w:rPr>
          <w:i/>
        </w:rPr>
        <w:t xml:space="preserve">See </w:t>
      </w:r>
      <w:r w:rsidRPr="00C23CAA">
        <w:rPr>
          <w:i/>
        </w:rPr>
        <w:t>Notice</w:t>
      </w:r>
      <w:r>
        <w:t>, paras. 10-12.</w:t>
      </w:r>
    </w:p>
  </w:footnote>
  <w:footnote w:id="82">
    <w:p w:rsidR="00BA3DE2" w:rsidRPr="00073619" w:rsidP="00A51AC4" w14:paraId="7B2A7FF0" w14:textId="77777777">
      <w:pPr>
        <w:pStyle w:val="FootnoteText"/>
      </w:pPr>
      <w:r w:rsidRPr="00073619">
        <w:rPr>
          <w:rStyle w:val="FootnoteReference"/>
        </w:rPr>
        <w:footnoteRef/>
      </w:r>
      <w:r w:rsidRPr="00073619">
        <w:t xml:space="preserve"> 5 U.S.C. § 603(c)(1)-(4).</w:t>
      </w:r>
    </w:p>
  </w:footnote>
  <w:footnote w:id="83">
    <w:p w:rsidR="00BA3DE2" w:rsidP="00A51AC4" w14:paraId="287B184B" w14:textId="77777777">
      <w:pPr>
        <w:pStyle w:val="FootnoteText"/>
      </w:pPr>
      <w:r>
        <w:rPr>
          <w:rStyle w:val="FootnoteReference"/>
        </w:rPr>
        <w:footnoteRef/>
      </w:r>
      <w:r>
        <w:t xml:space="preserve"> </w:t>
      </w:r>
      <w:r>
        <w:rPr>
          <w:i/>
        </w:rPr>
        <w:t xml:space="preserve">See </w:t>
      </w:r>
      <w:r>
        <w:t>Notice, paras. 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A033C4" w14:paraId="155FC3B3" w14:textId="6D5016FA">
    <w:pPr>
      <w:pStyle w:val="Header"/>
    </w:pPr>
    <w:r>
      <w:tab/>
      <w:t>Federal Communications Commission</w:t>
    </w:r>
    <w:r>
      <w:tab/>
      <w:t>FCC 19-130</w:t>
    </w:r>
  </w:p>
  <w:p w:rsidR="00BA3DE2" w:rsidP="00A033C4" w14:paraId="15E36453" w14:textId="77777777">
    <w:pPr>
      <w:tabs>
        <w:tab w:val="left" w:pos="-720"/>
      </w:tabs>
      <w:suppressAutoHyphens/>
      <w:spacing w:line="19" w:lineRule="exact"/>
      <w:rPr>
        <w:spacing w:val="-2"/>
      </w:rPr>
    </w:pPr>
    <w:r>
      <w:rPr>
        <w:noProof/>
      </w:rPr>
      <w:pict>
        <v:rect id="Rectangle 5" o:spid="_x0000_s2049" style="width:468pt;height:0.95pt;margin-top:0;margin-left:0;mso-position-horizontal-relative:margin;position:absolute;visibility:visible;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A033C4" w14:paraId="67841FFD" w14:textId="2DCC6A49">
    <w:pPr>
      <w:pStyle w:val="Heade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t>FCC 19-130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810B6F" w14:paraId="7B1443EC" w14:textId="319F7C95">
    <w:pPr>
      <w:pStyle w:val="Header"/>
      <w:rPr>
        <w:b w:val="0"/>
      </w:rPr>
    </w:pPr>
    <w:r>
      <w:tab/>
      <w:t>Federal Communications Commission</w:t>
    </w:r>
    <w:r>
      <w:tab/>
      <w:t>FCC 19-130</w:t>
    </w:r>
  </w:p>
  <w:p w:rsidR="00BA3DE2" w14:paraId="537EBB4E"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BA3DE2" w14:paraId="3FE481DE"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3DE2" w:rsidP="00810B6F" w14:paraId="00B61247" w14:textId="580F7A38">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t>FCC 19-130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6A5C0C"/>
    <w:multiLevelType w:val="hybridMultilevel"/>
    <w:tmpl w:val="F8B49B7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B8563AB"/>
    <w:multiLevelType w:val="hybridMultilevel"/>
    <w:tmpl w:val="910ACB9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690BD9"/>
    <w:multiLevelType w:val="hybridMultilevel"/>
    <w:tmpl w:val="08E8F6D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F9C21E12"/>
    <w:lvl w:ilvl="0">
      <w:start w:val="1"/>
      <w:numFmt w:val="decimal"/>
      <w:pStyle w:val="ParaNum"/>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spacing w:val="0"/>
        <w:position w:val="0"/>
        <w:u w:val="none"/>
        <w:effect w:val="none"/>
        <w:vertAlign w:val="baseline"/>
        <w:specVanish w:val="0"/>
      </w:rPr>
    </w:lvl>
  </w:abstractNum>
  <w:abstractNum w:abstractNumId="9">
    <w:nsid w:val="71C67C3F"/>
    <w:multiLevelType w:val="hybridMultilevel"/>
    <w:tmpl w:val="AA724A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2"/>
  </w:num>
  <w:num w:numId="6">
    <w:abstractNumId w:val="0"/>
  </w:num>
  <w:num w:numId="7">
    <w:abstractNumId w:val="8"/>
  </w:num>
  <w:num w:numId="8">
    <w:abstractNumId w:val="8"/>
  </w:num>
  <w:num w:numId="9">
    <w:abstractNumId w:val="8"/>
  </w:num>
  <w:num w:numId="10">
    <w:abstractNumId w:val="8"/>
  </w:num>
  <w:num w:numId="11">
    <w:abstractNumId w:val="9"/>
  </w:num>
  <w:num w:numId="12">
    <w:abstractNumId w:val="3"/>
  </w:num>
  <w:num w:numId="13">
    <w:abstractNumId w:val="8"/>
    <w:lvlOverride w:ilvl="0">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 w:numId="16">
    <w:abstractNumId w:val="5"/>
  </w:num>
  <w:num w:numId="17">
    <w:abstractNumId w:val="8"/>
    <w:lvlOverride w:ilvl="0">
      <w:startOverride w:val="1"/>
    </w:lvlOverride>
  </w:num>
  <w:num w:numId="18">
    <w:abstractNumId w:val="7"/>
  </w:num>
  <w:num w:numId="19">
    <w:abstractNumId w:val="8"/>
    <w:lvlOverride w:ilvl="0">
      <w:startOverride w:val="6"/>
    </w:lvlOverride>
  </w:num>
  <w:num w:numId="20">
    <w:abstractNumId w:val="8"/>
    <w:lvlOverride w:ilvl="0">
      <w:startOverride w:val="7"/>
    </w:lvlOverride>
  </w:num>
  <w:num w:numId="21">
    <w:abstractNumId w:val="8"/>
  </w:num>
  <w:num w:numId="22">
    <w:abstractNumId w:val="8"/>
  </w:num>
  <w:num w:numId="23">
    <w:abstractNumId w:val="8"/>
  </w:num>
  <w:num w:numId="24">
    <w:abstractNumId w:val="8"/>
    <w:lvlOverride w:ilvl="0">
      <w:startOverride w:val="1"/>
    </w:lvlOverride>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lvlOverride w:ilvl="0">
      <w:startOverride w:val="1"/>
    </w:lvlOverride>
  </w:num>
  <w:num w:numId="40">
    <w:abstractNumId w:val="8"/>
  </w:num>
  <w:num w:numId="41">
    <w:abstractNumId w:val="8"/>
  </w:num>
  <w:num w:numId="42">
    <w:abstractNumId w:val="8"/>
  </w:num>
  <w:num w:numId="43">
    <w:abstractNumId w:val="8"/>
  </w:num>
  <w:num w:numId="44">
    <w:abstractNumId w:val="8"/>
  </w:num>
  <w:num w:numId="4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5EB"/>
    <w:rsid w:val="000002A8"/>
    <w:rsid w:val="00000524"/>
    <w:rsid w:val="000005A9"/>
    <w:rsid w:val="00000BBB"/>
    <w:rsid w:val="00000D8B"/>
    <w:rsid w:val="00000E91"/>
    <w:rsid w:val="000010D9"/>
    <w:rsid w:val="00001140"/>
    <w:rsid w:val="000014D4"/>
    <w:rsid w:val="000015C7"/>
    <w:rsid w:val="000017DC"/>
    <w:rsid w:val="00001B93"/>
    <w:rsid w:val="0000272F"/>
    <w:rsid w:val="000028AC"/>
    <w:rsid w:val="000029DD"/>
    <w:rsid w:val="00003F65"/>
    <w:rsid w:val="000041E6"/>
    <w:rsid w:val="00004859"/>
    <w:rsid w:val="00004903"/>
    <w:rsid w:val="00004A83"/>
    <w:rsid w:val="00004B61"/>
    <w:rsid w:val="0000538A"/>
    <w:rsid w:val="000056B6"/>
    <w:rsid w:val="000057EF"/>
    <w:rsid w:val="000058EA"/>
    <w:rsid w:val="000059E3"/>
    <w:rsid w:val="00005A5E"/>
    <w:rsid w:val="00005CBD"/>
    <w:rsid w:val="00005FF8"/>
    <w:rsid w:val="000062B8"/>
    <w:rsid w:val="00006ABB"/>
    <w:rsid w:val="00006B38"/>
    <w:rsid w:val="00006F4E"/>
    <w:rsid w:val="000071F1"/>
    <w:rsid w:val="0000725B"/>
    <w:rsid w:val="00007371"/>
    <w:rsid w:val="00007B47"/>
    <w:rsid w:val="00007B6C"/>
    <w:rsid w:val="00007EAF"/>
    <w:rsid w:val="00010155"/>
    <w:rsid w:val="000101D2"/>
    <w:rsid w:val="0001075D"/>
    <w:rsid w:val="00010BB3"/>
    <w:rsid w:val="00010D92"/>
    <w:rsid w:val="0001109B"/>
    <w:rsid w:val="000110E4"/>
    <w:rsid w:val="0001136D"/>
    <w:rsid w:val="0001177E"/>
    <w:rsid w:val="000117B1"/>
    <w:rsid w:val="00011AD0"/>
    <w:rsid w:val="00012138"/>
    <w:rsid w:val="0001230D"/>
    <w:rsid w:val="00012CAB"/>
    <w:rsid w:val="00012FBA"/>
    <w:rsid w:val="00013230"/>
    <w:rsid w:val="0001323E"/>
    <w:rsid w:val="000133C2"/>
    <w:rsid w:val="000135FE"/>
    <w:rsid w:val="00013772"/>
    <w:rsid w:val="00013883"/>
    <w:rsid w:val="00013AF9"/>
    <w:rsid w:val="00013C02"/>
    <w:rsid w:val="00013EB8"/>
    <w:rsid w:val="00014769"/>
    <w:rsid w:val="000148AF"/>
    <w:rsid w:val="000148B3"/>
    <w:rsid w:val="00014B03"/>
    <w:rsid w:val="00014E09"/>
    <w:rsid w:val="00015055"/>
    <w:rsid w:val="000154DA"/>
    <w:rsid w:val="000156B1"/>
    <w:rsid w:val="00015971"/>
    <w:rsid w:val="00015CC4"/>
    <w:rsid w:val="000161E1"/>
    <w:rsid w:val="000162E8"/>
    <w:rsid w:val="0001630C"/>
    <w:rsid w:val="0001653D"/>
    <w:rsid w:val="000169BD"/>
    <w:rsid w:val="000170AD"/>
    <w:rsid w:val="0001734A"/>
    <w:rsid w:val="000176FD"/>
    <w:rsid w:val="0001784B"/>
    <w:rsid w:val="00017876"/>
    <w:rsid w:val="00017896"/>
    <w:rsid w:val="00017A6B"/>
    <w:rsid w:val="00017D48"/>
    <w:rsid w:val="00017D93"/>
    <w:rsid w:val="00017FE9"/>
    <w:rsid w:val="000200B2"/>
    <w:rsid w:val="00020569"/>
    <w:rsid w:val="0002067F"/>
    <w:rsid w:val="000210C0"/>
    <w:rsid w:val="0002122C"/>
    <w:rsid w:val="0002178C"/>
    <w:rsid w:val="00021A74"/>
    <w:rsid w:val="00021B08"/>
    <w:rsid w:val="00021C28"/>
    <w:rsid w:val="0002236E"/>
    <w:rsid w:val="0002292D"/>
    <w:rsid w:val="00022AD6"/>
    <w:rsid w:val="0002318D"/>
    <w:rsid w:val="00023831"/>
    <w:rsid w:val="00023E5D"/>
    <w:rsid w:val="000242AF"/>
    <w:rsid w:val="0002430C"/>
    <w:rsid w:val="0002442E"/>
    <w:rsid w:val="000248DB"/>
    <w:rsid w:val="000259A1"/>
    <w:rsid w:val="00025A94"/>
    <w:rsid w:val="00026F99"/>
    <w:rsid w:val="00027015"/>
    <w:rsid w:val="00027DD6"/>
    <w:rsid w:val="00027EB0"/>
    <w:rsid w:val="0003028F"/>
    <w:rsid w:val="0003030F"/>
    <w:rsid w:val="00030424"/>
    <w:rsid w:val="000305E9"/>
    <w:rsid w:val="00030646"/>
    <w:rsid w:val="0003084A"/>
    <w:rsid w:val="00030868"/>
    <w:rsid w:val="00030A62"/>
    <w:rsid w:val="00030B06"/>
    <w:rsid w:val="00030D1F"/>
    <w:rsid w:val="00030E7A"/>
    <w:rsid w:val="000311E1"/>
    <w:rsid w:val="000315A8"/>
    <w:rsid w:val="0003183F"/>
    <w:rsid w:val="000319ED"/>
    <w:rsid w:val="00031C30"/>
    <w:rsid w:val="00031FC7"/>
    <w:rsid w:val="00032DBC"/>
    <w:rsid w:val="00033E95"/>
    <w:rsid w:val="00034168"/>
    <w:rsid w:val="000343FB"/>
    <w:rsid w:val="000344D1"/>
    <w:rsid w:val="000344D3"/>
    <w:rsid w:val="00034691"/>
    <w:rsid w:val="00034820"/>
    <w:rsid w:val="00034827"/>
    <w:rsid w:val="00034D9C"/>
    <w:rsid w:val="00034FFC"/>
    <w:rsid w:val="000350B5"/>
    <w:rsid w:val="000351BC"/>
    <w:rsid w:val="00036039"/>
    <w:rsid w:val="0003608B"/>
    <w:rsid w:val="000362AC"/>
    <w:rsid w:val="00036500"/>
    <w:rsid w:val="000368CA"/>
    <w:rsid w:val="00036FC0"/>
    <w:rsid w:val="00037483"/>
    <w:rsid w:val="00037501"/>
    <w:rsid w:val="000376CF"/>
    <w:rsid w:val="000376F6"/>
    <w:rsid w:val="00037F90"/>
    <w:rsid w:val="00040699"/>
    <w:rsid w:val="0004096A"/>
    <w:rsid w:val="00041104"/>
    <w:rsid w:val="00041198"/>
    <w:rsid w:val="0004177A"/>
    <w:rsid w:val="000418BF"/>
    <w:rsid w:val="00041FDD"/>
    <w:rsid w:val="000420E1"/>
    <w:rsid w:val="00042263"/>
    <w:rsid w:val="000424E0"/>
    <w:rsid w:val="00042D98"/>
    <w:rsid w:val="0004319C"/>
    <w:rsid w:val="0004391D"/>
    <w:rsid w:val="00043BA4"/>
    <w:rsid w:val="00043DEE"/>
    <w:rsid w:val="00044048"/>
    <w:rsid w:val="0004430F"/>
    <w:rsid w:val="000446CF"/>
    <w:rsid w:val="000448CD"/>
    <w:rsid w:val="00044C26"/>
    <w:rsid w:val="00044ED6"/>
    <w:rsid w:val="0004555C"/>
    <w:rsid w:val="00045A78"/>
    <w:rsid w:val="00045D18"/>
    <w:rsid w:val="00045F8F"/>
    <w:rsid w:val="000462EF"/>
    <w:rsid w:val="00046482"/>
    <w:rsid w:val="00046694"/>
    <w:rsid w:val="0004779E"/>
    <w:rsid w:val="000479AB"/>
    <w:rsid w:val="00047F25"/>
    <w:rsid w:val="0005078B"/>
    <w:rsid w:val="000508F9"/>
    <w:rsid w:val="00050B9D"/>
    <w:rsid w:val="00050CA4"/>
    <w:rsid w:val="000514C4"/>
    <w:rsid w:val="000516B5"/>
    <w:rsid w:val="000518C5"/>
    <w:rsid w:val="00051C22"/>
    <w:rsid w:val="00052160"/>
    <w:rsid w:val="00052205"/>
    <w:rsid w:val="000523DB"/>
    <w:rsid w:val="000525D5"/>
    <w:rsid w:val="000528F1"/>
    <w:rsid w:val="00052B42"/>
    <w:rsid w:val="00052D1F"/>
    <w:rsid w:val="00053076"/>
    <w:rsid w:val="0005360F"/>
    <w:rsid w:val="00053E49"/>
    <w:rsid w:val="000544D2"/>
    <w:rsid w:val="0005464B"/>
    <w:rsid w:val="00054671"/>
    <w:rsid w:val="00054B22"/>
    <w:rsid w:val="00055236"/>
    <w:rsid w:val="0005527D"/>
    <w:rsid w:val="0005546F"/>
    <w:rsid w:val="00055621"/>
    <w:rsid w:val="00055686"/>
    <w:rsid w:val="00055798"/>
    <w:rsid w:val="00055C69"/>
    <w:rsid w:val="000562DC"/>
    <w:rsid w:val="000568B5"/>
    <w:rsid w:val="000568BE"/>
    <w:rsid w:val="000568D9"/>
    <w:rsid w:val="000568EA"/>
    <w:rsid w:val="00056EC4"/>
    <w:rsid w:val="00057349"/>
    <w:rsid w:val="0005744B"/>
    <w:rsid w:val="00057A13"/>
    <w:rsid w:val="00057B4D"/>
    <w:rsid w:val="00057F1C"/>
    <w:rsid w:val="0006075D"/>
    <w:rsid w:val="000609A9"/>
    <w:rsid w:val="00060F63"/>
    <w:rsid w:val="000615BA"/>
    <w:rsid w:val="000615E1"/>
    <w:rsid w:val="00061F3D"/>
    <w:rsid w:val="00062021"/>
    <w:rsid w:val="00062022"/>
    <w:rsid w:val="00062225"/>
    <w:rsid w:val="000629B0"/>
    <w:rsid w:val="00062AA0"/>
    <w:rsid w:val="00062EFC"/>
    <w:rsid w:val="00062F29"/>
    <w:rsid w:val="00063593"/>
    <w:rsid w:val="00063BA8"/>
    <w:rsid w:val="00063D28"/>
    <w:rsid w:val="00063DD6"/>
    <w:rsid w:val="00064329"/>
    <w:rsid w:val="00064629"/>
    <w:rsid w:val="000647E4"/>
    <w:rsid w:val="00064895"/>
    <w:rsid w:val="00064C88"/>
    <w:rsid w:val="00064F76"/>
    <w:rsid w:val="00065E21"/>
    <w:rsid w:val="00065F17"/>
    <w:rsid w:val="00065F2C"/>
    <w:rsid w:val="000662B0"/>
    <w:rsid w:val="000662C5"/>
    <w:rsid w:val="000663E6"/>
    <w:rsid w:val="00066796"/>
    <w:rsid w:val="00066A61"/>
    <w:rsid w:val="00066BAF"/>
    <w:rsid w:val="00067693"/>
    <w:rsid w:val="00067771"/>
    <w:rsid w:val="0006788C"/>
    <w:rsid w:val="00070013"/>
    <w:rsid w:val="000706E1"/>
    <w:rsid w:val="00070920"/>
    <w:rsid w:val="00070941"/>
    <w:rsid w:val="000711FC"/>
    <w:rsid w:val="00071415"/>
    <w:rsid w:val="00071653"/>
    <w:rsid w:val="000719FE"/>
    <w:rsid w:val="00071BE0"/>
    <w:rsid w:val="00071D82"/>
    <w:rsid w:val="00072008"/>
    <w:rsid w:val="0007245F"/>
    <w:rsid w:val="00072530"/>
    <w:rsid w:val="00073297"/>
    <w:rsid w:val="0007357C"/>
    <w:rsid w:val="00073619"/>
    <w:rsid w:val="00073649"/>
    <w:rsid w:val="00073F7B"/>
    <w:rsid w:val="0007531C"/>
    <w:rsid w:val="00075B24"/>
    <w:rsid w:val="00076018"/>
    <w:rsid w:val="000760A4"/>
    <w:rsid w:val="00076A3C"/>
    <w:rsid w:val="00076C16"/>
    <w:rsid w:val="00076D12"/>
    <w:rsid w:val="0007715B"/>
    <w:rsid w:val="000779E0"/>
    <w:rsid w:val="00077C23"/>
    <w:rsid w:val="00077E56"/>
    <w:rsid w:val="00077F80"/>
    <w:rsid w:val="00077FA2"/>
    <w:rsid w:val="0008004B"/>
    <w:rsid w:val="000800AA"/>
    <w:rsid w:val="00080132"/>
    <w:rsid w:val="00080E45"/>
    <w:rsid w:val="000812ED"/>
    <w:rsid w:val="000813B3"/>
    <w:rsid w:val="00081491"/>
    <w:rsid w:val="000815D9"/>
    <w:rsid w:val="00081B5D"/>
    <w:rsid w:val="00081DBE"/>
    <w:rsid w:val="0008213A"/>
    <w:rsid w:val="00082381"/>
    <w:rsid w:val="00082BFE"/>
    <w:rsid w:val="000830C2"/>
    <w:rsid w:val="00083CD7"/>
    <w:rsid w:val="00083FD7"/>
    <w:rsid w:val="0008414F"/>
    <w:rsid w:val="000842BB"/>
    <w:rsid w:val="000845E6"/>
    <w:rsid w:val="00084E38"/>
    <w:rsid w:val="00084F68"/>
    <w:rsid w:val="000857D8"/>
    <w:rsid w:val="0008591F"/>
    <w:rsid w:val="00085CE2"/>
    <w:rsid w:val="00085EA4"/>
    <w:rsid w:val="000861E9"/>
    <w:rsid w:val="00086757"/>
    <w:rsid w:val="00086B53"/>
    <w:rsid w:val="000875BF"/>
    <w:rsid w:val="000876BB"/>
    <w:rsid w:val="0008784D"/>
    <w:rsid w:val="00087EE2"/>
    <w:rsid w:val="00090058"/>
    <w:rsid w:val="000905F5"/>
    <w:rsid w:val="000905FD"/>
    <w:rsid w:val="0009090F"/>
    <w:rsid w:val="00091191"/>
    <w:rsid w:val="000917D8"/>
    <w:rsid w:val="00091E4C"/>
    <w:rsid w:val="00092598"/>
    <w:rsid w:val="00092796"/>
    <w:rsid w:val="00092AB1"/>
    <w:rsid w:val="000934A0"/>
    <w:rsid w:val="000938D0"/>
    <w:rsid w:val="00093A1E"/>
    <w:rsid w:val="00093A6C"/>
    <w:rsid w:val="00093CA9"/>
    <w:rsid w:val="00093CAD"/>
    <w:rsid w:val="00094FF9"/>
    <w:rsid w:val="00095E0F"/>
    <w:rsid w:val="0009607F"/>
    <w:rsid w:val="00096201"/>
    <w:rsid w:val="00096637"/>
    <w:rsid w:val="00096A4C"/>
    <w:rsid w:val="00096D8C"/>
    <w:rsid w:val="000975CC"/>
    <w:rsid w:val="00097A2C"/>
    <w:rsid w:val="000A01C6"/>
    <w:rsid w:val="000A04DD"/>
    <w:rsid w:val="000A0717"/>
    <w:rsid w:val="000A0F4F"/>
    <w:rsid w:val="000A112A"/>
    <w:rsid w:val="000A1171"/>
    <w:rsid w:val="000A14DF"/>
    <w:rsid w:val="000A1E16"/>
    <w:rsid w:val="000A24E4"/>
    <w:rsid w:val="000A268F"/>
    <w:rsid w:val="000A2C86"/>
    <w:rsid w:val="000A2C93"/>
    <w:rsid w:val="000A32DD"/>
    <w:rsid w:val="000A3552"/>
    <w:rsid w:val="000A3C06"/>
    <w:rsid w:val="000A3DB1"/>
    <w:rsid w:val="000A4141"/>
    <w:rsid w:val="000A436A"/>
    <w:rsid w:val="000A44E6"/>
    <w:rsid w:val="000A4BE2"/>
    <w:rsid w:val="000A4E0D"/>
    <w:rsid w:val="000A509F"/>
    <w:rsid w:val="000A5134"/>
    <w:rsid w:val="000A5604"/>
    <w:rsid w:val="000A5A02"/>
    <w:rsid w:val="000A5F90"/>
    <w:rsid w:val="000A6071"/>
    <w:rsid w:val="000A614E"/>
    <w:rsid w:val="000A616A"/>
    <w:rsid w:val="000A67AD"/>
    <w:rsid w:val="000A6995"/>
    <w:rsid w:val="000A6ADC"/>
    <w:rsid w:val="000A6F14"/>
    <w:rsid w:val="000A6F81"/>
    <w:rsid w:val="000A7139"/>
    <w:rsid w:val="000A7453"/>
    <w:rsid w:val="000A74CD"/>
    <w:rsid w:val="000A7768"/>
    <w:rsid w:val="000A7A5B"/>
    <w:rsid w:val="000A7EB3"/>
    <w:rsid w:val="000B01AE"/>
    <w:rsid w:val="000B04AD"/>
    <w:rsid w:val="000B0799"/>
    <w:rsid w:val="000B094E"/>
    <w:rsid w:val="000B09DB"/>
    <w:rsid w:val="000B0AF1"/>
    <w:rsid w:val="000B0C39"/>
    <w:rsid w:val="000B0DFF"/>
    <w:rsid w:val="000B0EBB"/>
    <w:rsid w:val="000B1027"/>
    <w:rsid w:val="000B103D"/>
    <w:rsid w:val="000B18BE"/>
    <w:rsid w:val="000B1C68"/>
    <w:rsid w:val="000B1CDD"/>
    <w:rsid w:val="000B1ECF"/>
    <w:rsid w:val="000B2162"/>
    <w:rsid w:val="000B2235"/>
    <w:rsid w:val="000B25BF"/>
    <w:rsid w:val="000B2CF3"/>
    <w:rsid w:val="000B3307"/>
    <w:rsid w:val="000B3630"/>
    <w:rsid w:val="000B383D"/>
    <w:rsid w:val="000B38A9"/>
    <w:rsid w:val="000B3DFB"/>
    <w:rsid w:val="000B3F47"/>
    <w:rsid w:val="000B3F7A"/>
    <w:rsid w:val="000B410C"/>
    <w:rsid w:val="000B4771"/>
    <w:rsid w:val="000B4A4E"/>
    <w:rsid w:val="000B4E9E"/>
    <w:rsid w:val="000B566F"/>
    <w:rsid w:val="000B587C"/>
    <w:rsid w:val="000B5A66"/>
    <w:rsid w:val="000B6105"/>
    <w:rsid w:val="000B64CC"/>
    <w:rsid w:val="000B67F4"/>
    <w:rsid w:val="000B68A6"/>
    <w:rsid w:val="000B6A17"/>
    <w:rsid w:val="000B6E29"/>
    <w:rsid w:val="000B6E4D"/>
    <w:rsid w:val="000B7106"/>
    <w:rsid w:val="000B7795"/>
    <w:rsid w:val="000B788E"/>
    <w:rsid w:val="000B78A2"/>
    <w:rsid w:val="000B7C15"/>
    <w:rsid w:val="000B7CBA"/>
    <w:rsid w:val="000B7D29"/>
    <w:rsid w:val="000B7D89"/>
    <w:rsid w:val="000B7D94"/>
    <w:rsid w:val="000B7E9B"/>
    <w:rsid w:val="000C0098"/>
    <w:rsid w:val="000C02AC"/>
    <w:rsid w:val="000C080F"/>
    <w:rsid w:val="000C08F1"/>
    <w:rsid w:val="000C09AC"/>
    <w:rsid w:val="000C0B65"/>
    <w:rsid w:val="000C1246"/>
    <w:rsid w:val="000C1271"/>
    <w:rsid w:val="000C1594"/>
    <w:rsid w:val="000C1633"/>
    <w:rsid w:val="000C18FA"/>
    <w:rsid w:val="000C19BC"/>
    <w:rsid w:val="000C26DA"/>
    <w:rsid w:val="000C2777"/>
    <w:rsid w:val="000C2984"/>
    <w:rsid w:val="000C3444"/>
    <w:rsid w:val="000C372E"/>
    <w:rsid w:val="000C3EC4"/>
    <w:rsid w:val="000C44F2"/>
    <w:rsid w:val="000C48C5"/>
    <w:rsid w:val="000C49EF"/>
    <w:rsid w:val="000C4B08"/>
    <w:rsid w:val="000C4B6F"/>
    <w:rsid w:val="000C5014"/>
    <w:rsid w:val="000C5521"/>
    <w:rsid w:val="000C59A0"/>
    <w:rsid w:val="000C5C49"/>
    <w:rsid w:val="000C5EE9"/>
    <w:rsid w:val="000C6277"/>
    <w:rsid w:val="000C6539"/>
    <w:rsid w:val="000C6847"/>
    <w:rsid w:val="000C68BC"/>
    <w:rsid w:val="000C68ED"/>
    <w:rsid w:val="000C6F5C"/>
    <w:rsid w:val="000C7251"/>
    <w:rsid w:val="000C767F"/>
    <w:rsid w:val="000C76F5"/>
    <w:rsid w:val="000C7B5B"/>
    <w:rsid w:val="000C7BA0"/>
    <w:rsid w:val="000C7CD4"/>
    <w:rsid w:val="000D0728"/>
    <w:rsid w:val="000D0D52"/>
    <w:rsid w:val="000D113A"/>
    <w:rsid w:val="000D156D"/>
    <w:rsid w:val="000D165B"/>
    <w:rsid w:val="000D2151"/>
    <w:rsid w:val="000D22B7"/>
    <w:rsid w:val="000D2C6B"/>
    <w:rsid w:val="000D2CF4"/>
    <w:rsid w:val="000D300E"/>
    <w:rsid w:val="000D3366"/>
    <w:rsid w:val="000D36CF"/>
    <w:rsid w:val="000D3702"/>
    <w:rsid w:val="000D42B7"/>
    <w:rsid w:val="000D4518"/>
    <w:rsid w:val="000D4671"/>
    <w:rsid w:val="000D49AB"/>
    <w:rsid w:val="000D4A20"/>
    <w:rsid w:val="000D4D4B"/>
    <w:rsid w:val="000D4F3A"/>
    <w:rsid w:val="000D5742"/>
    <w:rsid w:val="000D6210"/>
    <w:rsid w:val="000D64EE"/>
    <w:rsid w:val="000D6752"/>
    <w:rsid w:val="000D6E14"/>
    <w:rsid w:val="000D75BB"/>
    <w:rsid w:val="000D770A"/>
    <w:rsid w:val="000D7803"/>
    <w:rsid w:val="000D7856"/>
    <w:rsid w:val="000E02BA"/>
    <w:rsid w:val="000E05D9"/>
    <w:rsid w:val="000E05FE"/>
    <w:rsid w:val="000E0AB7"/>
    <w:rsid w:val="000E0E5B"/>
    <w:rsid w:val="000E1559"/>
    <w:rsid w:val="000E15D5"/>
    <w:rsid w:val="000E1617"/>
    <w:rsid w:val="000E1919"/>
    <w:rsid w:val="000E1C3A"/>
    <w:rsid w:val="000E1D52"/>
    <w:rsid w:val="000E2088"/>
    <w:rsid w:val="000E2282"/>
    <w:rsid w:val="000E22C7"/>
    <w:rsid w:val="000E240F"/>
    <w:rsid w:val="000E28ED"/>
    <w:rsid w:val="000E2AE5"/>
    <w:rsid w:val="000E2E5C"/>
    <w:rsid w:val="000E335F"/>
    <w:rsid w:val="000E3685"/>
    <w:rsid w:val="000E39D6"/>
    <w:rsid w:val="000E3D42"/>
    <w:rsid w:val="000E3FA9"/>
    <w:rsid w:val="000E4321"/>
    <w:rsid w:val="000E470A"/>
    <w:rsid w:val="000E4730"/>
    <w:rsid w:val="000E487B"/>
    <w:rsid w:val="000E4A22"/>
    <w:rsid w:val="000E4D2E"/>
    <w:rsid w:val="000E52FE"/>
    <w:rsid w:val="000E54AD"/>
    <w:rsid w:val="000E5732"/>
    <w:rsid w:val="000E5954"/>
    <w:rsid w:val="000E5F50"/>
    <w:rsid w:val="000E6470"/>
    <w:rsid w:val="000E6565"/>
    <w:rsid w:val="000E6881"/>
    <w:rsid w:val="000E7744"/>
    <w:rsid w:val="000E7A19"/>
    <w:rsid w:val="000F0060"/>
    <w:rsid w:val="000F0106"/>
    <w:rsid w:val="000F097F"/>
    <w:rsid w:val="000F1181"/>
    <w:rsid w:val="000F1CB2"/>
    <w:rsid w:val="000F1F11"/>
    <w:rsid w:val="000F2178"/>
    <w:rsid w:val="000F2241"/>
    <w:rsid w:val="000F2C74"/>
    <w:rsid w:val="000F30B0"/>
    <w:rsid w:val="000F34DD"/>
    <w:rsid w:val="000F4179"/>
    <w:rsid w:val="000F4836"/>
    <w:rsid w:val="000F48A4"/>
    <w:rsid w:val="000F4AD3"/>
    <w:rsid w:val="000F4B69"/>
    <w:rsid w:val="000F4BF4"/>
    <w:rsid w:val="000F4C5D"/>
    <w:rsid w:val="000F4CF5"/>
    <w:rsid w:val="000F5053"/>
    <w:rsid w:val="000F560C"/>
    <w:rsid w:val="000F5A6D"/>
    <w:rsid w:val="000F5EA9"/>
    <w:rsid w:val="000F67AF"/>
    <w:rsid w:val="000F6862"/>
    <w:rsid w:val="000F6FF8"/>
    <w:rsid w:val="000F7102"/>
    <w:rsid w:val="000F7206"/>
    <w:rsid w:val="000F73EB"/>
    <w:rsid w:val="000F7B38"/>
    <w:rsid w:val="000F7D71"/>
    <w:rsid w:val="000F7DA0"/>
    <w:rsid w:val="0010009B"/>
    <w:rsid w:val="0010045A"/>
    <w:rsid w:val="00100465"/>
    <w:rsid w:val="001005DA"/>
    <w:rsid w:val="00100742"/>
    <w:rsid w:val="0010115E"/>
    <w:rsid w:val="00101728"/>
    <w:rsid w:val="00101844"/>
    <w:rsid w:val="0010212A"/>
    <w:rsid w:val="001023C2"/>
    <w:rsid w:val="00102763"/>
    <w:rsid w:val="00102B6A"/>
    <w:rsid w:val="00102EE0"/>
    <w:rsid w:val="0010335F"/>
    <w:rsid w:val="0010337C"/>
    <w:rsid w:val="001034A9"/>
    <w:rsid w:val="00103729"/>
    <w:rsid w:val="0010387E"/>
    <w:rsid w:val="00103C1A"/>
    <w:rsid w:val="00103D39"/>
    <w:rsid w:val="00103FEC"/>
    <w:rsid w:val="00104140"/>
    <w:rsid w:val="001042F2"/>
    <w:rsid w:val="001043A8"/>
    <w:rsid w:val="0010443B"/>
    <w:rsid w:val="00104522"/>
    <w:rsid w:val="00104524"/>
    <w:rsid w:val="00104573"/>
    <w:rsid w:val="00104CAC"/>
    <w:rsid w:val="001054E1"/>
    <w:rsid w:val="00105503"/>
    <w:rsid w:val="00105789"/>
    <w:rsid w:val="001059B9"/>
    <w:rsid w:val="00105A0C"/>
    <w:rsid w:val="00106199"/>
    <w:rsid w:val="001063F4"/>
    <w:rsid w:val="001066A8"/>
    <w:rsid w:val="00106BEF"/>
    <w:rsid w:val="00107251"/>
    <w:rsid w:val="001072D7"/>
    <w:rsid w:val="001073B7"/>
    <w:rsid w:val="00107DF6"/>
    <w:rsid w:val="001100D2"/>
    <w:rsid w:val="00110135"/>
    <w:rsid w:val="00110594"/>
    <w:rsid w:val="0011059C"/>
    <w:rsid w:val="00110CAB"/>
    <w:rsid w:val="0011159E"/>
    <w:rsid w:val="001117E5"/>
    <w:rsid w:val="00111AFE"/>
    <w:rsid w:val="001122D0"/>
    <w:rsid w:val="001122F0"/>
    <w:rsid w:val="001123FD"/>
    <w:rsid w:val="0011258A"/>
    <w:rsid w:val="0011265E"/>
    <w:rsid w:val="0011272F"/>
    <w:rsid w:val="00112B73"/>
    <w:rsid w:val="00113D4C"/>
    <w:rsid w:val="00113E86"/>
    <w:rsid w:val="00113EB0"/>
    <w:rsid w:val="001144E5"/>
    <w:rsid w:val="001146D8"/>
    <w:rsid w:val="0011519E"/>
    <w:rsid w:val="00115306"/>
    <w:rsid w:val="001156F1"/>
    <w:rsid w:val="001166BB"/>
    <w:rsid w:val="00116763"/>
    <w:rsid w:val="00116956"/>
    <w:rsid w:val="00116D72"/>
    <w:rsid w:val="00116E19"/>
    <w:rsid w:val="00117425"/>
    <w:rsid w:val="001174B5"/>
    <w:rsid w:val="00117CA0"/>
    <w:rsid w:val="00120284"/>
    <w:rsid w:val="00120EF8"/>
    <w:rsid w:val="00121299"/>
    <w:rsid w:val="00121535"/>
    <w:rsid w:val="00121A0E"/>
    <w:rsid w:val="0012243C"/>
    <w:rsid w:val="001227D1"/>
    <w:rsid w:val="00122BD5"/>
    <w:rsid w:val="00122C0F"/>
    <w:rsid w:val="00123259"/>
    <w:rsid w:val="0012344F"/>
    <w:rsid w:val="0012348E"/>
    <w:rsid w:val="00123568"/>
    <w:rsid w:val="001235E3"/>
    <w:rsid w:val="0012369C"/>
    <w:rsid w:val="001238B5"/>
    <w:rsid w:val="00123A0D"/>
    <w:rsid w:val="001243E8"/>
    <w:rsid w:val="00124778"/>
    <w:rsid w:val="00124AEF"/>
    <w:rsid w:val="00124B2C"/>
    <w:rsid w:val="00124B7B"/>
    <w:rsid w:val="00124E95"/>
    <w:rsid w:val="00124F4F"/>
    <w:rsid w:val="0012532E"/>
    <w:rsid w:val="001258C5"/>
    <w:rsid w:val="00125F81"/>
    <w:rsid w:val="00126259"/>
    <w:rsid w:val="001262A3"/>
    <w:rsid w:val="0012688F"/>
    <w:rsid w:val="0012700C"/>
    <w:rsid w:val="00127702"/>
    <w:rsid w:val="00127725"/>
    <w:rsid w:val="00127F86"/>
    <w:rsid w:val="0013016A"/>
    <w:rsid w:val="0013036F"/>
    <w:rsid w:val="001303EC"/>
    <w:rsid w:val="001305D6"/>
    <w:rsid w:val="001316AA"/>
    <w:rsid w:val="00131AB6"/>
    <w:rsid w:val="00131E05"/>
    <w:rsid w:val="00131E66"/>
    <w:rsid w:val="00132054"/>
    <w:rsid w:val="00132418"/>
    <w:rsid w:val="00132F52"/>
    <w:rsid w:val="001336EE"/>
    <w:rsid w:val="001337BE"/>
    <w:rsid w:val="00133F79"/>
    <w:rsid w:val="00133F8E"/>
    <w:rsid w:val="00134174"/>
    <w:rsid w:val="00134830"/>
    <w:rsid w:val="00134891"/>
    <w:rsid w:val="00134954"/>
    <w:rsid w:val="00134E28"/>
    <w:rsid w:val="00134F1C"/>
    <w:rsid w:val="00134FE1"/>
    <w:rsid w:val="001359CE"/>
    <w:rsid w:val="00135C61"/>
    <w:rsid w:val="001363B5"/>
    <w:rsid w:val="00136717"/>
    <w:rsid w:val="00136999"/>
    <w:rsid w:val="00137D5A"/>
    <w:rsid w:val="001402A3"/>
    <w:rsid w:val="00140C21"/>
    <w:rsid w:val="00140CC4"/>
    <w:rsid w:val="001414B6"/>
    <w:rsid w:val="00141AB0"/>
    <w:rsid w:val="00142141"/>
    <w:rsid w:val="0014215F"/>
    <w:rsid w:val="001424EB"/>
    <w:rsid w:val="00142804"/>
    <w:rsid w:val="00142A6A"/>
    <w:rsid w:val="00142AE6"/>
    <w:rsid w:val="00142B22"/>
    <w:rsid w:val="00142CE2"/>
    <w:rsid w:val="00142E3A"/>
    <w:rsid w:val="00143885"/>
    <w:rsid w:val="00143DC4"/>
    <w:rsid w:val="00143FB5"/>
    <w:rsid w:val="001441C8"/>
    <w:rsid w:val="001441EC"/>
    <w:rsid w:val="001447FF"/>
    <w:rsid w:val="00144BFF"/>
    <w:rsid w:val="00145707"/>
    <w:rsid w:val="001458AA"/>
    <w:rsid w:val="00145AE3"/>
    <w:rsid w:val="00145CB8"/>
    <w:rsid w:val="001461A8"/>
    <w:rsid w:val="0014641E"/>
    <w:rsid w:val="00147228"/>
    <w:rsid w:val="0014749D"/>
    <w:rsid w:val="0014763B"/>
    <w:rsid w:val="00147C68"/>
    <w:rsid w:val="00147DC4"/>
    <w:rsid w:val="00147FC5"/>
    <w:rsid w:val="00150359"/>
    <w:rsid w:val="001505EB"/>
    <w:rsid w:val="00150616"/>
    <w:rsid w:val="001506EF"/>
    <w:rsid w:val="001511FD"/>
    <w:rsid w:val="001516D3"/>
    <w:rsid w:val="001516FB"/>
    <w:rsid w:val="0015188A"/>
    <w:rsid w:val="00152350"/>
    <w:rsid w:val="001529F5"/>
    <w:rsid w:val="00152A56"/>
    <w:rsid w:val="00152BAF"/>
    <w:rsid w:val="00152D76"/>
    <w:rsid w:val="00153662"/>
    <w:rsid w:val="00153A48"/>
    <w:rsid w:val="00153B49"/>
    <w:rsid w:val="00153C1C"/>
    <w:rsid w:val="00153DEA"/>
    <w:rsid w:val="00154406"/>
    <w:rsid w:val="00154945"/>
    <w:rsid w:val="001549CA"/>
    <w:rsid w:val="00154F72"/>
    <w:rsid w:val="001552C1"/>
    <w:rsid w:val="001556BB"/>
    <w:rsid w:val="001557B9"/>
    <w:rsid w:val="00156081"/>
    <w:rsid w:val="001561E4"/>
    <w:rsid w:val="001561EB"/>
    <w:rsid w:val="0015622A"/>
    <w:rsid w:val="00156C1B"/>
    <w:rsid w:val="00156DF7"/>
    <w:rsid w:val="00156F22"/>
    <w:rsid w:val="00156FF6"/>
    <w:rsid w:val="00157B83"/>
    <w:rsid w:val="00157C7E"/>
    <w:rsid w:val="00160735"/>
    <w:rsid w:val="00160BB6"/>
    <w:rsid w:val="00160F3D"/>
    <w:rsid w:val="0016105F"/>
    <w:rsid w:val="00161105"/>
    <w:rsid w:val="00161B3F"/>
    <w:rsid w:val="00161E59"/>
    <w:rsid w:val="00161EE3"/>
    <w:rsid w:val="001620B9"/>
    <w:rsid w:val="001626AE"/>
    <w:rsid w:val="00162706"/>
    <w:rsid w:val="001628E1"/>
    <w:rsid w:val="001635B2"/>
    <w:rsid w:val="00163926"/>
    <w:rsid w:val="001639BC"/>
    <w:rsid w:val="00163E44"/>
    <w:rsid w:val="00163F08"/>
    <w:rsid w:val="001640E9"/>
    <w:rsid w:val="00164267"/>
    <w:rsid w:val="0016467C"/>
    <w:rsid w:val="001646DA"/>
    <w:rsid w:val="00164DE0"/>
    <w:rsid w:val="00164EDE"/>
    <w:rsid w:val="00165049"/>
    <w:rsid w:val="001658A4"/>
    <w:rsid w:val="00165EAA"/>
    <w:rsid w:val="0016603C"/>
    <w:rsid w:val="001661F7"/>
    <w:rsid w:val="00166307"/>
    <w:rsid w:val="00166683"/>
    <w:rsid w:val="00166C2E"/>
    <w:rsid w:val="00167CED"/>
    <w:rsid w:val="00170008"/>
    <w:rsid w:val="00170589"/>
    <w:rsid w:val="001709BF"/>
    <w:rsid w:val="00170A11"/>
    <w:rsid w:val="00170CF1"/>
    <w:rsid w:val="00171713"/>
    <w:rsid w:val="0017184A"/>
    <w:rsid w:val="00172536"/>
    <w:rsid w:val="001725E0"/>
    <w:rsid w:val="00172842"/>
    <w:rsid w:val="00172F9E"/>
    <w:rsid w:val="00173051"/>
    <w:rsid w:val="00173998"/>
    <w:rsid w:val="00173ADD"/>
    <w:rsid w:val="001749A8"/>
    <w:rsid w:val="00174CB9"/>
    <w:rsid w:val="00174F25"/>
    <w:rsid w:val="00175126"/>
    <w:rsid w:val="00175980"/>
    <w:rsid w:val="0017608A"/>
    <w:rsid w:val="001764BF"/>
    <w:rsid w:val="00176943"/>
    <w:rsid w:val="00176A10"/>
    <w:rsid w:val="00176AF8"/>
    <w:rsid w:val="00176BEF"/>
    <w:rsid w:val="00177493"/>
    <w:rsid w:val="00177656"/>
    <w:rsid w:val="00177C70"/>
    <w:rsid w:val="00180194"/>
    <w:rsid w:val="001801FB"/>
    <w:rsid w:val="0018169D"/>
    <w:rsid w:val="00181705"/>
    <w:rsid w:val="001817E6"/>
    <w:rsid w:val="00181893"/>
    <w:rsid w:val="001818D6"/>
    <w:rsid w:val="00181AD9"/>
    <w:rsid w:val="00181B8C"/>
    <w:rsid w:val="00181D9E"/>
    <w:rsid w:val="00182094"/>
    <w:rsid w:val="001822B4"/>
    <w:rsid w:val="001828B4"/>
    <w:rsid w:val="00182A88"/>
    <w:rsid w:val="001830D5"/>
    <w:rsid w:val="001835B1"/>
    <w:rsid w:val="001846B5"/>
    <w:rsid w:val="001847FF"/>
    <w:rsid w:val="00185217"/>
    <w:rsid w:val="00185528"/>
    <w:rsid w:val="00185C11"/>
    <w:rsid w:val="001861C0"/>
    <w:rsid w:val="001867E4"/>
    <w:rsid w:val="00186901"/>
    <w:rsid w:val="00186AD7"/>
    <w:rsid w:val="001870B2"/>
    <w:rsid w:val="0018762E"/>
    <w:rsid w:val="001876F2"/>
    <w:rsid w:val="00187788"/>
    <w:rsid w:val="00187825"/>
    <w:rsid w:val="00187ADC"/>
    <w:rsid w:val="00187CF4"/>
    <w:rsid w:val="00187EDB"/>
    <w:rsid w:val="00187FC0"/>
    <w:rsid w:val="001902B9"/>
    <w:rsid w:val="00190640"/>
    <w:rsid w:val="001909BB"/>
    <w:rsid w:val="00191545"/>
    <w:rsid w:val="00191981"/>
    <w:rsid w:val="00191CD8"/>
    <w:rsid w:val="0019244B"/>
    <w:rsid w:val="0019260E"/>
    <w:rsid w:val="00192742"/>
    <w:rsid w:val="00192B08"/>
    <w:rsid w:val="00192BC9"/>
    <w:rsid w:val="00192D67"/>
    <w:rsid w:val="00192DFB"/>
    <w:rsid w:val="00192EEC"/>
    <w:rsid w:val="00193344"/>
    <w:rsid w:val="0019349B"/>
    <w:rsid w:val="001939D2"/>
    <w:rsid w:val="001939F4"/>
    <w:rsid w:val="00193A76"/>
    <w:rsid w:val="00193BF2"/>
    <w:rsid w:val="00193C32"/>
    <w:rsid w:val="00193DC8"/>
    <w:rsid w:val="001945D1"/>
    <w:rsid w:val="001946E9"/>
    <w:rsid w:val="00194A66"/>
    <w:rsid w:val="00194E72"/>
    <w:rsid w:val="00194F93"/>
    <w:rsid w:val="00195223"/>
    <w:rsid w:val="00195946"/>
    <w:rsid w:val="00196473"/>
    <w:rsid w:val="00196791"/>
    <w:rsid w:val="00196B1E"/>
    <w:rsid w:val="00196B67"/>
    <w:rsid w:val="00196D1B"/>
    <w:rsid w:val="00196FF7"/>
    <w:rsid w:val="00197042"/>
    <w:rsid w:val="001A03D5"/>
    <w:rsid w:val="001A05F4"/>
    <w:rsid w:val="001A10BF"/>
    <w:rsid w:val="001A1F23"/>
    <w:rsid w:val="001A2B6B"/>
    <w:rsid w:val="001A2D83"/>
    <w:rsid w:val="001A3186"/>
    <w:rsid w:val="001A3368"/>
    <w:rsid w:val="001A3420"/>
    <w:rsid w:val="001A34E4"/>
    <w:rsid w:val="001A37E4"/>
    <w:rsid w:val="001A37F4"/>
    <w:rsid w:val="001A39FD"/>
    <w:rsid w:val="001A3D1A"/>
    <w:rsid w:val="001A4115"/>
    <w:rsid w:val="001A429B"/>
    <w:rsid w:val="001A430A"/>
    <w:rsid w:val="001A485F"/>
    <w:rsid w:val="001A4C04"/>
    <w:rsid w:val="001A4C65"/>
    <w:rsid w:val="001A4F14"/>
    <w:rsid w:val="001A4FF8"/>
    <w:rsid w:val="001A50A6"/>
    <w:rsid w:val="001A50AD"/>
    <w:rsid w:val="001A579B"/>
    <w:rsid w:val="001A60C7"/>
    <w:rsid w:val="001A6235"/>
    <w:rsid w:val="001A63C4"/>
    <w:rsid w:val="001A678D"/>
    <w:rsid w:val="001A6911"/>
    <w:rsid w:val="001A6DDA"/>
    <w:rsid w:val="001A6F22"/>
    <w:rsid w:val="001A777B"/>
    <w:rsid w:val="001A7811"/>
    <w:rsid w:val="001A791D"/>
    <w:rsid w:val="001A7D4B"/>
    <w:rsid w:val="001B02F1"/>
    <w:rsid w:val="001B03C3"/>
    <w:rsid w:val="001B0B31"/>
    <w:rsid w:val="001B1404"/>
    <w:rsid w:val="001B1496"/>
    <w:rsid w:val="001B2178"/>
    <w:rsid w:val="001B2E84"/>
    <w:rsid w:val="001B2F55"/>
    <w:rsid w:val="001B2F57"/>
    <w:rsid w:val="001B2FDC"/>
    <w:rsid w:val="001B309A"/>
    <w:rsid w:val="001B3C04"/>
    <w:rsid w:val="001B3C50"/>
    <w:rsid w:val="001B3E73"/>
    <w:rsid w:val="001B4105"/>
    <w:rsid w:val="001B423A"/>
    <w:rsid w:val="001B429F"/>
    <w:rsid w:val="001B43E1"/>
    <w:rsid w:val="001B4463"/>
    <w:rsid w:val="001B472F"/>
    <w:rsid w:val="001B4B2F"/>
    <w:rsid w:val="001B4B7C"/>
    <w:rsid w:val="001B4C2A"/>
    <w:rsid w:val="001B4CE4"/>
    <w:rsid w:val="001B52EB"/>
    <w:rsid w:val="001B5735"/>
    <w:rsid w:val="001B5DD6"/>
    <w:rsid w:val="001B5E64"/>
    <w:rsid w:val="001B620A"/>
    <w:rsid w:val="001B671B"/>
    <w:rsid w:val="001B6797"/>
    <w:rsid w:val="001B74C5"/>
    <w:rsid w:val="001B7E36"/>
    <w:rsid w:val="001C020D"/>
    <w:rsid w:val="001C05C1"/>
    <w:rsid w:val="001C0894"/>
    <w:rsid w:val="001C0F7B"/>
    <w:rsid w:val="001C15E9"/>
    <w:rsid w:val="001C1B2C"/>
    <w:rsid w:val="001C1F2D"/>
    <w:rsid w:val="001C1FC0"/>
    <w:rsid w:val="001C248D"/>
    <w:rsid w:val="001C253A"/>
    <w:rsid w:val="001C260C"/>
    <w:rsid w:val="001C298D"/>
    <w:rsid w:val="001C2D02"/>
    <w:rsid w:val="001C2F19"/>
    <w:rsid w:val="001C3803"/>
    <w:rsid w:val="001C387B"/>
    <w:rsid w:val="001C3AD5"/>
    <w:rsid w:val="001C3BE1"/>
    <w:rsid w:val="001C3D17"/>
    <w:rsid w:val="001C407A"/>
    <w:rsid w:val="001C47C5"/>
    <w:rsid w:val="001C4866"/>
    <w:rsid w:val="001C5454"/>
    <w:rsid w:val="001C5760"/>
    <w:rsid w:val="001C5962"/>
    <w:rsid w:val="001C5B4B"/>
    <w:rsid w:val="001C5F95"/>
    <w:rsid w:val="001C628B"/>
    <w:rsid w:val="001C6D13"/>
    <w:rsid w:val="001C6D45"/>
    <w:rsid w:val="001C6E46"/>
    <w:rsid w:val="001C77D8"/>
    <w:rsid w:val="001C78A3"/>
    <w:rsid w:val="001C78F6"/>
    <w:rsid w:val="001C7C30"/>
    <w:rsid w:val="001D01E3"/>
    <w:rsid w:val="001D01E6"/>
    <w:rsid w:val="001D0ECC"/>
    <w:rsid w:val="001D1225"/>
    <w:rsid w:val="001D1D3E"/>
    <w:rsid w:val="001D2282"/>
    <w:rsid w:val="001D256A"/>
    <w:rsid w:val="001D25F4"/>
    <w:rsid w:val="001D29AB"/>
    <w:rsid w:val="001D2CF9"/>
    <w:rsid w:val="001D2E66"/>
    <w:rsid w:val="001D2F74"/>
    <w:rsid w:val="001D30B8"/>
    <w:rsid w:val="001D38E9"/>
    <w:rsid w:val="001D41F7"/>
    <w:rsid w:val="001D4D8F"/>
    <w:rsid w:val="001D4F60"/>
    <w:rsid w:val="001D5019"/>
    <w:rsid w:val="001D507B"/>
    <w:rsid w:val="001D52B2"/>
    <w:rsid w:val="001D59AF"/>
    <w:rsid w:val="001D5B1C"/>
    <w:rsid w:val="001D64F7"/>
    <w:rsid w:val="001D66A1"/>
    <w:rsid w:val="001D68C6"/>
    <w:rsid w:val="001D6BCF"/>
    <w:rsid w:val="001D71F1"/>
    <w:rsid w:val="001D7384"/>
    <w:rsid w:val="001D74E6"/>
    <w:rsid w:val="001D7FE2"/>
    <w:rsid w:val="001E01CA"/>
    <w:rsid w:val="001E082A"/>
    <w:rsid w:val="001E09F3"/>
    <w:rsid w:val="001E0D1F"/>
    <w:rsid w:val="001E1233"/>
    <w:rsid w:val="001E1477"/>
    <w:rsid w:val="001E1637"/>
    <w:rsid w:val="001E16A7"/>
    <w:rsid w:val="001E1871"/>
    <w:rsid w:val="001E1995"/>
    <w:rsid w:val="001E1B27"/>
    <w:rsid w:val="001E1F28"/>
    <w:rsid w:val="001E1F54"/>
    <w:rsid w:val="001E2057"/>
    <w:rsid w:val="001E2308"/>
    <w:rsid w:val="001E246E"/>
    <w:rsid w:val="001E2863"/>
    <w:rsid w:val="001E2997"/>
    <w:rsid w:val="001E2C0D"/>
    <w:rsid w:val="001E2E25"/>
    <w:rsid w:val="001E3777"/>
    <w:rsid w:val="001E39C8"/>
    <w:rsid w:val="001E3D1A"/>
    <w:rsid w:val="001E3F96"/>
    <w:rsid w:val="001E443E"/>
    <w:rsid w:val="001E44F9"/>
    <w:rsid w:val="001E48B1"/>
    <w:rsid w:val="001E4B41"/>
    <w:rsid w:val="001E5CA2"/>
    <w:rsid w:val="001E5D1F"/>
    <w:rsid w:val="001E619B"/>
    <w:rsid w:val="001E624D"/>
    <w:rsid w:val="001E699B"/>
    <w:rsid w:val="001E6B3F"/>
    <w:rsid w:val="001E72CC"/>
    <w:rsid w:val="001E781D"/>
    <w:rsid w:val="001F00BF"/>
    <w:rsid w:val="001F0229"/>
    <w:rsid w:val="001F0259"/>
    <w:rsid w:val="001F038C"/>
    <w:rsid w:val="001F06B3"/>
    <w:rsid w:val="001F07B6"/>
    <w:rsid w:val="001F0A3B"/>
    <w:rsid w:val="001F0A9C"/>
    <w:rsid w:val="001F0F93"/>
    <w:rsid w:val="001F1077"/>
    <w:rsid w:val="001F10D9"/>
    <w:rsid w:val="001F1643"/>
    <w:rsid w:val="001F1B14"/>
    <w:rsid w:val="001F1F1B"/>
    <w:rsid w:val="001F220D"/>
    <w:rsid w:val="001F2693"/>
    <w:rsid w:val="001F28B3"/>
    <w:rsid w:val="001F2D95"/>
    <w:rsid w:val="001F36DD"/>
    <w:rsid w:val="001F384D"/>
    <w:rsid w:val="001F3C44"/>
    <w:rsid w:val="001F3CCB"/>
    <w:rsid w:val="001F3DCD"/>
    <w:rsid w:val="001F416A"/>
    <w:rsid w:val="001F420E"/>
    <w:rsid w:val="001F4371"/>
    <w:rsid w:val="001F43ED"/>
    <w:rsid w:val="001F4532"/>
    <w:rsid w:val="001F45E1"/>
    <w:rsid w:val="001F4E02"/>
    <w:rsid w:val="001F5012"/>
    <w:rsid w:val="001F5815"/>
    <w:rsid w:val="001F6CB5"/>
    <w:rsid w:val="001F7082"/>
    <w:rsid w:val="001F7819"/>
    <w:rsid w:val="001F7A76"/>
    <w:rsid w:val="001F7C00"/>
    <w:rsid w:val="001F7D47"/>
    <w:rsid w:val="00200021"/>
    <w:rsid w:val="002005EB"/>
    <w:rsid w:val="00200628"/>
    <w:rsid w:val="00200682"/>
    <w:rsid w:val="002006E8"/>
    <w:rsid w:val="00201355"/>
    <w:rsid w:val="00201AB3"/>
    <w:rsid w:val="002020AE"/>
    <w:rsid w:val="0020261F"/>
    <w:rsid w:val="00202BF1"/>
    <w:rsid w:val="00202E74"/>
    <w:rsid w:val="002031E9"/>
    <w:rsid w:val="00204317"/>
    <w:rsid w:val="0020441A"/>
    <w:rsid w:val="00204582"/>
    <w:rsid w:val="002050E8"/>
    <w:rsid w:val="00205287"/>
    <w:rsid w:val="0020543B"/>
    <w:rsid w:val="0020545B"/>
    <w:rsid w:val="0020582C"/>
    <w:rsid w:val="00205A4A"/>
    <w:rsid w:val="00205C92"/>
    <w:rsid w:val="00205D59"/>
    <w:rsid w:val="00206B48"/>
    <w:rsid w:val="00206D5E"/>
    <w:rsid w:val="00206FC6"/>
    <w:rsid w:val="002070CE"/>
    <w:rsid w:val="00207BF2"/>
    <w:rsid w:val="00207FA1"/>
    <w:rsid w:val="00210110"/>
    <w:rsid w:val="002102A4"/>
    <w:rsid w:val="002103D1"/>
    <w:rsid w:val="00210573"/>
    <w:rsid w:val="0021058A"/>
    <w:rsid w:val="002107F0"/>
    <w:rsid w:val="00210861"/>
    <w:rsid w:val="00210FAA"/>
    <w:rsid w:val="00210FD2"/>
    <w:rsid w:val="00211275"/>
    <w:rsid w:val="002119E7"/>
    <w:rsid w:val="00211C82"/>
    <w:rsid w:val="00212000"/>
    <w:rsid w:val="002121E5"/>
    <w:rsid w:val="0021249F"/>
    <w:rsid w:val="002124DB"/>
    <w:rsid w:val="00212825"/>
    <w:rsid w:val="002129FF"/>
    <w:rsid w:val="00212FAA"/>
    <w:rsid w:val="002130A1"/>
    <w:rsid w:val="002136F8"/>
    <w:rsid w:val="002139BB"/>
    <w:rsid w:val="00213D00"/>
    <w:rsid w:val="00214027"/>
    <w:rsid w:val="002142F2"/>
    <w:rsid w:val="002146C2"/>
    <w:rsid w:val="00214DE5"/>
    <w:rsid w:val="00214FC7"/>
    <w:rsid w:val="002153D5"/>
    <w:rsid w:val="00215A8E"/>
    <w:rsid w:val="00215BA8"/>
    <w:rsid w:val="00215F89"/>
    <w:rsid w:val="00215FFF"/>
    <w:rsid w:val="00216519"/>
    <w:rsid w:val="00216564"/>
    <w:rsid w:val="00217277"/>
    <w:rsid w:val="00217745"/>
    <w:rsid w:val="00217BBA"/>
    <w:rsid w:val="00217E3B"/>
    <w:rsid w:val="002200EA"/>
    <w:rsid w:val="002200EE"/>
    <w:rsid w:val="002202F1"/>
    <w:rsid w:val="00220552"/>
    <w:rsid w:val="00220736"/>
    <w:rsid w:val="00220B43"/>
    <w:rsid w:val="00220B54"/>
    <w:rsid w:val="002211A5"/>
    <w:rsid w:val="00221A51"/>
    <w:rsid w:val="00221C29"/>
    <w:rsid w:val="0022285C"/>
    <w:rsid w:val="00222E39"/>
    <w:rsid w:val="00222E9A"/>
    <w:rsid w:val="0022310E"/>
    <w:rsid w:val="002232B1"/>
    <w:rsid w:val="002233D5"/>
    <w:rsid w:val="00224361"/>
    <w:rsid w:val="002246C1"/>
    <w:rsid w:val="00224937"/>
    <w:rsid w:val="00224A20"/>
    <w:rsid w:val="00224A43"/>
    <w:rsid w:val="00224B00"/>
    <w:rsid w:val="0022526C"/>
    <w:rsid w:val="002252A4"/>
    <w:rsid w:val="00226A37"/>
    <w:rsid w:val="00226DA5"/>
    <w:rsid w:val="00226DD7"/>
    <w:rsid w:val="0022717A"/>
    <w:rsid w:val="0022775D"/>
    <w:rsid w:val="0022777A"/>
    <w:rsid w:val="00230044"/>
    <w:rsid w:val="00230137"/>
    <w:rsid w:val="002304DB"/>
    <w:rsid w:val="0023084C"/>
    <w:rsid w:val="00230B28"/>
    <w:rsid w:val="00230D06"/>
    <w:rsid w:val="00230DF4"/>
    <w:rsid w:val="00230FF8"/>
    <w:rsid w:val="0023108E"/>
    <w:rsid w:val="00231447"/>
    <w:rsid w:val="0023164C"/>
    <w:rsid w:val="002316B9"/>
    <w:rsid w:val="002317E4"/>
    <w:rsid w:val="00231BF4"/>
    <w:rsid w:val="00231DAF"/>
    <w:rsid w:val="00231FE1"/>
    <w:rsid w:val="002327E0"/>
    <w:rsid w:val="0023286A"/>
    <w:rsid w:val="00232BC2"/>
    <w:rsid w:val="00232D99"/>
    <w:rsid w:val="00233159"/>
    <w:rsid w:val="0023357F"/>
    <w:rsid w:val="00233663"/>
    <w:rsid w:val="00233746"/>
    <w:rsid w:val="00233765"/>
    <w:rsid w:val="00233D7B"/>
    <w:rsid w:val="00233FFB"/>
    <w:rsid w:val="00234253"/>
    <w:rsid w:val="0023447B"/>
    <w:rsid w:val="00235189"/>
    <w:rsid w:val="00235495"/>
    <w:rsid w:val="002354C4"/>
    <w:rsid w:val="0023572E"/>
    <w:rsid w:val="00236529"/>
    <w:rsid w:val="002366FA"/>
    <w:rsid w:val="00237501"/>
    <w:rsid w:val="002375BE"/>
    <w:rsid w:val="00237729"/>
    <w:rsid w:val="0023778A"/>
    <w:rsid w:val="00237B45"/>
    <w:rsid w:val="00237E87"/>
    <w:rsid w:val="00237FAB"/>
    <w:rsid w:val="00240187"/>
    <w:rsid w:val="002402BB"/>
    <w:rsid w:val="00240791"/>
    <w:rsid w:val="00241ECF"/>
    <w:rsid w:val="00241EE4"/>
    <w:rsid w:val="002421B5"/>
    <w:rsid w:val="002422B0"/>
    <w:rsid w:val="00242532"/>
    <w:rsid w:val="0024374D"/>
    <w:rsid w:val="002440AC"/>
    <w:rsid w:val="002441C1"/>
    <w:rsid w:val="002441CD"/>
    <w:rsid w:val="002449D0"/>
    <w:rsid w:val="00244CC5"/>
    <w:rsid w:val="0024539D"/>
    <w:rsid w:val="00245C0E"/>
    <w:rsid w:val="00245C8B"/>
    <w:rsid w:val="00245F3A"/>
    <w:rsid w:val="00246206"/>
    <w:rsid w:val="002465EA"/>
    <w:rsid w:val="002468E6"/>
    <w:rsid w:val="00246C5A"/>
    <w:rsid w:val="002471FD"/>
    <w:rsid w:val="0024757C"/>
    <w:rsid w:val="00247773"/>
    <w:rsid w:val="002478E3"/>
    <w:rsid w:val="00250421"/>
    <w:rsid w:val="002504BC"/>
    <w:rsid w:val="002508A9"/>
    <w:rsid w:val="0025099E"/>
    <w:rsid w:val="00250A8E"/>
    <w:rsid w:val="00251432"/>
    <w:rsid w:val="00251530"/>
    <w:rsid w:val="00251943"/>
    <w:rsid w:val="00251A2C"/>
    <w:rsid w:val="00251E0B"/>
    <w:rsid w:val="002521F0"/>
    <w:rsid w:val="00252677"/>
    <w:rsid w:val="00252BCF"/>
    <w:rsid w:val="00252F24"/>
    <w:rsid w:val="00252FA5"/>
    <w:rsid w:val="002536D9"/>
    <w:rsid w:val="002536EF"/>
    <w:rsid w:val="00253CDB"/>
    <w:rsid w:val="00254128"/>
    <w:rsid w:val="00254172"/>
    <w:rsid w:val="00254355"/>
    <w:rsid w:val="00254997"/>
    <w:rsid w:val="0025521D"/>
    <w:rsid w:val="00255D88"/>
    <w:rsid w:val="002560BA"/>
    <w:rsid w:val="002562CF"/>
    <w:rsid w:val="002562E0"/>
    <w:rsid w:val="0025642C"/>
    <w:rsid w:val="002564AE"/>
    <w:rsid w:val="00256D50"/>
    <w:rsid w:val="00256F00"/>
    <w:rsid w:val="00256FAE"/>
    <w:rsid w:val="00257218"/>
    <w:rsid w:val="0025739F"/>
    <w:rsid w:val="002579C7"/>
    <w:rsid w:val="002607A6"/>
    <w:rsid w:val="00260899"/>
    <w:rsid w:val="00260F75"/>
    <w:rsid w:val="00261532"/>
    <w:rsid w:val="00261775"/>
    <w:rsid w:val="00261892"/>
    <w:rsid w:val="00261AAA"/>
    <w:rsid w:val="00261C36"/>
    <w:rsid w:val="00261D9A"/>
    <w:rsid w:val="00261E8A"/>
    <w:rsid w:val="00262223"/>
    <w:rsid w:val="00262420"/>
    <w:rsid w:val="002625CC"/>
    <w:rsid w:val="002626F1"/>
    <w:rsid w:val="00262750"/>
    <w:rsid w:val="002628AD"/>
    <w:rsid w:val="00263044"/>
    <w:rsid w:val="00263258"/>
    <w:rsid w:val="00263280"/>
    <w:rsid w:val="002635EE"/>
    <w:rsid w:val="002636A5"/>
    <w:rsid w:val="002636AD"/>
    <w:rsid w:val="00263753"/>
    <w:rsid w:val="00263A50"/>
    <w:rsid w:val="0026467A"/>
    <w:rsid w:val="0026472F"/>
    <w:rsid w:val="002647E1"/>
    <w:rsid w:val="00264933"/>
    <w:rsid w:val="00264BA5"/>
    <w:rsid w:val="00264BC4"/>
    <w:rsid w:val="0026507A"/>
    <w:rsid w:val="00265100"/>
    <w:rsid w:val="002654E9"/>
    <w:rsid w:val="002656F8"/>
    <w:rsid w:val="0026571B"/>
    <w:rsid w:val="002657BA"/>
    <w:rsid w:val="00265B5F"/>
    <w:rsid w:val="00265B71"/>
    <w:rsid w:val="00265DC7"/>
    <w:rsid w:val="00265F00"/>
    <w:rsid w:val="002660AE"/>
    <w:rsid w:val="00266290"/>
    <w:rsid w:val="00266392"/>
    <w:rsid w:val="00266408"/>
    <w:rsid w:val="0026698D"/>
    <w:rsid w:val="00266D6E"/>
    <w:rsid w:val="00266DBE"/>
    <w:rsid w:val="00267135"/>
    <w:rsid w:val="0026747C"/>
    <w:rsid w:val="00267726"/>
    <w:rsid w:val="002678C9"/>
    <w:rsid w:val="0026796A"/>
    <w:rsid w:val="00267A37"/>
    <w:rsid w:val="00267C68"/>
    <w:rsid w:val="00267E32"/>
    <w:rsid w:val="00267F7B"/>
    <w:rsid w:val="002700C5"/>
    <w:rsid w:val="00271125"/>
    <w:rsid w:val="00271525"/>
    <w:rsid w:val="00271CAD"/>
    <w:rsid w:val="00272749"/>
    <w:rsid w:val="00272AF9"/>
    <w:rsid w:val="00272FB4"/>
    <w:rsid w:val="002733B5"/>
    <w:rsid w:val="00273728"/>
    <w:rsid w:val="0027452D"/>
    <w:rsid w:val="00274692"/>
    <w:rsid w:val="002747E8"/>
    <w:rsid w:val="00274823"/>
    <w:rsid w:val="00274BC4"/>
    <w:rsid w:val="00274FC9"/>
    <w:rsid w:val="00275062"/>
    <w:rsid w:val="00275425"/>
    <w:rsid w:val="00275A27"/>
    <w:rsid w:val="00275CF5"/>
    <w:rsid w:val="0027652A"/>
    <w:rsid w:val="002765E7"/>
    <w:rsid w:val="0027676B"/>
    <w:rsid w:val="002767B3"/>
    <w:rsid w:val="00276B53"/>
    <w:rsid w:val="00276E26"/>
    <w:rsid w:val="00277FB0"/>
    <w:rsid w:val="002804B1"/>
    <w:rsid w:val="002805D9"/>
    <w:rsid w:val="00280D10"/>
    <w:rsid w:val="002810EF"/>
    <w:rsid w:val="00281113"/>
    <w:rsid w:val="00281406"/>
    <w:rsid w:val="0028144C"/>
    <w:rsid w:val="00281637"/>
    <w:rsid w:val="002818A9"/>
    <w:rsid w:val="00282009"/>
    <w:rsid w:val="002820B3"/>
    <w:rsid w:val="002824E8"/>
    <w:rsid w:val="002826DC"/>
    <w:rsid w:val="00282833"/>
    <w:rsid w:val="00282C44"/>
    <w:rsid w:val="00282E32"/>
    <w:rsid w:val="00282F96"/>
    <w:rsid w:val="0028301F"/>
    <w:rsid w:val="0028313F"/>
    <w:rsid w:val="002833FD"/>
    <w:rsid w:val="002839B9"/>
    <w:rsid w:val="00284309"/>
    <w:rsid w:val="00284891"/>
    <w:rsid w:val="00284B06"/>
    <w:rsid w:val="00284C2E"/>
    <w:rsid w:val="00284EE6"/>
    <w:rsid w:val="00285017"/>
    <w:rsid w:val="002854F4"/>
    <w:rsid w:val="002860E6"/>
    <w:rsid w:val="00286886"/>
    <w:rsid w:val="00286E8B"/>
    <w:rsid w:val="00287073"/>
    <w:rsid w:val="00287093"/>
    <w:rsid w:val="00287371"/>
    <w:rsid w:val="00287773"/>
    <w:rsid w:val="00287875"/>
    <w:rsid w:val="00287C76"/>
    <w:rsid w:val="00287C7E"/>
    <w:rsid w:val="0029111C"/>
    <w:rsid w:val="00291442"/>
    <w:rsid w:val="0029179D"/>
    <w:rsid w:val="002917C9"/>
    <w:rsid w:val="00291AB1"/>
    <w:rsid w:val="00291C4F"/>
    <w:rsid w:val="0029218B"/>
    <w:rsid w:val="002926C5"/>
    <w:rsid w:val="00292D48"/>
    <w:rsid w:val="00292EE0"/>
    <w:rsid w:val="002932FF"/>
    <w:rsid w:val="00293996"/>
    <w:rsid w:val="00293A16"/>
    <w:rsid w:val="00293E39"/>
    <w:rsid w:val="002941C2"/>
    <w:rsid w:val="002947FB"/>
    <w:rsid w:val="00294BE6"/>
    <w:rsid w:val="00294F05"/>
    <w:rsid w:val="002959EA"/>
    <w:rsid w:val="00295ACE"/>
    <w:rsid w:val="00295AD7"/>
    <w:rsid w:val="0029786F"/>
    <w:rsid w:val="00297CE7"/>
    <w:rsid w:val="00297E7A"/>
    <w:rsid w:val="002A0234"/>
    <w:rsid w:val="002A09B1"/>
    <w:rsid w:val="002A0BDA"/>
    <w:rsid w:val="002A0C7D"/>
    <w:rsid w:val="002A1777"/>
    <w:rsid w:val="002A1851"/>
    <w:rsid w:val="002A185B"/>
    <w:rsid w:val="002A1C09"/>
    <w:rsid w:val="002A2245"/>
    <w:rsid w:val="002A24D9"/>
    <w:rsid w:val="002A285D"/>
    <w:rsid w:val="002A2A92"/>
    <w:rsid w:val="002A2B97"/>
    <w:rsid w:val="002A2D2E"/>
    <w:rsid w:val="002A2D6D"/>
    <w:rsid w:val="002A2E24"/>
    <w:rsid w:val="002A2EAB"/>
    <w:rsid w:val="002A350F"/>
    <w:rsid w:val="002A3978"/>
    <w:rsid w:val="002A397B"/>
    <w:rsid w:val="002A3A30"/>
    <w:rsid w:val="002A3E40"/>
    <w:rsid w:val="002A42A7"/>
    <w:rsid w:val="002A470A"/>
    <w:rsid w:val="002A472A"/>
    <w:rsid w:val="002A4995"/>
    <w:rsid w:val="002A5952"/>
    <w:rsid w:val="002A5CF8"/>
    <w:rsid w:val="002A60D1"/>
    <w:rsid w:val="002A63AF"/>
    <w:rsid w:val="002A6562"/>
    <w:rsid w:val="002A6819"/>
    <w:rsid w:val="002A68E2"/>
    <w:rsid w:val="002A69A6"/>
    <w:rsid w:val="002A6A2E"/>
    <w:rsid w:val="002A6C60"/>
    <w:rsid w:val="002A730C"/>
    <w:rsid w:val="002A7448"/>
    <w:rsid w:val="002A7B59"/>
    <w:rsid w:val="002B0D79"/>
    <w:rsid w:val="002B0DF5"/>
    <w:rsid w:val="002B1CCC"/>
    <w:rsid w:val="002B2190"/>
    <w:rsid w:val="002B2376"/>
    <w:rsid w:val="002B2437"/>
    <w:rsid w:val="002B299B"/>
    <w:rsid w:val="002B321F"/>
    <w:rsid w:val="002B3B9A"/>
    <w:rsid w:val="002B3D7B"/>
    <w:rsid w:val="002B4162"/>
    <w:rsid w:val="002B512F"/>
    <w:rsid w:val="002B5356"/>
    <w:rsid w:val="002B5A35"/>
    <w:rsid w:val="002B5A63"/>
    <w:rsid w:val="002B5AE4"/>
    <w:rsid w:val="002B618A"/>
    <w:rsid w:val="002B632B"/>
    <w:rsid w:val="002B66E2"/>
    <w:rsid w:val="002B6758"/>
    <w:rsid w:val="002B679B"/>
    <w:rsid w:val="002B69F6"/>
    <w:rsid w:val="002B6F0B"/>
    <w:rsid w:val="002B7408"/>
    <w:rsid w:val="002B740A"/>
    <w:rsid w:val="002B7C75"/>
    <w:rsid w:val="002B7D39"/>
    <w:rsid w:val="002B7FF6"/>
    <w:rsid w:val="002C00E8"/>
    <w:rsid w:val="002C0616"/>
    <w:rsid w:val="002C0CD5"/>
    <w:rsid w:val="002C1313"/>
    <w:rsid w:val="002C1BE6"/>
    <w:rsid w:val="002C1D0E"/>
    <w:rsid w:val="002C1E53"/>
    <w:rsid w:val="002C212C"/>
    <w:rsid w:val="002C21D5"/>
    <w:rsid w:val="002C2239"/>
    <w:rsid w:val="002C2676"/>
    <w:rsid w:val="002C31B8"/>
    <w:rsid w:val="002C346B"/>
    <w:rsid w:val="002C3776"/>
    <w:rsid w:val="002C3B16"/>
    <w:rsid w:val="002C3F55"/>
    <w:rsid w:val="002C4165"/>
    <w:rsid w:val="002C4225"/>
    <w:rsid w:val="002C47F0"/>
    <w:rsid w:val="002C4BED"/>
    <w:rsid w:val="002C4CA0"/>
    <w:rsid w:val="002C4FC0"/>
    <w:rsid w:val="002C52AC"/>
    <w:rsid w:val="002C5596"/>
    <w:rsid w:val="002C59AC"/>
    <w:rsid w:val="002C5BEA"/>
    <w:rsid w:val="002C629D"/>
    <w:rsid w:val="002C689E"/>
    <w:rsid w:val="002C69B1"/>
    <w:rsid w:val="002C6A15"/>
    <w:rsid w:val="002C6C33"/>
    <w:rsid w:val="002C6EB6"/>
    <w:rsid w:val="002C71E5"/>
    <w:rsid w:val="002C724D"/>
    <w:rsid w:val="002C73A6"/>
    <w:rsid w:val="002C7AA4"/>
    <w:rsid w:val="002C7C9E"/>
    <w:rsid w:val="002C7CDB"/>
    <w:rsid w:val="002C7F68"/>
    <w:rsid w:val="002D00FD"/>
    <w:rsid w:val="002D01AB"/>
    <w:rsid w:val="002D059F"/>
    <w:rsid w:val="002D075C"/>
    <w:rsid w:val="002D0958"/>
    <w:rsid w:val="002D0BA3"/>
    <w:rsid w:val="002D11A2"/>
    <w:rsid w:val="002D154D"/>
    <w:rsid w:val="002D1897"/>
    <w:rsid w:val="002D2721"/>
    <w:rsid w:val="002D2A4E"/>
    <w:rsid w:val="002D2C94"/>
    <w:rsid w:val="002D2FE6"/>
    <w:rsid w:val="002D3ABC"/>
    <w:rsid w:val="002D3CC2"/>
    <w:rsid w:val="002D3D71"/>
    <w:rsid w:val="002D3D72"/>
    <w:rsid w:val="002D40DF"/>
    <w:rsid w:val="002D4780"/>
    <w:rsid w:val="002D4F0B"/>
    <w:rsid w:val="002D58F8"/>
    <w:rsid w:val="002D6072"/>
    <w:rsid w:val="002D68BE"/>
    <w:rsid w:val="002D692E"/>
    <w:rsid w:val="002D6CA7"/>
    <w:rsid w:val="002D6E83"/>
    <w:rsid w:val="002D6E95"/>
    <w:rsid w:val="002D6EA8"/>
    <w:rsid w:val="002D6FE0"/>
    <w:rsid w:val="002D74D8"/>
    <w:rsid w:val="002D7849"/>
    <w:rsid w:val="002D78DC"/>
    <w:rsid w:val="002D7B50"/>
    <w:rsid w:val="002D7BF8"/>
    <w:rsid w:val="002E027B"/>
    <w:rsid w:val="002E088E"/>
    <w:rsid w:val="002E0C1F"/>
    <w:rsid w:val="002E0D58"/>
    <w:rsid w:val="002E1FAB"/>
    <w:rsid w:val="002E2263"/>
    <w:rsid w:val="002E22AB"/>
    <w:rsid w:val="002E22C5"/>
    <w:rsid w:val="002E22F5"/>
    <w:rsid w:val="002E2602"/>
    <w:rsid w:val="002E27C2"/>
    <w:rsid w:val="002E2DA5"/>
    <w:rsid w:val="002E2E6D"/>
    <w:rsid w:val="002E3294"/>
    <w:rsid w:val="002E340F"/>
    <w:rsid w:val="002E38CB"/>
    <w:rsid w:val="002E3A4F"/>
    <w:rsid w:val="002E3C46"/>
    <w:rsid w:val="002E3CA8"/>
    <w:rsid w:val="002E3DFE"/>
    <w:rsid w:val="002E4795"/>
    <w:rsid w:val="002E4AC2"/>
    <w:rsid w:val="002E5238"/>
    <w:rsid w:val="002E5388"/>
    <w:rsid w:val="002E5586"/>
    <w:rsid w:val="002E5701"/>
    <w:rsid w:val="002E57B4"/>
    <w:rsid w:val="002E5804"/>
    <w:rsid w:val="002E5884"/>
    <w:rsid w:val="002E5976"/>
    <w:rsid w:val="002E59AC"/>
    <w:rsid w:val="002E5A0F"/>
    <w:rsid w:val="002E5A70"/>
    <w:rsid w:val="002E5F59"/>
    <w:rsid w:val="002E60F8"/>
    <w:rsid w:val="002E6108"/>
    <w:rsid w:val="002E6259"/>
    <w:rsid w:val="002E65F7"/>
    <w:rsid w:val="002E6768"/>
    <w:rsid w:val="002E6962"/>
    <w:rsid w:val="002E6CCF"/>
    <w:rsid w:val="002E753A"/>
    <w:rsid w:val="002E7F29"/>
    <w:rsid w:val="002F0421"/>
    <w:rsid w:val="002F09D3"/>
    <w:rsid w:val="002F22A9"/>
    <w:rsid w:val="002F2AC9"/>
    <w:rsid w:val="002F335E"/>
    <w:rsid w:val="002F3546"/>
    <w:rsid w:val="002F3826"/>
    <w:rsid w:val="002F3BA0"/>
    <w:rsid w:val="002F3CDB"/>
    <w:rsid w:val="002F4269"/>
    <w:rsid w:val="002F48C6"/>
    <w:rsid w:val="002F4B57"/>
    <w:rsid w:val="002F4B5D"/>
    <w:rsid w:val="002F4D79"/>
    <w:rsid w:val="002F5257"/>
    <w:rsid w:val="002F56EF"/>
    <w:rsid w:val="002F5715"/>
    <w:rsid w:val="002F5DB8"/>
    <w:rsid w:val="002F608A"/>
    <w:rsid w:val="002F6195"/>
    <w:rsid w:val="002F61F8"/>
    <w:rsid w:val="002F621D"/>
    <w:rsid w:val="002F649C"/>
    <w:rsid w:val="002F679B"/>
    <w:rsid w:val="002F6E05"/>
    <w:rsid w:val="002F6F50"/>
    <w:rsid w:val="002F7259"/>
    <w:rsid w:val="002F7499"/>
    <w:rsid w:val="002F75BD"/>
    <w:rsid w:val="002F768E"/>
    <w:rsid w:val="002F7EA7"/>
    <w:rsid w:val="0030045B"/>
    <w:rsid w:val="00300A5A"/>
    <w:rsid w:val="00300E13"/>
    <w:rsid w:val="0030115F"/>
    <w:rsid w:val="0030187E"/>
    <w:rsid w:val="00301898"/>
    <w:rsid w:val="003018B2"/>
    <w:rsid w:val="003019E6"/>
    <w:rsid w:val="00301B2E"/>
    <w:rsid w:val="00301DCE"/>
    <w:rsid w:val="00301E92"/>
    <w:rsid w:val="00302D28"/>
    <w:rsid w:val="00303211"/>
    <w:rsid w:val="00303BED"/>
    <w:rsid w:val="00303EE6"/>
    <w:rsid w:val="00304163"/>
    <w:rsid w:val="0030423C"/>
    <w:rsid w:val="003045C6"/>
    <w:rsid w:val="003046D8"/>
    <w:rsid w:val="0030473D"/>
    <w:rsid w:val="00304A9B"/>
    <w:rsid w:val="00304AF0"/>
    <w:rsid w:val="00304E1B"/>
    <w:rsid w:val="00305541"/>
    <w:rsid w:val="0030564C"/>
    <w:rsid w:val="0030577B"/>
    <w:rsid w:val="00305BF9"/>
    <w:rsid w:val="00305C0F"/>
    <w:rsid w:val="00306121"/>
    <w:rsid w:val="00306E39"/>
    <w:rsid w:val="00306EE3"/>
    <w:rsid w:val="003070B1"/>
    <w:rsid w:val="00307561"/>
    <w:rsid w:val="003077B6"/>
    <w:rsid w:val="003077E9"/>
    <w:rsid w:val="003079D6"/>
    <w:rsid w:val="00307B20"/>
    <w:rsid w:val="00307B2D"/>
    <w:rsid w:val="00307BD9"/>
    <w:rsid w:val="00307F42"/>
    <w:rsid w:val="0031026A"/>
    <w:rsid w:val="003102D6"/>
    <w:rsid w:val="00310616"/>
    <w:rsid w:val="00310A7C"/>
    <w:rsid w:val="00310AC1"/>
    <w:rsid w:val="00310DB9"/>
    <w:rsid w:val="00311281"/>
    <w:rsid w:val="003112BF"/>
    <w:rsid w:val="0031133F"/>
    <w:rsid w:val="003115AA"/>
    <w:rsid w:val="0031198B"/>
    <w:rsid w:val="00311C2E"/>
    <w:rsid w:val="00311C9B"/>
    <w:rsid w:val="00311DF6"/>
    <w:rsid w:val="003126AC"/>
    <w:rsid w:val="003128B1"/>
    <w:rsid w:val="003131C2"/>
    <w:rsid w:val="0031372F"/>
    <w:rsid w:val="00313745"/>
    <w:rsid w:val="00313900"/>
    <w:rsid w:val="00314049"/>
    <w:rsid w:val="00314254"/>
    <w:rsid w:val="00314286"/>
    <w:rsid w:val="0031446C"/>
    <w:rsid w:val="003146B3"/>
    <w:rsid w:val="00314BF5"/>
    <w:rsid w:val="00314C1C"/>
    <w:rsid w:val="00314EB3"/>
    <w:rsid w:val="003151F5"/>
    <w:rsid w:val="003154FC"/>
    <w:rsid w:val="00315586"/>
    <w:rsid w:val="00315ABD"/>
    <w:rsid w:val="0031628C"/>
    <w:rsid w:val="0031646E"/>
    <w:rsid w:val="003169A0"/>
    <w:rsid w:val="00316B42"/>
    <w:rsid w:val="00316D7D"/>
    <w:rsid w:val="0031719E"/>
    <w:rsid w:val="00317695"/>
    <w:rsid w:val="00317888"/>
    <w:rsid w:val="0031792F"/>
    <w:rsid w:val="00317C16"/>
    <w:rsid w:val="00317F3A"/>
    <w:rsid w:val="00320834"/>
    <w:rsid w:val="00320C2A"/>
    <w:rsid w:val="003212AE"/>
    <w:rsid w:val="00321414"/>
    <w:rsid w:val="003215E5"/>
    <w:rsid w:val="00321633"/>
    <w:rsid w:val="0032189A"/>
    <w:rsid w:val="00321D83"/>
    <w:rsid w:val="00321FCF"/>
    <w:rsid w:val="003222B7"/>
    <w:rsid w:val="00322A35"/>
    <w:rsid w:val="00322CF3"/>
    <w:rsid w:val="0032305B"/>
    <w:rsid w:val="0032343E"/>
    <w:rsid w:val="003239AC"/>
    <w:rsid w:val="0032429D"/>
    <w:rsid w:val="003242CF"/>
    <w:rsid w:val="00324692"/>
    <w:rsid w:val="003247CA"/>
    <w:rsid w:val="00324D99"/>
    <w:rsid w:val="00324FC1"/>
    <w:rsid w:val="00325461"/>
    <w:rsid w:val="00325741"/>
    <w:rsid w:val="00325D2A"/>
    <w:rsid w:val="00325FD8"/>
    <w:rsid w:val="003260A0"/>
    <w:rsid w:val="003267D7"/>
    <w:rsid w:val="00326CB2"/>
    <w:rsid w:val="00326D56"/>
    <w:rsid w:val="00326D66"/>
    <w:rsid w:val="00326E6B"/>
    <w:rsid w:val="003278C6"/>
    <w:rsid w:val="00327AC7"/>
    <w:rsid w:val="00327ECB"/>
    <w:rsid w:val="00327EFB"/>
    <w:rsid w:val="003302F1"/>
    <w:rsid w:val="003305BA"/>
    <w:rsid w:val="00330C64"/>
    <w:rsid w:val="00330D8A"/>
    <w:rsid w:val="00331871"/>
    <w:rsid w:val="00331A1C"/>
    <w:rsid w:val="00332184"/>
    <w:rsid w:val="003322AE"/>
    <w:rsid w:val="00332A20"/>
    <w:rsid w:val="00332AAB"/>
    <w:rsid w:val="00332B1D"/>
    <w:rsid w:val="00332B5E"/>
    <w:rsid w:val="00332ECA"/>
    <w:rsid w:val="00332F2E"/>
    <w:rsid w:val="00333EB9"/>
    <w:rsid w:val="0033479C"/>
    <w:rsid w:val="0033490A"/>
    <w:rsid w:val="0033527F"/>
    <w:rsid w:val="00335289"/>
    <w:rsid w:val="00335C58"/>
    <w:rsid w:val="00335F69"/>
    <w:rsid w:val="00336065"/>
    <w:rsid w:val="003360AC"/>
    <w:rsid w:val="0033635F"/>
    <w:rsid w:val="003366AF"/>
    <w:rsid w:val="00336D9E"/>
    <w:rsid w:val="00336E41"/>
    <w:rsid w:val="00336E46"/>
    <w:rsid w:val="003371AC"/>
    <w:rsid w:val="00337876"/>
    <w:rsid w:val="00337957"/>
    <w:rsid w:val="003379C3"/>
    <w:rsid w:val="003400C2"/>
    <w:rsid w:val="00340495"/>
    <w:rsid w:val="00340D75"/>
    <w:rsid w:val="00340E7F"/>
    <w:rsid w:val="0034110D"/>
    <w:rsid w:val="003413DA"/>
    <w:rsid w:val="0034171E"/>
    <w:rsid w:val="00341F40"/>
    <w:rsid w:val="00342238"/>
    <w:rsid w:val="0034269D"/>
    <w:rsid w:val="0034283B"/>
    <w:rsid w:val="003428F6"/>
    <w:rsid w:val="00343059"/>
    <w:rsid w:val="00343693"/>
    <w:rsid w:val="00343749"/>
    <w:rsid w:val="00343947"/>
    <w:rsid w:val="00343B75"/>
    <w:rsid w:val="00343EE0"/>
    <w:rsid w:val="0034418E"/>
    <w:rsid w:val="003442A5"/>
    <w:rsid w:val="00344571"/>
    <w:rsid w:val="003448CD"/>
    <w:rsid w:val="00344D57"/>
    <w:rsid w:val="00344E6C"/>
    <w:rsid w:val="0034536E"/>
    <w:rsid w:val="003453F6"/>
    <w:rsid w:val="00345975"/>
    <w:rsid w:val="00345DAD"/>
    <w:rsid w:val="00345F16"/>
    <w:rsid w:val="00345F3D"/>
    <w:rsid w:val="003461BF"/>
    <w:rsid w:val="00346337"/>
    <w:rsid w:val="003469B3"/>
    <w:rsid w:val="003469B5"/>
    <w:rsid w:val="00346D83"/>
    <w:rsid w:val="00346FCE"/>
    <w:rsid w:val="003470A8"/>
    <w:rsid w:val="0034713E"/>
    <w:rsid w:val="003474D1"/>
    <w:rsid w:val="00347CB0"/>
    <w:rsid w:val="00347CBE"/>
    <w:rsid w:val="0035022D"/>
    <w:rsid w:val="00350309"/>
    <w:rsid w:val="00350487"/>
    <w:rsid w:val="003504D3"/>
    <w:rsid w:val="003504E1"/>
    <w:rsid w:val="0035062A"/>
    <w:rsid w:val="00350867"/>
    <w:rsid w:val="0035086B"/>
    <w:rsid w:val="00350930"/>
    <w:rsid w:val="00350C27"/>
    <w:rsid w:val="00350DA8"/>
    <w:rsid w:val="00351389"/>
    <w:rsid w:val="00351538"/>
    <w:rsid w:val="00351A3C"/>
    <w:rsid w:val="00351A64"/>
    <w:rsid w:val="00351B4D"/>
    <w:rsid w:val="00351E26"/>
    <w:rsid w:val="00351EE7"/>
    <w:rsid w:val="00352176"/>
    <w:rsid w:val="003521B0"/>
    <w:rsid w:val="0035280F"/>
    <w:rsid w:val="003531D2"/>
    <w:rsid w:val="003533AC"/>
    <w:rsid w:val="00353484"/>
    <w:rsid w:val="0035375B"/>
    <w:rsid w:val="00353804"/>
    <w:rsid w:val="0035427C"/>
    <w:rsid w:val="00354F18"/>
    <w:rsid w:val="0035523D"/>
    <w:rsid w:val="0035527B"/>
    <w:rsid w:val="0035530A"/>
    <w:rsid w:val="00355546"/>
    <w:rsid w:val="00355CD3"/>
    <w:rsid w:val="003566BE"/>
    <w:rsid w:val="0035670A"/>
    <w:rsid w:val="0035684B"/>
    <w:rsid w:val="00356A5B"/>
    <w:rsid w:val="0035763F"/>
    <w:rsid w:val="00357799"/>
    <w:rsid w:val="00357923"/>
    <w:rsid w:val="00357DFD"/>
    <w:rsid w:val="003603B2"/>
    <w:rsid w:val="00360C40"/>
    <w:rsid w:val="003612F0"/>
    <w:rsid w:val="00361428"/>
    <w:rsid w:val="00361535"/>
    <w:rsid w:val="003616EA"/>
    <w:rsid w:val="00361AF0"/>
    <w:rsid w:val="00361C53"/>
    <w:rsid w:val="00361DCE"/>
    <w:rsid w:val="00361ED9"/>
    <w:rsid w:val="00362066"/>
    <w:rsid w:val="003628AB"/>
    <w:rsid w:val="003628B9"/>
    <w:rsid w:val="00363229"/>
    <w:rsid w:val="00363EC5"/>
    <w:rsid w:val="00363FC9"/>
    <w:rsid w:val="00364211"/>
    <w:rsid w:val="00364B29"/>
    <w:rsid w:val="0036581E"/>
    <w:rsid w:val="00365E5A"/>
    <w:rsid w:val="00365EFA"/>
    <w:rsid w:val="003660ED"/>
    <w:rsid w:val="003660FB"/>
    <w:rsid w:val="003662DA"/>
    <w:rsid w:val="003664D1"/>
    <w:rsid w:val="003665FC"/>
    <w:rsid w:val="003669D8"/>
    <w:rsid w:val="00366CF0"/>
    <w:rsid w:val="00366E81"/>
    <w:rsid w:val="00366EE6"/>
    <w:rsid w:val="003678A4"/>
    <w:rsid w:val="00367903"/>
    <w:rsid w:val="00367BF2"/>
    <w:rsid w:val="00367C4C"/>
    <w:rsid w:val="00367E93"/>
    <w:rsid w:val="003702ED"/>
    <w:rsid w:val="003702F7"/>
    <w:rsid w:val="00370453"/>
    <w:rsid w:val="0037051B"/>
    <w:rsid w:val="00370A26"/>
    <w:rsid w:val="0037169D"/>
    <w:rsid w:val="00371BCF"/>
    <w:rsid w:val="00371FD2"/>
    <w:rsid w:val="0037213A"/>
    <w:rsid w:val="00372502"/>
    <w:rsid w:val="0037276A"/>
    <w:rsid w:val="003728C7"/>
    <w:rsid w:val="00372D97"/>
    <w:rsid w:val="003734DD"/>
    <w:rsid w:val="00373AFB"/>
    <w:rsid w:val="00373BBD"/>
    <w:rsid w:val="003747A7"/>
    <w:rsid w:val="00374E82"/>
    <w:rsid w:val="00374FB6"/>
    <w:rsid w:val="0037500A"/>
    <w:rsid w:val="0037508F"/>
    <w:rsid w:val="003751AB"/>
    <w:rsid w:val="003751EA"/>
    <w:rsid w:val="003753CA"/>
    <w:rsid w:val="0037547A"/>
    <w:rsid w:val="003759CB"/>
    <w:rsid w:val="00375DB3"/>
    <w:rsid w:val="00375F6A"/>
    <w:rsid w:val="0037659A"/>
    <w:rsid w:val="003769DE"/>
    <w:rsid w:val="00376B0A"/>
    <w:rsid w:val="00377323"/>
    <w:rsid w:val="00377714"/>
    <w:rsid w:val="00377C11"/>
    <w:rsid w:val="00377C61"/>
    <w:rsid w:val="00377D36"/>
    <w:rsid w:val="00377E64"/>
    <w:rsid w:val="003800B5"/>
    <w:rsid w:val="00380309"/>
    <w:rsid w:val="003805F7"/>
    <w:rsid w:val="00380710"/>
    <w:rsid w:val="00380D5E"/>
    <w:rsid w:val="003816A9"/>
    <w:rsid w:val="00381BED"/>
    <w:rsid w:val="00381C9F"/>
    <w:rsid w:val="00381F75"/>
    <w:rsid w:val="00381FA6"/>
    <w:rsid w:val="0038216F"/>
    <w:rsid w:val="003823FD"/>
    <w:rsid w:val="003826E1"/>
    <w:rsid w:val="00382DD2"/>
    <w:rsid w:val="003839A2"/>
    <w:rsid w:val="0038413F"/>
    <w:rsid w:val="00384DCE"/>
    <w:rsid w:val="00384DE8"/>
    <w:rsid w:val="00385202"/>
    <w:rsid w:val="00385874"/>
    <w:rsid w:val="00385D65"/>
    <w:rsid w:val="003865AC"/>
    <w:rsid w:val="00386CA2"/>
    <w:rsid w:val="0038732A"/>
    <w:rsid w:val="003873C7"/>
    <w:rsid w:val="003873E3"/>
    <w:rsid w:val="00387691"/>
    <w:rsid w:val="00387D3C"/>
    <w:rsid w:val="00387DB5"/>
    <w:rsid w:val="00387F1D"/>
    <w:rsid w:val="00387F69"/>
    <w:rsid w:val="003907FF"/>
    <w:rsid w:val="00390D23"/>
    <w:rsid w:val="00391617"/>
    <w:rsid w:val="00391781"/>
    <w:rsid w:val="003918BE"/>
    <w:rsid w:val="00391CB3"/>
    <w:rsid w:val="00392124"/>
    <w:rsid w:val="003925AB"/>
    <w:rsid w:val="003926FE"/>
    <w:rsid w:val="00392B28"/>
    <w:rsid w:val="00392E8C"/>
    <w:rsid w:val="003931F2"/>
    <w:rsid w:val="0039320C"/>
    <w:rsid w:val="00393299"/>
    <w:rsid w:val="003934B2"/>
    <w:rsid w:val="00393745"/>
    <w:rsid w:val="003939D1"/>
    <w:rsid w:val="00393B66"/>
    <w:rsid w:val="00394128"/>
    <w:rsid w:val="003941F2"/>
    <w:rsid w:val="00394255"/>
    <w:rsid w:val="003942D5"/>
    <w:rsid w:val="003947AA"/>
    <w:rsid w:val="00394A6A"/>
    <w:rsid w:val="00394D1E"/>
    <w:rsid w:val="00394E9F"/>
    <w:rsid w:val="00394F49"/>
    <w:rsid w:val="00395246"/>
    <w:rsid w:val="00395586"/>
    <w:rsid w:val="0039562F"/>
    <w:rsid w:val="00395AEA"/>
    <w:rsid w:val="00395BF4"/>
    <w:rsid w:val="0039601E"/>
    <w:rsid w:val="0039631C"/>
    <w:rsid w:val="00396426"/>
    <w:rsid w:val="003971E3"/>
    <w:rsid w:val="0039766E"/>
    <w:rsid w:val="00397AF8"/>
    <w:rsid w:val="00397ED8"/>
    <w:rsid w:val="003A0299"/>
    <w:rsid w:val="003A0754"/>
    <w:rsid w:val="003A0954"/>
    <w:rsid w:val="003A0CA7"/>
    <w:rsid w:val="003A0DE9"/>
    <w:rsid w:val="003A17F1"/>
    <w:rsid w:val="003A215D"/>
    <w:rsid w:val="003A240D"/>
    <w:rsid w:val="003A2417"/>
    <w:rsid w:val="003A241F"/>
    <w:rsid w:val="003A2914"/>
    <w:rsid w:val="003A2D9A"/>
    <w:rsid w:val="003A2E6C"/>
    <w:rsid w:val="003A3D84"/>
    <w:rsid w:val="003A3EAB"/>
    <w:rsid w:val="003A40B0"/>
    <w:rsid w:val="003A434D"/>
    <w:rsid w:val="003A4B56"/>
    <w:rsid w:val="003A4B5C"/>
    <w:rsid w:val="003A4EF4"/>
    <w:rsid w:val="003A4F18"/>
    <w:rsid w:val="003A6126"/>
    <w:rsid w:val="003A61CE"/>
    <w:rsid w:val="003A6433"/>
    <w:rsid w:val="003A7243"/>
    <w:rsid w:val="003A7BE5"/>
    <w:rsid w:val="003A7F13"/>
    <w:rsid w:val="003A7FC5"/>
    <w:rsid w:val="003A7FC9"/>
    <w:rsid w:val="003A7FF9"/>
    <w:rsid w:val="003B00A0"/>
    <w:rsid w:val="003B04FD"/>
    <w:rsid w:val="003B0550"/>
    <w:rsid w:val="003B06EF"/>
    <w:rsid w:val="003B1403"/>
    <w:rsid w:val="003B16ED"/>
    <w:rsid w:val="003B17C9"/>
    <w:rsid w:val="003B17F9"/>
    <w:rsid w:val="003B1AB0"/>
    <w:rsid w:val="003B2137"/>
    <w:rsid w:val="003B22D1"/>
    <w:rsid w:val="003B292D"/>
    <w:rsid w:val="003B310D"/>
    <w:rsid w:val="003B3BAC"/>
    <w:rsid w:val="003B3D58"/>
    <w:rsid w:val="003B3D5E"/>
    <w:rsid w:val="003B4522"/>
    <w:rsid w:val="003B4B37"/>
    <w:rsid w:val="003B5093"/>
    <w:rsid w:val="003B50D3"/>
    <w:rsid w:val="003B54C3"/>
    <w:rsid w:val="003B5783"/>
    <w:rsid w:val="003B638F"/>
    <w:rsid w:val="003B694F"/>
    <w:rsid w:val="003B6C03"/>
    <w:rsid w:val="003B6D36"/>
    <w:rsid w:val="003B6EC1"/>
    <w:rsid w:val="003B70F4"/>
    <w:rsid w:val="003B7535"/>
    <w:rsid w:val="003B7D61"/>
    <w:rsid w:val="003C017C"/>
    <w:rsid w:val="003C0741"/>
    <w:rsid w:val="003C08B3"/>
    <w:rsid w:val="003C08B4"/>
    <w:rsid w:val="003C094E"/>
    <w:rsid w:val="003C0AEF"/>
    <w:rsid w:val="003C0E4C"/>
    <w:rsid w:val="003C127B"/>
    <w:rsid w:val="003C140C"/>
    <w:rsid w:val="003C1AA7"/>
    <w:rsid w:val="003C1C9C"/>
    <w:rsid w:val="003C1CB0"/>
    <w:rsid w:val="003C1D99"/>
    <w:rsid w:val="003C20EA"/>
    <w:rsid w:val="003C2664"/>
    <w:rsid w:val="003C29F5"/>
    <w:rsid w:val="003C30B7"/>
    <w:rsid w:val="003C3454"/>
    <w:rsid w:val="003C34DE"/>
    <w:rsid w:val="003C3B1F"/>
    <w:rsid w:val="003C3E39"/>
    <w:rsid w:val="003C40B8"/>
    <w:rsid w:val="003C456A"/>
    <w:rsid w:val="003C45EC"/>
    <w:rsid w:val="003C477A"/>
    <w:rsid w:val="003C48C7"/>
    <w:rsid w:val="003C4F93"/>
    <w:rsid w:val="003C5797"/>
    <w:rsid w:val="003C5880"/>
    <w:rsid w:val="003C5902"/>
    <w:rsid w:val="003C5962"/>
    <w:rsid w:val="003C6179"/>
    <w:rsid w:val="003C61B6"/>
    <w:rsid w:val="003C63E2"/>
    <w:rsid w:val="003C6C5D"/>
    <w:rsid w:val="003C702F"/>
    <w:rsid w:val="003C74B0"/>
    <w:rsid w:val="003C7539"/>
    <w:rsid w:val="003C784D"/>
    <w:rsid w:val="003C7A6C"/>
    <w:rsid w:val="003C7BB3"/>
    <w:rsid w:val="003C7FE8"/>
    <w:rsid w:val="003D06A6"/>
    <w:rsid w:val="003D0AB9"/>
    <w:rsid w:val="003D0B93"/>
    <w:rsid w:val="003D1387"/>
    <w:rsid w:val="003D1DAC"/>
    <w:rsid w:val="003D2303"/>
    <w:rsid w:val="003D24E6"/>
    <w:rsid w:val="003D2A75"/>
    <w:rsid w:val="003D3151"/>
    <w:rsid w:val="003D328C"/>
    <w:rsid w:val="003D3292"/>
    <w:rsid w:val="003D33FA"/>
    <w:rsid w:val="003D3645"/>
    <w:rsid w:val="003D37A2"/>
    <w:rsid w:val="003D389B"/>
    <w:rsid w:val="003D3B42"/>
    <w:rsid w:val="003D3E90"/>
    <w:rsid w:val="003D421D"/>
    <w:rsid w:val="003D4324"/>
    <w:rsid w:val="003D4573"/>
    <w:rsid w:val="003D4E31"/>
    <w:rsid w:val="003D4F63"/>
    <w:rsid w:val="003D51E9"/>
    <w:rsid w:val="003D5388"/>
    <w:rsid w:val="003D550B"/>
    <w:rsid w:val="003D5606"/>
    <w:rsid w:val="003D5716"/>
    <w:rsid w:val="003D5858"/>
    <w:rsid w:val="003D627A"/>
    <w:rsid w:val="003D69F9"/>
    <w:rsid w:val="003D6C63"/>
    <w:rsid w:val="003D6EB8"/>
    <w:rsid w:val="003D7364"/>
    <w:rsid w:val="003D743D"/>
    <w:rsid w:val="003D7B8E"/>
    <w:rsid w:val="003E01F3"/>
    <w:rsid w:val="003E0912"/>
    <w:rsid w:val="003E0E7B"/>
    <w:rsid w:val="003E1254"/>
    <w:rsid w:val="003E1444"/>
    <w:rsid w:val="003E14B0"/>
    <w:rsid w:val="003E1586"/>
    <w:rsid w:val="003E1964"/>
    <w:rsid w:val="003E1CCA"/>
    <w:rsid w:val="003E1DAF"/>
    <w:rsid w:val="003E1E62"/>
    <w:rsid w:val="003E2186"/>
    <w:rsid w:val="003E26E6"/>
    <w:rsid w:val="003E2D40"/>
    <w:rsid w:val="003E3124"/>
    <w:rsid w:val="003E3A64"/>
    <w:rsid w:val="003E3ABC"/>
    <w:rsid w:val="003E42FB"/>
    <w:rsid w:val="003E4782"/>
    <w:rsid w:val="003E48DF"/>
    <w:rsid w:val="003E4AB5"/>
    <w:rsid w:val="003E4F8C"/>
    <w:rsid w:val="003E5291"/>
    <w:rsid w:val="003E5322"/>
    <w:rsid w:val="003E5FCB"/>
    <w:rsid w:val="003E6496"/>
    <w:rsid w:val="003E6857"/>
    <w:rsid w:val="003E6942"/>
    <w:rsid w:val="003E6C81"/>
    <w:rsid w:val="003E75C7"/>
    <w:rsid w:val="003E7716"/>
    <w:rsid w:val="003E7AE2"/>
    <w:rsid w:val="003E7FA8"/>
    <w:rsid w:val="003F0A22"/>
    <w:rsid w:val="003F0A47"/>
    <w:rsid w:val="003F0AA5"/>
    <w:rsid w:val="003F0F9B"/>
    <w:rsid w:val="003F1032"/>
    <w:rsid w:val="003F1484"/>
    <w:rsid w:val="003F15C2"/>
    <w:rsid w:val="003F15C7"/>
    <w:rsid w:val="003F171C"/>
    <w:rsid w:val="003F1CEA"/>
    <w:rsid w:val="003F23DF"/>
    <w:rsid w:val="003F26D6"/>
    <w:rsid w:val="003F2944"/>
    <w:rsid w:val="003F2D6C"/>
    <w:rsid w:val="003F2F16"/>
    <w:rsid w:val="003F30A3"/>
    <w:rsid w:val="003F3461"/>
    <w:rsid w:val="003F34EB"/>
    <w:rsid w:val="003F3B29"/>
    <w:rsid w:val="003F3EA1"/>
    <w:rsid w:val="003F4399"/>
    <w:rsid w:val="003F4810"/>
    <w:rsid w:val="003F5098"/>
    <w:rsid w:val="003F5260"/>
    <w:rsid w:val="003F5492"/>
    <w:rsid w:val="003F55E3"/>
    <w:rsid w:val="003F5A46"/>
    <w:rsid w:val="003F5B9D"/>
    <w:rsid w:val="003F5F32"/>
    <w:rsid w:val="003F6047"/>
    <w:rsid w:val="003F66D1"/>
    <w:rsid w:val="003F6FF7"/>
    <w:rsid w:val="003F7255"/>
    <w:rsid w:val="0040064D"/>
    <w:rsid w:val="00400CBD"/>
    <w:rsid w:val="004010F2"/>
    <w:rsid w:val="004011E8"/>
    <w:rsid w:val="0040137C"/>
    <w:rsid w:val="004014F9"/>
    <w:rsid w:val="00401717"/>
    <w:rsid w:val="00401812"/>
    <w:rsid w:val="00401832"/>
    <w:rsid w:val="004019A8"/>
    <w:rsid w:val="00401AD0"/>
    <w:rsid w:val="00403156"/>
    <w:rsid w:val="00403AFF"/>
    <w:rsid w:val="00403CD8"/>
    <w:rsid w:val="00404769"/>
    <w:rsid w:val="0040499B"/>
    <w:rsid w:val="00404A68"/>
    <w:rsid w:val="00404DBB"/>
    <w:rsid w:val="00405676"/>
    <w:rsid w:val="00406197"/>
    <w:rsid w:val="0040627E"/>
    <w:rsid w:val="0040665C"/>
    <w:rsid w:val="004067F3"/>
    <w:rsid w:val="0040729E"/>
    <w:rsid w:val="004072DE"/>
    <w:rsid w:val="0040737E"/>
    <w:rsid w:val="00407416"/>
    <w:rsid w:val="00407FE5"/>
    <w:rsid w:val="0041039B"/>
    <w:rsid w:val="004110A6"/>
    <w:rsid w:val="00411211"/>
    <w:rsid w:val="00411336"/>
    <w:rsid w:val="004116C6"/>
    <w:rsid w:val="004119F0"/>
    <w:rsid w:val="00411BC1"/>
    <w:rsid w:val="00411D66"/>
    <w:rsid w:val="00411E5D"/>
    <w:rsid w:val="00411FED"/>
    <w:rsid w:val="0041228A"/>
    <w:rsid w:val="004123DE"/>
    <w:rsid w:val="0041262E"/>
    <w:rsid w:val="00412AA9"/>
    <w:rsid w:val="00412BF1"/>
    <w:rsid w:val="00412FC5"/>
    <w:rsid w:val="00413431"/>
    <w:rsid w:val="0041350D"/>
    <w:rsid w:val="004140E6"/>
    <w:rsid w:val="0041445B"/>
    <w:rsid w:val="0041458E"/>
    <w:rsid w:val="004148B9"/>
    <w:rsid w:val="00414B47"/>
    <w:rsid w:val="00414E27"/>
    <w:rsid w:val="004151A1"/>
    <w:rsid w:val="00415280"/>
    <w:rsid w:val="00415587"/>
    <w:rsid w:val="00416406"/>
    <w:rsid w:val="004169E6"/>
    <w:rsid w:val="00416AF1"/>
    <w:rsid w:val="00416E69"/>
    <w:rsid w:val="004172F9"/>
    <w:rsid w:val="004177F1"/>
    <w:rsid w:val="00417B3B"/>
    <w:rsid w:val="00417D69"/>
    <w:rsid w:val="00420125"/>
    <w:rsid w:val="004202B5"/>
    <w:rsid w:val="0042075D"/>
    <w:rsid w:val="0042097D"/>
    <w:rsid w:val="00420A83"/>
    <w:rsid w:val="00421502"/>
    <w:rsid w:val="00421636"/>
    <w:rsid w:val="00421CE4"/>
    <w:rsid w:val="00422276"/>
    <w:rsid w:val="00422647"/>
    <w:rsid w:val="004228EC"/>
    <w:rsid w:val="00422B32"/>
    <w:rsid w:val="00422C8C"/>
    <w:rsid w:val="00422CAF"/>
    <w:rsid w:val="00422CD4"/>
    <w:rsid w:val="00423255"/>
    <w:rsid w:val="004239DE"/>
    <w:rsid w:val="00423A84"/>
    <w:rsid w:val="00423E79"/>
    <w:rsid w:val="00423F71"/>
    <w:rsid w:val="0042422B"/>
    <w:rsid w:val="004242F1"/>
    <w:rsid w:val="0042455B"/>
    <w:rsid w:val="004248B0"/>
    <w:rsid w:val="00424AF1"/>
    <w:rsid w:val="00424B1B"/>
    <w:rsid w:val="00424CB1"/>
    <w:rsid w:val="00424E91"/>
    <w:rsid w:val="00424F65"/>
    <w:rsid w:val="004253ED"/>
    <w:rsid w:val="00425698"/>
    <w:rsid w:val="00425B24"/>
    <w:rsid w:val="00425C4C"/>
    <w:rsid w:val="00425DD7"/>
    <w:rsid w:val="0042622A"/>
    <w:rsid w:val="004269E4"/>
    <w:rsid w:val="00426B22"/>
    <w:rsid w:val="00426B40"/>
    <w:rsid w:val="00427023"/>
    <w:rsid w:val="004272A0"/>
    <w:rsid w:val="0042761F"/>
    <w:rsid w:val="00427A31"/>
    <w:rsid w:val="00427D17"/>
    <w:rsid w:val="00427D44"/>
    <w:rsid w:val="00427F88"/>
    <w:rsid w:val="00427F92"/>
    <w:rsid w:val="00430EF8"/>
    <w:rsid w:val="00431293"/>
    <w:rsid w:val="004316B4"/>
    <w:rsid w:val="004319BA"/>
    <w:rsid w:val="00431AFB"/>
    <w:rsid w:val="00431B25"/>
    <w:rsid w:val="00431BDE"/>
    <w:rsid w:val="00431F60"/>
    <w:rsid w:val="00431F79"/>
    <w:rsid w:val="004320E5"/>
    <w:rsid w:val="004323D3"/>
    <w:rsid w:val="0043259C"/>
    <w:rsid w:val="004325AA"/>
    <w:rsid w:val="00432783"/>
    <w:rsid w:val="004327B1"/>
    <w:rsid w:val="004327EF"/>
    <w:rsid w:val="00432B0E"/>
    <w:rsid w:val="004330A4"/>
    <w:rsid w:val="00433446"/>
    <w:rsid w:val="004336B9"/>
    <w:rsid w:val="00433719"/>
    <w:rsid w:val="00433B0D"/>
    <w:rsid w:val="00433C08"/>
    <w:rsid w:val="00433D37"/>
    <w:rsid w:val="0043433F"/>
    <w:rsid w:val="00434831"/>
    <w:rsid w:val="004348B5"/>
    <w:rsid w:val="00434A5B"/>
    <w:rsid w:val="00434C45"/>
    <w:rsid w:val="00434FAB"/>
    <w:rsid w:val="00434FAE"/>
    <w:rsid w:val="00435070"/>
    <w:rsid w:val="00435206"/>
    <w:rsid w:val="00435526"/>
    <w:rsid w:val="00435536"/>
    <w:rsid w:val="00435D15"/>
    <w:rsid w:val="00435E7A"/>
    <w:rsid w:val="00435F3E"/>
    <w:rsid w:val="00437612"/>
    <w:rsid w:val="004378C7"/>
    <w:rsid w:val="00437B79"/>
    <w:rsid w:val="00440377"/>
    <w:rsid w:val="004403FE"/>
    <w:rsid w:val="00440612"/>
    <w:rsid w:val="004409DE"/>
    <w:rsid w:val="00440B2B"/>
    <w:rsid w:val="004412BA"/>
    <w:rsid w:val="00441540"/>
    <w:rsid w:val="0044157E"/>
    <w:rsid w:val="0044161F"/>
    <w:rsid w:val="0044166A"/>
    <w:rsid w:val="004416BE"/>
    <w:rsid w:val="00441800"/>
    <w:rsid w:val="00441B9E"/>
    <w:rsid w:val="00441C26"/>
    <w:rsid w:val="00441C83"/>
    <w:rsid w:val="004422F1"/>
    <w:rsid w:val="00442650"/>
    <w:rsid w:val="00442B18"/>
    <w:rsid w:val="00442BAB"/>
    <w:rsid w:val="00442FAF"/>
    <w:rsid w:val="0044319E"/>
    <w:rsid w:val="00443316"/>
    <w:rsid w:val="004435CE"/>
    <w:rsid w:val="00443647"/>
    <w:rsid w:val="004439A2"/>
    <w:rsid w:val="00443F87"/>
    <w:rsid w:val="00444570"/>
    <w:rsid w:val="0044463F"/>
    <w:rsid w:val="004448F2"/>
    <w:rsid w:val="0044493B"/>
    <w:rsid w:val="00444B34"/>
    <w:rsid w:val="00444F76"/>
    <w:rsid w:val="0044503A"/>
    <w:rsid w:val="0044544E"/>
    <w:rsid w:val="0044560D"/>
    <w:rsid w:val="0044570E"/>
    <w:rsid w:val="00445A00"/>
    <w:rsid w:val="00446A19"/>
    <w:rsid w:val="00446A36"/>
    <w:rsid w:val="0044705F"/>
    <w:rsid w:val="0044722D"/>
    <w:rsid w:val="0044754D"/>
    <w:rsid w:val="00447B4A"/>
    <w:rsid w:val="00447C29"/>
    <w:rsid w:val="00447CEB"/>
    <w:rsid w:val="00447CEC"/>
    <w:rsid w:val="0045020D"/>
    <w:rsid w:val="0045022B"/>
    <w:rsid w:val="0045075E"/>
    <w:rsid w:val="00450B6E"/>
    <w:rsid w:val="00450D99"/>
    <w:rsid w:val="0045138B"/>
    <w:rsid w:val="00451B0F"/>
    <w:rsid w:val="00451D2C"/>
    <w:rsid w:val="0045217E"/>
    <w:rsid w:val="00452E07"/>
    <w:rsid w:val="004531F6"/>
    <w:rsid w:val="004539EE"/>
    <w:rsid w:val="00454090"/>
    <w:rsid w:val="004545FE"/>
    <w:rsid w:val="004546B8"/>
    <w:rsid w:val="00454706"/>
    <w:rsid w:val="004547D1"/>
    <w:rsid w:val="00454F29"/>
    <w:rsid w:val="00455175"/>
    <w:rsid w:val="004556C5"/>
    <w:rsid w:val="004560A7"/>
    <w:rsid w:val="00456686"/>
    <w:rsid w:val="0045698C"/>
    <w:rsid w:val="00456F51"/>
    <w:rsid w:val="00457006"/>
    <w:rsid w:val="00457292"/>
    <w:rsid w:val="00457516"/>
    <w:rsid w:val="004579D0"/>
    <w:rsid w:val="00457FAD"/>
    <w:rsid w:val="00460600"/>
    <w:rsid w:val="00460DB6"/>
    <w:rsid w:val="0046189A"/>
    <w:rsid w:val="00461F4B"/>
    <w:rsid w:val="004623A4"/>
    <w:rsid w:val="00462784"/>
    <w:rsid w:val="00462D46"/>
    <w:rsid w:val="00463042"/>
    <w:rsid w:val="0046377F"/>
    <w:rsid w:val="00463C9E"/>
    <w:rsid w:val="00463F0E"/>
    <w:rsid w:val="00463FFE"/>
    <w:rsid w:val="00464147"/>
    <w:rsid w:val="004646EE"/>
    <w:rsid w:val="00464782"/>
    <w:rsid w:val="00464E21"/>
    <w:rsid w:val="0046508B"/>
    <w:rsid w:val="004650AE"/>
    <w:rsid w:val="0046544A"/>
    <w:rsid w:val="00465451"/>
    <w:rsid w:val="00465739"/>
    <w:rsid w:val="004657AA"/>
    <w:rsid w:val="00465D41"/>
    <w:rsid w:val="00465F06"/>
    <w:rsid w:val="00465F08"/>
    <w:rsid w:val="00465FCA"/>
    <w:rsid w:val="00466072"/>
    <w:rsid w:val="0046682E"/>
    <w:rsid w:val="00466968"/>
    <w:rsid w:val="00467079"/>
    <w:rsid w:val="00467137"/>
    <w:rsid w:val="00467352"/>
    <w:rsid w:val="00467606"/>
    <w:rsid w:val="004679EE"/>
    <w:rsid w:val="0047018C"/>
    <w:rsid w:val="00470262"/>
    <w:rsid w:val="00470A66"/>
    <w:rsid w:val="00470AC2"/>
    <w:rsid w:val="004711D3"/>
    <w:rsid w:val="00471240"/>
    <w:rsid w:val="0047199B"/>
    <w:rsid w:val="00471C35"/>
    <w:rsid w:val="004732A7"/>
    <w:rsid w:val="00473402"/>
    <w:rsid w:val="0047369C"/>
    <w:rsid w:val="00473A31"/>
    <w:rsid w:val="00474106"/>
    <w:rsid w:val="004745F7"/>
    <w:rsid w:val="00474803"/>
    <w:rsid w:val="00474D66"/>
    <w:rsid w:val="0047535E"/>
    <w:rsid w:val="00475480"/>
    <w:rsid w:val="00476E64"/>
    <w:rsid w:val="00476EFD"/>
    <w:rsid w:val="0047738B"/>
    <w:rsid w:val="0047793C"/>
    <w:rsid w:val="00477E9C"/>
    <w:rsid w:val="004800B6"/>
    <w:rsid w:val="004801E9"/>
    <w:rsid w:val="0048020B"/>
    <w:rsid w:val="00480284"/>
    <w:rsid w:val="0048038C"/>
    <w:rsid w:val="00480A36"/>
    <w:rsid w:val="00480BC3"/>
    <w:rsid w:val="00480CA5"/>
    <w:rsid w:val="004816E4"/>
    <w:rsid w:val="004818EA"/>
    <w:rsid w:val="00481A61"/>
    <w:rsid w:val="0048203C"/>
    <w:rsid w:val="004820D3"/>
    <w:rsid w:val="00482323"/>
    <w:rsid w:val="004825D6"/>
    <w:rsid w:val="00482EF3"/>
    <w:rsid w:val="00482F15"/>
    <w:rsid w:val="004830D9"/>
    <w:rsid w:val="00483A4E"/>
    <w:rsid w:val="00483B88"/>
    <w:rsid w:val="00483BD6"/>
    <w:rsid w:val="0048404A"/>
    <w:rsid w:val="0048435C"/>
    <w:rsid w:val="004845EB"/>
    <w:rsid w:val="00484BC1"/>
    <w:rsid w:val="00484F38"/>
    <w:rsid w:val="0048504A"/>
    <w:rsid w:val="004850C0"/>
    <w:rsid w:val="0048533B"/>
    <w:rsid w:val="00485558"/>
    <w:rsid w:val="004861F1"/>
    <w:rsid w:val="00486253"/>
    <w:rsid w:val="004865BD"/>
    <w:rsid w:val="00486630"/>
    <w:rsid w:val="00486A31"/>
    <w:rsid w:val="004873F2"/>
    <w:rsid w:val="00487726"/>
    <w:rsid w:val="004879E3"/>
    <w:rsid w:val="0049029D"/>
    <w:rsid w:val="004902A1"/>
    <w:rsid w:val="004902F8"/>
    <w:rsid w:val="0049067A"/>
    <w:rsid w:val="00490C85"/>
    <w:rsid w:val="00490F9E"/>
    <w:rsid w:val="0049137F"/>
    <w:rsid w:val="00491828"/>
    <w:rsid w:val="004926CE"/>
    <w:rsid w:val="00492E9E"/>
    <w:rsid w:val="00493753"/>
    <w:rsid w:val="00493A8B"/>
    <w:rsid w:val="00493C4F"/>
    <w:rsid w:val="0049406E"/>
    <w:rsid w:val="0049494C"/>
    <w:rsid w:val="00494B9D"/>
    <w:rsid w:val="00494EFE"/>
    <w:rsid w:val="00494FDD"/>
    <w:rsid w:val="0049598C"/>
    <w:rsid w:val="00495A9F"/>
    <w:rsid w:val="00495C30"/>
    <w:rsid w:val="00495F6D"/>
    <w:rsid w:val="0049629A"/>
    <w:rsid w:val="00496605"/>
    <w:rsid w:val="00496668"/>
    <w:rsid w:val="004969D7"/>
    <w:rsid w:val="0049707D"/>
    <w:rsid w:val="004972A4"/>
    <w:rsid w:val="00497306"/>
    <w:rsid w:val="004A0559"/>
    <w:rsid w:val="004A0DF5"/>
    <w:rsid w:val="004A0EE5"/>
    <w:rsid w:val="004A1AE6"/>
    <w:rsid w:val="004A1E16"/>
    <w:rsid w:val="004A2015"/>
    <w:rsid w:val="004A216D"/>
    <w:rsid w:val="004A294F"/>
    <w:rsid w:val="004A2A58"/>
    <w:rsid w:val="004A2C6A"/>
    <w:rsid w:val="004A3396"/>
    <w:rsid w:val="004A343F"/>
    <w:rsid w:val="004A3AD3"/>
    <w:rsid w:val="004A3B9B"/>
    <w:rsid w:val="004A41A2"/>
    <w:rsid w:val="004A4380"/>
    <w:rsid w:val="004A4575"/>
    <w:rsid w:val="004A49A3"/>
    <w:rsid w:val="004A4BEE"/>
    <w:rsid w:val="004A4CC3"/>
    <w:rsid w:val="004A4D09"/>
    <w:rsid w:val="004A4E9D"/>
    <w:rsid w:val="004A4F03"/>
    <w:rsid w:val="004A509E"/>
    <w:rsid w:val="004A5353"/>
    <w:rsid w:val="004A547A"/>
    <w:rsid w:val="004A59C8"/>
    <w:rsid w:val="004A59FA"/>
    <w:rsid w:val="004A5A85"/>
    <w:rsid w:val="004A5B9B"/>
    <w:rsid w:val="004A5DDA"/>
    <w:rsid w:val="004A6208"/>
    <w:rsid w:val="004A633F"/>
    <w:rsid w:val="004A64C4"/>
    <w:rsid w:val="004A6D70"/>
    <w:rsid w:val="004A6DA1"/>
    <w:rsid w:val="004A6EAC"/>
    <w:rsid w:val="004A7A40"/>
    <w:rsid w:val="004A7C3C"/>
    <w:rsid w:val="004A7C8F"/>
    <w:rsid w:val="004B04B2"/>
    <w:rsid w:val="004B062C"/>
    <w:rsid w:val="004B10DC"/>
    <w:rsid w:val="004B14C7"/>
    <w:rsid w:val="004B16F8"/>
    <w:rsid w:val="004B171E"/>
    <w:rsid w:val="004B19A8"/>
    <w:rsid w:val="004B1A0C"/>
    <w:rsid w:val="004B1D10"/>
    <w:rsid w:val="004B1E5A"/>
    <w:rsid w:val="004B2962"/>
    <w:rsid w:val="004B2B4C"/>
    <w:rsid w:val="004B2C5D"/>
    <w:rsid w:val="004B359C"/>
    <w:rsid w:val="004B3690"/>
    <w:rsid w:val="004B4174"/>
    <w:rsid w:val="004B4418"/>
    <w:rsid w:val="004B4447"/>
    <w:rsid w:val="004B493D"/>
    <w:rsid w:val="004B4F22"/>
    <w:rsid w:val="004B4F87"/>
    <w:rsid w:val="004B52F3"/>
    <w:rsid w:val="004B56B5"/>
    <w:rsid w:val="004B56F6"/>
    <w:rsid w:val="004B5C55"/>
    <w:rsid w:val="004B5F3B"/>
    <w:rsid w:val="004B6007"/>
    <w:rsid w:val="004B6768"/>
    <w:rsid w:val="004B6E23"/>
    <w:rsid w:val="004B7923"/>
    <w:rsid w:val="004B7BF8"/>
    <w:rsid w:val="004C02B8"/>
    <w:rsid w:val="004C0917"/>
    <w:rsid w:val="004C0C04"/>
    <w:rsid w:val="004C0D9A"/>
    <w:rsid w:val="004C1344"/>
    <w:rsid w:val="004C139A"/>
    <w:rsid w:val="004C1730"/>
    <w:rsid w:val="004C1AEB"/>
    <w:rsid w:val="004C1C71"/>
    <w:rsid w:val="004C227A"/>
    <w:rsid w:val="004C2654"/>
    <w:rsid w:val="004C2748"/>
    <w:rsid w:val="004C2788"/>
    <w:rsid w:val="004C2C0D"/>
    <w:rsid w:val="004C2EE3"/>
    <w:rsid w:val="004C37C5"/>
    <w:rsid w:val="004C3E26"/>
    <w:rsid w:val="004C408C"/>
    <w:rsid w:val="004C44E8"/>
    <w:rsid w:val="004C4524"/>
    <w:rsid w:val="004C45CC"/>
    <w:rsid w:val="004C4F63"/>
    <w:rsid w:val="004C5359"/>
    <w:rsid w:val="004C54B7"/>
    <w:rsid w:val="004C54E8"/>
    <w:rsid w:val="004C5978"/>
    <w:rsid w:val="004C5B46"/>
    <w:rsid w:val="004C5ED2"/>
    <w:rsid w:val="004C63C9"/>
    <w:rsid w:val="004C6416"/>
    <w:rsid w:val="004C6432"/>
    <w:rsid w:val="004C677F"/>
    <w:rsid w:val="004C67EE"/>
    <w:rsid w:val="004C6E86"/>
    <w:rsid w:val="004C70CE"/>
    <w:rsid w:val="004C7352"/>
    <w:rsid w:val="004C7F6C"/>
    <w:rsid w:val="004D01AF"/>
    <w:rsid w:val="004D02C9"/>
    <w:rsid w:val="004D1157"/>
    <w:rsid w:val="004D1576"/>
    <w:rsid w:val="004D1D66"/>
    <w:rsid w:val="004D21C2"/>
    <w:rsid w:val="004D2502"/>
    <w:rsid w:val="004D273E"/>
    <w:rsid w:val="004D2FF2"/>
    <w:rsid w:val="004D302D"/>
    <w:rsid w:val="004D3A66"/>
    <w:rsid w:val="004D3CE4"/>
    <w:rsid w:val="004D3F7D"/>
    <w:rsid w:val="004D44BB"/>
    <w:rsid w:val="004D461B"/>
    <w:rsid w:val="004D4EEF"/>
    <w:rsid w:val="004D51F0"/>
    <w:rsid w:val="004D5641"/>
    <w:rsid w:val="004D5B7E"/>
    <w:rsid w:val="004D66D8"/>
    <w:rsid w:val="004D68F5"/>
    <w:rsid w:val="004D6DB6"/>
    <w:rsid w:val="004D72DB"/>
    <w:rsid w:val="004D7307"/>
    <w:rsid w:val="004D738B"/>
    <w:rsid w:val="004D73A3"/>
    <w:rsid w:val="004D7ECE"/>
    <w:rsid w:val="004E0472"/>
    <w:rsid w:val="004E0660"/>
    <w:rsid w:val="004E0C77"/>
    <w:rsid w:val="004E0D5C"/>
    <w:rsid w:val="004E0E29"/>
    <w:rsid w:val="004E1040"/>
    <w:rsid w:val="004E10E7"/>
    <w:rsid w:val="004E110D"/>
    <w:rsid w:val="004E11F7"/>
    <w:rsid w:val="004E1350"/>
    <w:rsid w:val="004E194C"/>
    <w:rsid w:val="004E1B3C"/>
    <w:rsid w:val="004E1BE8"/>
    <w:rsid w:val="004E20B7"/>
    <w:rsid w:val="004E22F2"/>
    <w:rsid w:val="004E23EB"/>
    <w:rsid w:val="004E27E1"/>
    <w:rsid w:val="004E29E8"/>
    <w:rsid w:val="004E2B94"/>
    <w:rsid w:val="004E3765"/>
    <w:rsid w:val="004E37D2"/>
    <w:rsid w:val="004E3951"/>
    <w:rsid w:val="004E3D8E"/>
    <w:rsid w:val="004E3DDA"/>
    <w:rsid w:val="004E3FB2"/>
    <w:rsid w:val="004E4070"/>
    <w:rsid w:val="004E42AC"/>
    <w:rsid w:val="004E4A22"/>
    <w:rsid w:val="004E5133"/>
    <w:rsid w:val="004E54CD"/>
    <w:rsid w:val="004E550F"/>
    <w:rsid w:val="004E5F6A"/>
    <w:rsid w:val="004E60B6"/>
    <w:rsid w:val="004E6665"/>
    <w:rsid w:val="004E6765"/>
    <w:rsid w:val="004E6A56"/>
    <w:rsid w:val="004E6CAA"/>
    <w:rsid w:val="004E6E57"/>
    <w:rsid w:val="004E6F1C"/>
    <w:rsid w:val="004E6F47"/>
    <w:rsid w:val="004E6FD2"/>
    <w:rsid w:val="004E70FB"/>
    <w:rsid w:val="004E7654"/>
    <w:rsid w:val="004E79A1"/>
    <w:rsid w:val="004E7ABD"/>
    <w:rsid w:val="004E7EE2"/>
    <w:rsid w:val="004E7EFC"/>
    <w:rsid w:val="004F00EB"/>
    <w:rsid w:val="004F06B5"/>
    <w:rsid w:val="004F0B73"/>
    <w:rsid w:val="004F0C0A"/>
    <w:rsid w:val="004F0E7C"/>
    <w:rsid w:val="004F1332"/>
    <w:rsid w:val="004F139A"/>
    <w:rsid w:val="004F1686"/>
    <w:rsid w:val="004F19B5"/>
    <w:rsid w:val="004F2515"/>
    <w:rsid w:val="004F28CF"/>
    <w:rsid w:val="004F2918"/>
    <w:rsid w:val="004F2BDB"/>
    <w:rsid w:val="004F3325"/>
    <w:rsid w:val="004F36FB"/>
    <w:rsid w:val="004F37BF"/>
    <w:rsid w:val="004F3B83"/>
    <w:rsid w:val="004F419E"/>
    <w:rsid w:val="004F46C0"/>
    <w:rsid w:val="004F4DD7"/>
    <w:rsid w:val="004F4EC6"/>
    <w:rsid w:val="004F534D"/>
    <w:rsid w:val="004F58D5"/>
    <w:rsid w:val="004F5944"/>
    <w:rsid w:val="004F5B85"/>
    <w:rsid w:val="004F60C4"/>
    <w:rsid w:val="004F64C0"/>
    <w:rsid w:val="004F67C6"/>
    <w:rsid w:val="004F685E"/>
    <w:rsid w:val="004F6A94"/>
    <w:rsid w:val="004F6D07"/>
    <w:rsid w:val="004F6DBE"/>
    <w:rsid w:val="004F70DA"/>
    <w:rsid w:val="004F7EB6"/>
    <w:rsid w:val="00500124"/>
    <w:rsid w:val="0050014C"/>
    <w:rsid w:val="0050079F"/>
    <w:rsid w:val="0050114A"/>
    <w:rsid w:val="005011FD"/>
    <w:rsid w:val="0050122F"/>
    <w:rsid w:val="00501427"/>
    <w:rsid w:val="005017F4"/>
    <w:rsid w:val="0050184A"/>
    <w:rsid w:val="00501B37"/>
    <w:rsid w:val="00501C0B"/>
    <w:rsid w:val="00501DF9"/>
    <w:rsid w:val="00501F3D"/>
    <w:rsid w:val="00502154"/>
    <w:rsid w:val="005022F8"/>
    <w:rsid w:val="005027A1"/>
    <w:rsid w:val="00502D9A"/>
    <w:rsid w:val="00503448"/>
    <w:rsid w:val="00503569"/>
    <w:rsid w:val="00503798"/>
    <w:rsid w:val="00503918"/>
    <w:rsid w:val="00503E2C"/>
    <w:rsid w:val="00503E93"/>
    <w:rsid w:val="00503EB0"/>
    <w:rsid w:val="0050452B"/>
    <w:rsid w:val="0050467B"/>
    <w:rsid w:val="0050473E"/>
    <w:rsid w:val="00504D29"/>
    <w:rsid w:val="0050570C"/>
    <w:rsid w:val="005060E4"/>
    <w:rsid w:val="00506770"/>
    <w:rsid w:val="005068F9"/>
    <w:rsid w:val="00507439"/>
    <w:rsid w:val="0050762C"/>
    <w:rsid w:val="00507657"/>
    <w:rsid w:val="005076C3"/>
    <w:rsid w:val="00507842"/>
    <w:rsid w:val="00507CD6"/>
    <w:rsid w:val="005100B0"/>
    <w:rsid w:val="00510258"/>
    <w:rsid w:val="00510464"/>
    <w:rsid w:val="005109A8"/>
    <w:rsid w:val="00510CB6"/>
    <w:rsid w:val="00510F7A"/>
    <w:rsid w:val="00511949"/>
    <w:rsid w:val="00511968"/>
    <w:rsid w:val="00512535"/>
    <w:rsid w:val="00512769"/>
    <w:rsid w:val="0051276D"/>
    <w:rsid w:val="00512825"/>
    <w:rsid w:val="00512C79"/>
    <w:rsid w:val="00512F2C"/>
    <w:rsid w:val="0051312D"/>
    <w:rsid w:val="00513306"/>
    <w:rsid w:val="00513369"/>
    <w:rsid w:val="005134A7"/>
    <w:rsid w:val="005134CF"/>
    <w:rsid w:val="00513A12"/>
    <w:rsid w:val="00514E9D"/>
    <w:rsid w:val="00515067"/>
    <w:rsid w:val="0051509A"/>
    <w:rsid w:val="00515200"/>
    <w:rsid w:val="005153BF"/>
    <w:rsid w:val="00515811"/>
    <w:rsid w:val="0051594E"/>
    <w:rsid w:val="00515DE4"/>
    <w:rsid w:val="0051678F"/>
    <w:rsid w:val="00516863"/>
    <w:rsid w:val="00516A2F"/>
    <w:rsid w:val="00516B57"/>
    <w:rsid w:val="005171F1"/>
    <w:rsid w:val="005173E5"/>
    <w:rsid w:val="00517760"/>
    <w:rsid w:val="00520082"/>
    <w:rsid w:val="00520638"/>
    <w:rsid w:val="005208D7"/>
    <w:rsid w:val="00520F07"/>
    <w:rsid w:val="00520F0B"/>
    <w:rsid w:val="00520FBE"/>
    <w:rsid w:val="005210C2"/>
    <w:rsid w:val="005213DF"/>
    <w:rsid w:val="00521A91"/>
    <w:rsid w:val="0052297D"/>
    <w:rsid w:val="00522B08"/>
    <w:rsid w:val="00522D07"/>
    <w:rsid w:val="00523157"/>
    <w:rsid w:val="00523178"/>
    <w:rsid w:val="00523CF2"/>
    <w:rsid w:val="00523F51"/>
    <w:rsid w:val="00523F88"/>
    <w:rsid w:val="0052405C"/>
    <w:rsid w:val="00524647"/>
    <w:rsid w:val="00524E8D"/>
    <w:rsid w:val="00525E3A"/>
    <w:rsid w:val="0052637C"/>
    <w:rsid w:val="00526579"/>
    <w:rsid w:val="0052696D"/>
    <w:rsid w:val="00526D13"/>
    <w:rsid w:val="00527015"/>
    <w:rsid w:val="005272E2"/>
    <w:rsid w:val="005277A1"/>
    <w:rsid w:val="00527D30"/>
    <w:rsid w:val="00527DBE"/>
    <w:rsid w:val="005308FD"/>
    <w:rsid w:val="00530B15"/>
    <w:rsid w:val="00530C75"/>
    <w:rsid w:val="00530E54"/>
    <w:rsid w:val="00531429"/>
    <w:rsid w:val="00531467"/>
    <w:rsid w:val="00531847"/>
    <w:rsid w:val="00531C63"/>
    <w:rsid w:val="0053228E"/>
    <w:rsid w:val="005323F0"/>
    <w:rsid w:val="00532686"/>
    <w:rsid w:val="005327CB"/>
    <w:rsid w:val="00532873"/>
    <w:rsid w:val="00532AE9"/>
    <w:rsid w:val="00532AEB"/>
    <w:rsid w:val="00532F01"/>
    <w:rsid w:val="00532FB8"/>
    <w:rsid w:val="005331D5"/>
    <w:rsid w:val="00533257"/>
    <w:rsid w:val="0053348E"/>
    <w:rsid w:val="00533667"/>
    <w:rsid w:val="00533CD0"/>
    <w:rsid w:val="0053467B"/>
    <w:rsid w:val="00534C9D"/>
    <w:rsid w:val="00534E9D"/>
    <w:rsid w:val="005355A9"/>
    <w:rsid w:val="00535612"/>
    <w:rsid w:val="00535775"/>
    <w:rsid w:val="005357A3"/>
    <w:rsid w:val="00535C72"/>
    <w:rsid w:val="00535E41"/>
    <w:rsid w:val="0053696B"/>
    <w:rsid w:val="00536ADE"/>
    <w:rsid w:val="00536F15"/>
    <w:rsid w:val="00537E0F"/>
    <w:rsid w:val="0054047A"/>
    <w:rsid w:val="005404D0"/>
    <w:rsid w:val="00540740"/>
    <w:rsid w:val="00540BF3"/>
    <w:rsid w:val="00540F26"/>
    <w:rsid w:val="00541213"/>
    <w:rsid w:val="00541995"/>
    <w:rsid w:val="00541A77"/>
    <w:rsid w:val="00541B7B"/>
    <w:rsid w:val="00541EE5"/>
    <w:rsid w:val="00542C62"/>
    <w:rsid w:val="00543153"/>
    <w:rsid w:val="005432BD"/>
    <w:rsid w:val="005434BD"/>
    <w:rsid w:val="0054431C"/>
    <w:rsid w:val="00544649"/>
    <w:rsid w:val="0054477C"/>
    <w:rsid w:val="00544A45"/>
    <w:rsid w:val="00544AD4"/>
    <w:rsid w:val="00544B83"/>
    <w:rsid w:val="00544D21"/>
    <w:rsid w:val="00544F09"/>
    <w:rsid w:val="00545827"/>
    <w:rsid w:val="00545E3E"/>
    <w:rsid w:val="00545F6F"/>
    <w:rsid w:val="005469E2"/>
    <w:rsid w:val="00546BEF"/>
    <w:rsid w:val="00546C42"/>
    <w:rsid w:val="00546C8E"/>
    <w:rsid w:val="00547008"/>
    <w:rsid w:val="005470C6"/>
    <w:rsid w:val="005472F1"/>
    <w:rsid w:val="00547337"/>
    <w:rsid w:val="00547785"/>
    <w:rsid w:val="005478CF"/>
    <w:rsid w:val="00547BD1"/>
    <w:rsid w:val="00547CE7"/>
    <w:rsid w:val="00547DD8"/>
    <w:rsid w:val="00550116"/>
    <w:rsid w:val="005505BC"/>
    <w:rsid w:val="00550846"/>
    <w:rsid w:val="005508A0"/>
    <w:rsid w:val="00550A2E"/>
    <w:rsid w:val="00550CF3"/>
    <w:rsid w:val="00550EEC"/>
    <w:rsid w:val="005510D5"/>
    <w:rsid w:val="005512C7"/>
    <w:rsid w:val="005512D2"/>
    <w:rsid w:val="005512F8"/>
    <w:rsid w:val="0055191B"/>
    <w:rsid w:val="0055255D"/>
    <w:rsid w:val="00552930"/>
    <w:rsid w:val="00552BF8"/>
    <w:rsid w:val="00552EC4"/>
    <w:rsid w:val="00553065"/>
    <w:rsid w:val="0055310D"/>
    <w:rsid w:val="005534C2"/>
    <w:rsid w:val="005534E5"/>
    <w:rsid w:val="005539D8"/>
    <w:rsid w:val="00553B90"/>
    <w:rsid w:val="005541D7"/>
    <w:rsid w:val="0055468F"/>
    <w:rsid w:val="00554941"/>
    <w:rsid w:val="00554FFE"/>
    <w:rsid w:val="00555783"/>
    <w:rsid w:val="00555BBA"/>
    <w:rsid w:val="00555D7E"/>
    <w:rsid w:val="00555F08"/>
    <w:rsid w:val="00555F4E"/>
    <w:rsid w:val="00555F80"/>
    <w:rsid w:val="0055614C"/>
    <w:rsid w:val="00556555"/>
    <w:rsid w:val="00556DB4"/>
    <w:rsid w:val="00557043"/>
    <w:rsid w:val="0055756A"/>
    <w:rsid w:val="0055759D"/>
    <w:rsid w:val="00557B15"/>
    <w:rsid w:val="00557C4D"/>
    <w:rsid w:val="00560597"/>
    <w:rsid w:val="00560CA5"/>
    <w:rsid w:val="00560CD9"/>
    <w:rsid w:val="0056111F"/>
    <w:rsid w:val="00561F8E"/>
    <w:rsid w:val="0056208D"/>
    <w:rsid w:val="00562534"/>
    <w:rsid w:val="005625B5"/>
    <w:rsid w:val="00562FB2"/>
    <w:rsid w:val="005630C6"/>
    <w:rsid w:val="005630FE"/>
    <w:rsid w:val="00563F94"/>
    <w:rsid w:val="0056478E"/>
    <w:rsid w:val="00564F7C"/>
    <w:rsid w:val="00564F9C"/>
    <w:rsid w:val="00565B71"/>
    <w:rsid w:val="00565B9F"/>
    <w:rsid w:val="00565C64"/>
    <w:rsid w:val="00565D2B"/>
    <w:rsid w:val="005663CE"/>
    <w:rsid w:val="0056646D"/>
    <w:rsid w:val="00566742"/>
    <w:rsid w:val="00566D06"/>
    <w:rsid w:val="00567312"/>
    <w:rsid w:val="005675D5"/>
    <w:rsid w:val="00567839"/>
    <w:rsid w:val="005701DA"/>
    <w:rsid w:val="005702CF"/>
    <w:rsid w:val="005707CB"/>
    <w:rsid w:val="005708B7"/>
    <w:rsid w:val="00570D24"/>
    <w:rsid w:val="005710F1"/>
    <w:rsid w:val="0057118F"/>
    <w:rsid w:val="0057125A"/>
    <w:rsid w:val="00571323"/>
    <w:rsid w:val="00571355"/>
    <w:rsid w:val="0057138D"/>
    <w:rsid w:val="005713B1"/>
    <w:rsid w:val="00571945"/>
    <w:rsid w:val="00571AC2"/>
    <w:rsid w:val="00572038"/>
    <w:rsid w:val="0057209C"/>
    <w:rsid w:val="00572186"/>
    <w:rsid w:val="0057237A"/>
    <w:rsid w:val="0057238B"/>
    <w:rsid w:val="00572915"/>
    <w:rsid w:val="00572949"/>
    <w:rsid w:val="00572A45"/>
    <w:rsid w:val="00573BAE"/>
    <w:rsid w:val="005747BC"/>
    <w:rsid w:val="00574BFE"/>
    <w:rsid w:val="00574EA7"/>
    <w:rsid w:val="00574FD2"/>
    <w:rsid w:val="0057520A"/>
    <w:rsid w:val="005753A8"/>
    <w:rsid w:val="00575621"/>
    <w:rsid w:val="00575658"/>
    <w:rsid w:val="00575A83"/>
    <w:rsid w:val="00575EB4"/>
    <w:rsid w:val="00576136"/>
    <w:rsid w:val="005765D5"/>
    <w:rsid w:val="005766BD"/>
    <w:rsid w:val="005767F6"/>
    <w:rsid w:val="00576D27"/>
    <w:rsid w:val="00576FD3"/>
    <w:rsid w:val="005773DD"/>
    <w:rsid w:val="00577679"/>
    <w:rsid w:val="005777A0"/>
    <w:rsid w:val="00577F58"/>
    <w:rsid w:val="005803A8"/>
    <w:rsid w:val="00580469"/>
    <w:rsid w:val="005804C9"/>
    <w:rsid w:val="00580812"/>
    <w:rsid w:val="00580C49"/>
    <w:rsid w:val="00580D0E"/>
    <w:rsid w:val="005812A7"/>
    <w:rsid w:val="005816ED"/>
    <w:rsid w:val="00582020"/>
    <w:rsid w:val="005827BD"/>
    <w:rsid w:val="00582919"/>
    <w:rsid w:val="005829FC"/>
    <w:rsid w:val="00582C06"/>
    <w:rsid w:val="0058309D"/>
    <w:rsid w:val="005832E8"/>
    <w:rsid w:val="005833EF"/>
    <w:rsid w:val="00583514"/>
    <w:rsid w:val="00583705"/>
    <w:rsid w:val="00583F6D"/>
    <w:rsid w:val="005842F6"/>
    <w:rsid w:val="0058434C"/>
    <w:rsid w:val="00584414"/>
    <w:rsid w:val="0058489E"/>
    <w:rsid w:val="00584BF0"/>
    <w:rsid w:val="00584C0B"/>
    <w:rsid w:val="00584C0C"/>
    <w:rsid w:val="005850F7"/>
    <w:rsid w:val="0058547C"/>
    <w:rsid w:val="005854B0"/>
    <w:rsid w:val="0058589C"/>
    <w:rsid w:val="005859B5"/>
    <w:rsid w:val="00585AC6"/>
    <w:rsid w:val="00585C05"/>
    <w:rsid w:val="00585F11"/>
    <w:rsid w:val="00585FD8"/>
    <w:rsid w:val="005861D2"/>
    <w:rsid w:val="0058623E"/>
    <w:rsid w:val="00586495"/>
    <w:rsid w:val="005870FD"/>
    <w:rsid w:val="00587115"/>
    <w:rsid w:val="005872D6"/>
    <w:rsid w:val="005874C6"/>
    <w:rsid w:val="00587FC6"/>
    <w:rsid w:val="005900BB"/>
    <w:rsid w:val="005900DF"/>
    <w:rsid w:val="00590785"/>
    <w:rsid w:val="00590B2C"/>
    <w:rsid w:val="00590F2A"/>
    <w:rsid w:val="00591444"/>
    <w:rsid w:val="00591467"/>
    <w:rsid w:val="00591EB4"/>
    <w:rsid w:val="00592101"/>
    <w:rsid w:val="00592243"/>
    <w:rsid w:val="005923D2"/>
    <w:rsid w:val="00592476"/>
    <w:rsid w:val="00592B4F"/>
    <w:rsid w:val="00592D67"/>
    <w:rsid w:val="00592F24"/>
    <w:rsid w:val="00593123"/>
    <w:rsid w:val="0059319B"/>
    <w:rsid w:val="00593201"/>
    <w:rsid w:val="00593491"/>
    <w:rsid w:val="00593883"/>
    <w:rsid w:val="0059454B"/>
    <w:rsid w:val="0059466D"/>
    <w:rsid w:val="0059490C"/>
    <w:rsid w:val="00594D45"/>
    <w:rsid w:val="005957BF"/>
    <w:rsid w:val="005958DE"/>
    <w:rsid w:val="00595C7E"/>
    <w:rsid w:val="00596288"/>
    <w:rsid w:val="005962A2"/>
    <w:rsid w:val="0059686C"/>
    <w:rsid w:val="00596F8D"/>
    <w:rsid w:val="005972FF"/>
    <w:rsid w:val="00597972"/>
    <w:rsid w:val="00597C39"/>
    <w:rsid w:val="00597FAD"/>
    <w:rsid w:val="005A020C"/>
    <w:rsid w:val="005A02B6"/>
    <w:rsid w:val="005A04CE"/>
    <w:rsid w:val="005A0525"/>
    <w:rsid w:val="005A05CC"/>
    <w:rsid w:val="005A09CE"/>
    <w:rsid w:val="005A0E46"/>
    <w:rsid w:val="005A1302"/>
    <w:rsid w:val="005A16C6"/>
    <w:rsid w:val="005A16EA"/>
    <w:rsid w:val="005A19F5"/>
    <w:rsid w:val="005A1BFD"/>
    <w:rsid w:val="005A1EE2"/>
    <w:rsid w:val="005A24E5"/>
    <w:rsid w:val="005A27FD"/>
    <w:rsid w:val="005A2AE4"/>
    <w:rsid w:val="005A2BC0"/>
    <w:rsid w:val="005A2F72"/>
    <w:rsid w:val="005A3149"/>
    <w:rsid w:val="005A31B8"/>
    <w:rsid w:val="005A3573"/>
    <w:rsid w:val="005A4475"/>
    <w:rsid w:val="005A45F4"/>
    <w:rsid w:val="005A494A"/>
    <w:rsid w:val="005A4A3D"/>
    <w:rsid w:val="005A4B5C"/>
    <w:rsid w:val="005A4D43"/>
    <w:rsid w:val="005A4E0F"/>
    <w:rsid w:val="005A4E6C"/>
    <w:rsid w:val="005A500A"/>
    <w:rsid w:val="005A5414"/>
    <w:rsid w:val="005A5636"/>
    <w:rsid w:val="005A56C5"/>
    <w:rsid w:val="005A6530"/>
    <w:rsid w:val="005A6A9B"/>
    <w:rsid w:val="005A6F78"/>
    <w:rsid w:val="005A7612"/>
    <w:rsid w:val="005A7B70"/>
    <w:rsid w:val="005B01AF"/>
    <w:rsid w:val="005B03EA"/>
    <w:rsid w:val="005B0CF9"/>
    <w:rsid w:val="005B0E82"/>
    <w:rsid w:val="005B0ED7"/>
    <w:rsid w:val="005B1BBE"/>
    <w:rsid w:val="005B1BE8"/>
    <w:rsid w:val="005B2D29"/>
    <w:rsid w:val="005B2D76"/>
    <w:rsid w:val="005B2E89"/>
    <w:rsid w:val="005B3194"/>
    <w:rsid w:val="005B32E2"/>
    <w:rsid w:val="005B3486"/>
    <w:rsid w:val="005B3CCE"/>
    <w:rsid w:val="005B3E4A"/>
    <w:rsid w:val="005B4060"/>
    <w:rsid w:val="005B4345"/>
    <w:rsid w:val="005B4638"/>
    <w:rsid w:val="005B48C1"/>
    <w:rsid w:val="005B5069"/>
    <w:rsid w:val="005B52DC"/>
    <w:rsid w:val="005B56F1"/>
    <w:rsid w:val="005B5893"/>
    <w:rsid w:val="005B5966"/>
    <w:rsid w:val="005B5D70"/>
    <w:rsid w:val="005B62E0"/>
    <w:rsid w:val="005B6718"/>
    <w:rsid w:val="005B671B"/>
    <w:rsid w:val="005B6737"/>
    <w:rsid w:val="005B6904"/>
    <w:rsid w:val="005B6922"/>
    <w:rsid w:val="005B6BB2"/>
    <w:rsid w:val="005B6D02"/>
    <w:rsid w:val="005B6EC0"/>
    <w:rsid w:val="005B70F0"/>
    <w:rsid w:val="005B7896"/>
    <w:rsid w:val="005B7A9F"/>
    <w:rsid w:val="005B7C71"/>
    <w:rsid w:val="005B7CAC"/>
    <w:rsid w:val="005B7E68"/>
    <w:rsid w:val="005B7F2B"/>
    <w:rsid w:val="005C05BA"/>
    <w:rsid w:val="005C0E94"/>
    <w:rsid w:val="005C10C2"/>
    <w:rsid w:val="005C18CE"/>
    <w:rsid w:val="005C1FB7"/>
    <w:rsid w:val="005C20FF"/>
    <w:rsid w:val="005C29BE"/>
    <w:rsid w:val="005C2D01"/>
    <w:rsid w:val="005C312C"/>
    <w:rsid w:val="005C3545"/>
    <w:rsid w:val="005C3834"/>
    <w:rsid w:val="005C3B40"/>
    <w:rsid w:val="005C3F9A"/>
    <w:rsid w:val="005C41A6"/>
    <w:rsid w:val="005C4E29"/>
    <w:rsid w:val="005C565E"/>
    <w:rsid w:val="005C5B5E"/>
    <w:rsid w:val="005C5EC0"/>
    <w:rsid w:val="005C6020"/>
    <w:rsid w:val="005C63D1"/>
    <w:rsid w:val="005C68DA"/>
    <w:rsid w:val="005C70BF"/>
    <w:rsid w:val="005C7333"/>
    <w:rsid w:val="005C785A"/>
    <w:rsid w:val="005C7C6A"/>
    <w:rsid w:val="005C7F5A"/>
    <w:rsid w:val="005C7F69"/>
    <w:rsid w:val="005D01AC"/>
    <w:rsid w:val="005D02E5"/>
    <w:rsid w:val="005D0524"/>
    <w:rsid w:val="005D059B"/>
    <w:rsid w:val="005D09CC"/>
    <w:rsid w:val="005D0BB6"/>
    <w:rsid w:val="005D0D85"/>
    <w:rsid w:val="005D19BE"/>
    <w:rsid w:val="005D222F"/>
    <w:rsid w:val="005D2464"/>
    <w:rsid w:val="005D2EF1"/>
    <w:rsid w:val="005D37FC"/>
    <w:rsid w:val="005D37FE"/>
    <w:rsid w:val="005D3AE5"/>
    <w:rsid w:val="005D444A"/>
    <w:rsid w:val="005D501D"/>
    <w:rsid w:val="005D5042"/>
    <w:rsid w:val="005D520E"/>
    <w:rsid w:val="005D54CD"/>
    <w:rsid w:val="005D5732"/>
    <w:rsid w:val="005D58BA"/>
    <w:rsid w:val="005D6096"/>
    <w:rsid w:val="005D619F"/>
    <w:rsid w:val="005D69B2"/>
    <w:rsid w:val="005D6C54"/>
    <w:rsid w:val="005D6FAE"/>
    <w:rsid w:val="005D728F"/>
    <w:rsid w:val="005D763E"/>
    <w:rsid w:val="005D7AE8"/>
    <w:rsid w:val="005D7CDF"/>
    <w:rsid w:val="005D7F5E"/>
    <w:rsid w:val="005D7F71"/>
    <w:rsid w:val="005E059B"/>
    <w:rsid w:val="005E05D3"/>
    <w:rsid w:val="005E0760"/>
    <w:rsid w:val="005E095A"/>
    <w:rsid w:val="005E0B9D"/>
    <w:rsid w:val="005E1023"/>
    <w:rsid w:val="005E134A"/>
    <w:rsid w:val="005E13D2"/>
    <w:rsid w:val="005E14A1"/>
    <w:rsid w:val="005E14C2"/>
    <w:rsid w:val="005E1E62"/>
    <w:rsid w:val="005E1F1B"/>
    <w:rsid w:val="005E1FB2"/>
    <w:rsid w:val="005E22FC"/>
    <w:rsid w:val="005E2468"/>
    <w:rsid w:val="005E291E"/>
    <w:rsid w:val="005E299E"/>
    <w:rsid w:val="005E306A"/>
    <w:rsid w:val="005E3292"/>
    <w:rsid w:val="005E436E"/>
    <w:rsid w:val="005E459F"/>
    <w:rsid w:val="005E4613"/>
    <w:rsid w:val="005E471E"/>
    <w:rsid w:val="005E5259"/>
    <w:rsid w:val="005E5674"/>
    <w:rsid w:val="005E6781"/>
    <w:rsid w:val="005E6C24"/>
    <w:rsid w:val="005E6D69"/>
    <w:rsid w:val="005E6E01"/>
    <w:rsid w:val="005E70C2"/>
    <w:rsid w:val="005E7451"/>
    <w:rsid w:val="005E7B8C"/>
    <w:rsid w:val="005E7D72"/>
    <w:rsid w:val="005F01BC"/>
    <w:rsid w:val="005F02ED"/>
    <w:rsid w:val="005F0808"/>
    <w:rsid w:val="005F0A88"/>
    <w:rsid w:val="005F150E"/>
    <w:rsid w:val="005F165C"/>
    <w:rsid w:val="005F1F31"/>
    <w:rsid w:val="005F212C"/>
    <w:rsid w:val="005F2A47"/>
    <w:rsid w:val="005F2A87"/>
    <w:rsid w:val="005F2DF7"/>
    <w:rsid w:val="005F3015"/>
    <w:rsid w:val="005F3620"/>
    <w:rsid w:val="005F36A1"/>
    <w:rsid w:val="005F3A00"/>
    <w:rsid w:val="005F3ADB"/>
    <w:rsid w:val="005F3C4C"/>
    <w:rsid w:val="005F409B"/>
    <w:rsid w:val="005F4140"/>
    <w:rsid w:val="005F44BA"/>
    <w:rsid w:val="005F46E5"/>
    <w:rsid w:val="005F4959"/>
    <w:rsid w:val="005F5653"/>
    <w:rsid w:val="005F5C7E"/>
    <w:rsid w:val="005F673B"/>
    <w:rsid w:val="005F69F9"/>
    <w:rsid w:val="005F7149"/>
    <w:rsid w:val="005F7385"/>
    <w:rsid w:val="005F79DD"/>
    <w:rsid w:val="005F7C16"/>
    <w:rsid w:val="005F7CE4"/>
    <w:rsid w:val="005F7EA5"/>
    <w:rsid w:val="00600AC7"/>
    <w:rsid w:val="00600E2B"/>
    <w:rsid w:val="00601224"/>
    <w:rsid w:val="00601E43"/>
    <w:rsid w:val="006020BB"/>
    <w:rsid w:val="00602150"/>
    <w:rsid w:val="006021DB"/>
    <w:rsid w:val="0060253F"/>
    <w:rsid w:val="00602A67"/>
    <w:rsid w:val="0060311A"/>
    <w:rsid w:val="006031E1"/>
    <w:rsid w:val="00603201"/>
    <w:rsid w:val="006034BF"/>
    <w:rsid w:val="0060430C"/>
    <w:rsid w:val="0060448B"/>
    <w:rsid w:val="006045DA"/>
    <w:rsid w:val="006047FC"/>
    <w:rsid w:val="00604950"/>
    <w:rsid w:val="00604E46"/>
    <w:rsid w:val="00605A74"/>
    <w:rsid w:val="00606204"/>
    <w:rsid w:val="0060640F"/>
    <w:rsid w:val="00606A87"/>
    <w:rsid w:val="00606B5D"/>
    <w:rsid w:val="00607122"/>
    <w:rsid w:val="0060731B"/>
    <w:rsid w:val="006074ED"/>
    <w:rsid w:val="00607BA5"/>
    <w:rsid w:val="00607BC7"/>
    <w:rsid w:val="00610870"/>
    <w:rsid w:val="006108C0"/>
    <w:rsid w:val="00610F7E"/>
    <w:rsid w:val="006114EC"/>
    <w:rsid w:val="0061180A"/>
    <w:rsid w:val="00611974"/>
    <w:rsid w:val="00611D04"/>
    <w:rsid w:val="006126D7"/>
    <w:rsid w:val="0061284C"/>
    <w:rsid w:val="0061284F"/>
    <w:rsid w:val="00612A8A"/>
    <w:rsid w:val="00612F89"/>
    <w:rsid w:val="00613252"/>
    <w:rsid w:val="0061372A"/>
    <w:rsid w:val="00613AB9"/>
    <w:rsid w:val="00614493"/>
    <w:rsid w:val="00614690"/>
    <w:rsid w:val="00614B06"/>
    <w:rsid w:val="0061508F"/>
    <w:rsid w:val="00615137"/>
    <w:rsid w:val="00615306"/>
    <w:rsid w:val="00615BF5"/>
    <w:rsid w:val="00615D48"/>
    <w:rsid w:val="00616684"/>
    <w:rsid w:val="00616847"/>
    <w:rsid w:val="00616B5B"/>
    <w:rsid w:val="00616DBE"/>
    <w:rsid w:val="00617278"/>
    <w:rsid w:val="0061768A"/>
    <w:rsid w:val="00617EF3"/>
    <w:rsid w:val="0062006F"/>
    <w:rsid w:val="006203B1"/>
    <w:rsid w:val="006203DC"/>
    <w:rsid w:val="00620424"/>
    <w:rsid w:val="006206A7"/>
    <w:rsid w:val="00620B9A"/>
    <w:rsid w:val="00620D03"/>
    <w:rsid w:val="00621192"/>
    <w:rsid w:val="00621222"/>
    <w:rsid w:val="006213CC"/>
    <w:rsid w:val="0062175A"/>
    <w:rsid w:val="00622493"/>
    <w:rsid w:val="006228C1"/>
    <w:rsid w:val="006229CC"/>
    <w:rsid w:val="00622E08"/>
    <w:rsid w:val="00622E45"/>
    <w:rsid w:val="006230FE"/>
    <w:rsid w:val="00623156"/>
    <w:rsid w:val="0062316C"/>
    <w:rsid w:val="00623608"/>
    <w:rsid w:val="0062363A"/>
    <w:rsid w:val="00623C48"/>
    <w:rsid w:val="0062402B"/>
    <w:rsid w:val="0062467D"/>
    <w:rsid w:val="00624859"/>
    <w:rsid w:val="006248A5"/>
    <w:rsid w:val="006248E9"/>
    <w:rsid w:val="00624999"/>
    <w:rsid w:val="0062522E"/>
    <w:rsid w:val="0062574E"/>
    <w:rsid w:val="00625939"/>
    <w:rsid w:val="00625A3E"/>
    <w:rsid w:val="00625C09"/>
    <w:rsid w:val="006260DE"/>
    <w:rsid w:val="00626751"/>
    <w:rsid w:val="00626E18"/>
    <w:rsid w:val="00626EB6"/>
    <w:rsid w:val="0062706F"/>
    <w:rsid w:val="00627087"/>
    <w:rsid w:val="006272E0"/>
    <w:rsid w:val="00627572"/>
    <w:rsid w:val="00627E71"/>
    <w:rsid w:val="0063011C"/>
    <w:rsid w:val="006308EF"/>
    <w:rsid w:val="00630995"/>
    <w:rsid w:val="00630BED"/>
    <w:rsid w:val="00630CC8"/>
    <w:rsid w:val="006312CD"/>
    <w:rsid w:val="006318FB"/>
    <w:rsid w:val="006319D8"/>
    <w:rsid w:val="00631BB7"/>
    <w:rsid w:val="00632153"/>
    <w:rsid w:val="00632194"/>
    <w:rsid w:val="0063291E"/>
    <w:rsid w:val="00632AAC"/>
    <w:rsid w:val="006337D6"/>
    <w:rsid w:val="00633880"/>
    <w:rsid w:val="006338DC"/>
    <w:rsid w:val="00634063"/>
    <w:rsid w:val="006343CA"/>
    <w:rsid w:val="0063459F"/>
    <w:rsid w:val="00634AE4"/>
    <w:rsid w:val="00634D5C"/>
    <w:rsid w:val="00634FEE"/>
    <w:rsid w:val="006354B1"/>
    <w:rsid w:val="0063551F"/>
    <w:rsid w:val="006356E6"/>
    <w:rsid w:val="00635741"/>
    <w:rsid w:val="00635957"/>
    <w:rsid w:val="00635FDA"/>
    <w:rsid w:val="006365F6"/>
    <w:rsid w:val="00636C6B"/>
    <w:rsid w:val="00636D03"/>
    <w:rsid w:val="00636DB6"/>
    <w:rsid w:val="00636DD1"/>
    <w:rsid w:val="00636EA8"/>
    <w:rsid w:val="0063758F"/>
    <w:rsid w:val="00637F84"/>
    <w:rsid w:val="00642878"/>
    <w:rsid w:val="00642A96"/>
    <w:rsid w:val="00642AE8"/>
    <w:rsid w:val="00642D73"/>
    <w:rsid w:val="00643BAB"/>
    <w:rsid w:val="00643D95"/>
    <w:rsid w:val="00643F24"/>
    <w:rsid w:val="006442E9"/>
    <w:rsid w:val="006443A1"/>
    <w:rsid w:val="0064443D"/>
    <w:rsid w:val="006444DD"/>
    <w:rsid w:val="006446CF"/>
    <w:rsid w:val="00644CD7"/>
    <w:rsid w:val="00644D51"/>
    <w:rsid w:val="0064507F"/>
    <w:rsid w:val="00645A91"/>
    <w:rsid w:val="006464C4"/>
    <w:rsid w:val="006465AE"/>
    <w:rsid w:val="0064672C"/>
    <w:rsid w:val="00646755"/>
    <w:rsid w:val="0064693B"/>
    <w:rsid w:val="00646BD0"/>
    <w:rsid w:val="0064703D"/>
    <w:rsid w:val="00647455"/>
    <w:rsid w:val="00647617"/>
    <w:rsid w:val="006477DC"/>
    <w:rsid w:val="00647806"/>
    <w:rsid w:val="0065018E"/>
    <w:rsid w:val="006503A3"/>
    <w:rsid w:val="006504A5"/>
    <w:rsid w:val="00650558"/>
    <w:rsid w:val="006506F2"/>
    <w:rsid w:val="00650C08"/>
    <w:rsid w:val="00650F3A"/>
    <w:rsid w:val="00651DA4"/>
    <w:rsid w:val="0065256C"/>
    <w:rsid w:val="006525A1"/>
    <w:rsid w:val="006528A8"/>
    <w:rsid w:val="0065297A"/>
    <w:rsid w:val="006529D5"/>
    <w:rsid w:val="00652EC3"/>
    <w:rsid w:val="006532CC"/>
    <w:rsid w:val="00653752"/>
    <w:rsid w:val="00653E36"/>
    <w:rsid w:val="00654431"/>
    <w:rsid w:val="00654620"/>
    <w:rsid w:val="006547FB"/>
    <w:rsid w:val="00654927"/>
    <w:rsid w:val="00654D7F"/>
    <w:rsid w:val="0065507F"/>
    <w:rsid w:val="006554AB"/>
    <w:rsid w:val="00655D03"/>
    <w:rsid w:val="0065622A"/>
    <w:rsid w:val="00656596"/>
    <w:rsid w:val="00656B6D"/>
    <w:rsid w:val="00656D87"/>
    <w:rsid w:val="00657F56"/>
    <w:rsid w:val="006600D0"/>
    <w:rsid w:val="0066039D"/>
    <w:rsid w:val="0066071C"/>
    <w:rsid w:val="0066075C"/>
    <w:rsid w:val="00660F54"/>
    <w:rsid w:val="006614A2"/>
    <w:rsid w:val="0066197F"/>
    <w:rsid w:val="00661DB1"/>
    <w:rsid w:val="00661EE8"/>
    <w:rsid w:val="006622FF"/>
    <w:rsid w:val="006624BD"/>
    <w:rsid w:val="006625AE"/>
    <w:rsid w:val="00662906"/>
    <w:rsid w:val="0066378E"/>
    <w:rsid w:val="00663CE1"/>
    <w:rsid w:val="00663F90"/>
    <w:rsid w:val="00664353"/>
    <w:rsid w:val="006643AA"/>
    <w:rsid w:val="00664568"/>
    <w:rsid w:val="00665537"/>
    <w:rsid w:val="006657FE"/>
    <w:rsid w:val="00665900"/>
    <w:rsid w:val="006660A0"/>
    <w:rsid w:val="006661FC"/>
    <w:rsid w:val="0066625B"/>
    <w:rsid w:val="0066642C"/>
    <w:rsid w:val="00666A80"/>
    <w:rsid w:val="00666B40"/>
    <w:rsid w:val="00667130"/>
    <w:rsid w:val="006672C3"/>
    <w:rsid w:val="0066751E"/>
    <w:rsid w:val="0066777A"/>
    <w:rsid w:val="00667953"/>
    <w:rsid w:val="00667B4C"/>
    <w:rsid w:val="00667EC3"/>
    <w:rsid w:val="00667ECC"/>
    <w:rsid w:val="0067090A"/>
    <w:rsid w:val="00670C1A"/>
    <w:rsid w:val="00670FD3"/>
    <w:rsid w:val="00671583"/>
    <w:rsid w:val="00671DDB"/>
    <w:rsid w:val="00672859"/>
    <w:rsid w:val="00672E20"/>
    <w:rsid w:val="00672F92"/>
    <w:rsid w:val="00673863"/>
    <w:rsid w:val="0067425C"/>
    <w:rsid w:val="00674269"/>
    <w:rsid w:val="006745B5"/>
    <w:rsid w:val="00674D7F"/>
    <w:rsid w:val="006756D4"/>
    <w:rsid w:val="00675ACD"/>
    <w:rsid w:val="00676102"/>
    <w:rsid w:val="00676E04"/>
    <w:rsid w:val="00676F13"/>
    <w:rsid w:val="006776BB"/>
    <w:rsid w:val="00677EB5"/>
    <w:rsid w:val="006803C7"/>
    <w:rsid w:val="0068065B"/>
    <w:rsid w:val="00680B29"/>
    <w:rsid w:val="00680EBB"/>
    <w:rsid w:val="00681997"/>
    <w:rsid w:val="00681A78"/>
    <w:rsid w:val="00681C84"/>
    <w:rsid w:val="006828D2"/>
    <w:rsid w:val="00682BCC"/>
    <w:rsid w:val="00682D82"/>
    <w:rsid w:val="00683388"/>
    <w:rsid w:val="006833BB"/>
    <w:rsid w:val="00683883"/>
    <w:rsid w:val="00683B88"/>
    <w:rsid w:val="00683F84"/>
    <w:rsid w:val="00684C09"/>
    <w:rsid w:val="00684C5A"/>
    <w:rsid w:val="006854AD"/>
    <w:rsid w:val="00685A2F"/>
    <w:rsid w:val="00685C56"/>
    <w:rsid w:val="00686811"/>
    <w:rsid w:val="00686A38"/>
    <w:rsid w:val="00686E6A"/>
    <w:rsid w:val="00686EF1"/>
    <w:rsid w:val="006874D4"/>
    <w:rsid w:val="00687803"/>
    <w:rsid w:val="00687A86"/>
    <w:rsid w:val="00687C6B"/>
    <w:rsid w:val="00687E35"/>
    <w:rsid w:val="0069029B"/>
    <w:rsid w:val="00690422"/>
    <w:rsid w:val="00690530"/>
    <w:rsid w:val="006905DA"/>
    <w:rsid w:val="0069087D"/>
    <w:rsid w:val="0069090F"/>
    <w:rsid w:val="00690C11"/>
    <w:rsid w:val="00690DDE"/>
    <w:rsid w:val="00690EE3"/>
    <w:rsid w:val="006913CC"/>
    <w:rsid w:val="006913ED"/>
    <w:rsid w:val="00691E39"/>
    <w:rsid w:val="0069229A"/>
    <w:rsid w:val="006922F3"/>
    <w:rsid w:val="00692923"/>
    <w:rsid w:val="006931C8"/>
    <w:rsid w:val="006931E7"/>
    <w:rsid w:val="00693760"/>
    <w:rsid w:val="00693AF2"/>
    <w:rsid w:val="006944A3"/>
    <w:rsid w:val="00694542"/>
    <w:rsid w:val="0069479A"/>
    <w:rsid w:val="00694AD7"/>
    <w:rsid w:val="006950C0"/>
    <w:rsid w:val="00695134"/>
    <w:rsid w:val="00695375"/>
    <w:rsid w:val="00695A0B"/>
    <w:rsid w:val="00695E50"/>
    <w:rsid w:val="00696310"/>
    <w:rsid w:val="0069654B"/>
    <w:rsid w:val="006965AB"/>
    <w:rsid w:val="00696AF8"/>
    <w:rsid w:val="00696F38"/>
    <w:rsid w:val="006974D1"/>
    <w:rsid w:val="006977DF"/>
    <w:rsid w:val="00697CBB"/>
    <w:rsid w:val="00697DC8"/>
    <w:rsid w:val="006A02CC"/>
    <w:rsid w:val="006A07A2"/>
    <w:rsid w:val="006A08FA"/>
    <w:rsid w:val="006A0962"/>
    <w:rsid w:val="006A096C"/>
    <w:rsid w:val="006A0BAD"/>
    <w:rsid w:val="006A0ECD"/>
    <w:rsid w:val="006A1294"/>
    <w:rsid w:val="006A24C2"/>
    <w:rsid w:val="006A2EB8"/>
    <w:rsid w:val="006A2EFD"/>
    <w:rsid w:val="006A3673"/>
    <w:rsid w:val="006A39EF"/>
    <w:rsid w:val="006A3BF2"/>
    <w:rsid w:val="006A3EF9"/>
    <w:rsid w:val="006A40F3"/>
    <w:rsid w:val="006A4251"/>
    <w:rsid w:val="006A442E"/>
    <w:rsid w:val="006A4B47"/>
    <w:rsid w:val="006A4DFA"/>
    <w:rsid w:val="006A4EB4"/>
    <w:rsid w:val="006A4F4F"/>
    <w:rsid w:val="006A5247"/>
    <w:rsid w:val="006A62AF"/>
    <w:rsid w:val="006A63F7"/>
    <w:rsid w:val="006A69C8"/>
    <w:rsid w:val="006A6A80"/>
    <w:rsid w:val="006A6A81"/>
    <w:rsid w:val="006A6B0F"/>
    <w:rsid w:val="006A6C30"/>
    <w:rsid w:val="006A6DD9"/>
    <w:rsid w:val="006A708D"/>
    <w:rsid w:val="006A78CF"/>
    <w:rsid w:val="006A7946"/>
    <w:rsid w:val="006A7A86"/>
    <w:rsid w:val="006B0110"/>
    <w:rsid w:val="006B0567"/>
    <w:rsid w:val="006B0597"/>
    <w:rsid w:val="006B076E"/>
    <w:rsid w:val="006B1647"/>
    <w:rsid w:val="006B1FC1"/>
    <w:rsid w:val="006B2447"/>
    <w:rsid w:val="006B259C"/>
    <w:rsid w:val="006B27D2"/>
    <w:rsid w:val="006B2F54"/>
    <w:rsid w:val="006B3136"/>
    <w:rsid w:val="006B3340"/>
    <w:rsid w:val="006B34E1"/>
    <w:rsid w:val="006B3729"/>
    <w:rsid w:val="006B37D6"/>
    <w:rsid w:val="006B39A1"/>
    <w:rsid w:val="006B3FB8"/>
    <w:rsid w:val="006B459F"/>
    <w:rsid w:val="006B45A9"/>
    <w:rsid w:val="006B4E5A"/>
    <w:rsid w:val="006B502E"/>
    <w:rsid w:val="006B5064"/>
    <w:rsid w:val="006B5102"/>
    <w:rsid w:val="006B5522"/>
    <w:rsid w:val="006B562D"/>
    <w:rsid w:val="006B56E1"/>
    <w:rsid w:val="006B5F69"/>
    <w:rsid w:val="006B6034"/>
    <w:rsid w:val="006B6C09"/>
    <w:rsid w:val="006B6D2C"/>
    <w:rsid w:val="006B6F8E"/>
    <w:rsid w:val="006B7181"/>
    <w:rsid w:val="006B7683"/>
    <w:rsid w:val="006B79C3"/>
    <w:rsid w:val="006C0018"/>
    <w:rsid w:val="006C0E13"/>
    <w:rsid w:val="006C1075"/>
    <w:rsid w:val="006C127E"/>
    <w:rsid w:val="006C1741"/>
    <w:rsid w:val="006C1BBE"/>
    <w:rsid w:val="006C1F5A"/>
    <w:rsid w:val="006C2139"/>
    <w:rsid w:val="006C228E"/>
    <w:rsid w:val="006C22AE"/>
    <w:rsid w:val="006C24E6"/>
    <w:rsid w:val="006C2692"/>
    <w:rsid w:val="006C2728"/>
    <w:rsid w:val="006C27FB"/>
    <w:rsid w:val="006C2F65"/>
    <w:rsid w:val="006C374C"/>
    <w:rsid w:val="006C3A0A"/>
    <w:rsid w:val="006C3D73"/>
    <w:rsid w:val="006C3D7C"/>
    <w:rsid w:val="006C3E86"/>
    <w:rsid w:val="006C42E2"/>
    <w:rsid w:val="006C476B"/>
    <w:rsid w:val="006C4827"/>
    <w:rsid w:val="006C486F"/>
    <w:rsid w:val="006C4AEC"/>
    <w:rsid w:val="006C4CAB"/>
    <w:rsid w:val="006C4CC0"/>
    <w:rsid w:val="006C4D4D"/>
    <w:rsid w:val="006C4DE2"/>
    <w:rsid w:val="006C4E37"/>
    <w:rsid w:val="006C4E68"/>
    <w:rsid w:val="006C5839"/>
    <w:rsid w:val="006C5A8D"/>
    <w:rsid w:val="006C61A2"/>
    <w:rsid w:val="006C65C4"/>
    <w:rsid w:val="006C68AF"/>
    <w:rsid w:val="006C693C"/>
    <w:rsid w:val="006C6965"/>
    <w:rsid w:val="006C6AA9"/>
    <w:rsid w:val="006C6CA9"/>
    <w:rsid w:val="006C6EE1"/>
    <w:rsid w:val="006C6FA3"/>
    <w:rsid w:val="006C7038"/>
    <w:rsid w:val="006C712D"/>
    <w:rsid w:val="006C7D96"/>
    <w:rsid w:val="006D05F7"/>
    <w:rsid w:val="006D07E9"/>
    <w:rsid w:val="006D0A4D"/>
    <w:rsid w:val="006D179A"/>
    <w:rsid w:val="006D1E2D"/>
    <w:rsid w:val="006D1E7A"/>
    <w:rsid w:val="006D20CB"/>
    <w:rsid w:val="006D2210"/>
    <w:rsid w:val="006D318F"/>
    <w:rsid w:val="006D3F0E"/>
    <w:rsid w:val="006D3F73"/>
    <w:rsid w:val="006D422A"/>
    <w:rsid w:val="006D434C"/>
    <w:rsid w:val="006D45EA"/>
    <w:rsid w:val="006D4BCB"/>
    <w:rsid w:val="006D4C30"/>
    <w:rsid w:val="006D4E0E"/>
    <w:rsid w:val="006D58F3"/>
    <w:rsid w:val="006D601C"/>
    <w:rsid w:val="006D61E3"/>
    <w:rsid w:val="006D65E6"/>
    <w:rsid w:val="006D696F"/>
    <w:rsid w:val="006D6B29"/>
    <w:rsid w:val="006D799C"/>
    <w:rsid w:val="006E004C"/>
    <w:rsid w:val="006E0438"/>
    <w:rsid w:val="006E04D5"/>
    <w:rsid w:val="006E12D3"/>
    <w:rsid w:val="006E14FE"/>
    <w:rsid w:val="006E1898"/>
    <w:rsid w:val="006E1B80"/>
    <w:rsid w:val="006E1BAF"/>
    <w:rsid w:val="006E1F39"/>
    <w:rsid w:val="006E20EE"/>
    <w:rsid w:val="006E218B"/>
    <w:rsid w:val="006E22CE"/>
    <w:rsid w:val="006E2FBB"/>
    <w:rsid w:val="006E3219"/>
    <w:rsid w:val="006E32A0"/>
    <w:rsid w:val="006E35A2"/>
    <w:rsid w:val="006E3BF4"/>
    <w:rsid w:val="006E476C"/>
    <w:rsid w:val="006E4BF9"/>
    <w:rsid w:val="006E4D3C"/>
    <w:rsid w:val="006E4FD4"/>
    <w:rsid w:val="006E5441"/>
    <w:rsid w:val="006E6111"/>
    <w:rsid w:val="006E613D"/>
    <w:rsid w:val="006E6492"/>
    <w:rsid w:val="006E6B67"/>
    <w:rsid w:val="006E7880"/>
    <w:rsid w:val="006E797C"/>
    <w:rsid w:val="006F01AF"/>
    <w:rsid w:val="006F032A"/>
    <w:rsid w:val="006F0484"/>
    <w:rsid w:val="006F0496"/>
    <w:rsid w:val="006F0926"/>
    <w:rsid w:val="006F09AC"/>
    <w:rsid w:val="006F0A51"/>
    <w:rsid w:val="006F0F7B"/>
    <w:rsid w:val="006F1116"/>
    <w:rsid w:val="006F1787"/>
    <w:rsid w:val="006F1AD2"/>
    <w:rsid w:val="006F1B2C"/>
    <w:rsid w:val="006F2574"/>
    <w:rsid w:val="006F28D0"/>
    <w:rsid w:val="006F2DD1"/>
    <w:rsid w:val="006F2FCA"/>
    <w:rsid w:val="006F3145"/>
    <w:rsid w:val="006F31AA"/>
    <w:rsid w:val="006F3ADA"/>
    <w:rsid w:val="006F3BFA"/>
    <w:rsid w:val="006F3E5F"/>
    <w:rsid w:val="006F40AA"/>
    <w:rsid w:val="006F42A1"/>
    <w:rsid w:val="006F4483"/>
    <w:rsid w:val="006F48C7"/>
    <w:rsid w:val="006F4972"/>
    <w:rsid w:val="006F49F0"/>
    <w:rsid w:val="006F4C08"/>
    <w:rsid w:val="006F4F57"/>
    <w:rsid w:val="006F5104"/>
    <w:rsid w:val="006F5501"/>
    <w:rsid w:val="006F576E"/>
    <w:rsid w:val="006F5D9A"/>
    <w:rsid w:val="006F5E45"/>
    <w:rsid w:val="006F5FA2"/>
    <w:rsid w:val="006F6524"/>
    <w:rsid w:val="006F6809"/>
    <w:rsid w:val="006F6CB1"/>
    <w:rsid w:val="006F7393"/>
    <w:rsid w:val="006F76F2"/>
    <w:rsid w:val="006F7850"/>
    <w:rsid w:val="006F7A39"/>
    <w:rsid w:val="006F7B14"/>
    <w:rsid w:val="006F7CA7"/>
    <w:rsid w:val="006F7FA2"/>
    <w:rsid w:val="007000DF"/>
    <w:rsid w:val="007002CC"/>
    <w:rsid w:val="007002DA"/>
    <w:rsid w:val="007007FD"/>
    <w:rsid w:val="007008AA"/>
    <w:rsid w:val="00700A0D"/>
    <w:rsid w:val="00700D9E"/>
    <w:rsid w:val="00701361"/>
    <w:rsid w:val="007014B2"/>
    <w:rsid w:val="00701750"/>
    <w:rsid w:val="00701F90"/>
    <w:rsid w:val="0070224F"/>
    <w:rsid w:val="00702A31"/>
    <w:rsid w:val="00702B36"/>
    <w:rsid w:val="00702B49"/>
    <w:rsid w:val="007037C5"/>
    <w:rsid w:val="00703A7D"/>
    <w:rsid w:val="00703BF3"/>
    <w:rsid w:val="00703ECC"/>
    <w:rsid w:val="0070485D"/>
    <w:rsid w:val="007049BC"/>
    <w:rsid w:val="00704E02"/>
    <w:rsid w:val="0070500C"/>
    <w:rsid w:val="007052BE"/>
    <w:rsid w:val="00706362"/>
    <w:rsid w:val="00706455"/>
    <w:rsid w:val="007065D9"/>
    <w:rsid w:val="007066A6"/>
    <w:rsid w:val="007067FA"/>
    <w:rsid w:val="007069BB"/>
    <w:rsid w:val="00706BC8"/>
    <w:rsid w:val="007071CB"/>
    <w:rsid w:val="00707243"/>
    <w:rsid w:val="007077D7"/>
    <w:rsid w:val="007101CA"/>
    <w:rsid w:val="0071058A"/>
    <w:rsid w:val="00710768"/>
    <w:rsid w:val="00710AE1"/>
    <w:rsid w:val="00710D7F"/>
    <w:rsid w:val="007115F7"/>
    <w:rsid w:val="0071167B"/>
    <w:rsid w:val="007117EF"/>
    <w:rsid w:val="00711B2E"/>
    <w:rsid w:val="00711E8E"/>
    <w:rsid w:val="007120D8"/>
    <w:rsid w:val="007122E5"/>
    <w:rsid w:val="00712A0B"/>
    <w:rsid w:val="00713540"/>
    <w:rsid w:val="00713FD5"/>
    <w:rsid w:val="00714867"/>
    <w:rsid w:val="00714916"/>
    <w:rsid w:val="007153A4"/>
    <w:rsid w:val="00715554"/>
    <w:rsid w:val="007157A3"/>
    <w:rsid w:val="007157D7"/>
    <w:rsid w:val="00716584"/>
    <w:rsid w:val="00716825"/>
    <w:rsid w:val="007169CB"/>
    <w:rsid w:val="00716A61"/>
    <w:rsid w:val="00716BCD"/>
    <w:rsid w:val="00716CB9"/>
    <w:rsid w:val="00716E27"/>
    <w:rsid w:val="00717173"/>
    <w:rsid w:val="00717A7C"/>
    <w:rsid w:val="00720395"/>
    <w:rsid w:val="0072047C"/>
    <w:rsid w:val="00720939"/>
    <w:rsid w:val="007209AF"/>
    <w:rsid w:val="00720B4B"/>
    <w:rsid w:val="00720F26"/>
    <w:rsid w:val="00720FBC"/>
    <w:rsid w:val="00720FCF"/>
    <w:rsid w:val="00721510"/>
    <w:rsid w:val="00721879"/>
    <w:rsid w:val="00721A77"/>
    <w:rsid w:val="00722163"/>
    <w:rsid w:val="00722262"/>
    <w:rsid w:val="00722406"/>
    <w:rsid w:val="0072252B"/>
    <w:rsid w:val="007225CE"/>
    <w:rsid w:val="0072289E"/>
    <w:rsid w:val="007229DE"/>
    <w:rsid w:val="00722AC7"/>
    <w:rsid w:val="00722CCE"/>
    <w:rsid w:val="00722CE9"/>
    <w:rsid w:val="00723638"/>
    <w:rsid w:val="00723EE6"/>
    <w:rsid w:val="00724074"/>
    <w:rsid w:val="007241FB"/>
    <w:rsid w:val="00724747"/>
    <w:rsid w:val="007247AC"/>
    <w:rsid w:val="00724928"/>
    <w:rsid w:val="00724F39"/>
    <w:rsid w:val="0072532B"/>
    <w:rsid w:val="00725354"/>
    <w:rsid w:val="00725E0B"/>
    <w:rsid w:val="00726D75"/>
    <w:rsid w:val="0072734F"/>
    <w:rsid w:val="0072735E"/>
    <w:rsid w:val="00727478"/>
    <w:rsid w:val="0073028C"/>
    <w:rsid w:val="0073039B"/>
    <w:rsid w:val="00730757"/>
    <w:rsid w:val="0073094D"/>
    <w:rsid w:val="00730A0D"/>
    <w:rsid w:val="00730BD3"/>
    <w:rsid w:val="00730F3A"/>
    <w:rsid w:val="00731433"/>
    <w:rsid w:val="0073171B"/>
    <w:rsid w:val="007319E8"/>
    <w:rsid w:val="00731FC3"/>
    <w:rsid w:val="0073286B"/>
    <w:rsid w:val="007328B2"/>
    <w:rsid w:val="007328C2"/>
    <w:rsid w:val="00732F9D"/>
    <w:rsid w:val="00733740"/>
    <w:rsid w:val="007337D9"/>
    <w:rsid w:val="007338D2"/>
    <w:rsid w:val="00733D56"/>
    <w:rsid w:val="007344F9"/>
    <w:rsid w:val="007347E1"/>
    <w:rsid w:val="00734905"/>
    <w:rsid w:val="00734A71"/>
    <w:rsid w:val="00734CB0"/>
    <w:rsid w:val="0073509D"/>
    <w:rsid w:val="00735559"/>
    <w:rsid w:val="00736259"/>
    <w:rsid w:val="0073633E"/>
    <w:rsid w:val="00736849"/>
    <w:rsid w:val="0073688E"/>
    <w:rsid w:val="00736B03"/>
    <w:rsid w:val="00737190"/>
    <w:rsid w:val="00737531"/>
    <w:rsid w:val="00737F68"/>
    <w:rsid w:val="00740683"/>
    <w:rsid w:val="00740DA0"/>
    <w:rsid w:val="00740E56"/>
    <w:rsid w:val="00741121"/>
    <w:rsid w:val="00741217"/>
    <w:rsid w:val="00741661"/>
    <w:rsid w:val="0074172C"/>
    <w:rsid w:val="0074189A"/>
    <w:rsid w:val="00741DF2"/>
    <w:rsid w:val="007421E6"/>
    <w:rsid w:val="00742303"/>
    <w:rsid w:val="00742A2E"/>
    <w:rsid w:val="0074326D"/>
    <w:rsid w:val="0074336D"/>
    <w:rsid w:val="007436E4"/>
    <w:rsid w:val="0074399C"/>
    <w:rsid w:val="00743BD1"/>
    <w:rsid w:val="00743ED7"/>
    <w:rsid w:val="00744424"/>
    <w:rsid w:val="007446D0"/>
    <w:rsid w:val="00744A73"/>
    <w:rsid w:val="00744FC9"/>
    <w:rsid w:val="007455D1"/>
    <w:rsid w:val="007459BC"/>
    <w:rsid w:val="00745E8F"/>
    <w:rsid w:val="0074601A"/>
    <w:rsid w:val="00746227"/>
    <w:rsid w:val="0074624F"/>
    <w:rsid w:val="00746A6E"/>
    <w:rsid w:val="00746D93"/>
    <w:rsid w:val="0074728F"/>
    <w:rsid w:val="00747E20"/>
    <w:rsid w:val="00750679"/>
    <w:rsid w:val="0075070D"/>
    <w:rsid w:val="00750D69"/>
    <w:rsid w:val="00751196"/>
    <w:rsid w:val="007515B1"/>
    <w:rsid w:val="00751938"/>
    <w:rsid w:val="00751E4F"/>
    <w:rsid w:val="00751FE9"/>
    <w:rsid w:val="007521A3"/>
    <w:rsid w:val="00752612"/>
    <w:rsid w:val="007526E7"/>
    <w:rsid w:val="00752D94"/>
    <w:rsid w:val="00752FA1"/>
    <w:rsid w:val="007537BE"/>
    <w:rsid w:val="00753C25"/>
    <w:rsid w:val="00753DC7"/>
    <w:rsid w:val="007540B7"/>
    <w:rsid w:val="00754216"/>
    <w:rsid w:val="0075427C"/>
    <w:rsid w:val="0075431A"/>
    <w:rsid w:val="00754624"/>
    <w:rsid w:val="00754AF6"/>
    <w:rsid w:val="00754C2D"/>
    <w:rsid w:val="00754CD0"/>
    <w:rsid w:val="00754D05"/>
    <w:rsid w:val="00754D9E"/>
    <w:rsid w:val="00755057"/>
    <w:rsid w:val="007553AC"/>
    <w:rsid w:val="007553E6"/>
    <w:rsid w:val="00755534"/>
    <w:rsid w:val="00755555"/>
    <w:rsid w:val="00755606"/>
    <w:rsid w:val="00755A5D"/>
    <w:rsid w:val="00755AFF"/>
    <w:rsid w:val="00756463"/>
    <w:rsid w:val="00756E99"/>
    <w:rsid w:val="00756EA4"/>
    <w:rsid w:val="0075719B"/>
    <w:rsid w:val="00757BF4"/>
    <w:rsid w:val="00757F3D"/>
    <w:rsid w:val="00757FEC"/>
    <w:rsid w:val="007615C4"/>
    <w:rsid w:val="00761E8E"/>
    <w:rsid w:val="007621E4"/>
    <w:rsid w:val="00762638"/>
    <w:rsid w:val="00762AA6"/>
    <w:rsid w:val="00762ADA"/>
    <w:rsid w:val="00762B5B"/>
    <w:rsid w:val="00762CC1"/>
    <w:rsid w:val="007632F7"/>
    <w:rsid w:val="00763529"/>
    <w:rsid w:val="0076380A"/>
    <w:rsid w:val="00763CCE"/>
    <w:rsid w:val="00764060"/>
    <w:rsid w:val="00764114"/>
    <w:rsid w:val="00764B1A"/>
    <w:rsid w:val="00764ED3"/>
    <w:rsid w:val="00764EFC"/>
    <w:rsid w:val="0076513E"/>
    <w:rsid w:val="0076520A"/>
    <w:rsid w:val="0076564D"/>
    <w:rsid w:val="00765F22"/>
    <w:rsid w:val="00766484"/>
    <w:rsid w:val="00766771"/>
    <w:rsid w:val="0076677B"/>
    <w:rsid w:val="00766883"/>
    <w:rsid w:val="00766F03"/>
    <w:rsid w:val="00767095"/>
    <w:rsid w:val="00767339"/>
    <w:rsid w:val="007675BC"/>
    <w:rsid w:val="007678B5"/>
    <w:rsid w:val="00767BFA"/>
    <w:rsid w:val="007701E4"/>
    <w:rsid w:val="00770621"/>
    <w:rsid w:val="00770F7E"/>
    <w:rsid w:val="0077154C"/>
    <w:rsid w:val="00771817"/>
    <w:rsid w:val="00771CBA"/>
    <w:rsid w:val="00771DAF"/>
    <w:rsid w:val="00771DE2"/>
    <w:rsid w:val="00771EB8"/>
    <w:rsid w:val="00771EF7"/>
    <w:rsid w:val="007722F1"/>
    <w:rsid w:val="00772A72"/>
    <w:rsid w:val="00773593"/>
    <w:rsid w:val="00773623"/>
    <w:rsid w:val="00773778"/>
    <w:rsid w:val="00773E30"/>
    <w:rsid w:val="0077410E"/>
    <w:rsid w:val="00774BE9"/>
    <w:rsid w:val="00774DCB"/>
    <w:rsid w:val="00775795"/>
    <w:rsid w:val="00775B19"/>
    <w:rsid w:val="00775B68"/>
    <w:rsid w:val="00775C21"/>
    <w:rsid w:val="007761D3"/>
    <w:rsid w:val="007764AF"/>
    <w:rsid w:val="00776609"/>
    <w:rsid w:val="00776799"/>
    <w:rsid w:val="00776950"/>
    <w:rsid w:val="00776CE8"/>
    <w:rsid w:val="00777167"/>
    <w:rsid w:val="00777425"/>
    <w:rsid w:val="00777599"/>
    <w:rsid w:val="00777804"/>
    <w:rsid w:val="007801CC"/>
    <w:rsid w:val="00780716"/>
    <w:rsid w:val="0078085E"/>
    <w:rsid w:val="0078095C"/>
    <w:rsid w:val="00780E8A"/>
    <w:rsid w:val="007818D0"/>
    <w:rsid w:val="00781AB5"/>
    <w:rsid w:val="00781BE2"/>
    <w:rsid w:val="00782693"/>
    <w:rsid w:val="00782789"/>
    <w:rsid w:val="00782F43"/>
    <w:rsid w:val="0078357C"/>
    <w:rsid w:val="00783641"/>
    <w:rsid w:val="00783A19"/>
    <w:rsid w:val="00783AC4"/>
    <w:rsid w:val="007840F2"/>
    <w:rsid w:val="00784635"/>
    <w:rsid w:val="007846DD"/>
    <w:rsid w:val="00784A53"/>
    <w:rsid w:val="00784CE7"/>
    <w:rsid w:val="00785354"/>
    <w:rsid w:val="00785689"/>
    <w:rsid w:val="00785817"/>
    <w:rsid w:val="00785AD3"/>
    <w:rsid w:val="007862B4"/>
    <w:rsid w:val="00786612"/>
    <w:rsid w:val="007869A4"/>
    <w:rsid w:val="007869BC"/>
    <w:rsid w:val="00786AEC"/>
    <w:rsid w:val="00786BC5"/>
    <w:rsid w:val="00787275"/>
    <w:rsid w:val="007872AA"/>
    <w:rsid w:val="007876B2"/>
    <w:rsid w:val="00787A51"/>
    <w:rsid w:val="00787C24"/>
    <w:rsid w:val="00787D85"/>
    <w:rsid w:val="00787F8B"/>
    <w:rsid w:val="00790405"/>
    <w:rsid w:val="00790452"/>
    <w:rsid w:val="007906E1"/>
    <w:rsid w:val="00790784"/>
    <w:rsid w:val="00791455"/>
    <w:rsid w:val="00791652"/>
    <w:rsid w:val="00791746"/>
    <w:rsid w:val="00791E20"/>
    <w:rsid w:val="00791F64"/>
    <w:rsid w:val="00791F9E"/>
    <w:rsid w:val="00792096"/>
    <w:rsid w:val="0079226B"/>
    <w:rsid w:val="0079229E"/>
    <w:rsid w:val="007922BF"/>
    <w:rsid w:val="007929C9"/>
    <w:rsid w:val="00793131"/>
    <w:rsid w:val="007935AE"/>
    <w:rsid w:val="00793724"/>
    <w:rsid w:val="00793EEE"/>
    <w:rsid w:val="00793F00"/>
    <w:rsid w:val="00794051"/>
    <w:rsid w:val="00794156"/>
    <w:rsid w:val="00794717"/>
    <w:rsid w:val="007948A9"/>
    <w:rsid w:val="00794CC2"/>
    <w:rsid w:val="00795816"/>
    <w:rsid w:val="00795A91"/>
    <w:rsid w:val="00795D24"/>
    <w:rsid w:val="00795FA2"/>
    <w:rsid w:val="007966AC"/>
    <w:rsid w:val="00796F71"/>
    <w:rsid w:val="00797419"/>
    <w:rsid w:val="0079754B"/>
    <w:rsid w:val="00797BB3"/>
    <w:rsid w:val="00797D8A"/>
    <w:rsid w:val="00797F84"/>
    <w:rsid w:val="007A06DD"/>
    <w:rsid w:val="007A097E"/>
    <w:rsid w:val="007A1CFD"/>
    <w:rsid w:val="007A1E6D"/>
    <w:rsid w:val="007A1EF8"/>
    <w:rsid w:val="007A1F34"/>
    <w:rsid w:val="007A23B9"/>
    <w:rsid w:val="007A23D0"/>
    <w:rsid w:val="007A2664"/>
    <w:rsid w:val="007A26E6"/>
    <w:rsid w:val="007A2717"/>
    <w:rsid w:val="007A283E"/>
    <w:rsid w:val="007A3379"/>
    <w:rsid w:val="007A34F1"/>
    <w:rsid w:val="007A39A1"/>
    <w:rsid w:val="007A3F68"/>
    <w:rsid w:val="007A44D2"/>
    <w:rsid w:val="007A474E"/>
    <w:rsid w:val="007A488A"/>
    <w:rsid w:val="007A4C6B"/>
    <w:rsid w:val="007A4F9E"/>
    <w:rsid w:val="007A5141"/>
    <w:rsid w:val="007A52D9"/>
    <w:rsid w:val="007A5913"/>
    <w:rsid w:val="007A5A16"/>
    <w:rsid w:val="007A5E7A"/>
    <w:rsid w:val="007A62DD"/>
    <w:rsid w:val="007A673C"/>
    <w:rsid w:val="007A6A89"/>
    <w:rsid w:val="007A7329"/>
    <w:rsid w:val="007A7335"/>
    <w:rsid w:val="007A73F9"/>
    <w:rsid w:val="007A78ED"/>
    <w:rsid w:val="007B0057"/>
    <w:rsid w:val="007B046A"/>
    <w:rsid w:val="007B057A"/>
    <w:rsid w:val="007B08B1"/>
    <w:rsid w:val="007B0DF0"/>
    <w:rsid w:val="007B0EB2"/>
    <w:rsid w:val="007B1044"/>
    <w:rsid w:val="007B112C"/>
    <w:rsid w:val="007B1B75"/>
    <w:rsid w:val="007B263E"/>
    <w:rsid w:val="007B2830"/>
    <w:rsid w:val="007B2854"/>
    <w:rsid w:val="007B2B51"/>
    <w:rsid w:val="007B2C65"/>
    <w:rsid w:val="007B2E0B"/>
    <w:rsid w:val="007B3B24"/>
    <w:rsid w:val="007B3B7C"/>
    <w:rsid w:val="007B40E7"/>
    <w:rsid w:val="007B41C5"/>
    <w:rsid w:val="007B423F"/>
    <w:rsid w:val="007B4B9A"/>
    <w:rsid w:val="007B4F66"/>
    <w:rsid w:val="007B5047"/>
    <w:rsid w:val="007B50CB"/>
    <w:rsid w:val="007B5321"/>
    <w:rsid w:val="007B54AC"/>
    <w:rsid w:val="007B5CEA"/>
    <w:rsid w:val="007B5EEE"/>
    <w:rsid w:val="007B674E"/>
    <w:rsid w:val="007B6953"/>
    <w:rsid w:val="007B69ED"/>
    <w:rsid w:val="007B6F27"/>
    <w:rsid w:val="007B6FB3"/>
    <w:rsid w:val="007B7159"/>
    <w:rsid w:val="007B72BD"/>
    <w:rsid w:val="007B739A"/>
    <w:rsid w:val="007B7451"/>
    <w:rsid w:val="007B7D32"/>
    <w:rsid w:val="007B7E7E"/>
    <w:rsid w:val="007B7F0C"/>
    <w:rsid w:val="007B7FB2"/>
    <w:rsid w:val="007C0162"/>
    <w:rsid w:val="007C01FF"/>
    <w:rsid w:val="007C040D"/>
    <w:rsid w:val="007C046D"/>
    <w:rsid w:val="007C0616"/>
    <w:rsid w:val="007C064D"/>
    <w:rsid w:val="007C0D9B"/>
    <w:rsid w:val="007C0EA4"/>
    <w:rsid w:val="007C1330"/>
    <w:rsid w:val="007C1414"/>
    <w:rsid w:val="007C1A4E"/>
    <w:rsid w:val="007C27B1"/>
    <w:rsid w:val="007C2836"/>
    <w:rsid w:val="007C28C1"/>
    <w:rsid w:val="007C2CD9"/>
    <w:rsid w:val="007C2DD9"/>
    <w:rsid w:val="007C3201"/>
    <w:rsid w:val="007C3FB4"/>
    <w:rsid w:val="007C3FE8"/>
    <w:rsid w:val="007C3FEE"/>
    <w:rsid w:val="007C4058"/>
    <w:rsid w:val="007C4261"/>
    <w:rsid w:val="007C525B"/>
    <w:rsid w:val="007C5EEF"/>
    <w:rsid w:val="007C60A4"/>
    <w:rsid w:val="007C614E"/>
    <w:rsid w:val="007C618B"/>
    <w:rsid w:val="007C66A6"/>
    <w:rsid w:val="007C69FC"/>
    <w:rsid w:val="007C6AA5"/>
    <w:rsid w:val="007C6F0D"/>
    <w:rsid w:val="007C71E3"/>
    <w:rsid w:val="007C74D3"/>
    <w:rsid w:val="007C7508"/>
    <w:rsid w:val="007C7746"/>
    <w:rsid w:val="007C7E81"/>
    <w:rsid w:val="007D024D"/>
    <w:rsid w:val="007D04DD"/>
    <w:rsid w:val="007D06FD"/>
    <w:rsid w:val="007D08AC"/>
    <w:rsid w:val="007D09C4"/>
    <w:rsid w:val="007D0B88"/>
    <w:rsid w:val="007D0CAC"/>
    <w:rsid w:val="007D0F1E"/>
    <w:rsid w:val="007D12DD"/>
    <w:rsid w:val="007D1380"/>
    <w:rsid w:val="007D160E"/>
    <w:rsid w:val="007D16C9"/>
    <w:rsid w:val="007D203F"/>
    <w:rsid w:val="007D224D"/>
    <w:rsid w:val="007D228D"/>
    <w:rsid w:val="007D2585"/>
    <w:rsid w:val="007D25EB"/>
    <w:rsid w:val="007D2A0F"/>
    <w:rsid w:val="007D2AE1"/>
    <w:rsid w:val="007D2B29"/>
    <w:rsid w:val="007D306A"/>
    <w:rsid w:val="007D326E"/>
    <w:rsid w:val="007D37FB"/>
    <w:rsid w:val="007D3848"/>
    <w:rsid w:val="007D4159"/>
    <w:rsid w:val="007D44B6"/>
    <w:rsid w:val="007D4960"/>
    <w:rsid w:val="007D49B7"/>
    <w:rsid w:val="007D4C4C"/>
    <w:rsid w:val="007D513F"/>
    <w:rsid w:val="007D5510"/>
    <w:rsid w:val="007D5D2B"/>
    <w:rsid w:val="007D62AA"/>
    <w:rsid w:val="007D6511"/>
    <w:rsid w:val="007D70CD"/>
    <w:rsid w:val="007D7A89"/>
    <w:rsid w:val="007D7BC0"/>
    <w:rsid w:val="007E0386"/>
    <w:rsid w:val="007E0B6E"/>
    <w:rsid w:val="007E1195"/>
    <w:rsid w:val="007E142D"/>
    <w:rsid w:val="007E1537"/>
    <w:rsid w:val="007E195B"/>
    <w:rsid w:val="007E1C6E"/>
    <w:rsid w:val="007E1FEF"/>
    <w:rsid w:val="007E283F"/>
    <w:rsid w:val="007E2DA8"/>
    <w:rsid w:val="007E312A"/>
    <w:rsid w:val="007E31C9"/>
    <w:rsid w:val="007E34B4"/>
    <w:rsid w:val="007E3AB9"/>
    <w:rsid w:val="007E410F"/>
    <w:rsid w:val="007E4217"/>
    <w:rsid w:val="007E449D"/>
    <w:rsid w:val="007E45CA"/>
    <w:rsid w:val="007E4603"/>
    <w:rsid w:val="007E5106"/>
    <w:rsid w:val="007E5140"/>
    <w:rsid w:val="007E5968"/>
    <w:rsid w:val="007E618C"/>
    <w:rsid w:val="007E618D"/>
    <w:rsid w:val="007E6201"/>
    <w:rsid w:val="007E62E1"/>
    <w:rsid w:val="007E6303"/>
    <w:rsid w:val="007E6382"/>
    <w:rsid w:val="007E64A3"/>
    <w:rsid w:val="007E6528"/>
    <w:rsid w:val="007E6999"/>
    <w:rsid w:val="007E7600"/>
    <w:rsid w:val="007E7633"/>
    <w:rsid w:val="007E763F"/>
    <w:rsid w:val="007E7843"/>
    <w:rsid w:val="007E7F5B"/>
    <w:rsid w:val="007E7F82"/>
    <w:rsid w:val="007F016C"/>
    <w:rsid w:val="007F046A"/>
    <w:rsid w:val="007F0603"/>
    <w:rsid w:val="007F0761"/>
    <w:rsid w:val="007F0B43"/>
    <w:rsid w:val="007F11DF"/>
    <w:rsid w:val="007F1482"/>
    <w:rsid w:val="007F212E"/>
    <w:rsid w:val="007F2154"/>
    <w:rsid w:val="007F27B1"/>
    <w:rsid w:val="007F2D39"/>
    <w:rsid w:val="007F32BB"/>
    <w:rsid w:val="007F33F9"/>
    <w:rsid w:val="007F3410"/>
    <w:rsid w:val="007F34A1"/>
    <w:rsid w:val="007F3711"/>
    <w:rsid w:val="007F377A"/>
    <w:rsid w:val="007F3B6C"/>
    <w:rsid w:val="007F4184"/>
    <w:rsid w:val="007F423A"/>
    <w:rsid w:val="007F43E3"/>
    <w:rsid w:val="007F45F0"/>
    <w:rsid w:val="007F4CDD"/>
    <w:rsid w:val="007F512D"/>
    <w:rsid w:val="007F5193"/>
    <w:rsid w:val="007F5223"/>
    <w:rsid w:val="007F558C"/>
    <w:rsid w:val="007F5820"/>
    <w:rsid w:val="007F58BB"/>
    <w:rsid w:val="007F5A57"/>
    <w:rsid w:val="007F5D1A"/>
    <w:rsid w:val="007F6002"/>
    <w:rsid w:val="007F65D1"/>
    <w:rsid w:val="007F6F91"/>
    <w:rsid w:val="007F752E"/>
    <w:rsid w:val="007F7A0F"/>
    <w:rsid w:val="007F7AD0"/>
    <w:rsid w:val="007F7D49"/>
    <w:rsid w:val="0080006B"/>
    <w:rsid w:val="008004EC"/>
    <w:rsid w:val="008008C1"/>
    <w:rsid w:val="00800992"/>
    <w:rsid w:val="00800B12"/>
    <w:rsid w:val="0080102D"/>
    <w:rsid w:val="0080144E"/>
    <w:rsid w:val="00802444"/>
    <w:rsid w:val="0080299B"/>
    <w:rsid w:val="00802DAF"/>
    <w:rsid w:val="008032EA"/>
    <w:rsid w:val="008038C6"/>
    <w:rsid w:val="00803BBD"/>
    <w:rsid w:val="008040D3"/>
    <w:rsid w:val="00804165"/>
    <w:rsid w:val="008041C5"/>
    <w:rsid w:val="00804201"/>
    <w:rsid w:val="00804BD1"/>
    <w:rsid w:val="008050DA"/>
    <w:rsid w:val="008053E4"/>
    <w:rsid w:val="008053F5"/>
    <w:rsid w:val="0080561B"/>
    <w:rsid w:val="008056FC"/>
    <w:rsid w:val="008058B2"/>
    <w:rsid w:val="00806BEA"/>
    <w:rsid w:val="00806E20"/>
    <w:rsid w:val="00806F5E"/>
    <w:rsid w:val="0080715C"/>
    <w:rsid w:val="008072A2"/>
    <w:rsid w:val="00807395"/>
    <w:rsid w:val="008073D5"/>
    <w:rsid w:val="00807426"/>
    <w:rsid w:val="008075D0"/>
    <w:rsid w:val="00807BE3"/>
    <w:rsid w:val="0081010D"/>
    <w:rsid w:val="0081016F"/>
    <w:rsid w:val="0081041A"/>
    <w:rsid w:val="00810A28"/>
    <w:rsid w:val="00810B09"/>
    <w:rsid w:val="00810B6F"/>
    <w:rsid w:val="00810C5A"/>
    <w:rsid w:val="00810CBA"/>
    <w:rsid w:val="00811270"/>
    <w:rsid w:val="008112D1"/>
    <w:rsid w:val="008113D0"/>
    <w:rsid w:val="00811AD0"/>
    <w:rsid w:val="00811C76"/>
    <w:rsid w:val="00811FD1"/>
    <w:rsid w:val="00811FD9"/>
    <w:rsid w:val="00812118"/>
    <w:rsid w:val="008121E6"/>
    <w:rsid w:val="008129F5"/>
    <w:rsid w:val="00813301"/>
    <w:rsid w:val="0081331D"/>
    <w:rsid w:val="00813323"/>
    <w:rsid w:val="0081394D"/>
    <w:rsid w:val="00813BE7"/>
    <w:rsid w:val="00813CB0"/>
    <w:rsid w:val="008144A7"/>
    <w:rsid w:val="0081460F"/>
    <w:rsid w:val="00814D5A"/>
    <w:rsid w:val="008150CF"/>
    <w:rsid w:val="00815212"/>
    <w:rsid w:val="00815851"/>
    <w:rsid w:val="008158D4"/>
    <w:rsid w:val="00815A2B"/>
    <w:rsid w:val="00815E91"/>
    <w:rsid w:val="00816195"/>
    <w:rsid w:val="008161BC"/>
    <w:rsid w:val="00816633"/>
    <w:rsid w:val="00817490"/>
    <w:rsid w:val="0081758F"/>
    <w:rsid w:val="00817844"/>
    <w:rsid w:val="00817902"/>
    <w:rsid w:val="00817A6A"/>
    <w:rsid w:val="00817A96"/>
    <w:rsid w:val="00817D3A"/>
    <w:rsid w:val="008200B2"/>
    <w:rsid w:val="008205B8"/>
    <w:rsid w:val="00820B85"/>
    <w:rsid w:val="00820E8B"/>
    <w:rsid w:val="00820EDD"/>
    <w:rsid w:val="0082162C"/>
    <w:rsid w:val="00821683"/>
    <w:rsid w:val="00821B80"/>
    <w:rsid w:val="00821CC5"/>
    <w:rsid w:val="00821DB0"/>
    <w:rsid w:val="00821E1D"/>
    <w:rsid w:val="0082227A"/>
    <w:rsid w:val="008228D1"/>
    <w:rsid w:val="00822A26"/>
    <w:rsid w:val="00822BD7"/>
    <w:rsid w:val="00822CE0"/>
    <w:rsid w:val="00822D05"/>
    <w:rsid w:val="008232BF"/>
    <w:rsid w:val="008232FC"/>
    <w:rsid w:val="008235F0"/>
    <w:rsid w:val="00823F84"/>
    <w:rsid w:val="008240F2"/>
    <w:rsid w:val="0082414A"/>
    <w:rsid w:val="00824152"/>
    <w:rsid w:val="00824452"/>
    <w:rsid w:val="008247A7"/>
    <w:rsid w:val="008249C2"/>
    <w:rsid w:val="00824E3E"/>
    <w:rsid w:val="00824F18"/>
    <w:rsid w:val="008251DB"/>
    <w:rsid w:val="0082536E"/>
    <w:rsid w:val="0082544F"/>
    <w:rsid w:val="008254F7"/>
    <w:rsid w:val="008259FA"/>
    <w:rsid w:val="00825FAC"/>
    <w:rsid w:val="00826402"/>
    <w:rsid w:val="00826F4A"/>
    <w:rsid w:val="008271B5"/>
    <w:rsid w:val="0082766F"/>
    <w:rsid w:val="00827C56"/>
    <w:rsid w:val="00830143"/>
    <w:rsid w:val="008302D1"/>
    <w:rsid w:val="0083034E"/>
    <w:rsid w:val="00830DE3"/>
    <w:rsid w:val="008313AD"/>
    <w:rsid w:val="0083207C"/>
    <w:rsid w:val="008320AE"/>
    <w:rsid w:val="00832134"/>
    <w:rsid w:val="00832175"/>
    <w:rsid w:val="00832A5C"/>
    <w:rsid w:val="00832D24"/>
    <w:rsid w:val="00832FF7"/>
    <w:rsid w:val="008331DB"/>
    <w:rsid w:val="00833291"/>
    <w:rsid w:val="0083336C"/>
    <w:rsid w:val="008337B9"/>
    <w:rsid w:val="00833C3F"/>
    <w:rsid w:val="00833F73"/>
    <w:rsid w:val="0083428E"/>
    <w:rsid w:val="00834496"/>
    <w:rsid w:val="0083478A"/>
    <w:rsid w:val="00834A5A"/>
    <w:rsid w:val="00834B7A"/>
    <w:rsid w:val="00834B9B"/>
    <w:rsid w:val="00834C41"/>
    <w:rsid w:val="00834FA9"/>
    <w:rsid w:val="00834FB3"/>
    <w:rsid w:val="008354C6"/>
    <w:rsid w:val="008355BF"/>
    <w:rsid w:val="00835658"/>
    <w:rsid w:val="00835723"/>
    <w:rsid w:val="00835F57"/>
    <w:rsid w:val="0083622E"/>
    <w:rsid w:val="00836E87"/>
    <w:rsid w:val="00836EBD"/>
    <w:rsid w:val="00836FAD"/>
    <w:rsid w:val="008374B1"/>
    <w:rsid w:val="00840530"/>
    <w:rsid w:val="0084080B"/>
    <w:rsid w:val="00840EB4"/>
    <w:rsid w:val="00841391"/>
    <w:rsid w:val="00841840"/>
    <w:rsid w:val="008419BA"/>
    <w:rsid w:val="00841AB1"/>
    <w:rsid w:val="00841CBA"/>
    <w:rsid w:val="00842066"/>
    <w:rsid w:val="00842082"/>
    <w:rsid w:val="00842235"/>
    <w:rsid w:val="008423B6"/>
    <w:rsid w:val="00842935"/>
    <w:rsid w:val="00842B90"/>
    <w:rsid w:val="00842DEA"/>
    <w:rsid w:val="00842E69"/>
    <w:rsid w:val="00842FC9"/>
    <w:rsid w:val="00843581"/>
    <w:rsid w:val="00843602"/>
    <w:rsid w:val="008436CC"/>
    <w:rsid w:val="008437FE"/>
    <w:rsid w:val="00843895"/>
    <w:rsid w:val="0084394B"/>
    <w:rsid w:val="00843AA5"/>
    <w:rsid w:val="00843B15"/>
    <w:rsid w:val="00843D43"/>
    <w:rsid w:val="00843DF1"/>
    <w:rsid w:val="00844DF1"/>
    <w:rsid w:val="008450BC"/>
    <w:rsid w:val="00845139"/>
    <w:rsid w:val="0084539A"/>
    <w:rsid w:val="00845615"/>
    <w:rsid w:val="00845775"/>
    <w:rsid w:val="008458FB"/>
    <w:rsid w:val="00845F1D"/>
    <w:rsid w:val="00846209"/>
    <w:rsid w:val="00846C4E"/>
    <w:rsid w:val="0084700E"/>
    <w:rsid w:val="00847C27"/>
    <w:rsid w:val="00847D4A"/>
    <w:rsid w:val="0085003E"/>
    <w:rsid w:val="00850217"/>
    <w:rsid w:val="00850612"/>
    <w:rsid w:val="00850A96"/>
    <w:rsid w:val="00850B1B"/>
    <w:rsid w:val="00850B95"/>
    <w:rsid w:val="00850E22"/>
    <w:rsid w:val="008516CD"/>
    <w:rsid w:val="008517EF"/>
    <w:rsid w:val="0085186E"/>
    <w:rsid w:val="00851B59"/>
    <w:rsid w:val="00851D76"/>
    <w:rsid w:val="00851DB9"/>
    <w:rsid w:val="00851EC4"/>
    <w:rsid w:val="00852534"/>
    <w:rsid w:val="0085266A"/>
    <w:rsid w:val="00852DB8"/>
    <w:rsid w:val="00852DEE"/>
    <w:rsid w:val="0085320E"/>
    <w:rsid w:val="00853427"/>
    <w:rsid w:val="00853438"/>
    <w:rsid w:val="00853966"/>
    <w:rsid w:val="00853AD8"/>
    <w:rsid w:val="00853D8E"/>
    <w:rsid w:val="00853F10"/>
    <w:rsid w:val="00854130"/>
    <w:rsid w:val="0085452D"/>
    <w:rsid w:val="00854A4C"/>
    <w:rsid w:val="0085572B"/>
    <w:rsid w:val="0085574A"/>
    <w:rsid w:val="00855C74"/>
    <w:rsid w:val="00855C8E"/>
    <w:rsid w:val="00855DC2"/>
    <w:rsid w:val="00855E7B"/>
    <w:rsid w:val="00856319"/>
    <w:rsid w:val="0085664C"/>
    <w:rsid w:val="0085697F"/>
    <w:rsid w:val="00856AF0"/>
    <w:rsid w:val="00856BCE"/>
    <w:rsid w:val="00856C72"/>
    <w:rsid w:val="0085701E"/>
    <w:rsid w:val="008571DD"/>
    <w:rsid w:val="00857219"/>
    <w:rsid w:val="00857308"/>
    <w:rsid w:val="00857675"/>
    <w:rsid w:val="00857B05"/>
    <w:rsid w:val="00857C9D"/>
    <w:rsid w:val="00857EF5"/>
    <w:rsid w:val="00857F9B"/>
    <w:rsid w:val="0086074D"/>
    <w:rsid w:val="0086083D"/>
    <w:rsid w:val="00860C5D"/>
    <w:rsid w:val="00860F94"/>
    <w:rsid w:val="00860FF9"/>
    <w:rsid w:val="00861361"/>
    <w:rsid w:val="00861AE4"/>
    <w:rsid w:val="00861E98"/>
    <w:rsid w:val="008621E9"/>
    <w:rsid w:val="0086252F"/>
    <w:rsid w:val="00862842"/>
    <w:rsid w:val="00862EE9"/>
    <w:rsid w:val="00863560"/>
    <w:rsid w:val="008635DA"/>
    <w:rsid w:val="008638BA"/>
    <w:rsid w:val="0086391C"/>
    <w:rsid w:val="00863E3D"/>
    <w:rsid w:val="008641E1"/>
    <w:rsid w:val="0086422E"/>
    <w:rsid w:val="008643F1"/>
    <w:rsid w:val="00865753"/>
    <w:rsid w:val="0086589D"/>
    <w:rsid w:val="0086597D"/>
    <w:rsid w:val="00865B59"/>
    <w:rsid w:val="00865BCA"/>
    <w:rsid w:val="00865BD6"/>
    <w:rsid w:val="00865C61"/>
    <w:rsid w:val="00865DCA"/>
    <w:rsid w:val="00865FA2"/>
    <w:rsid w:val="00865FF8"/>
    <w:rsid w:val="0086625B"/>
    <w:rsid w:val="0086689C"/>
    <w:rsid w:val="008671FA"/>
    <w:rsid w:val="00867520"/>
    <w:rsid w:val="008706D4"/>
    <w:rsid w:val="00870D60"/>
    <w:rsid w:val="008714FD"/>
    <w:rsid w:val="00871F43"/>
    <w:rsid w:val="00872B61"/>
    <w:rsid w:val="00872EA8"/>
    <w:rsid w:val="00873506"/>
    <w:rsid w:val="00873667"/>
    <w:rsid w:val="00873995"/>
    <w:rsid w:val="008739FD"/>
    <w:rsid w:val="00873A02"/>
    <w:rsid w:val="00873BED"/>
    <w:rsid w:val="00873E5F"/>
    <w:rsid w:val="00875511"/>
    <w:rsid w:val="0087555B"/>
    <w:rsid w:val="00875C3C"/>
    <w:rsid w:val="00875F45"/>
    <w:rsid w:val="00875FD7"/>
    <w:rsid w:val="008760EF"/>
    <w:rsid w:val="008761A6"/>
    <w:rsid w:val="00876426"/>
    <w:rsid w:val="00876481"/>
    <w:rsid w:val="008764E9"/>
    <w:rsid w:val="00876572"/>
    <w:rsid w:val="0087729A"/>
    <w:rsid w:val="008772AD"/>
    <w:rsid w:val="0087784E"/>
    <w:rsid w:val="0087793A"/>
    <w:rsid w:val="00877A6C"/>
    <w:rsid w:val="00877B70"/>
    <w:rsid w:val="00877E42"/>
    <w:rsid w:val="00880143"/>
    <w:rsid w:val="008803F6"/>
    <w:rsid w:val="0088081C"/>
    <w:rsid w:val="00880C79"/>
    <w:rsid w:val="00880D0F"/>
    <w:rsid w:val="00880F59"/>
    <w:rsid w:val="00881189"/>
    <w:rsid w:val="0088119E"/>
    <w:rsid w:val="008814BA"/>
    <w:rsid w:val="0088164F"/>
    <w:rsid w:val="00881A86"/>
    <w:rsid w:val="00881FD1"/>
    <w:rsid w:val="008820BF"/>
    <w:rsid w:val="00882156"/>
    <w:rsid w:val="00882BAA"/>
    <w:rsid w:val="00882EF8"/>
    <w:rsid w:val="00883376"/>
    <w:rsid w:val="00883393"/>
    <w:rsid w:val="00883528"/>
    <w:rsid w:val="00883912"/>
    <w:rsid w:val="0088392E"/>
    <w:rsid w:val="00883A30"/>
    <w:rsid w:val="00883E2A"/>
    <w:rsid w:val="0088412A"/>
    <w:rsid w:val="00884268"/>
    <w:rsid w:val="008844B4"/>
    <w:rsid w:val="008845EC"/>
    <w:rsid w:val="008847A2"/>
    <w:rsid w:val="00884961"/>
    <w:rsid w:val="008849DB"/>
    <w:rsid w:val="0088518C"/>
    <w:rsid w:val="00885256"/>
    <w:rsid w:val="008852C7"/>
    <w:rsid w:val="00885448"/>
    <w:rsid w:val="00885597"/>
    <w:rsid w:val="008856F2"/>
    <w:rsid w:val="00885CAD"/>
    <w:rsid w:val="00885E37"/>
    <w:rsid w:val="00885F5A"/>
    <w:rsid w:val="008862D8"/>
    <w:rsid w:val="00886455"/>
    <w:rsid w:val="008865F3"/>
    <w:rsid w:val="00886805"/>
    <w:rsid w:val="008868EA"/>
    <w:rsid w:val="00886921"/>
    <w:rsid w:val="00886C96"/>
    <w:rsid w:val="00886DB6"/>
    <w:rsid w:val="0088709F"/>
    <w:rsid w:val="0088742B"/>
    <w:rsid w:val="00887761"/>
    <w:rsid w:val="00890642"/>
    <w:rsid w:val="00890B09"/>
    <w:rsid w:val="00890B51"/>
    <w:rsid w:val="00890C9E"/>
    <w:rsid w:val="00890ECF"/>
    <w:rsid w:val="008913D9"/>
    <w:rsid w:val="0089148F"/>
    <w:rsid w:val="008914D8"/>
    <w:rsid w:val="0089160D"/>
    <w:rsid w:val="00891B4B"/>
    <w:rsid w:val="00891FFC"/>
    <w:rsid w:val="0089291B"/>
    <w:rsid w:val="00892FED"/>
    <w:rsid w:val="008933CB"/>
    <w:rsid w:val="00893744"/>
    <w:rsid w:val="00894460"/>
    <w:rsid w:val="008944E9"/>
    <w:rsid w:val="00894BF4"/>
    <w:rsid w:val="00894D34"/>
    <w:rsid w:val="00894FFF"/>
    <w:rsid w:val="00895520"/>
    <w:rsid w:val="00895CB7"/>
    <w:rsid w:val="0089705C"/>
    <w:rsid w:val="008977DF"/>
    <w:rsid w:val="00897DCF"/>
    <w:rsid w:val="008A0206"/>
    <w:rsid w:val="008A02C2"/>
    <w:rsid w:val="008A0773"/>
    <w:rsid w:val="008A0AC1"/>
    <w:rsid w:val="008A0B3E"/>
    <w:rsid w:val="008A109D"/>
    <w:rsid w:val="008A12C5"/>
    <w:rsid w:val="008A13FB"/>
    <w:rsid w:val="008A14A8"/>
    <w:rsid w:val="008A14C1"/>
    <w:rsid w:val="008A14F1"/>
    <w:rsid w:val="008A1728"/>
    <w:rsid w:val="008A2861"/>
    <w:rsid w:val="008A2E4E"/>
    <w:rsid w:val="008A303C"/>
    <w:rsid w:val="008A30F5"/>
    <w:rsid w:val="008A3367"/>
    <w:rsid w:val="008A36B9"/>
    <w:rsid w:val="008A3994"/>
    <w:rsid w:val="008A3DE3"/>
    <w:rsid w:val="008A3EBA"/>
    <w:rsid w:val="008A47EB"/>
    <w:rsid w:val="008A4C3A"/>
    <w:rsid w:val="008A4C96"/>
    <w:rsid w:val="008A4F33"/>
    <w:rsid w:val="008A53F2"/>
    <w:rsid w:val="008A5483"/>
    <w:rsid w:val="008A61F5"/>
    <w:rsid w:val="008A6291"/>
    <w:rsid w:val="008A6911"/>
    <w:rsid w:val="008A7649"/>
    <w:rsid w:val="008A77A4"/>
    <w:rsid w:val="008A7939"/>
    <w:rsid w:val="008A79DE"/>
    <w:rsid w:val="008A7F69"/>
    <w:rsid w:val="008B0274"/>
    <w:rsid w:val="008B0634"/>
    <w:rsid w:val="008B0C32"/>
    <w:rsid w:val="008B0FE4"/>
    <w:rsid w:val="008B0FF9"/>
    <w:rsid w:val="008B184A"/>
    <w:rsid w:val="008B1E1C"/>
    <w:rsid w:val="008B1E30"/>
    <w:rsid w:val="008B2059"/>
    <w:rsid w:val="008B2085"/>
    <w:rsid w:val="008B20AF"/>
    <w:rsid w:val="008B2879"/>
    <w:rsid w:val="008B295D"/>
    <w:rsid w:val="008B2A3B"/>
    <w:rsid w:val="008B2A81"/>
    <w:rsid w:val="008B2E44"/>
    <w:rsid w:val="008B3160"/>
    <w:rsid w:val="008B3834"/>
    <w:rsid w:val="008B3842"/>
    <w:rsid w:val="008B3E32"/>
    <w:rsid w:val="008B4014"/>
    <w:rsid w:val="008B4202"/>
    <w:rsid w:val="008B42C3"/>
    <w:rsid w:val="008B4342"/>
    <w:rsid w:val="008B49DE"/>
    <w:rsid w:val="008B4F95"/>
    <w:rsid w:val="008B52EE"/>
    <w:rsid w:val="008B5571"/>
    <w:rsid w:val="008B56DA"/>
    <w:rsid w:val="008B57EB"/>
    <w:rsid w:val="008B60DB"/>
    <w:rsid w:val="008B6F2F"/>
    <w:rsid w:val="008B7215"/>
    <w:rsid w:val="008B765B"/>
    <w:rsid w:val="008B79B4"/>
    <w:rsid w:val="008B7CE2"/>
    <w:rsid w:val="008B7E10"/>
    <w:rsid w:val="008C0750"/>
    <w:rsid w:val="008C0824"/>
    <w:rsid w:val="008C08A9"/>
    <w:rsid w:val="008C127C"/>
    <w:rsid w:val="008C14D9"/>
    <w:rsid w:val="008C2006"/>
    <w:rsid w:val="008C20C4"/>
    <w:rsid w:val="008C2E37"/>
    <w:rsid w:val="008C321B"/>
    <w:rsid w:val="008C3588"/>
    <w:rsid w:val="008C3647"/>
    <w:rsid w:val="008C3938"/>
    <w:rsid w:val="008C3A3E"/>
    <w:rsid w:val="008C3B97"/>
    <w:rsid w:val="008C3BFB"/>
    <w:rsid w:val="008C3D0B"/>
    <w:rsid w:val="008C42F9"/>
    <w:rsid w:val="008C49D8"/>
    <w:rsid w:val="008C4D0A"/>
    <w:rsid w:val="008C4FC9"/>
    <w:rsid w:val="008C5088"/>
    <w:rsid w:val="008C516A"/>
    <w:rsid w:val="008C544B"/>
    <w:rsid w:val="008C5A48"/>
    <w:rsid w:val="008C5F92"/>
    <w:rsid w:val="008C6279"/>
    <w:rsid w:val="008C67F8"/>
    <w:rsid w:val="008C68A7"/>
    <w:rsid w:val="008C68F1"/>
    <w:rsid w:val="008C6B9C"/>
    <w:rsid w:val="008C6F90"/>
    <w:rsid w:val="008C70AC"/>
    <w:rsid w:val="008C750F"/>
    <w:rsid w:val="008C795B"/>
    <w:rsid w:val="008C7B0E"/>
    <w:rsid w:val="008C7BA1"/>
    <w:rsid w:val="008C7D48"/>
    <w:rsid w:val="008D03C5"/>
    <w:rsid w:val="008D07AC"/>
    <w:rsid w:val="008D07BD"/>
    <w:rsid w:val="008D07E0"/>
    <w:rsid w:val="008D0EB3"/>
    <w:rsid w:val="008D120A"/>
    <w:rsid w:val="008D1865"/>
    <w:rsid w:val="008D1A14"/>
    <w:rsid w:val="008D1A25"/>
    <w:rsid w:val="008D1E32"/>
    <w:rsid w:val="008D21C7"/>
    <w:rsid w:val="008D21DE"/>
    <w:rsid w:val="008D253D"/>
    <w:rsid w:val="008D2788"/>
    <w:rsid w:val="008D29C2"/>
    <w:rsid w:val="008D2F8B"/>
    <w:rsid w:val="008D3783"/>
    <w:rsid w:val="008D38CD"/>
    <w:rsid w:val="008D396D"/>
    <w:rsid w:val="008D39BF"/>
    <w:rsid w:val="008D3DFF"/>
    <w:rsid w:val="008D3FAD"/>
    <w:rsid w:val="008D4127"/>
    <w:rsid w:val="008D42BD"/>
    <w:rsid w:val="008D4CA0"/>
    <w:rsid w:val="008D4FEA"/>
    <w:rsid w:val="008D5386"/>
    <w:rsid w:val="008D560B"/>
    <w:rsid w:val="008D5822"/>
    <w:rsid w:val="008D5AAF"/>
    <w:rsid w:val="008D5DCB"/>
    <w:rsid w:val="008D5F28"/>
    <w:rsid w:val="008D6198"/>
    <w:rsid w:val="008D6686"/>
    <w:rsid w:val="008D697C"/>
    <w:rsid w:val="008D6C17"/>
    <w:rsid w:val="008D6FEE"/>
    <w:rsid w:val="008D7763"/>
    <w:rsid w:val="008E0878"/>
    <w:rsid w:val="008E0E55"/>
    <w:rsid w:val="008E100F"/>
    <w:rsid w:val="008E1371"/>
    <w:rsid w:val="008E1916"/>
    <w:rsid w:val="008E1C27"/>
    <w:rsid w:val="008E1FFB"/>
    <w:rsid w:val="008E25D3"/>
    <w:rsid w:val="008E2839"/>
    <w:rsid w:val="008E2D75"/>
    <w:rsid w:val="008E3164"/>
    <w:rsid w:val="008E3280"/>
    <w:rsid w:val="008E392A"/>
    <w:rsid w:val="008E3A08"/>
    <w:rsid w:val="008E45AF"/>
    <w:rsid w:val="008E46B5"/>
    <w:rsid w:val="008E4F91"/>
    <w:rsid w:val="008E5083"/>
    <w:rsid w:val="008E5682"/>
    <w:rsid w:val="008E6254"/>
    <w:rsid w:val="008E64B6"/>
    <w:rsid w:val="008E74B4"/>
    <w:rsid w:val="008E7A4E"/>
    <w:rsid w:val="008E7A92"/>
    <w:rsid w:val="008F0429"/>
    <w:rsid w:val="008F0DCB"/>
    <w:rsid w:val="008F1185"/>
    <w:rsid w:val="008F160C"/>
    <w:rsid w:val="008F1EF5"/>
    <w:rsid w:val="008F205E"/>
    <w:rsid w:val="008F2123"/>
    <w:rsid w:val="008F22E6"/>
    <w:rsid w:val="008F276C"/>
    <w:rsid w:val="008F287B"/>
    <w:rsid w:val="008F2BBE"/>
    <w:rsid w:val="008F2DE6"/>
    <w:rsid w:val="008F329F"/>
    <w:rsid w:val="008F3455"/>
    <w:rsid w:val="008F4246"/>
    <w:rsid w:val="008F43C8"/>
    <w:rsid w:val="008F457D"/>
    <w:rsid w:val="008F461F"/>
    <w:rsid w:val="008F4759"/>
    <w:rsid w:val="008F484E"/>
    <w:rsid w:val="008F4D98"/>
    <w:rsid w:val="008F50AA"/>
    <w:rsid w:val="008F5169"/>
    <w:rsid w:val="008F5204"/>
    <w:rsid w:val="008F5DB4"/>
    <w:rsid w:val="008F5FC6"/>
    <w:rsid w:val="008F6170"/>
    <w:rsid w:val="008F671F"/>
    <w:rsid w:val="008F687B"/>
    <w:rsid w:val="008F69C5"/>
    <w:rsid w:val="008F6CCB"/>
    <w:rsid w:val="008F6DFE"/>
    <w:rsid w:val="008F721A"/>
    <w:rsid w:val="008F72B4"/>
    <w:rsid w:val="008F74B8"/>
    <w:rsid w:val="008F751A"/>
    <w:rsid w:val="008F7B4A"/>
    <w:rsid w:val="008F7BDE"/>
    <w:rsid w:val="0090000E"/>
    <w:rsid w:val="009002A1"/>
    <w:rsid w:val="009012E8"/>
    <w:rsid w:val="009013C0"/>
    <w:rsid w:val="0090152F"/>
    <w:rsid w:val="00901C16"/>
    <w:rsid w:val="00901C6A"/>
    <w:rsid w:val="00901F4C"/>
    <w:rsid w:val="009023C6"/>
    <w:rsid w:val="0090247D"/>
    <w:rsid w:val="009026D0"/>
    <w:rsid w:val="00902E24"/>
    <w:rsid w:val="00902F87"/>
    <w:rsid w:val="00902FCF"/>
    <w:rsid w:val="009030CA"/>
    <w:rsid w:val="00903411"/>
    <w:rsid w:val="0090392A"/>
    <w:rsid w:val="0090438E"/>
    <w:rsid w:val="00904424"/>
    <w:rsid w:val="00904D03"/>
    <w:rsid w:val="009050B8"/>
    <w:rsid w:val="009052A2"/>
    <w:rsid w:val="00905BE2"/>
    <w:rsid w:val="00905C7C"/>
    <w:rsid w:val="00905CFA"/>
    <w:rsid w:val="009062FB"/>
    <w:rsid w:val="009066CC"/>
    <w:rsid w:val="00906A59"/>
    <w:rsid w:val="00907382"/>
    <w:rsid w:val="0090759D"/>
    <w:rsid w:val="00907666"/>
    <w:rsid w:val="00907B8A"/>
    <w:rsid w:val="00907BE0"/>
    <w:rsid w:val="00907D25"/>
    <w:rsid w:val="00907D38"/>
    <w:rsid w:val="00910084"/>
    <w:rsid w:val="00910967"/>
    <w:rsid w:val="00910CAD"/>
    <w:rsid w:val="00910DB3"/>
    <w:rsid w:val="0091185B"/>
    <w:rsid w:val="00911A48"/>
    <w:rsid w:val="00911F75"/>
    <w:rsid w:val="00912200"/>
    <w:rsid w:val="00912AF2"/>
    <w:rsid w:val="00912DB1"/>
    <w:rsid w:val="00913163"/>
    <w:rsid w:val="00913363"/>
    <w:rsid w:val="009133E8"/>
    <w:rsid w:val="009136F2"/>
    <w:rsid w:val="00913D38"/>
    <w:rsid w:val="00913E14"/>
    <w:rsid w:val="00913FF0"/>
    <w:rsid w:val="00914693"/>
    <w:rsid w:val="00914D83"/>
    <w:rsid w:val="00914E0A"/>
    <w:rsid w:val="009168DD"/>
    <w:rsid w:val="009169AF"/>
    <w:rsid w:val="00916CCD"/>
    <w:rsid w:val="00917787"/>
    <w:rsid w:val="0092019D"/>
    <w:rsid w:val="00920C34"/>
    <w:rsid w:val="00921156"/>
    <w:rsid w:val="00921675"/>
    <w:rsid w:val="00921803"/>
    <w:rsid w:val="009219F9"/>
    <w:rsid w:val="0092217F"/>
    <w:rsid w:val="0092219D"/>
    <w:rsid w:val="00922367"/>
    <w:rsid w:val="00922425"/>
    <w:rsid w:val="00922465"/>
    <w:rsid w:val="0092279A"/>
    <w:rsid w:val="009228FA"/>
    <w:rsid w:val="00922A8F"/>
    <w:rsid w:val="00922C7D"/>
    <w:rsid w:val="00923D7E"/>
    <w:rsid w:val="00924922"/>
    <w:rsid w:val="00924A0D"/>
    <w:rsid w:val="00924CD6"/>
    <w:rsid w:val="00924E49"/>
    <w:rsid w:val="009252AA"/>
    <w:rsid w:val="009253B5"/>
    <w:rsid w:val="009257D7"/>
    <w:rsid w:val="009258C6"/>
    <w:rsid w:val="00925C86"/>
    <w:rsid w:val="00925CED"/>
    <w:rsid w:val="00926240"/>
    <w:rsid w:val="00926503"/>
    <w:rsid w:val="00926528"/>
    <w:rsid w:val="00926865"/>
    <w:rsid w:val="0092726E"/>
    <w:rsid w:val="009276BC"/>
    <w:rsid w:val="00927714"/>
    <w:rsid w:val="009277E7"/>
    <w:rsid w:val="00927901"/>
    <w:rsid w:val="009279AF"/>
    <w:rsid w:val="00927C26"/>
    <w:rsid w:val="00930EF4"/>
    <w:rsid w:val="009314D7"/>
    <w:rsid w:val="009318E4"/>
    <w:rsid w:val="00931973"/>
    <w:rsid w:val="00931CA4"/>
    <w:rsid w:val="00932240"/>
    <w:rsid w:val="009322EE"/>
    <w:rsid w:val="0093242B"/>
    <w:rsid w:val="00932B77"/>
    <w:rsid w:val="009332A5"/>
    <w:rsid w:val="0093363C"/>
    <w:rsid w:val="00933D2A"/>
    <w:rsid w:val="00933E03"/>
    <w:rsid w:val="00933E3A"/>
    <w:rsid w:val="00934064"/>
    <w:rsid w:val="009346EB"/>
    <w:rsid w:val="00934AA7"/>
    <w:rsid w:val="0093537E"/>
    <w:rsid w:val="0093554B"/>
    <w:rsid w:val="0093561D"/>
    <w:rsid w:val="00935F77"/>
    <w:rsid w:val="009360FA"/>
    <w:rsid w:val="009363AB"/>
    <w:rsid w:val="00936880"/>
    <w:rsid w:val="00936CD9"/>
    <w:rsid w:val="00937041"/>
    <w:rsid w:val="009373B1"/>
    <w:rsid w:val="00937AB8"/>
    <w:rsid w:val="0094003B"/>
    <w:rsid w:val="009410A7"/>
    <w:rsid w:val="009411DB"/>
    <w:rsid w:val="009412CD"/>
    <w:rsid w:val="00941722"/>
    <w:rsid w:val="00941C3A"/>
    <w:rsid w:val="0094219E"/>
    <w:rsid w:val="00942867"/>
    <w:rsid w:val="00942D12"/>
    <w:rsid w:val="009431A2"/>
    <w:rsid w:val="00943481"/>
    <w:rsid w:val="00943820"/>
    <w:rsid w:val="00943D86"/>
    <w:rsid w:val="00943E31"/>
    <w:rsid w:val="00944854"/>
    <w:rsid w:val="009448BE"/>
    <w:rsid w:val="00944BA0"/>
    <w:rsid w:val="00944F4E"/>
    <w:rsid w:val="00945144"/>
    <w:rsid w:val="0094566A"/>
    <w:rsid w:val="009456CD"/>
    <w:rsid w:val="009460AC"/>
    <w:rsid w:val="009464CF"/>
    <w:rsid w:val="0094651C"/>
    <w:rsid w:val="00946874"/>
    <w:rsid w:val="009477CA"/>
    <w:rsid w:val="009479BF"/>
    <w:rsid w:val="009501C7"/>
    <w:rsid w:val="0095025F"/>
    <w:rsid w:val="009502E1"/>
    <w:rsid w:val="009504A7"/>
    <w:rsid w:val="00950771"/>
    <w:rsid w:val="00950880"/>
    <w:rsid w:val="009508E3"/>
    <w:rsid w:val="009508F6"/>
    <w:rsid w:val="00950B0D"/>
    <w:rsid w:val="00950CA0"/>
    <w:rsid w:val="00951456"/>
    <w:rsid w:val="009517E0"/>
    <w:rsid w:val="00951857"/>
    <w:rsid w:val="009519B7"/>
    <w:rsid w:val="009519F1"/>
    <w:rsid w:val="00951AE7"/>
    <w:rsid w:val="00952512"/>
    <w:rsid w:val="009527F3"/>
    <w:rsid w:val="00952B37"/>
    <w:rsid w:val="0095392F"/>
    <w:rsid w:val="00953CFB"/>
    <w:rsid w:val="00953D7E"/>
    <w:rsid w:val="00954436"/>
    <w:rsid w:val="0095452D"/>
    <w:rsid w:val="009549A5"/>
    <w:rsid w:val="00954B9B"/>
    <w:rsid w:val="00954BE9"/>
    <w:rsid w:val="009554C1"/>
    <w:rsid w:val="0095571E"/>
    <w:rsid w:val="009559F0"/>
    <w:rsid w:val="00955C00"/>
    <w:rsid w:val="0095625A"/>
    <w:rsid w:val="00956294"/>
    <w:rsid w:val="00956953"/>
    <w:rsid w:val="0095710B"/>
    <w:rsid w:val="00957201"/>
    <w:rsid w:val="0095765B"/>
    <w:rsid w:val="00957D66"/>
    <w:rsid w:val="00957DE7"/>
    <w:rsid w:val="00957EC0"/>
    <w:rsid w:val="00960296"/>
    <w:rsid w:val="0096054C"/>
    <w:rsid w:val="009608F1"/>
    <w:rsid w:val="00960D45"/>
    <w:rsid w:val="00960D76"/>
    <w:rsid w:val="009613EC"/>
    <w:rsid w:val="009616E0"/>
    <w:rsid w:val="009617A7"/>
    <w:rsid w:val="009617BC"/>
    <w:rsid w:val="00961DD4"/>
    <w:rsid w:val="00961E92"/>
    <w:rsid w:val="00961F62"/>
    <w:rsid w:val="00962274"/>
    <w:rsid w:val="00962507"/>
    <w:rsid w:val="009626BD"/>
    <w:rsid w:val="0096295A"/>
    <w:rsid w:val="00962FB0"/>
    <w:rsid w:val="00963048"/>
    <w:rsid w:val="009634B9"/>
    <w:rsid w:val="0096365F"/>
    <w:rsid w:val="009638C2"/>
    <w:rsid w:val="00963EE9"/>
    <w:rsid w:val="00963F2B"/>
    <w:rsid w:val="009641D5"/>
    <w:rsid w:val="00964237"/>
    <w:rsid w:val="00964CAB"/>
    <w:rsid w:val="00964D26"/>
    <w:rsid w:val="009653E0"/>
    <w:rsid w:val="009655B9"/>
    <w:rsid w:val="009655EF"/>
    <w:rsid w:val="00965BBA"/>
    <w:rsid w:val="00965E64"/>
    <w:rsid w:val="00966842"/>
    <w:rsid w:val="00966888"/>
    <w:rsid w:val="00966BE6"/>
    <w:rsid w:val="00967062"/>
    <w:rsid w:val="00967388"/>
    <w:rsid w:val="00967730"/>
    <w:rsid w:val="0096788F"/>
    <w:rsid w:val="00967943"/>
    <w:rsid w:val="009679EC"/>
    <w:rsid w:val="00967E93"/>
    <w:rsid w:val="009702BD"/>
    <w:rsid w:val="00970608"/>
    <w:rsid w:val="009708A4"/>
    <w:rsid w:val="009714F7"/>
    <w:rsid w:val="0097184B"/>
    <w:rsid w:val="00971C5A"/>
    <w:rsid w:val="00972054"/>
    <w:rsid w:val="00972323"/>
    <w:rsid w:val="0097239E"/>
    <w:rsid w:val="00972434"/>
    <w:rsid w:val="009726D8"/>
    <w:rsid w:val="009728DC"/>
    <w:rsid w:val="00972943"/>
    <w:rsid w:val="00972D13"/>
    <w:rsid w:val="009731ED"/>
    <w:rsid w:val="00973316"/>
    <w:rsid w:val="00973358"/>
    <w:rsid w:val="00973B20"/>
    <w:rsid w:val="0097456A"/>
    <w:rsid w:val="00974E60"/>
    <w:rsid w:val="00974FDA"/>
    <w:rsid w:val="009750E0"/>
    <w:rsid w:val="00975C7B"/>
    <w:rsid w:val="00975E03"/>
    <w:rsid w:val="00975FF1"/>
    <w:rsid w:val="00977127"/>
    <w:rsid w:val="009772D1"/>
    <w:rsid w:val="00977B30"/>
    <w:rsid w:val="00977E4B"/>
    <w:rsid w:val="00980157"/>
    <w:rsid w:val="0098029C"/>
    <w:rsid w:val="00980647"/>
    <w:rsid w:val="00980DE5"/>
    <w:rsid w:val="009814B0"/>
    <w:rsid w:val="00981739"/>
    <w:rsid w:val="00981A52"/>
    <w:rsid w:val="00981B08"/>
    <w:rsid w:val="00981C9B"/>
    <w:rsid w:val="00981D28"/>
    <w:rsid w:val="00981F7F"/>
    <w:rsid w:val="009822B6"/>
    <w:rsid w:val="00982752"/>
    <w:rsid w:val="009828BB"/>
    <w:rsid w:val="0098291D"/>
    <w:rsid w:val="00982BEF"/>
    <w:rsid w:val="00982DA2"/>
    <w:rsid w:val="00983002"/>
    <w:rsid w:val="00983496"/>
    <w:rsid w:val="009837FA"/>
    <w:rsid w:val="00983987"/>
    <w:rsid w:val="00983B37"/>
    <w:rsid w:val="009842C6"/>
    <w:rsid w:val="00984328"/>
    <w:rsid w:val="00984590"/>
    <w:rsid w:val="009850CA"/>
    <w:rsid w:val="00985430"/>
    <w:rsid w:val="009854E4"/>
    <w:rsid w:val="009856A4"/>
    <w:rsid w:val="009865B5"/>
    <w:rsid w:val="0098673F"/>
    <w:rsid w:val="00986CBD"/>
    <w:rsid w:val="00986CC3"/>
    <w:rsid w:val="009871D6"/>
    <w:rsid w:val="0098724D"/>
    <w:rsid w:val="009877F9"/>
    <w:rsid w:val="00987BF9"/>
    <w:rsid w:val="00987DD9"/>
    <w:rsid w:val="009902DD"/>
    <w:rsid w:val="009902FF"/>
    <w:rsid w:val="00990817"/>
    <w:rsid w:val="00990ABC"/>
    <w:rsid w:val="00990EF3"/>
    <w:rsid w:val="00990F8D"/>
    <w:rsid w:val="00991018"/>
    <w:rsid w:val="0099105B"/>
    <w:rsid w:val="009910F3"/>
    <w:rsid w:val="0099113F"/>
    <w:rsid w:val="00991255"/>
    <w:rsid w:val="00991619"/>
    <w:rsid w:val="00991693"/>
    <w:rsid w:val="00991C66"/>
    <w:rsid w:val="00991D7D"/>
    <w:rsid w:val="00991EF9"/>
    <w:rsid w:val="00992304"/>
    <w:rsid w:val="009928AE"/>
    <w:rsid w:val="009929ED"/>
    <w:rsid w:val="00992B33"/>
    <w:rsid w:val="00992B38"/>
    <w:rsid w:val="00992EA3"/>
    <w:rsid w:val="00993985"/>
    <w:rsid w:val="00993B75"/>
    <w:rsid w:val="0099408C"/>
    <w:rsid w:val="0099473A"/>
    <w:rsid w:val="00994B60"/>
    <w:rsid w:val="00994FEE"/>
    <w:rsid w:val="0099522D"/>
    <w:rsid w:val="0099534E"/>
    <w:rsid w:val="00995782"/>
    <w:rsid w:val="00995A39"/>
    <w:rsid w:val="00995B22"/>
    <w:rsid w:val="009963E8"/>
    <w:rsid w:val="00996EB3"/>
    <w:rsid w:val="009970B1"/>
    <w:rsid w:val="009973EB"/>
    <w:rsid w:val="009979BD"/>
    <w:rsid w:val="00997DA0"/>
    <w:rsid w:val="00997FEF"/>
    <w:rsid w:val="009A003D"/>
    <w:rsid w:val="009A00AD"/>
    <w:rsid w:val="009A02B0"/>
    <w:rsid w:val="009A0352"/>
    <w:rsid w:val="009A06D0"/>
    <w:rsid w:val="009A072B"/>
    <w:rsid w:val="009A1352"/>
    <w:rsid w:val="009A1604"/>
    <w:rsid w:val="009A1695"/>
    <w:rsid w:val="009A1D47"/>
    <w:rsid w:val="009A1D88"/>
    <w:rsid w:val="009A1FCB"/>
    <w:rsid w:val="009A22DB"/>
    <w:rsid w:val="009A26DA"/>
    <w:rsid w:val="009A29B0"/>
    <w:rsid w:val="009A2C98"/>
    <w:rsid w:val="009A3330"/>
    <w:rsid w:val="009A3855"/>
    <w:rsid w:val="009A4056"/>
    <w:rsid w:val="009A42C5"/>
    <w:rsid w:val="009A4345"/>
    <w:rsid w:val="009A4B45"/>
    <w:rsid w:val="009A51A4"/>
    <w:rsid w:val="009A5509"/>
    <w:rsid w:val="009A560F"/>
    <w:rsid w:val="009A5E14"/>
    <w:rsid w:val="009A5F71"/>
    <w:rsid w:val="009A6329"/>
    <w:rsid w:val="009A639A"/>
    <w:rsid w:val="009A6C6B"/>
    <w:rsid w:val="009A6C90"/>
    <w:rsid w:val="009A6CB0"/>
    <w:rsid w:val="009A71DD"/>
    <w:rsid w:val="009A755C"/>
    <w:rsid w:val="009A7841"/>
    <w:rsid w:val="009B008B"/>
    <w:rsid w:val="009B024D"/>
    <w:rsid w:val="009B0621"/>
    <w:rsid w:val="009B070D"/>
    <w:rsid w:val="009B086A"/>
    <w:rsid w:val="009B14CC"/>
    <w:rsid w:val="009B1595"/>
    <w:rsid w:val="009B275A"/>
    <w:rsid w:val="009B28F2"/>
    <w:rsid w:val="009B2967"/>
    <w:rsid w:val="009B2D8C"/>
    <w:rsid w:val="009B2E20"/>
    <w:rsid w:val="009B30C2"/>
    <w:rsid w:val="009B3294"/>
    <w:rsid w:val="009B39EC"/>
    <w:rsid w:val="009B40A0"/>
    <w:rsid w:val="009B4406"/>
    <w:rsid w:val="009B48A5"/>
    <w:rsid w:val="009B4B93"/>
    <w:rsid w:val="009B4CCE"/>
    <w:rsid w:val="009B612B"/>
    <w:rsid w:val="009B61F1"/>
    <w:rsid w:val="009B6211"/>
    <w:rsid w:val="009B63BF"/>
    <w:rsid w:val="009B64B7"/>
    <w:rsid w:val="009B6625"/>
    <w:rsid w:val="009B6AE1"/>
    <w:rsid w:val="009B6EA8"/>
    <w:rsid w:val="009B7122"/>
    <w:rsid w:val="009B7243"/>
    <w:rsid w:val="009B7264"/>
    <w:rsid w:val="009B7719"/>
    <w:rsid w:val="009B7835"/>
    <w:rsid w:val="009B7C4E"/>
    <w:rsid w:val="009C0575"/>
    <w:rsid w:val="009C0936"/>
    <w:rsid w:val="009C0CCD"/>
    <w:rsid w:val="009C0E89"/>
    <w:rsid w:val="009C18F3"/>
    <w:rsid w:val="009C1BF9"/>
    <w:rsid w:val="009C1C3A"/>
    <w:rsid w:val="009C1F50"/>
    <w:rsid w:val="009C225B"/>
    <w:rsid w:val="009C23EE"/>
    <w:rsid w:val="009C2778"/>
    <w:rsid w:val="009C29CA"/>
    <w:rsid w:val="009C2F43"/>
    <w:rsid w:val="009C2FAF"/>
    <w:rsid w:val="009C3030"/>
    <w:rsid w:val="009C3978"/>
    <w:rsid w:val="009C3AAF"/>
    <w:rsid w:val="009C3DB1"/>
    <w:rsid w:val="009C407C"/>
    <w:rsid w:val="009C476C"/>
    <w:rsid w:val="009C47C7"/>
    <w:rsid w:val="009C4A57"/>
    <w:rsid w:val="009C4D26"/>
    <w:rsid w:val="009C4F27"/>
    <w:rsid w:val="009C5091"/>
    <w:rsid w:val="009C50C8"/>
    <w:rsid w:val="009C50CE"/>
    <w:rsid w:val="009C58BF"/>
    <w:rsid w:val="009C5BF8"/>
    <w:rsid w:val="009C5DE9"/>
    <w:rsid w:val="009C5E3E"/>
    <w:rsid w:val="009C5F7F"/>
    <w:rsid w:val="009C65A0"/>
    <w:rsid w:val="009C65E7"/>
    <w:rsid w:val="009C6893"/>
    <w:rsid w:val="009C68C1"/>
    <w:rsid w:val="009C6C50"/>
    <w:rsid w:val="009C6D26"/>
    <w:rsid w:val="009C6D7F"/>
    <w:rsid w:val="009C70E9"/>
    <w:rsid w:val="009C7929"/>
    <w:rsid w:val="009D0648"/>
    <w:rsid w:val="009D08A8"/>
    <w:rsid w:val="009D0D3B"/>
    <w:rsid w:val="009D0E58"/>
    <w:rsid w:val="009D0FEF"/>
    <w:rsid w:val="009D1654"/>
    <w:rsid w:val="009D2165"/>
    <w:rsid w:val="009D30B6"/>
    <w:rsid w:val="009D32CC"/>
    <w:rsid w:val="009D35DC"/>
    <w:rsid w:val="009D3F24"/>
    <w:rsid w:val="009D46A9"/>
    <w:rsid w:val="009D48F3"/>
    <w:rsid w:val="009D4A8E"/>
    <w:rsid w:val="009D4AB2"/>
    <w:rsid w:val="009D55B0"/>
    <w:rsid w:val="009D591C"/>
    <w:rsid w:val="009D60DB"/>
    <w:rsid w:val="009D66A1"/>
    <w:rsid w:val="009D6DBF"/>
    <w:rsid w:val="009D7192"/>
    <w:rsid w:val="009D7308"/>
    <w:rsid w:val="009D756E"/>
    <w:rsid w:val="009E060C"/>
    <w:rsid w:val="009E09B6"/>
    <w:rsid w:val="009E116C"/>
    <w:rsid w:val="009E1600"/>
    <w:rsid w:val="009E194D"/>
    <w:rsid w:val="009E1A6D"/>
    <w:rsid w:val="009E1BC2"/>
    <w:rsid w:val="009E20F4"/>
    <w:rsid w:val="009E2970"/>
    <w:rsid w:val="009E2B2F"/>
    <w:rsid w:val="009E314B"/>
    <w:rsid w:val="009E34A7"/>
    <w:rsid w:val="009E3797"/>
    <w:rsid w:val="009E3AA8"/>
    <w:rsid w:val="009E3C69"/>
    <w:rsid w:val="009E4710"/>
    <w:rsid w:val="009E4C32"/>
    <w:rsid w:val="009E4FA4"/>
    <w:rsid w:val="009E542C"/>
    <w:rsid w:val="009E5AB4"/>
    <w:rsid w:val="009E5DA2"/>
    <w:rsid w:val="009E60A4"/>
    <w:rsid w:val="009E62BC"/>
    <w:rsid w:val="009E64AA"/>
    <w:rsid w:val="009E66D4"/>
    <w:rsid w:val="009E66D8"/>
    <w:rsid w:val="009E67BB"/>
    <w:rsid w:val="009E6AA6"/>
    <w:rsid w:val="009E6D74"/>
    <w:rsid w:val="009E740E"/>
    <w:rsid w:val="009E7863"/>
    <w:rsid w:val="009E7865"/>
    <w:rsid w:val="009E7875"/>
    <w:rsid w:val="009E792F"/>
    <w:rsid w:val="009E7A4C"/>
    <w:rsid w:val="009E7D9A"/>
    <w:rsid w:val="009F04FD"/>
    <w:rsid w:val="009F0506"/>
    <w:rsid w:val="009F0603"/>
    <w:rsid w:val="009F0B34"/>
    <w:rsid w:val="009F0E45"/>
    <w:rsid w:val="009F13DB"/>
    <w:rsid w:val="009F18EF"/>
    <w:rsid w:val="009F1B63"/>
    <w:rsid w:val="009F1EF0"/>
    <w:rsid w:val="009F28A1"/>
    <w:rsid w:val="009F32DE"/>
    <w:rsid w:val="009F3398"/>
    <w:rsid w:val="009F343E"/>
    <w:rsid w:val="009F37A4"/>
    <w:rsid w:val="009F3B72"/>
    <w:rsid w:val="009F3BFD"/>
    <w:rsid w:val="009F4798"/>
    <w:rsid w:val="009F4B13"/>
    <w:rsid w:val="009F4EE9"/>
    <w:rsid w:val="009F4F64"/>
    <w:rsid w:val="009F504D"/>
    <w:rsid w:val="009F5577"/>
    <w:rsid w:val="009F5605"/>
    <w:rsid w:val="009F58E4"/>
    <w:rsid w:val="009F5B47"/>
    <w:rsid w:val="009F67A7"/>
    <w:rsid w:val="009F6A42"/>
    <w:rsid w:val="009F6E49"/>
    <w:rsid w:val="009F6F3A"/>
    <w:rsid w:val="009F7420"/>
    <w:rsid w:val="009F76DB"/>
    <w:rsid w:val="009F77AA"/>
    <w:rsid w:val="009F79EF"/>
    <w:rsid w:val="009F7CA8"/>
    <w:rsid w:val="00A001E1"/>
    <w:rsid w:val="00A005C2"/>
    <w:rsid w:val="00A00834"/>
    <w:rsid w:val="00A009B6"/>
    <w:rsid w:val="00A01106"/>
    <w:rsid w:val="00A01199"/>
    <w:rsid w:val="00A014B3"/>
    <w:rsid w:val="00A018A8"/>
    <w:rsid w:val="00A01E1A"/>
    <w:rsid w:val="00A0211E"/>
    <w:rsid w:val="00A02D06"/>
    <w:rsid w:val="00A02FAE"/>
    <w:rsid w:val="00A033C4"/>
    <w:rsid w:val="00A0418C"/>
    <w:rsid w:val="00A047DC"/>
    <w:rsid w:val="00A05016"/>
    <w:rsid w:val="00A0529D"/>
    <w:rsid w:val="00A05FC3"/>
    <w:rsid w:val="00A060C0"/>
    <w:rsid w:val="00A0655B"/>
    <w:rsid w:val="00A06C9F"/>
    <w:rsid w:val="00A07177"/>
    <w:rsid w:val="00A07295"/>
    <w:rsid w:val="00A07373"/>
    <w:rsid w:val="00A07886"/>
    <w:rsid w:val="00A07A2D"/>
    <w:rsid w:val="00A10722"/>
    <w:rsid w:val="00A108FC"/>
    <w:rsid w:val="00A10B56"/>
    <w:rsid w:val="00A10E9D"/>
    <w:rsid w:val="00A10F52"/>
    <w:rsid w:val="00A110F0"/>
    <w:rsid w:val="00A11402"/>
    <w:rsid w:val="00A115CD"/>
    <w:rsid w:val="00A1162E"/>
    <w:rsid w:val="00A1170B"/>
    <w:rsid w:val="00A11885"/>
    <w:rsid w:val="00A1223E"/>
    <w:rsid w:val="00A125BF"/>
    <w:rsid w:val="00A12827"/>
    <w:rsid w:val="00A128FC"/>
    <w:rsid w:val="00A12A73"/>
    <w:rsid w:val="00A12F44"/>
    <w:rsid w:val="00A12F72"/>
    <w:rsid w:val="00A135BE"/>
    <w:rsid w:val="00A135F5"/>
    <w:rsid w:val="00A1374F"/>
    <w:rsid w:val="00A13CD0"/>
    <w:rsid w:val="00A13DDF"/>
    <w:rsid w:val="00A15600"/>
    <w:rsid w:val="00A1561F"/>
    <w:rsid w:val="00A158D1"/>
    <w:rsid w:val="00A15930"/>
    <w:rsid w:val="00A15EB3"/>
    <w:rsid w:val="00A15F99"/>
    <w:rsid w:val="00A16307"/>
    <w:rsid w:val="00A16712"/>
    <w:rsid w:val="00A1675A"/>
    <w:rsid w:val="00A1707A"/>
    <w:rsid w:val="00A170B8"/>
    <w:rsid w:val="00A17326"/>
    <w:rsid w:val="00A1796F"/>
    <w:rsid w:val="00A179AD"/>
    <w:rsid w:val="00A17C20"/>
    <w:rsid w:val="00A17D7B"/>
    <w:rsid w:val="00A17F42"/>
    <w:rsid w:val="00A20622"/>
    <w:rsid w:val="00A20AD5"/>
    <w:rsid w:val="00A20CE4"/>
    <w:rsid w:val="00A20FB3"/>
    <w:rsid w:val="00A2101E"/>
    <w:rsid w:val="00A21822"/>
    <w:rsid w:val="00A219DF"/>
    <w:rsid w:val="00A21C7E"/>
    <w:rsid w:val="00A21CAB"/>
    <w:rsid w:val="00A21DB2"/>
    <w:rsid w:val="00A21DC9"/>
    <w:rsid w:val="00A21E90"/>
    <w:rsid w:val="00A2216F"/>
    <w:rsid w:val="00A2220F"/>
    <w:rsid w:val="00A222EE"/>
    <w:rsid w:val="00A22495"/>
    <w:rsid w:val="00A22AB2"/>
    <w:rsid w:val="00A22AEF"/>
    <w:rsid w:val="00A22C0A"/>
    <w:rsid w:val="00A22CDF"/>
    <w:rsid w:val="00A22D91"/>
    <w:rsid w:val="00A23272"/>
    <w:rsid w:val="00A233BC"/>
    <w:rsid w:val="00A23729"/>
    <w:rsid w:val="00A239DC"/>
    <w:rsid w:val="00A23ACC"/>
    <w:rsid w:val="00A24E6E"/>
    <w:rsid w:val="00A25EF6"/>
    <w:rsid w:val="00A26200"/>
    <w:rsid w:val="00A26591"/>
    <w:rsid w:val="00A266EE"/>
    <w:rsid w:val="00A268A2"/>
    <w:rsid w:val="00A2690A"/>
    <w:rsid w:val="00A26C32"/>
    <w:rsid w:val="00A27188"/>
    <w:rsid w:val="00A2744E"/>
    <w:rsid w:val="00A2795A"/>
    <w:rsid w:val="00A27CBD"/>
    <w:rsid w:val="00A27F55"/>
    <w:rsid w:val="00A30131"/>
    <w:rsid w:val="00A302C8"/>
    <w:rsid w:val="00A3037C"/>
    <w:rsid w:val="00A30976"/>
    <w:rsid w:val="00A30990"/>
    <w:rsid w:val="00A31617"/>
    <w:rsid w:val="00A31779"/>
    <w:rsid w:val="00A31C00"/>
    <w:rsid w:val="00A31CE8"/>
    <w:rsid w:val="00A320E8"/>
    <w:rsid w:val="00A32582"/>
    <w:rsid w:val="00A32C3B"/>
    <w:rsid w:val="00A33353"/>
    <w:rsid w:val="00A33B92"/>
    <w:rsid w:val="00A342E0"/>
    <w:rsid w:val="00A342F3"/>
    <w:rsid w:val="00A34416"/>
    <w:rsid w:val="00A347C0"/>
    <w:rsid w:val="00A3499E"/>
    <w:rsid w:val="00A34DAB"/>
    <w:rsid w:val="00A34FC1"/>
    <w:rsid w:val="00A3508C"/>
    <w:rsid w:val="00A350EC"/>
    <w:rsid w:val="00A35124"/>
    <w:rsid w:val="00A351E0"/>
    <w:rsid w:val="00A3555B"/>
    <w:rsid w:val="00A356CD"/>
    <w:rsid w:val="00A3583F"/>
    <w:rsid w:val="00A35CFC"/>
    <w:rsid w:val="00A35DFA"/>
    <w:rsid w:val="00A36193"/>
    <w:rsid w:val="00A3653C"/>
    <w:rsid w:val="00A36FF0"/>
    <w:rsid w:val="00A372C8"/>
    <w:rsid w:val="00A37A00"/>
    <w:rsid w:val="00A37AFF"/>
    <w:rsid w:val="00A400ED"/>
    <w:rsid w:val="00A401C5"/>
    <w:rsid w:val="00A40279"/>
    <w:rsid w:val="00A40A3C"/>
    <w:rsid w:val="00A40A65"/>
    <w:rsid w:val="00A40A74"/>
    <w:rsid w:val="00A40AD7"/>
    <w:rsid w:val="00A410E8"/>
    <w:rsid w:val="00A41337"/>
    <w:rsid w:val="00A4191C"/>
    <w:rsid w:val="00A41AB0"/>
    <w:rsid w:val="00A41AD1"/>
    <w:rsid w:val="00A41B78"/>
    <w:rsid w:val="00A421B8"/>
    <w:rsid w:val="00A42274"/>
    <w:rsid w:val="00A426F3"/>
    <w:rsid w:val="00A428DF"/>
    <w:rsid w:val="00A42FCB"/>
    <w:rsid w:val="00A433D3"/>
    <w:rsid w:val="00A445C3"/>
    <w:rsid w:val="00A4463D"/>
    <w:rsid w:val="00A4484D"/>
    <w:rsid w:val="00A44FCE"/>
    <w:rsid w:val="00A45F4F"/>
    <w:rsid w:val="00A463CD"/>
    <w:rsid w:val="00A464BC"/>
    <w:rsid w:val="00A46C78"/>
    <w:rsid w:val="00A46F9A"/>
    <w:rsid w:val="00A473FE"/>
    <w:rsid w:val="00A47817"/>
    <w:rsid w:val="00A47CE6"/>
    <w:rsid w:val="00A506F3"/>
    <w:rsid w:val="00A509FE"/>
    <w:rsid w:val="00A50A36"/>
    <w:rsid w:val="00A50BDB"/>
    <w:rsid w:val="00A50C24"/>
    <w:rsid w:val="00A50D2E"/>
    <w:rsid w:val="00A50DB4"/>
    <w:rsid w:val="00A50F0A"/>
    <w:rsid w:val="00A515EB"/>
    <w:rsid w:val="00A51AC4"/>
    <w:rsid w:val="00A51D15"/>
    <w:rsid w:val="00A51E56"/>
    <w:rsid w:val="00A51F13"/>
    <w:rsid w:val="00A51F45"/>
    <w:rsid w:val="00A51F56"/>
    <w:rsid w:val="00A52078"/>
    <w:rsid w:val="00A52566"/>
    <w:rsid w:val="00A5271B"/>
    <w:rsid w:val="00A5272F"/>
    <w:rsid w:val="00A52AC6"/>
    <w:rsid w:val="00A52C6F"/>
    <w:rsid w:val="00A52E1C"/>
    <w:rsid w:val="00A52E49"/>
    <w:rsid w:val="00A530F1"/>
    <w:rsid w:val="00A536CB"/>
    <w:rsid w:val="00A5388B"/>
    <w:rsid w:val="00A53F2E"/>
    <w:rsid w:val="00A548AC"/>
    <w:rsid w:val="00A54994"/>
    <w:rsid w:val="00A54A22"/>
    <w:rsid w:val="00A54CF8"/>
    <w:rsid w:val="00A55496"/>
    <w:rsid w:val="00A5604E"/>
    <w:rsid w:val="00A561D5"/>
    <w:rsid w:val="00A56326"/>
    <w:rsid w:val="00A569D3"/>
    <w:rsid w:val="00A56A29"/>
    <w:rsid w:val="00A56AD3"/>
    <w:rsid w:val="00A56C10"/>
    <w:rsid w:val="00A57488"/>
    <w:rsid w:val="00A57955"/>
    <w:rsid w:val="00A600A9"/>
    <w:rsid w:val="00A604DA"/>
    <w:rsid w:val="00A607E3"/>
    <w:rsid w:val="00A60A72"/>
    <w:rsid w:val="00A610B1"/>
    <w:rsid w:val="00A61190"/>
    <w:rsid w:val="00A61271"/>
    <w:rsid w:val="00A61429"/>
    <w:rsid w:val="00A617C0"/>
    <w:rsid w:val="00A61FD8"/>
    <w:rsid w:val="00A6280D"/>
    <w:rsid w:val="00A62E25"/>
    <w:rsid w:val="00A62E29"/>
    <w:rsid w:val="00A633C1"/>
    <w:rsid w:val="00A63C4C"/>
    <w:rsid w:val="00A63E73"/>
    <w:rsid w:val="00A642A7"/>
    <w:rsid w:val="00A642C2"/>
    <w:rsid w:val="00A644A8"/>
    <w:rsid w:val="00A644FA"/>
    <w:rsid w:val="00A646F1"/>
    <w:rsid w:val="00A64DF4"/>
    <w:rsid w:val="00A651F9"/>
    <w:rsid w:val="00A65483"/>
    <w:rsid w:val="00A655B1"/>
    <w:rsid w:val="00A65733"/>
    <w:rsid w:val="00A65935"/>
    <w:rsid w:val="00A65F4E"/>
    <w:rsid w:val="00A65F57"/>
    <w:rsid w:val="00A6656E"/>
    <w:rsid w:val="00A66963"/>
    <w:rsid w:val="00A66C6B"/>
    <w:rsid w:val="00A67267"/>
    <w:rsid w:val="00A674A4"/>
    <w:rsid w:val="00A67BF8"/>
    <w:rsid w:val="00A67D8D"/>
    <w:rsid w:val="00A708E3"/>
    <w:rsid w:val="00A70A1E"/>
    <w:rsid w:val="00A70A5E"/>
    <w:rsid w:val="00A714D7"/>
    <w:rsid w:val="00A719DD"/>
    <w:rsid w:val="00A71AF3"/>
    <w:rsid w:val="00A71E17"/>
    <w:rsid w:val="00A71E72"/>
    <w:rsid w:val="00A733A0"/>
    <w:rsid w:val="00A74077"/>
    <w:rsid w:val="00A74607"/>
    <w:rsid w:val="00A74C95"/>
    <w:rsid w:val="00A74D34"/>
    <w:rsid w:val="00A74FAD"/>
    <w:rsid w:val="00A751CA"/>
    <w:rsid w:val="00A75536"/>
    <w:rsid w:val="00A75665"/>
    <w:rsid w:val="00A762F1"/>
    <w:rsid w:val="00A76A1B"/>
    <w:rsid w:val="00A76C4E"/>
    <w:rsid w:val="00A7716F"/>
    <w:rsid w:val="00A771B9"/>
    <w:rsid w:val="00A77A11"/>
    <w:rsid w:val="00A800E4"/>
    <w:rsid w:val="00A8031A"/>
    <w:rsid w:val="00A804CD"/>
    <w:rsid w:val="00A8051A"/>
    <w:rsid w:val="00A8063D"/>
    <w:rsid w:val="00A809B5"/>
    <w:rsid w:val="00A809ED"/>
    <w:rsid w:val="00A80A26"/>
    <w:rsid w:val="00A80AA2"/>
    <w:rsid w:val="00A80CEF"/>
    <w:rsid w:val="00A80CF3"/>
    <w:rsid w:val="00A80D2A"/>
    <w:rsid w:val="00A80ED8"/>
    <w:rsid w:val="00A814AF"/>
    <w:rsid w:val="00A815F8"/>
    <w:rsid w:val="00A8179A"/>
    <w:rsid w:val="00A818BA"/>
    <w:rsid w:val="00A81B1F"/>
    <w:rsid w:val="00A81B21"/>
    <w:rsid w:val="00A81C2A"/>
    <w:rsid w:val="00A827A6"/>
    <w:rsid w:val="00A82C2A"/>
    <w:rsid w:val="00A830C9"/>
    <w:rsid w:val="00A830DD"/>
    <w:rsid w:val="00A84249"/>
    <w:rsid w:val="00A8426E"/>
    <w:rsid w:val="00A847D9"/>
    <w:rsid w:val="00A84B02"/>
    <w:rsid w:val="00A84CD7"/>
    <w:rsid w:val="00A84E8D"/>
    <w:rsid w:val="00A85180"/>
    <w:rsid w:val="00A854B0"/>
    <w:rsid w:val="00A85584"/>
    <w:rsid w:val="00A8579A"/>
    <w:rsid w:val="00A859FB"/>
    <w:rsid w:val="00A85CBF"/>
    <w:rsid w:val="00A86721"/>
    <w:rsid w:val="00A86C5C"/>
    <w:rsid w:val="00A87006"/>
    <w:rsid w:val="00A8721D"/>
    <w:rsid w:val="00A8790D"/>
    <w:rsid w:val="00A87A95"/>
    <w:rsid w:val="00A87CC9"/>
    <w:rsid w:val="00A87EBB"/>
    <w:rsid w:val="00A901A0"/>
    <w:rsid w:val="00A90219"/>
    <w:rsid w:val="00A90356"/>
    <w:rsid w:val="00A903D2"/>
    <w:rsid w:val="00A90501"/>
    <w:rsid w:val="00A90566"/>
    <w:rsid w:val="00A90621"/>
    <w:rsid w:val="00A90777"/>
    <w:rsid w:val="00A90AA3"/>
    <w:rsid w:val="00A90BFE"/>
    <w:rsid w:val="00A9107D"/>
    <w:rsid w:val="00A91321"/>
    <w:rsid w:val="00A915A3"/>
    <w:rsid w:val="00A91924"/>
    <w:rsid w:val="00A91F25"/>
    <w:rsid w:val="00A92252"/>
    <w:rsid w:val="00A92425"/>
    <w:rsid w:val="00A92508"/>
    <w:rsid w:val="00A9254F"/>
    <w:rsid w:val="00A92956"/>
    <w:rsid w:val="00A92E84"/>
    <w:rsid w:val="00A930F9"/>
    <w:rsid w:val="00A93333"/>
    <w:rsid w:val="00A937CA"/>
    <w:rsid w:val="00A93C58"/>
    <w:rsid w:val="00A94226"/>
    <w:rsid w:val="00A9424D"/>
    <w:rsid w:val="00A946AA"/>
    <w:rsid w:val="00A94776"/>
    <w:rsid w:val="00A947D9"/>
    <w:rsid w:val="00A94B79"/>
    <w:rsid w:val="00A94C26"/>
    <w:rsid w:val="00A94D91"/>
    <w:rsid w:val="00A955B2"/>
    <w:rsid w:val="00A95886"/>
    <w:rsid w:val="00A95C9A"/>
    <w:rsid w:val="00A95CC5"/>
    <w:rsid w:val="00A96165"/>
    <w:rsid w:val="00A967ED"/>
    <w:rsid w:val="00A96EF4"/>
    <w:rsid w:val="00A97204"/>
    <w:rsid w:val="00A97361"/>
    <w:rsid w:val="00A97974"/>
    <w:rsid w:val="00AA00FD"/>
    <w:rsid w:val="00AA0EA6"/>
    <w:rsid w:val="00AA11DD"/>
    <w:rsid w:val="00AA14DA"/>
    <w:rsid w:val="00AA18D6"/>
    <w:rsid w:val="00AA1BEF"/>
    <w:rsid w:val="00AA2468"/>
    <w:rsid w:val="00AA2C92"/>
    <w:rsid w:val="00AA3399"/>
    <w:rsid w:val="00AA3AB8"/>
    <w:rsid w:val="00AA3C2B"/>
    <w:rsid w:val="00AA3C50"/>
    <w:rsid w:val="00AA3E4E"/>
    <w:rsid w:val="00AA46CF"/>
    <w:rsid w:val="00AA48C2"/>
    <w:rsid w:val="00AA4A9B"/>
    <w:rsid w:val="00AA4F42"/>
    <w:rsid w:val="00AA5357"/>
    <w:rsid w:val="00AA55B7"/>
    <w:rsid w:val="00AA5A2D"/>
    <w:rsid w:val="00AA5B9E"/>
    <w:rsid w:val="00AA5C39"/>
    <w:rsid w:val="00AA5E7C"/>
    <w:rsid w:val="00AA6672"/>
    <w:rsid w:val="00AA66C3"/>
    <w:rsid w:val="00AA70EF"/>
    <w:rsid w:val="00AA7CFA"/>
    <w:rsid w:val="00AA7D5E"/>
    <w:rsid w:val="00AB0590"/>
    <w:rsid w:val="00AB0E4F"/>
    <w:rsid w:val="00AB0EFF"/>
    <w:rsid w:val="00AB1794"/>
    <w:rsid w:val="00AB1929"/>
    <w:rsid w:val="00AB1CD1"/>
    <w:rsid w:val="00AB1D7E"/>
    <w:rsid w:val="00AB22CF"/>
    <w:rsid w:val="00AB2353"/>
    <w:rsid w:val="00AB2407"/>
    <w:rsid w:val="00AB29A1"/>
    <w:rsid w:val="00AB3452"/>
    <w:rsid w:val="00AB36D1"/>
    <w:rsid w:val="00AB37EB"/>
    <w:rsid w:val="00AB3B50"/>
    <w:rsid w:val="00AB533E"/>
    <w:rsid w:val="00AB539C"/>
    <w:rsid w:val="00AB53DF"/>
    <w:rsid w:val="00AB544A"/>
    <w:rsid w:val="00AB596A"/>
    <w:rsid w:val="00AB5BE6"/>
    <w:rsid w:val="00AB5CBC"/>
    <w:rsid w:val="00AB5FA5"/>
    <w:rsid w:val="00AB5FF4"/>
    <w:rsid w:val="00AB64D6"/>
    <w:rsid w:val="00AB66F2"/>
    <w:rsid w:val="00AB6E27"/>
    <w:rsid w:val="00AB7579"/>
    <w:rsid w:val="00AB76C5"/>
    <w:rsid w:val="00AB7766"/>
    <w:rsid w:val="00AB7A64"/>
    <w:rsid w:val="00AC04A2"/>
    <w:rsid w:val="00AC04D0"/>
    <w:rsid w:val="00AC0AD2"/>
    <w:rsid w:val="00AC1A6D"/>
    <w:rsid w:val="00AC2495"/>
    <w:rsid w:val="00AC2885"/>
    <w:rsid w:val="00AC2CF8"/>
    <w:rsid w:val="00AC3541"/>
    <w:rsid w:val="00AC36C8"/>
    <w:rsid w:val="00AC371C"/>
    <w:rsid w:val="00AC37ED"/>
    <w:rsid w:val="00AC3859"/>
    <w:rsid w:val="00AC4078"/>
    <w:rsid w:val="00AC439A"/>
    <w:rsid w:val="00AC47DA"/>
    <w:rsid w:val="00AC4C0D"/>
    <w:rsid w:val="00AC518E"/>
    <w:rsid w:val="00AC5CDE"/>
    <w:rsid w:val="00AC5E5D"/>
    <w:rsid w:val="00AC6184"/>
    <w:rsid w:val="00AC64D7"/>
    <w:rsid w:val="00AC6936"/>
    <w:rsid w:val="00AC6A32"/>
    <w:rsid w:val="00AC6C0C"/>
    <w:rsid w:val="00AC6C43"/>
    <w:rsid w:val="00AC7473"/>
    <w:rsid w:val="00AC7512"/>
    <w:rsid w:val="00AC7BFF"/>
    <w:rsid w:val="00AC7E5C"/>
    <w:rsid w:val="00AC7F45"/>
    <w:rsid w:val="00AD0325"/>
    <w:rsid w:val="00AD0563"/>
    <w:rsid w:val="00AD0619"/>
    <w:rsid w:val="00AD0798"/>
    <w:rsid w:val="00AD0AA4"/>
    <w:rsid w:val="00AD0AF4"/>
    <w:rsid w:val="00AD10A0"/>
    <w:rsid w:val="00AD14B5"/>
    <w:rsid w:val="00AD17C3"/>
    <w:rsid w:val="00AD2394"/>
    <w:rsid w:val="00AD2535"/>
    <w:rsid w:val="00AD25DA"/>
    <w:rsid w:val="00AD287C"/>
    <w:rsid w:val="00AD29EA"/>
    <w:rsid w:val="00AD2BC5"/>
    <w:rsid w:val="00AD2F99"/>
    <w:rsid w:val="00AD3325"/>
    <w:rsid w:val="00AD36F8"/>
    <w:rsid w:val="00AD3C6D"/>
    <w:rsid w:val="00AD4B49"/>
    <w:rsid w:val="00AD4E32"/>
    <w:rsid w:val="00AD4E84"/>
    <w:rsid w:val="00AD4F80"/>
    <w:rsid w:val="00AD6074"/>
    <w:rsid w:val="00AD6113"/>
    <w:rsid w:val="00AD628B"/>
    <w:rsid w:val="00AD636E"/>
    <w:rsid w:val="00AD6406"/>
    <w:rsid w:val="00AD67AA"/>
    <w:rsid w:val="00AD6991"/>
    <w:rsid w:val="00AD6D11"/>
    <w:rsid w:val="00AD6D76"/>
    <w:rsid w:val="00AD6E41"/>
    <w:rsid w:val="00AD7039"/>
    <w:rsid w:val="00AD704A"/>
    <w:rsid w:val="00AD7205"/>
    <w:rsid w:val="00AD7365"/>
    <w:rsid w:val="00AD7570"/>
    <w:rsid w:val="00AD75F2"/>
    <w:rsid w:val="00AD79CC"/>
    <w:rsid w:val="00AE086D"/>
    <w:rsid w:val="00AE0B09"/>
    <w:rsid w:val="00AE105E"/>
    <w:rsid w:val="00AE10B1"/>
    <w:rsid w:val="00AE259E"/>
    <w:rsid w:val="00AE2BFF"/>
    <w:rsid w:val="00AE2C6F"/>
    <w:rsid w:val="00AE2E7E"/>
    <w:rsid w:val="00AE3521"/>
    <w:rsid w:val="00AE36C7"/>
    <w:rsid w:val="00AE384A"/>
    <w:rsid w:val="00AE3926"/>
    <w:rsid w:val="00AE39A5"/>
    <w:rsid w:val="00AE3A7D"/>
    <w:rsid w:val="00AE3E8E"/>
    <w:rsid w:val="00AE3FDC"/>
    <w:rsid w:val="00AE3FDE"/>
    <w:rsid w:val="00AE4107"/>
    <w:rsid w:val="00AE4184"/>
    <w:rsid w:val="00AE41FA"/>
    <w:rsid w:val="00AE4225"/>
    <w:rsid w:val="00AE4694"/>
    <w:rsid w:val="00AE4735"/>
    <w:rsid w:val="00AE4E11"/>
    <w:rsid w:val="00AE54B2"/>
    <w:rsid w:val="00AE56A6"/>
    <w:rsid w:val="00AE56FE"/>
    <w:rsid w:val="00AE5EE0"/>
    <w:rsid w:val="00AE69CE"/>
    <w:rsid w:val="00AE6E22"/>
    <w:rsid w:val="00AE6EB9"/>
    <w:rsid w:val="00AE7121"/>
    <w:rsid w:val="00AE7159"/>
    <w:rsid w:val="00AE71A0"/>
    <w:rsid w:val="00AE7427"/>
    <w:rsid w:val="00AE74D1"/>
    <w:rsid w:val="00AE75AA"/>
    <w:rsid w:val="00AE7DF8"/>
    <w:rsid w:val="00AF0D00"/>
    <w:rsid w:val="00AF0D6F"/>
    <w:rsid w:val="00AF146E"/>
    <w:rsid w:val="00AF1F0C"/>
    <w:rsid w:val="00AF216E"/>
    <w:rsid w:val="00AF3642"/>
    <w:rsid w:val="00AF3A0F"/>
    <w:rsid w:val="00AF3BD1"/>
    <w:rsid w:val="00AF447D"/>
    <w:rsid w:val="00AF49C9"/>
    <w:rsid w:val="00AF5953"/>
    <w:rsid w:val="00AF5A9A"/>
    <w:rsid w:val="00AF5D7F"/>
    <w:rsid w:val="00AF5E29"/>
    <w:rsid w:val="00AF612B"/>
    <w:rsid w:val="00AF6224"/>
    <w:rsid w:val="00AF6358"/>
    <w:rsid w:val="00AF63C4"/>
    <w:rsid w:val="00AF6659"/>
    <w:rsid w:val="00AF6E00"/>
    <w:rsid w:val="00AF6F3F"/>
    <w:rsid w:val="00AF7091"/>
    <w:rsid w:val="00AF7DDF"/>
    <w:rsid w:val="00B004A5"/>
    <w:rsid w:val="00B006DC"/>
    <w:rsid w:val="00B00B1F"/>
    <w:rsid w:val="00B00C14"/>
    <w:rsid w:val="00B00C80"/>
    <w:rsid w:val="00B00ED7"/>
    <w:rsid w:val="00B0143F"/>
    <w:rsid w:val="00B01A02"/>
    <w:rsid w:val="00B01BE7"/>
    <w:rsid w:val="00B01E95"/>
    <w:rsid w:val="00B02342"/>
    <w:rsid w:val="00B025B0"/>
    <w:rsid w:val="00B027BB"/>
    <w:rsid w:val="00B0285F"/>
    <w:rsid w:val="00B02962"/>
    <w:rsid w:val="00B02972"/>
    <w:rsid w:val="00B02B25"/>
    <w:rsid w:val="00B02C7E"/>
    <w:rsid w:val="00B034C4"/>
    <w:rsid w:val="00B034EC"/>
    <w:rsid w:val="00B051FF"/>
    <w:rsid w:val="00B05DB3"/>
    <w:rsid w:val="00B05F98"/>
    <w:rsid w:val="00B06048"/>
    <w:rsid w:val="00B06055"/>
    <w:rsid w:val="00B06406"/>
    <w:rsid w:val="00B06725"/>
    <w:rsid w:val="00B067A1"/>
    <w:rsid w:val="00B0686C"/>
    <w:rsid w:val="00B06C8D"/>
    <w:rsid w:val="00B06C90"/>
    <w:rsid w:val="00B072DC"/>
    <w:rsid w:val="00B075B9"/>
    <w:rsid w:val="00B075F6"/>
    <w:rsid w:val="00B0760C"/>
    <w:rsid w:val="00B0761F"/>
    <w:rsid w:val="00B07D0B"/>
    <w:rsid w:val="00B07DEF"/>
    <w:rsid w:val="00B07E5C"/>
    <w:rsid w:val="00B07E8A"/>
    <w:rsid w:val="00B07EF8"/>
    <w:rsid w:val="00B10560"/>
    <w:rsid w:val="00B10905"/>
    <w:rsid w:val="00B10CF3"/>
    <w:rsid w:val="00B10E6C"/>
    <w:rsid w:val="00B10F02"/>
    <w:rsid w:val="00B11755"/>
    <w:rsid w:val="00B11861"/>
    <w:rsid w:val="00B11C2D"/>
    <w:rsid w:val="00B123E8"/>
    <w:rsid w:val="00B127B8"/>
    <w:rsid w:val="00B12938"/>
    <w:rsid w:val="00B12C4F"/>
    <w:rsid w:val="00B12CDF"/>
    <w:rsid w:val="00B12E06"/>
    <w:rsid w:val="00B13455"/>
    <w:rsid w:val="00B135E9"/>
    <w:rsid w:val="00B13610"/>
    <w:rsid w:val="00B13868"/>
    <w:rsid w:val="00B1413D"/>
    <w:rsid w:val="00B143A0"/>
    <w:rsid w:val="00B14661"/>
    <w:rsid w:val="00B14E8A"/>
    <w:rsid w:val="00B15A9D"/>
    <w:rsid w:val="00B15F32"/>
    <w:rsid w:val="00B1625A"/>
    <w:rsid w:val="00B16738"/>
    <w:rsid w:val="00B16A71"/>
    <w:rsid w:val="00B16DF9"/>
    <w:rsid w:val="00B1740A"/>
    <w:rsid w:val="00B17548"/>
    <w:rsid w:val="00B176AE"/>
    <w:rsid w:val="00B1776F"/>
    <w:rsid w:val="00B178CA"/>
    <w:rsid w:val="00B17B2F"/>
    <w:rsid w:val="00B17B45"/>
    <w:rsid w:val="00B17D78"/>
    <w:rsid w:val="00B20306"/>
    <w:rsid w:val="00B20658"/>
    <w:rsid w:val="00B206E2"/>
    <w:rsid w:val="00B20ADE"/>
    <w:rsid w:val="00B21943"/>
    <w:rsid w:val="00B21C0A"/>
    <w:rsid w:val="00B21C42"/>
    <w:rsid w:val="00B21DE2"/>
    <w:rsid w:val="00B22191"/>
    <w:rsid w:val="00B221D0"/>
    <w:rsid w:val="00B22A95"/>
    <w:rsid w:val="00B2338E"/>
    <w:rsid w:val="00B233F5"/>
    <w:rsid w:val="00B238CB"/>
    <w:rsid w:val="00B23B3E"/>
    <w:rsid w:val="00B23FD1"/>
    <w:rsid w:val="00B2408C"/>
    <w:rsid w:val="00B24288"/>
    <w:rsid w:val="00B24402"/>
    <w:rsid w:val="00B24599"/>
    <w:rsid w:val="00B24A43"/>
    <w:rsid w:val="00B24AC3"/>
    <w:rsid w:val="00B25B8E"/>
    <w:rsid w:val="00B25BFB"/>
    <w:rsid w:val="00B25E9A"/>
    <w:rsid w:val="00B25F0A"/>
    <w:rsid w:val="00B25F41"/>
    <w:rsid w:val="00B25FF2"/>
    <w:rsid w:val="00B263D6"/>
    <w:rsid w:val="00B267B0"/>
    <w:rsid w:val="00B26CA7"/>
    <w:rsid w:val="00B2710A"/>
    <w:rsid w:val="00B27823"/>
    <w:rsid w:val="00B2791F"/>
    <w:rsid w:val="00B2799A"/>
    <w:rsid w:val="00B279B6"/>
    <w:rsid w:val="00B27F1C"/>
    <w:rsid w:val="00B300D8"/>
    <w:rsid w:val="00B30F0B"/>
    <w:rsid w:val="00B317CD"/>
    <w:rsid w:val="00B31AC5"/>
    <w:rsid w:val="00B31B3D"/>
    <w:rsid w:val="00B31C16"/>
    <w:rsid w:val="00B33917"/>
    <w:rsid w:val="00B33CC3"/>
    <w:rsid w:val="00B342B2"/>
    <w:rsid w:val="00B34DDA"/>
    <w:rsid w:val="00B34ECF"/>
    <w:rsid w:val="00B356BB"/>
    <w:rsid w:val="00B35E9C"/>
    <w:rsid w:val="00B364CF"/>
    <w:rsid w:val="00B36879"/>
    <w:rsid w:val="00B36DBE"/>
    <w:rsid w:val="00B36EB7"/>
    <w:rsid w:val="00B36EE6"/>
    <w:rsid w:val="00B36F9A"/>
    <w:rsid w:val="00B37384"/>
    <w:rsid w:val="00B37629"/>
    <w:rsid w:val="00B378AC"/>
    <w:rsid w:val="00B37BD4"/>
    <w:rsid w:val="00B37CDD"/>
    <w:rsid w:val="00B400DB"/>
    <w:rsid w:val="00B4012F"/>
    <w:rsid w:val="00B403CF"/>
    <w:rsid w:val="00B405A5"/>
    <w:rsid w:val="00B40A9F"/>
    <w:rsid w:val="00B41190"/>
    <w:rsid w:val="00B411A3"/>
    <w:rsid w:val="00B413CF"/>
    <w:rsid w:val="00B414E3"/>
    <w:rsid w:val="00B4179A"/>
    <w:rsid w:val="00B41869"/>
    <w:rsid w:val="00B41B6A"/>
    <w:rsid w:val="00B41FDB"/>
    <w:rsid w:val="00B4246A"/>
    <w:rsid w:val="00B42696"/>
    <w:rsid w:val="00B42B4C"/>
    <w:rsid w:val="00B42DD9"/>
    <w:rsid w:val="00B42FBE"/>
    <w:rsid w:val="00B43045"/>
    <w:rsid w:val="00B43062"/>
    <w:rsid w:val="00B43489"/>
    <w:rsid w:val="00B4354B"/>
    <w:rsid w:val="00B435EE"/>
    <w:rsid w:val="00B43A4E"/>
    <w:rsid w:val="00B4408F"/>
    <w:rsid w:val="00B44382"/>
    <w:rsid w:val="00B448CD"/>
    <w:rsid w:val="00B44C9E"/>
    <w:rsid w:val="00B44CDE"/>
    <w:rsid w:val="00B44EA0"/>
    <w:rsid w:val="00B45141"/>
    <w:rsid w:val="00B452A0"/>
    <w:rsid w:val="00B4580A"/>
    <w:rsid w:val="00B45ADE"/>
    <w:rsid w:val="00B45BA2"/>
    <w:rsid w:val="00B45C0E"/>
    <w:rsid w:val="00B464EA"/>
    <w:rsid w:val="00B46B31"/>
    <w:rsid w:val="00B470ED"/>
    <w:rsid w:val="00B4777B"/>
    <w:rsid w:val="00B4780F"/>
    <w:rsid w:val="00B479A1"/>
    <w:rsid w:val="00B47A7F"/>
    <w:rsid w:val="00B47C25"/>
    <w:rsid w:val="00B47CD0"/>
    <w:rsid w:val="00B507F3"/>
    <w:rsid w:val="00B508BA"/>
    <w:rsid w:val="00B509E8"/>
    <w:rsid w:val="00B50C5B"/>
    <w:rsid w:val="00B50EC8"/>
    <w:rsid w:val="00B51271"/>
    <w:rsid w:val="00B51370"/>
    <w:rsid w:val="00B51882"/>
    <w:rsid w:val="00B51CDF"/>
    <w:rsid w:val="00B51F65"/>
    <w:rsid w:val="00B52077"/>
    <w:rsid w:val="00B521D4"/>
    <w:rsid w:val="00B52609"/>
    <w:rsid w:val="00B52892"/>
    <w:rsid w:val="00B52E70"/>
    <w:rsid w:val="00B530E3"/>
    <w:rsid w:val="00B5313B"/>
    <w:rsid w:val="00B53A1B"/>
    <w:rsid w:val="00B53DF1"/>
    <w:rsid w:val="00B540AD"/>
    <w:rsid w:val="00B54679"/>
    <w:rsid w:val="00B55085"/>
    <w:rsid w:val="00B55091"/>
    <w:rsid w:val="00B55878"/>
    <w:rsid w:val="00B559F0"/>
    <w:rsid w:val="00B56401"/>
    <w:rsid w:val="00B569F5"/>
    <w:rsid w:val="00B56C5F"/>
    <w:rsid w:val="00B57109"/>
    <w:rsid w:val="00B5782B"/>
    <w:rsid w:val="00B57916"/>
    <w:rsid w:val="00B57D5A"/>
    <w:rsid w:val="00B57E40"/>
    <w:rsid w:val="00B601CB"/>
    <w:rsid w:val="00B6063C"/>
    <w:rsid w:val="00B607DB"/>
    <w:rsid w:val="00B60D9D"/>
    <w:rsid w:val="00B615D5"/>
    <w:rsid w:val="00B621BE"/>
    <w:rsid w:val="00B622EB"/>
    <w:rsid w:val="00B6262F"/>
    <w:rsid w:val="00B63152"/>
    <w:rsid w:val="00B6319D"/>
    <w:rsid w:val="00B63628"/>
    <w:rsid w:val="00B63652"/>
    <w:rsid w:val="00B64A95"/>
    <w:rsid w:val="00B64D03"/>
    <w:rsid w:val="00B6503A"/>
    <w:rsid w:val="00B6510D"/>
    <w:rsid w:val="00B65C81"/>
    <w:rsid w:val="00B65FBE"/>
    <w:rsid w:val="00B66251"/>
    <w:rsid w:val="00B6629C"/>
    <w:rsid w:val="00B66812"/>
    <w:rsid w:val="00B66A63"/>
    <w:rsid w:val="00B66B1C"/>
    <w:rsid w:val="00B66B27"/>
    <w:rsid w:val="00B66B3E"/>
    <w:rsid w:val="00B66BC9"/>
    <w:rsid w:val="00B670D7"/>
    <w:rsid w:val="00B675D6"/>
    <w:rsid w:val="00B67653"/>
    <w:rsid w:val="00B70188"/>
    <w:rsid w:val="00B701E5"/>
    <w:rsid w:val="00B70450"/>
    <w:rsid w:val="00B704E3"/>
    <w:rsid w:val="00B70694"/>
    <w:rsid w:val="00B707F7"/>
    <w:rsid w:val="00B7137B"/>
    <w:rsid w:val="00B713A8"/>
    <w:rsid w:val="00B713E5"/>
    <w:rsid w:val="00B714AC"/>
    <w:rsid w:val="00B7153B"/>
    <w:rsid w:val="00B7158E"/>
    <w:rsid w:val="00B718C5"/>
    <w:rsid w:val="00B71998"/>
    <w:rsid w:val="00B71ACA"/>
    <w:rsid w:val="00B71D52"/>
    <w:rsid w:val="00B71DE6"/>
    <w:rsid w:val="00B71F9F"/>
    <w:rsid w:val="00B72C12"/>
    <w:rsid w:val="00B733E0"/>
    <w:rsid w:val="00B735F9"/>
    <w:rsid w:val="00B737A4"/>
    <w:rsid w:val="00B73EB3"/>
    <w:rsid w:val="00B74C07"/>
    <w:rsid w:val="00B74ED6"/>
    <w:rsid w:val="00B74F94"/>
    <w:rsid w:val="00B75487"/>
    <w:rsid w:val="00B75827"/>
    <w:rsid w:val="00B7585D"/>
    <w:rsid w:val="00B75BDB"/>
    <w:rsid w:val="00B75E46"/>
    <w:rsid w:val="00B7635D"/>
    <w:rsid w:val="00B76931"/>
    <w:rsid w:val="00B7698C"/>
    <w:rsid w:val="00B770FB"/>
    <w:rsid w:val="00B7727E"/>
    <w:rsid w:val="00B77A47"/>
    <w:rsid w:val="00B77F9B"/>
    <w:rsid w:val="00B77FD8"/>
    <w:rsid w:val="00B80139"/>
    <w:rsid w:val="00B801C3"/>
    <w:rsid w:val="00B80432"/>
    <w:rsid w:val="00B80614"/>
    <w:rsid w:val="00B8072A"/>
    <w:rsid w:val="00B811F7"/>
    <w:rsid w:val="00B812D4"/>
    <w:rsid w:val="00B81B3B"/>
    <w:rsid w:val="00B81BBA"/>
    <w:rsid w:val="00B81E45"/>
    <w:rsid w:val="00B82054"/>
    <w:rsid w:val="00B82B5D"/>
    <w:rsid w:val="00B82B83"/>
    <w:rsid w:val="00B82CD1"/>
    <w:rsid w:val="00B82D5A"/>
    <w:rsid w:val="00B82F02"/>
    <w:rsid w:val="00B832D8"/>
    <w:rsid w:val="00B83685"/>
    <w:rsid w:val="00B83E4D"/>
    <w:rsid w:val="00B83F02"/>
    <w:rsid w:val="00B846C6"/>
    <w:rsid w:val="00B847E4"/>
    <w:rsid w:val="00B84926"/>
    <w:rsid w:val="00B84ADE"/>
    <w:rsid w:val="00B84C32"/>
    <w:rsid w:val="00B84E26"/>
    <w:rsid w:val="00B84FB6"/>
    <w:rsid w:val="00B850B4"/>
    <w:rsid w:val="00B851CE"/>
    <w:rsid w:val="00B85834"/>
    <w:rsid w:val="00B85936"/>
    <w:rsid w:val="00B85959"/>
    <w:rsid w:val="00B859E3"/>
    <w:rsid w:val="00B85FAB"/>
    <w:rsid w:val="00B87582"/>
    <w:rsid w:val="00B875A7"/>
    <w:rsid w:val="00B87EB2"/>
    <w:rsid w:val="00B87F31"/>
    <w:rsid w:val="00B903AE"/>
    <w:rsid w:val="00B9081A"/>
    <w:rsid w:val="00B90DD9"/>
    <w:rsid w:val="00B90E77"/>
    <w:rsid w:val="00B91087"/>
    <w:rsid w:val="00B9135F"/>
    <w:rsid w:val="00B91810"/>
    <w:rsid w:val="00B922ED"/>
    <w:rsid w:val="00B92DD0"/>
    <w:rsid w:val="00B92E15"/>
    <w:rsid w:val="00B93016"/>
    <w:rsid w:val="00B932E5"/>
    <w:rsid w:val="00B934E4"/>
    <w:rsid w:val="00B934ED"/>
    <w:rsid w:val="00B94F51"/>
    <w:rsid w:val="00B94FC7"/>
    <w:rsid w:val="00B950A0"/>
    <w:rsid w:val="00B95795"/>
    <w:rsid w:val="00B9583A"/>
    <w:rsid w:val="00B95A44"/>
    <w:rsid w:val="00B95AE1"/>
    <w:rsid w:val="00B95E5A"/>
    <w:rsid w:val="00B95E70"/>
    <w:rsid w:val="00B96053"/>
    <w:rsid w:val="00B960CC"/>
    <w:rsid w:val="00B9621E"/>
    <w:rsid w:val="00B96B37"/>
    <w:rsid w:val="00B970F6"/>
    <w:rsid w:val="00B97191"/>
    <w:rsid w:val="00B9729F"/>
    <w:rsid w:val="00B972D2"/>
    <w:rsid w:val="00B97984"/>
    <w:rsid w:val="00B97B42"/>
    <w:rsid w:val="00B97C08"/>
    <w:rsid w:val="00B97E67"/>
    <w:rsid w:val="00B97ECC"/>
    <w:rsid w:val="00B97F83"/>
    <w:rsid w:val="00BA007F"/>
    <w:rsid w:val="00BA0196"/>
    <w:rsid w:val="00BA05B1"/>
    <w:rsid w:val="00BA097F"/>
    <w:rsid w:val="00BA0A5E"/>
    <w:rsid w:val="00BA0BD3"/>
    <w:rsid w:val="00BA101C"/>
    <w:rsid w:val="00BA1380"/>
    <w:rsid w:val="00BA2616"/>
    <w:rsid w:val="00BA2A55"/>
    <w:rsid w:val="00BA2A83"/>
    <w:rsid w:val="00BA2D8F"/>
    <w:rsid w:val="00BA2DFD"/>
    <w:rsid w:val="00BA31EC"/>
    <w:rsid w:val="00BA35BF"/>
    <w:rsid w:val="00BA3C1C"/>
    <w:rsid w:val="00BA3D70"/>
    <w:rsid w:val="00BA3DE2"/>
    <w:rsid w:val="00BA3DFF"/>
    <w:rsid w:val="00BA4518"/>
    <w:rsid w:val="00BA482F"/>
    <w:rsid w:val="00BA4E11"/>
    <w:rsid w:val="00BA53F6"/>
    <w:rsid w:val="00BA5D3B"/>
    <w:rsid w:val="00BA5DC6"/>
    <w:rsid w:val="00BA5E2F"/>
    <w:rsid w:val="00BA6196"/>
    <w:rsid w:val="00BA63C5"/>
    <w:rsid w:val="00BA64C5"/>
    <w:rsid w:val="00BA741A"/>
    <w:rsid w:val="00BA7D9E"/>
    <w:rsid w:val="00BA7F0D"/>
    <w:rsid w:val="00BB033E"/>
    <w:rsid w:val="00BB0A6B"/>
    <w:rsid w:val="00BB0B16"/>
    <w:rsid w:val="00BB0F62"/>
    <w:rsid w:val="00BB124A"/>
    <w:rsid w:val="00BB1352"/>
    <w:rsid w:val="00BB151A"/>
    <w:rsid w:val="00BB1AB0"/>
    <w:rsid w:val="00BB1BC5"/>
    <w:rsid w:val="00BB1C40"/>
    <w:rsid w:val="00BB275E"/>
    <w:rsid w:val="00BB2B26"/>
    <w:rsid w:val="00BB2D56"/>
    <w:rsid w:val="00BB2D99"/>
    <w:rsid w:val="00BB2F6C"/>
    <w:rsid w:val="00BB332F"/>
    <w:rsid w:val="00BB33F5"/>
    <w:rsid w:val="00BB3B0E"/>
    <w:rsid w:val="00BB3B55"/>
    <w:rsid w:val="00BB3EB9"/>
    <w:rsid w:val="00BB40D6"/>
    <w:rsid w:val="00BB434C"/>
    <w:rsid w:val="00BB4520"/>
    <w:rsid w:val="00BB4633"/>
    <w:rsid w:val="00BB4798"/>
    <w:rsid w:val="00BB4893"/>
    <w:rsid w:val="00BB48ED"/>
    <w:rsid w:val="00BB4A29"/>
    <w:rsid w:val="00BB4C8C"/>
    <w:rsid w:val="00BB4E03"/>
    <w:rsid w:val="00BB5206"/>
    <w:rsid w:val="00BB5989"/>
    <w:rsid w:val="00BB5B1D"/>
    <w:rsid w:val="00BB5E72"/>
    <w:rsid w:val="00BB635F"/>
    <w:rsid w:val="00BB688C"/>
    <w:rsid w:val="00BB6AEC"/>
    <w:rsid w:val="00BB6DE3"/>
    <w:rsid w:val="00BB7138"/>
    <w:rsid w:val="00BB7457"/>
    <w:rsid w:val="00BC0F66"/>
    <w:rsid w:val="00BC16D7"/>
    <w:rsid w:val="00BC179D"/>
    <w:rsid w:val="00BC1ADA"/>
    <w:rsid w:val="00BC1D9C"/>
    <w:rsid w:val="00BC269B"/>
    <w:rsid w:val="00BC269E"/>
    <w:rsid w:val="00BC2735"/>
    <w:rsid w:val="00BC27A9"/>
    <w:rsid w:val="00BC281B"/>
    <w:rsid w:val="00BC2C23"/>
    <w:rsid w:val="00BC2F7A"/>
    <w:rsid w:val="00BC331E"/>
    <w:rsid w:val="00BC356B"/>
    <w:rsid w:val="00BC3A50"/>
    <w:rsid w:val="00BC4C8E"/>
    <w:rsid w:val="00BC4E1F"/>
    <w:rsid w:val="00BC4F13"/>
    <w:rsid w:val="00BC51AA"/>
    <w:rsid w:val="00BC5A34"/>
    <w:rsid w:val="00BC5AEF"/>
    <w:rsid w:val="00BC5C61"/>
    <w:rsid w:val="00BC5CB1"/>
    <w:rsid w:val="00BC5E86"/>
    <w:rsid w:val="00BC63DB"/>
    <w:rsid w:val="00BC63DD"/>
    <w:rsid w:val="00BC6927"/>
    <w:rsid w:val="00BC6A25"/>
    <w:rsid w:val="00BC6D6E"/>
    <w:rsid w:val="00BC6D8C"/>
    <w:rsid w:val="00BC75A3"/>
    <w:rsid w:val="00BC767F"/>
    <w:rsid w:val="00BD0463"/>
    <w:rsid w:val="00BD074C"/>
    <w:rsid w:val="00BD0807"/>
    <w:rsid w:val="00BD0DEF"/>
    <w:rsid w:val="00BD0EA1"/>
    <w:rsid w:val="00BD11E5"/>
    <w:rsid w:val="00BD123E"/>
    <w:rsid w:val="00BD1284"/>
    <w:rsid w:val="00BD14A5"/>
    <w:rsid w:val="00BD162E"/>
    <w:rsid w:val="00BD1B3E"/>
    <w:rsid w:val="00BD1B51"/>
    <w:rsid w:val="00BD20C6"/>
    <w:rsid w:val="00BD22E3"/>
    <w:rsid w:val="00BD2648"/>
    <w:rsid w:val="00BD2988"/>
    <w:rsid w:val="00BD2ECA"/>
    <w:rsid w:val="00BD2F25"/>
    <w:rsid w:val="00BD3282"/>
    <w:rsid w:val="00BD382E"/>
    <w:rsid w:val="00BD3968"/>
    <w:rsid w:val="00BD3AE6"/>
    <w:rsid w:val="00BD44BD"/>
    <w:rsid w:val="00BD45A7"/>
    <w:rsid w:val="00BD4982"/>
    <w:rsid w:val="00BD49CE"/>
    <w:rsid w:val="00BD50DA"/>
    <w:rsid w:val="00BD59FD"/>
    <w:rsid w:val="00BD5AD5"/>
    <w:rsid w:val="00BD5D0A"/>
    <w:rsid w:val="00BD5D46"/>
    <w:rsid w:val="00BD6338"/>
    <w:rsid w:val="00BD651F"/>
    <w:rsid w:val="00BD69F3"/>
    <w:rsid w:val="00BD6D4E"/>
    <w:rsid w:val="00BD6F49"/>
    <w:rsid w:val="00BD70B9"/>
    <w:rsid w:val="00BD7110"/>
    <w:rsid w:val="00BD7395"/>
    <w:rsid w:val="00BD7698"/>
    <w:rsid w:val="00BD7B4A"/>
    <w:rsid w:val="00BD7B53"/>
    <w:rsid w:val="00BD7C37"/>
    <w:rsid w:val="00BD7FB0"/>
    <w:rsid w:val="00BD7FF3"/>
    <w:rsid w:val="00BE0160"/>
    <w:rsid w:val="00BE0901"/>
    <w:rsid w:val="00BE121C"/>
    <w:rsid w:val="00BE123C"/>
    <w:rsid w:val="00BE1438"/>
    <w:rsid w:val="00BE165E"/>
    <w:rsid w:val="00BE16DB"/>
    <w:rsid w:val="00BE18FE"/>
    <w:rsid w:val="00BE1BA4"/>
    <w:rsid w:val="00BE1EB9"/>
    <w:rsid w:val="00BE2029"/>
    <w:rsid w:val="00BE206C"/>
    <w:rsid w:val="00BE2141"/>
    <w:rsid w:val="00BE251B"/>
    <w:rsid w:val="00BE2B47"/>
    <w:rsid w:val="00BE3130"/>
    <w:rsid w:val="00BE3E16"/>
    <w:rsid w:val="00BE3F99"/>
    <w:rsid w:val="00BE400E"/>
    <w:rsid w:val="00BE4160"/>
    <w:rsid w:val="00BE497F"/>
    <w:rsid w:val="00BE4B4B"/>
    <w:rsid w:val="00BE4F96"/>
    <w:rsid w:val="00BE57DC"/>
    <w:rsid w:val="00BE5A71"/>
    <w:rsid w:val="00BE5BEF"/>
    <w:rsid w:val="00BE5C70"/>
    <w:rsid w:val="00BE5CE1"/>
    <w:rsid w:val="00BE643E"/>
    <w:rsid w:val="00BE64EE"/>
    <w:rsid w:val="00BE672A"/>
    <w:rsid w:val="00BE673B"/>
    <w:rsid w:val="00BE6790"/>
    <w:rsid w:val="00BE731B"/>
    <w:rsid w:val="00BE759B"/>
    <w:rsid w:val="00BE78E1"/>
    <w:rsid w:val="00BE794D"/>
    <w:rsid w:val="00BE7FAE"/>
    <w:rsid w:val="00BF02E5"/>
    <w:rsid w:val="00BF063D"/>
    <w:rsid w:val="00BF0C02"/>
    <w:rsid w:val="00BF0ED9"/>
    <w:rsid w:val="00BF15A0"/>
    <w:rsid w:val="00BF167E"/>
    <w:rsid w:val="00BF17C1"/>
    <w:rsid w:val="00BF1A87"/>
    <w:rsid w:val="00BF2088"/>
    <w:rsid w:val="00BF2282"/>
    <w:rsid w:val="00BF2520"/>
    <w:rsid w:val="00BF2B69"/>
    <w:rsid w:val="00BF2CCC"/>
    <w:rsid w:val="00BF30C2"/>
    <w:rsid w:val="00BF3B75"/>
    <w:rsid w:val="00BF3C66"/>
    <w:rsid w:val="00BF4437"/>
    <w:rsid w:val="00BF4641"/>
    <w:rsid w:val="00BF4AAA"/>
    <w:rsid w:val="00BF4BE5"/>
    <w:rsid w:val="00BF4D87"/>
    <w:rsid w:val="00BF5776"/>
    <w:rsid w:val="00BF5B7C"/>
    <w:rsid w:val="00BF5F6D"/>
    <w:rsid w:val="00BF65E6"/>
    <w:rsid w:val="00BF6DDC"/>
    <w:rsid w:val="00BF6E8B"/>
    <w:rsid w:val="00BF71D1"/>
    <w:rsid w:val="00BF7A60"/>
    <w:rsid w:val="00BF7CFC"/>
    <w:rsid w:val="00BF7DAB"/>
    <w:rsid w:val="00C0023C"/>
    <w:rsid w:val="00C0076D"/>
    <w:rsid w:val="00C0093F"/>
    <w:rsid w:val="00C00E29"/>
    <w:rsid w:val="00C01CDF"/>
    <w:rsid w:val="00C01D91"/>
    <w:rsid w:val="00C02753"/>
    <w:rsid w:val="00C0281F"/>
    <w:rsid w:val="00C0282F"/>
    <w:rsid w:val="00C03014"/>
    <w:rsid w:val="00C03469"/>
    <w:rsid w:val="00C0351F"/>
    <w:rsid w:val="00C03920"/>
    <w:rsid w:val="00C03D59"/>
    <w:rsid w:val="00C049B5"/>
    <w:rsid w:val="00C04ED5"/>
    <w:rsid w:val="00C05983"/>
    <w:rsid w:val="00C05FF3"/>
    <w:rsid w:val="00C067D8"/>
    <w:rsid w:val="00C06824"/>
    <w:rsid w:val="00C06913"/>
    <w:rsid w:val="00C07689"/>
    <w:rsid w:val="00C0787C"/>
    <w:rsid w:val="00C0792E"/>
    <w:rsid w:val="00C100C1"/>
    <w:rsid w:val="00C10102"/>
    <w:rsid w:val="00C102BE"/>
    <w:rsid w:val="00C1034C"/>
    <w:rsid w:val="00C10443"/>
    <w:rsid w:val="00C10B2B"/>
    <w:rsid w:val="00C10D19"/>
    <w:rsid w:val="00C11166"/>
    <w:rsid w:val="00C11488"/>
    <w:rsid w:val="00C114AE"/>
    <w:rsid w:val="00C115E7"/>
    <w:rsid w:val="00C11611"/>
    <w:rsid w:val="00C11E0D"/>
    <w:rsid w:val="00C12147"/>
    <w:rsid w:val="00C12649"/>
    <w:rsid w:val="00C12D6B"/>
    <w:rsid w:val="00C12EA5"/>
    <w:rsid w:val="00C1316D"/>
    <w:rsid w:val="00C1369B"/>
    <w:rsid w:val="00C138A7"/>
    <w:rsid w:val="00C13BD0"/>
    <w:rsid w:val="00C13EF3"/>
    <w:rsid w:val="00C145DC"/>
    <w:rsid w:val="00C148F5"/>
    <w:rsid w:val="00C14A85"/>
    <w:rsid w:val="00C14DB1"/>
    <w:rsid w:val="00C14FE1"/>
    <w:rsid w:val="00C15492"/>
    <w:rsid w:val="00C15493"/>
    <w:rsid w:val="00C15A5B"/>
    <w:rsid w:val="00C15AB8"/>
    <w:rsid w:val="00C15B32"/>
    <w:rsid w:val="00C163FA"/>
    <w:rsid w:val="00C1679B"/>
    <w:rsid w:val="00C16A0A"/>
    <w:rsid w:val="00C16D20"/>
    <w:rsid w:val="00C16EAE"/>
    <w:rsid w:val="00C17059"/>
    <w:rsid w:val="00C17526"/>
    <w:rsid w:val="00C17783"/>
    <w:rsid w:val="00C17EE9"/>
    <w:rsid w:val="00C17FCF"/>
    <w:rsid w:val="00C20533"/>
    <w:rsid w:val="00C211F8"/>
    <w:rsid w:val="00C2134F"/>
    <w:rsid w:val="00C21380"/>
    <w:rsid w:val="00C21681"/>
    <w:rsid w:val="00C217E0"/>
    <w:rsid w:val="00C220AB"/>
    <w:rsid w:val="00C22270"/>
    <w:rsid w:val="00C22502"/>
    <w:rsid w:val="00C22533"/>
    <w:rsid w:val="00C227AA"/>
    <w:rsid w:val="00C22867"/>
    <w:rsid w:val="00C228A5"/>
    <w:rsid w:val="00C22A92"/>
    <w:rsid w:val="00C23CAA"/>
    <w:rsid w:val="00C23CC8"/>
    <w:rsid w:val="00C23D3C"/>
    <w:rsid w:val="00C23F6A"/>
    <w:rsid w:val="00C24194"/>
    <w:rsid w:val="00C2437B"/>
    <w:rsid w:val="00C2494E"/>
    <w:rsid w:val="00C256FE"/>
    <w:rsid w:val="00C25E47"/>
    <w:rsid w:val="00C261B2"/>
    <w:rsid w:val="00C26654"/>
    <w:rsid w:val="00C2687B"/>
    <w:rsid w:val="00C26F3A"/>
    <w:rsid w:val="00C276C0"/>
    <w:rsid w:val="00C277EE"/>
    <w:rsid w:val="00C27FCF"/>
    <w:rsid w:val="00C3019A"/>
    <w:rsid w:val="00C30720"/>
    <w:rsid w:val="00C30B6C"/>
    <w:rsid w:val="00C30CCF"/>
    <w:rsid w:val="00C30E9A"/>
    <w:rsid w:val="00C30FEC"/>
    <w:rsid w:val="00C314F1"/>
    <w:rsid w:val="00C31539"/>
    <w:rsid w:val="00C31931"/>
    <w:rsid w:val="00C31A51"/>
    <w:rsid w:val="00C31CB2"/>
    <w:rsid w:val="00C32091"/>
    <w:rsid w:val="00C322EC"/>
    <w:rsid w:val="00C3246B"/>
    <w:rsid w:val="00C325D0"/>
    <w:rsid w:val="00C32634"/>
    <w:rsid w:val="00C32662"/>
    <w:rsid w:val="00C32948"/>
    <w:rsid w:val="00C32AFC"/>
    <w:rsid w:val="00C32BFF"/>
    <w:rsid w:val="00C32E4D"/>
    <w:rsid w:val="00C32E93"/>
    <w:rsid w:val="00C3317D"/>
    <w:rsid w:val="00C3336D"/>
    <w:rsid w:val="00C334EA"/>
    <w:rsid w:val="00C33E8D"/>
    <w:rsid w:val="00C34006"/>
    <w:rsid w:val="00C34010"/>
    <w:rsid w:val="00C348C1"/>
    <w:rsid w:val="00C34C82"/>
    <w:rsid w:val="00C34F46"/>
    <w:rsid w:val="00C353C1"/>
    <w:rsid w:val="00C356BB"/>
    <w:rsid w:val="00C35986"/>
    <w:rsid w:val="00C35FA2"/>
    <w:rsid w:val="00C360B9"/>
    <w:rsid w:val="00C3669E"/>
    <w:rsid w:val="00C36776"/>
    <w:rsid w:val="00C36992"/>
    <w:rsid w:val="00C36B4C"/>
    <w:rsid w:val="00C36D00"/>
    <w:rsid w:val="00C3719A"/>
    <w:rsid w:val="00C37654"/>
    <w:rsid w:val="00C376C5"/>
    <w:rsid w:val="00C376E2"/>
    <w:rsid w:val="00C403CA"/>
    <w:rsid w:val="00C40E87"/>
    <w:rsid w:val="00C41254"/>
    <w:rsid w:val="00C41D08"/>
    <w:rsid w:val="00C41E03"/>
    <w:rsid w:val="00C42469"/>
    <w:rsid w:val="00C426B1"/>
    <w:rsid w:val="00C42A9D"/>
    <w:rsid w:val="00C437FE"/>
    <w:rsid w:val="00C438C8"/>
    <w:rsid w:val="00C43F7F"/>
    <w:rsid w:val="00C444B2"/>
    <w:rsid w:val="00C44DDE"/>
    <w:rsid w:val="00C44E39"/>
    <w:rsid w:val="00C453A4"/>
    <w:rsid w:val="00C4542D"/>
    <w:rsid w:val="00C4599D"/>
    <w:rsid w:val="00C45BE7"/>
    <w:rsid w:val="00C45D6C"/>
    <w:rsid w:val="00C45FB3"/>
    <w:rsid w:val="00C45FF0"/>
    <w:rsid w:val="00C465F7"/>
    <w:rsid w:val="00C4694D"/>
    <w:rsid w:val="00C476C0"/>
    <w:rsid w:val="00C47BB2"/>
    <w:rsid w:val="00C5011E"/>
    <w:rsid w:val="00C50414"/>
    <w:rsid w:val="00C509C7"/>
    <w:rsid w:val="00C50F41"/>
    <w:rsid w:val="00C50FB3"/>
    <w:rsid w:val="00C51472"/>
    <w:rsid w:val="00C5162E"/>
    <w:rsid w:val="00C5189F"/>
    <w:rsid w:val="00C51B41"/>
    <w:rsid w:val="00C51D1D"/>
    <w:rsid w:val="00C52201"/>
    <w:rsid w:val="00C52348"/>
    <w:rsid w:val="00C52778"/>
    <w:rsid w:val="00C528AB"/>
    <w:rsid w:val="00C52A62"/>
    <w:rsid w:val="00C52B06"/>
    <w:rsid w:val="00C52E5F"/>
    <w:rsid w:val="00C53001"/>
    <w:rsid w:val="00C53106"/>
    <w:rsid w:val="00C536DE"/>
    <w:rsid w:val="00C53765"/>
    <w:rsid w:val="00C537D5"/>
    <w:rsid w:val="00C53906"/>
    <w:rsid w:val="00C53C0A"/>
    <w:rsid w:val="00C53E74"/>
    <w:rsid w:val="00C54085"/>
    <w:rsid w:val="00C54334"/>
    <w:rsid w:val="00C54936"/>
    <w:rsid w:val="00C54A58"/>
    <w:rsid w:val="00C54EB2"/>
    <w:rsid w:val="00C54F68"/>
    <w:rsid w:val="00C5575E"/>
    <w:rsid w:val="00C55B66"/>
    <w:rsid w:val="00C55C3F"/>
    <w:rsid w:val="00C55C98"/>
    <w:rsid w:val="00C55E4E"/>
    <w:rsid w:val="00C56388"/>
    <w:rsid w:val="00C5668C"/>
    <w:rsid w:val="00C567B9"/>
    <w:rsid w:val="00C56980"/>
    <w:rsid w:val="00C56F14"/>
    <w:rsid w:val="00C56FC1"/>
    <w:rsid w:val="00C57312"/>
    <w:rsid w:val="00C573BC"/>
    <w:rsid w:val="00C573BF"/>
    <w:rsid w:val="00C5769A"/>
    <w:rsid w:val="00C57773"/>
    <w:rsid w:val="00C60338"/>
    <w:rsid w:val="00C6041C"/>
    <w:rsid w:val="00C6052D"/>
    <w:rsid w:val="00C6063E"/>
    <w:rsid w:val="00C608FD"/>
    <w:rsid w:val="00C60B9E"/>
    <w:rsid w:val="00C60F9E"/>
    <w:rsid w:val="00C61009"/>
    <w:rsid w:val="00C61076"/>
    <w:rsid w:val="00C61088"/>
    <w:rsid w:val="00C6168D"/>
    <w:rsid w:val="00C61754"/>
    <w:rsid w:val="00C6185E"/>
    <w:rsid w:val="00C61BEE"/>
    <w:rsid w:val="00C61CF8"/>
    <w:rsid w:val="00C620C3"/>
    <w:rsid w:val="00C622AC"/>
    <w:rsid w:val="00C62476"/>
    <w:rsid w:val="00C628E5"/>
    <w:rsid w:val="00C62C46"/>
    <w:rsid w:val="00C62D21"/>
    <w:rsid w:val="00C63042"/>
    <w:rsid w:val="00C63403"/>
    <w:rsid w:val="00C63D27"/>
    <w:rsid w:val="00C64001"/>
    <w:rsid w:val="00C64006"/>
    <w:rsid w:val="00C64A6E"/>
    <w:rsid w:val="00C64C7B"/>
    <w:rsid w:val="00C6520A"/>
    <w:rsid w:val="00C65534"/>
    <w:rsid w:val="00C65535"/>
    <w:rsid w:val="00C65C71"/>
    <w:rsid w:val="00C65F06"/>
    <w:rsid w:val="00C65F5A"/>
    <w:rsid w:val="00C66160"/>
    <w:rsid w:val="00C671F2"/>
    <w:rsid w:val="00C67937"/>
    <w:rsid w:val="00C706E1"/>
    <w:rsid w:val="00C70812"/>
    <w:rsid w:val="00C7086F"/>
    <w:rsid w:val="00C70A5F"/>
    <w:rsid w:val="00C70AE2"/>
    <w:rsid w:val="00C70FAF"/>
    <w:rsid w:val="00C7158E"/>
    <w:rsid w:val="00C7171E"/>
    <w:rsid w:val="00C71932"/>
    <w:rsid w:val="00C71B18"/>
    <w:rsid w:val="00C71C9E"/>
    <w:rsid w:val="00C71DE4"/>
    <w:rsid w:val="00C721AC"/>
    <w:rsid w:val="00C72240"/>
    <w:rsid w:val="00C722F9"/>
    <w:rsid w:val="00C72321"/>
    <w:rsid w:val="00C72A2D"/>
    <w:rsid w:val="00C72C91"/>
    <w:rsid w:val="00C72F7F"/>
    <w:rsid w:val="00C73102"/>
    <w:rsid w:val="00C735D8"/>
    <w:rsid w:val="00C737FD"/>
    <w:rsid w:val="00C73FD7"/>
    <w:rsid w:val="00C74149"/>
    <w:rsid w:val="00C7432E"/>
    <w:rsid w:val="00C74370"/>
    <w:rsid w:val="00C745C9"/>
    <w:rsid w:val="00C75158"/>
    <w:rsid w:val="00C75326"/>
    <w:rsid w:val="00C75561"/>
    <w:rsid w:val="00C7562D"/>
    <w:rsid w:val="00C757AC"/>
    <w:rsid w:val="00C75AE3"/>
    <w:rsid w:val="00C76002"/>
    <w:rsid w:val="00C76259"/>
    <w:rsid w:val="00C76805"/>
    <w:rsid w:val="00C7686F"/>
    <w:rsid w:val="00C76980"/>
    <w:rsid w:val="00C76A37"/>
    <w:rsid w:val="00C76B02"/>
    <w:rsid w:val="00C76D3A"/>
    <w:rsid w:val="00C76D79"/>
    <w:rsid w:val="00C76E29"/>
    <w:rsid w:val="00C76FBB"/>
    <w:rsid w:val="00C77101"/>
    <w:rsid w:val="00C77114"/>
    <w:rsid w:val="00C7734A"/>
    <w:rsid w:val="00C774BC"/>
    <w:rsid w:val="00C77945"/>
    <w:rsid w:val="00C77AA9"/>
    <w:rsid w:val="00C77CAC"/>
    <w:rsid w:val="00C800A3"/>
    <w:rsid w:val="00C800B8"/>
    <w:rsid w:val="00C80219"/>
    <w:rsid w:val="00C807A7"/>
    <w:rsid w:val="00C80902"/>
    <w:rsid w:val="00C80A1F"/>
    <w:rsid w:val="00C80C89"/>
    <w:rsid w:val="00C80D0C"/>
    <w:rsid w:val="00C81552"/>
    <w:rsid w:val="00C81A84"/>
    <w:rsid w:val="00C81E9C"/>
    <w:rsid w:val="00C82322"/>
    <w:rsid w:val="00C8376D"/>
    <w:rsid w:val="00C83C9E"/>
    <w:rsid w:val="00C843FB"/>
    <w:rsid w:val="00C84651"/>
    <w:rsid w:val="00C84884"/>
    <w:rsid w:val="00C84A6E"/>
    <w:rsid w:val="00C84B9D"/>
    <w:rsid w:val="00C84F40"/>
    <w:rsid w:val="00C85382"/>
    <w:rsid w:val="00C85467"/>
    <w:rsid w:val="00C85C7A"/>
    <w:rsid w:val="00C864A2"/>
    <w:rsid w:val="00C865A7"/>
    <w:rsid w:val="00C86CD2"/>
    <w:rsid w:val="00C86E75"/>
    <w:rsid w:val="00C8747B"/>
    <w:rsid w:val="00C87D8B"/>
    <w:rsid w:val="00C87DEE"/>
    <w:rsid w:val="00C87EF3"/>
    <w:rsid w:val="00C90755"/>
    <w:rsid w:val="00C90D6A"/>
    <w:rsid w:val="00C91137"/>
    <w:rsid w:val="00C91A1F"/>
    <w:rsid w:val="00C91A86"/>
    <w:rsid w:val="00C920D2"/>
    <w:rsid w:val="00C9215B"/>
    <w:rsid w:val="00C9224F"/>
    <w:rsid w:val="00C922D9"/>
    <w:rsid w:val="00C9297B"/>
    <w:rsid w:val="00C932D7"/>
    <w:rsid w:val="00C936BE"/>
    <w:rsid w:val="00C937EC"/>
    <w:rsid w:val="00C93856"/>
    <w:rsid w:val="00C93A08"/>
    <w:rsid w:val="00C93C26"/>
    <w:rsid w:val="00C93CC9"/>
    <w:rsid w:val="00C93FAD"/>
    <w:rsid w:val="00C94201"/>
    <w:rsid w:val="00C94692"/>
    <w:rsid w:val="00C94C0F"/>
    <w:rsid w:val="00C94C87"/>
    <w:rsid w:val="00C94C90"/>
    <w:rsid w:val="00C9544C"/>
    <w:rsid w:val="00C95E30"/>
    <w:rsid w:val="00C962DF"/>
    <w:rsid w:val="00C964D2"/>
    <w:rsid w:val="00C967AE"/>
    <w:rsid w:val="00C9683A"/>
    <w:rsid w:val="00C96B31"/>
    <w:rsid w:val="00C96B3F"/>
    <w:rsid w:val="00C96D5D"/>
    <w:rsid w:val="00C96EFF"/>
    <w:rsid w:val="00C97146"/>
    <w:rsid w:val="00C97185"/>
    <w:rsid w:val="00C97653"/>
    <w:rsid w:val="00C97CD0"/>
    <w:rsid w:val="00C97D20"/>
    <w:rsid w:val="00CA00A6"/>
    <w:rsid w:val="00CA07F9"/>
    <w:rsid w:val="00CA0B97"/>
    <w:rsid w:val="00CA0E46"/>
    <w:rsid w:val="00CA1278"/>
    <w:rsid w:val="00CA1377"/>
    <w:rsid w:val="00CA1395"/>
    <w:rsid w:val="00CA1510"/>
    <w:rsid w:val="00CA165A"/>
    <w:rsid w:val="00CA247E"/>
    <w:rsid w:val="00CA2618"/>
    <w:rsid w:val="00CA28B9"/>
    <w:rsid w:val="00CA30F0"/>
    <w:rsid w:val="00CA3248"/>
    <w:rsid w:val="00CA343B"/>
    <w:rsid w:val="00CA34FF"/>
    <w:rsid w:val="00CA3573"/>
    <w:rsid w:val="00CA3F39"/>
    <w:rsid w:val="00CA4302"/>
    <w:rsid w:val="00CA47D4"/>
    <w:rsid w:val="00CA4865"/>
    <w:rsid w:val="00CA6266"/>
    <w:rsid w:val="00CA6296"/>
    <w:rsid w:val="00CA6302"/>
    <w:rsid w:val="00CA656B"/>
    <w:rsid w:val="00CA67E1"/>
    <w:rsid w:val="00CA6B1D"/>
    <w:rsid w:val="00CA6D21"/>
    <w:rsid w:val="00CA7075"/>
    <w:rsid w:val="00CA7349"/>
    <w:rsid w:val="00CA7DE8"/>
    <w:rsid w:val="00CB02DE"/>
    <w:rsid w:val="00CB0699"/>
    <w:rsid w:val="00CB08AD"/>
    <w:rsid w:val="00CB0C16"/>
    <w:rsid w:val="00CB0FAF"/>
    <w:rsid w:val="00CB1782"/>
    <w:rsid w:val="00CB1ED8"/>
    <w:rsid w:val="00CB214C"/>
    <w:rsid w:val="00CB2247"/>
    <w:rsid w:val="00CB2947"/>
    <w:rsid w:val="00CB2C1C"/>
    <w:rsid w:val="00CB2C86"/>
    <w:rsid w:val="00CB344A"/>
    <w:rsid w:val="00CB354A"/>
    <w:rsid w:val="00CB4529"/>
    <w:rsid w:val="00CB47E3"/>
    <w:rsid w:val="00CB4DC8"/>
    <w:rsid w:val="00CB4EEA"/>
    <w:rsid w:val="00CB4FAC"/>
    <w:rsid w:val="00CB4FEE"/>
    <w:rsid w:val="00CB5008"/>
    <w:rsid w:val="00CB59E9"/>
    <w:rsid w:val="00CB61D1"/>
    <w:rsid w:val="00CB6394"/>
    <w:rsid w:val="00CB63E5"/>
    <w:rsid w:val="00CB678C"/>
    <w:rsid w:val="00CB6857"/>
    <w:rsid w:val="00CB6A25"/>
    <w:rsid w:val="00CB6B34"/>
    <w:rsid w:val="00CB6DB0"/>
    <w:rsid w:val="00CB71DF"/>
    <w:rsid w:val="00CB72FB"/>
    <w:rsid w:val="00CB775C"/>
    <w:rsid w:val="00CC00A6"/>
    <w:rsid w:val="00CC0347"/>
    <w:rsid w:val="00CC0435"/>
    <w:rsid w:val="00CC0603"/>
    <w:rsid w:val="00CC0820"/>
    <w:rsid w:val="00CC094C"/>
    <w:rsid w:val="00CC0ABD"/>
    <w:rsid w:val="00CC13AE"/>
    <w:rsid w:val="00CC14EF"/>
    <w:rsid w:val="00CC1687"/>
    <w:rsid w:val="00CC16CB"/>
    <w:rsid w:val="00CC18D2"/>
    <w:rsid w:val="00CC1ACA"/>
    <w:rsid w:val="00CC1EAD"/>
    <w:rsid w:val="00CC20B6"/>
    <w:rsid w:val="00CC21FE"/>
    <w:rsid w:val="00CC228B"/>
    <w:rsid w:val="00CC2391"/>
    <w:rsid w:val="00CC2687"/>
    <w:rsid w:val="00CC2AEE"/>
    <w:rsid w:val="00CC3395"/>
    <w:rsid w:val="00CC3722"/>
    <w:rsid w:val="00CC378B"/>
    <w:rsid w:val="00CC3A12"/>
    <w:rsid w:val="00CC3B05"/>
    <w:rsid w:val="00CC3C6D"/>
    <w:rsid w:val="00CC3CE4"/>
    <w:rsid w:val="00CC41EA"/>
    <w:rsid w:val="00CC45DA"/>
    <w:rsid w:val="00CC4895"/>
    <w:rsid w:val="00CC53A7"/>
    <w:rsid w:val="00CC5AE2"/>
    <w:rsid w:val="00CC5AF6"/>
    <w:rsid w:val="00CC5B2A"/>
    <w:rsid w:val="00CC5DF8"/>
    <w:rsid w:val="00CC6181"/>
    <w:rsid w:val="00CC6CEC"/>
    <w:rsid w:val="00CC6D61"/>
    <w:rsid w:val="00CC6DF0"/>
    <w:rsid w:val="00CC72B6"/>
    <w:rsid w:val="00CC7538"/>
    <w:rsid w:val="00CC7658"/>
    <w:rsid w:val="00CC78D6"/>
    <w:rsid w:val="00CD05B4"/>
    <w:rsid w:val="00CD0D2C"/>
    <w:rsid w:val="00CD0F25"/>
    <w:rsid w:val="00CD0F87"/>
    <w:rsid w:val="00CD10A7"/>
    <w:rsid w:val="00CD142A"/>
    <w:rsid w:val="00CD168A"/>
    <w:rsid w:val="00CD1724"/>
    <w:rsid w:val="00CD19F8"/>
    <w:rsid w:val="00CD1D63"/>
    <w:rsid w:val="00CD1F0D"/>
    <w:rsid w:val="00CD1FB4"/>
    <w:rsid w:val="00CD2BA5"/>
    <w:rsid w:val="00CD2C39"/>
    <w:rsid w:val="00CD32AC"/>
    <w:rsid w:val="00CD38E1"/>
    <w:rsid w:val="00CD3A49"/>
    <w:rsid w:val="00CD3D07"/>
    <w:rsid w:val="00CD41B3"/>
    <w:rsid w:val="00CD42E1"/>
    <w:rsid w:val="00CD45B7"/>
    <w:rsid w:val="00CD4730"/>
    <w:rsid w:val="00CD4C27"/>
    <w:rsid w:val="00CD4EDE"/>
    <w:rsid w:val="00CD4F3D"/>
    <w:rsid w:val="00CD52E5"/>
    <w:rsid w:val="00CD54F0"/>
    <w:rsid w:val="00CD5A68"/>
    <w:rsid w:val="00CD6070"/>
    <w:rsid w:val="00CD67D2"/>
    <w:rsid w:val="00CD6E14"/>
    <w:rsid w:val="00CD7170"/>
    <w:rsid w:val="00CD71A0"/>
    <w:rsid w:val="00CD72DF"/>
    <w:rsid w:val="00CD74B3"/>
    <w:rsid w:val="00CD7638"/>
    <w:rsid w:val="00CD767A"/>
    <w:rsid w:val="00CD79E6"/>
    <w:rsid w:val="00CE0719"/>
    <w:rsid w:val="00CE0A78"/>
    <w:rsid w:val="00CE1676"/>
    <w:rsid w:val="00CE1B9B"/>
    <w:rsid w:val="00CE1EA8"/>
    <w:rsid w:val="00CE2103"/>
    <w:rsid w:val="00CE22CA"/>
    <w:rsid w:val="00CE22E6"/>
    <w:rsid w:val="00CE3525"/>
    <w:rsid w:val="00CE3755"/>
    <w:rsid w:val="00CE381E"/>
    <w:rsid w:val="00CE3C82"/>
    <w:rsid w:val="00CE3E6C"/>
    <w:rsid w:val="00CE40F6"/>
    <w:rsid w:val="00CE42C3"/>
    <w:rsid w:val="00CE4644"/>
    <w:rsid w:val="00CE5027"/>
    <w:rsid w:val="00CE520B"/>
    <w:rsid w:val="00CE5B93"/>
    <w:rsid w:val="00CE5BBE"/>
    <w:rsid w:val="00CE60BB"/>
    <w:rsid w:val="00CE65BE"/>
    <w:rsid w:val="00CE6634"/>
    <w:rsid w:val="00CE6985"/>
    <w:rsid w:val="00CE69C6"/>
    <w:rsid w:val="00CE7832"/>
    <w:rsid w:val="00CE790E"/>
    <w:rsid w:val="00CF0504"/>
    <w:rsid w:val="00CF06FB"/>
    <w:rsid w:val="00CF0E6A"/>
    <w:rsid w:val="00CF0EF8"/>
    <w:rsid w:val="00CF1030"/>
    <w:rsid w:val="00CF103D"/>
    <w:rsid w:val="00CF109B"/>
    <w:rsid w:val="00CF167D"/>
    <w:rsid w:val="00CF1AFB"/>
    <w:rsid w:val="00CF24B3"/>
    <w:rsid w:val="00CF2533"/>
    <w:rsid w:val="00CF2555"/>
    <w:rsid w:val="00CF2DD3"/>
    <w:rsid w:val="00CF319D"/>
    <w:rsid w:val="00CF3269"/>
    <w:rsid w:val="00CF34EB"/>
    <w:rsid w:val="00CF49FC"/>
    <w:rsid w:val="00CF509F"/>
    <w:rsid w:val="00CF5277"/>
    <w:rsid w:val="00CF59FA"/>
    <w:rsid w:val="00CF5A88"/>
    <w:rsid w:val="00CF5F69"/>
    <w:rsid w:val="00CF5FFB"/>
    <w:rsid w:val="00CF6711"/>
    <w:rsid w:val="00CF6E55"/>
    <w:rsid w:val="00CF773B"/>
    <w:rsid w:val="00CF7774"/>
    <w:rsid w:val="00D00264"/>
    <w:rsid w:val="00D008EB"/>
    <w:rsid w:val="00D00B8D"/>
    <w:rsid w:val="00D00C87"/>
    <w:rsid w:val="00D012F2"/>
    <w:rsid w:val="00D015F4"/>
    <w:rsid w:val="00D01E57"/>
    <w:rsid w:val="00D0214C"/>
    <w:rsid w:val="00D0218D"/>
    <w:rsid w:val="00D021A0"/>
    <w:rsid w:val="00D02687"/>
    <w:rsid w:val="00D028E5"/>
    <w:rsid w:val="00D02A61"/>
    <w:rsid w:val="00D02B71"/>
    <w:rsid w:val="00D02DF0"/>
    <w:rsid w:val="00D03110"/>
    <w:rsid w:val="00D034A4"/>
    <w:rsid w:val="00D034E6"/>
    <w:rsid w:val="00D039AF"/>
    <w:rsid w:val="00D039DC"/>
    <w:rsid w:val="00D03B4B"/>
    <w:rsid w:val="00D03B4C"/>
    <w:rsid w:val="00D03E84"/>
    <w:rsid w:val="00D03F7D"/>
    <w:rsid w:val="00D03FAE"/>
    <w:rsid w:val="00D05195"/>
    <w:rsid w:val="00D05438"/>
    <w:rsid w:val="00D05574"/>
    <w:rsid w:val="00D057C0"/>
    <w:rsid w:val="00D05B75"/>
    <w:rsid w:val="00D05C1A"/>
    <w:rsid w:val="00D05C73"/>
    <w:rsid w:val="00D061AD"/>
    <w:rsid w:val="00D063A9"/>
    <w:rsid w:val="00D06940"/>
    <w:rsid w:val="00D06B4F"/>
    <w:rsid w:val="00D06CB2"/>
    <w:rsid w:val="00D06D71"/>
    <w:rsid w:val="00D077D9"/>
    <w:rsid w:val="00D07AC2"/>
    <w:rsid w:val="00D100FC"/>
    <w:rsid w:val="00D103F2"/>
    <w:rsid w:val="00D1069B"/>
    <w:rsid w:val="00D1094D"/>
    <w:rsid w:val="00D10CA9"/>
    <w:rsid w:val="00D118B2"/>
    <w:rsid w:val="00D11B98"/>
    <w:rsid w:val="00D11CC3"/>
    <w:rsid w:val="00D11D22"/>
    <w:rsid w:val="00D1299A"/>
    <w:rsid w:val="00D12C60"/>
    <w:rsid w:val="00D13542"/>
    <w:rsid w:val="00D13743"/>
    <w:rsid w:val="00D13AAD"/>
    <w:rsid w:val="00D13C90"/>
    <w:rsid w:val="00D14235"/>
    <w:rsid w:val="00D145BA"/>
    <w:rsid w:val="00D14739"/>
    <w:rsid w:val="00D14A32"/>
    <w:rsid w:val="00D14DF8"/>
    <w:rsid w:val="00D15261"/>
    <w:rsid w:val="00D15AF0"/>
    <w:rsid w:val="00D15CCA"/>
    <w:rsid w:val="00D160E4"/>
    <w:rsid w:val="00D161C4"/>
    <w:rsid w:val="00D16281"/>
    <w:rsid w:val="00D16848"/>
    <w:rsid w:val="00D16A59"/>
    <w:rsid w:val="00D1702F"/>
    <w:rsid w:val="00D170D2"/>
    <w:rsid w:val="00D176D0"/>
    <w:rsid w:val="00D17C3F"/>
    <w:rsid w:val="00D17C73"/>
    <w:rsid w:val="00D20564"/>
    <w:rsid w:val="00D20643"/>
    <w:rsid w:val="00D21716"/>
    <w:rsid w:val="00D21BF1"/>
    <w:rsid w:val="00D21DCA"/>
    <w:rsid w:val="00D21DE6"/>
    <w:rsid w:val="00D22032"/>
    <w:rsid w:val="00D222C3"/>
    <w:rsid w:val="00D226F7"/>
    <w:rsid w:val="00D229B0"/>
    <w:rsid w:val="00D22D1B"/>
    <w:rsid w:val="00D22D69"/>
    <w:rsid w:val="00D23101"/>
    <w:rsid w:val="00D23170"/>
    <w:rsid w:val="00D233B7"/>
    <w:rsid w:val="00D23CF4"/>
    <w:rsid w:val="00D243DD"/>
    <w:rsid w:val="00D2449E"/>
    <w:rsid w:val="00D244FD"/>
    <w:rsid w:val="00D246D2"/>
    <w:rsid w:val="00D24748"/>
    <w:rsid w:val="00D2493A"/>
    <w:rsid w:val="00D24989"/>
    <w:rsid w:val="00D25244"/>
    <w:rsid w:val="00D25646"/>
    <w:rsid w:val="00D25866"/>
    <w:rsid w:val="00D25D85"/>
    <w:rsid w:val="00D25FB5"/>
    <w:rsid w:val="00D267B6"/>
    <w:rsid w:val="00D2683C"/>
    <w:rsid w:val="00D26DFC"/>
    <w:rsid w:val="00D27261"/>
    <w:rsid w:val="00D278D1"/>
    <w:rsid w:val="00D27E79"/>
    <w:rsid w:val="00D30333"/>
    <w:rsid w:val="00D30A90"/>
    <w:rsid w:val="00D30BBF"/>
    <w:rsid w:val="00D3120A"/>
    <w:rsid w:val="00D3121D"/>
    <w:rsid w:val="00D31A48"/>
    <w:rsid w:val="00D322B4"/>
    <w:rsid w:val="00D32448"/>
    <w:rsid w:val="00D3247E"/>
    <w:rsid w:val="00D324D4"/>
    <w:rsid w:val="00D32555"/>
    <w:rsid w:val="00D32720"/>
    <w:rsid w:val="00D3274C"/>
    <w:rsid w:val="00D32DA9"/>
    <w:rsid w:val="00D3303B"/>
    <w:rsid w:val="00D33125"/>
    <w:rsid w:val="00D332C8"/>
    <w:rsid w:val="00D33AA0"/>
    <w:rsid w:val="00D33D38"/>
    <w:rsid w:val="00D3442F"/>
    <w:rsid w:val="00D344DF"/>
    <w:rsid w:val="00D34525"/>
    <w:rsid w:val="00D34550"/>
    <w:rsid w:val="00D347D7"/>
    <w:rsid w:val="00D348E9"/>
    <w:rsid w:val="00D34913"/>
    <w:rsid w:val="00D34C50"/>
    <w:rsid w:val="00D35112"/>
    <w:rsid w:val="00D35118"/>
    <w:rsid w:val="00D35B69"/>
    <w:rsid w:val="00D360A8"/>
    <w:rsid w:val="00D3637B"/>
    <w:rsid w:val="00D36900"/>
    <w:rsid w:val="00D369A9"/>
    <w:rsid w:val="00D36A2A"/>
    <w:rsid w:val="00D36B31"/>
    <w:rsid w:val="00D36B4D"/>
    <w:rsid w:val="00D36C3D"/>
    <w:rsid w:val="00D36E8B"/>
    <w:rsid w:val="00D37091"/>
    <w:rsid w:val="00D374C8"/>
    <w:rsid w:val="00D37596"/>
    <w:rsid w:val="00D3763F"/>
    <w:rsid w:val="00D37B52"/>
    <w:rsid w:val="00D37C80"/>
    <w:rsid w:val="00D404AD"/>
    <w:rsid w:val="00D40501"/>
    <w:rsid w:val="00D40630"/>
    <w:rsid w:val="00D40A65"/>
    <w:rsid w:val="00D40CBA"/>
    <w:rsid w:val="00D40CDF"/>
    <w:rsid w:val="00D40D89"/>
    <w:rsid w:val="00D41876"/>
    <w:rsid w:val="00D41B4D"/>
    <w:rsid w:val="00D422D7"/>
    <w:rsid w:val="00D426C3"/>
    <w:rsid w:val="00D429C2"/>
    <w:rsid w:val="00D42B47"/>
    <w:rsid w:val="00D42BC6"/>
    <w:rsid w:val="00D42CB0"/>
    <w:rsid w:val="00D42DEC"/>
    <w:rsid w:val="00D43083"/>
    <w:rsid w:val="00D43116"/>
    <w:rsid w:val="00D4321F"/>
    <w:rsid w:val="00D4364A"/>
    <w:rsid w:val="00D43B93"/>
    <w:rsid w:val="00D43E75"/>
    <w:rsid w:val="00D44223"/>
    <w:rsid w:val="00D44870"/>
    <w:rsid w:val="00D44A89"/>
    <w:rsid w:val="00D44AE6"/>
    <w:rsid w:val="00D455E9"/>
    <w:rsid w:val="00D4645E"/>
    <w:rsid w:val="00D46C3E"/>
    <w:rsid w:val="00D46C78"/>
    <w:rsid w:val="00D46D29"/>
    <w:rsid w:val="00D46DC5"/>
    <w:rsid w:val="00D46E42"/>
    <w:rsid w:val="00D46EB2"/>
    <w:rsid w:val="00D46ED9"/>
    <w:rsid w:val="00D472DD"/>
    <w:rsid w:val="00D4733A"/>
    <w:rsid w:val="00D47839"/>
    <w:rsid w:val="00D47FB8"/>
    <w:rsid w:val="00D500B3"/>
    <w:rsid w:val="00D503A6"/>
    <w:rsid w:val="00D50417"/>
    <w:rsid w:val="00D50705"/>
    <w:rsid w:val="00D50A68"/>
    <w:rsid w:val="00D51145"/>
    <w:rsid w:val="00D51A1E"/>
    <w:rsid w:val="00D51D6C"/>
    <w:rsid w:val="00D51F88"/>
    <w:rsid w:val="00D521BD"/>
    <w:rsid w:val="00D52290"/>
    <w:rsid w:val="00D52515"/>
    <w:rsid w:val="00D5255F"/>
    <w:rsid w:val="00D526C4"/>
    <w:rsid w:val="00D527BB"/>
    <w:rsid w:val="00D52D93"/>
    <w:rsid w:val="00D52F90"/>
    <w:rsid w:val="00D53512"/>
    <w:rsid w:val="00D53704"/>
    <w:rsid w:val="00D53814"/>
    <w:rsid w:val="00D53905"/>
    <w:rsid w:val="00D53BF6"/>
    <w:rsid w:val="00D53E0B"/>
    <w:rsid w:val="00D54CD5"/>
    <w:rsid w:val="00D55019"/>
    <w:rsid w:val="00D5508D"/>
    <w:rsid w:val="00D553B6"/>
    <w:rsid w:val="00D55449"/>
    <w:rsid w:val="00D5583A"/>
    <w:rsid w:val="00D55D65"/>
    <w:rsid w:val="00D56677"/>
    <w:rsid w:val="00D56B62"/>
    <w:rsid w:val="00D57B4C"/>
    <w:rsid w:val="00D57C28"/>
    <w:rsid w:val="00D57EF2"/>
    <w:rsid w:val="00D60BCA"/>
    <w:rsid w:val="00D60C33"/>
    <w:rsid w:val="00D6150D"/>
    <w:rsid w:val="00D61EA2"/>
    <w:rsid w:val="00D62354"/>
    <w:rsid w:val="00D6243D"/>
    <w:rsid w:val="00D627BB"/>
    <w:rsid w:val="00D62ADF"/>
    <w:rsid w:val="00D62C6A"/>
    <w:rsid w:val="00D62ED4"/>
    <w:rsid w:val="00D6462C"/>
    <w:rsid w:val="00D64BD2"/>
    <w:rsid w:val="00D64CCB"/>
    <w:rsid w:val="00D64D46"/>
    <w:rsid w:val="00D64FAB"/>
    <w:rsid w:val="00D651C9"/>
    <w:rsid w:val="00D65347"/>
    <w:rsid w:val="00D65805"/>
    <w:rsid w:val="00D6597A"/>
    <w:rsid w:val="00D66062"/>
    <w:rsid w:val="00D662AD"/>
    <w:rsid w:val="00D66685"/>
    <w:rsid w:val="00D66718"/>
    <w:rsid w:val="00D6687E"/>
    <w:rsid w:val="00D668D1"/>
    <w:rsid w:val="00D66BF4"/>
    <w:rsid w:val="00D66C94"/>
    <w:rsid w:val="00D67744"/>
    <w:rsid w:val="00D67C68"/>
    <w:rsid w:val="00D67EE4"/>
    <w:rsid w:val="00D70261"/>
    <w:rsid w:val="00D703A4"/>
    <w:rsid w:val="00D703E7"/>
    <w:rsid w:val="00D7068C"/>
    <w:rsid w:val="00D70753"/>
    <w:rsid w:val="00D70E90"/>
    <w:rsid w:val="00D7140A"/>
    <w:rsid w:val="00D720D2"/>
    <w:rsid w:val="00D7264D"/>
    <w:rsid w:val="00D729B8"/>
    <w:rsid w:val="00D72AEF"/>
    <w:rsid w:val="00D72B2C"/>
    <w:rsid w:val="00D72D47"/>
    <w:rsid w:val="00D72E63"/>
    <w:rsid w:val="00D730A9"/>
    <w:rsid w:val="00D739D3"/>
    <w:rsid w:val="00D73DCE"/>
    <w:rsid w:val="00D742EE"/>
    <w:rsid w:val="00D74932"/>
    <w:rsid w:val="00D74D93"/>
    <w:rsid w:val="00D74ED2"/>
    <w:rsid w:val="00D75374"/>
    <w:rsid w:val="00D754F3"/>
    <w:rsid w:val="00D75C07"/>
    <w:rsid w:val="00D75E18"/>
    <w:rsid w:val="00D76085"/>
    <w:rsid w:val="00D762FA"/>
    <w:rsid w:val="00D766CB"/>
    <w:rsid w:val="00D76B5B"/>
    <w:rsid w:val="00D76D92"/>
    <w:rsid w:val="00D7710C"/>
    <w:rsid w:val="00D7728C"/>
    <w:rsid w:val="00D77330"/>
    <w:rsid w:val="00D77672"/>
    <w:rsid w:val="00D77F5B"/>
    <w:rsid w:val="00D8072B"/>
    <w:rsid w:val="00D808C0"/>
    <w:rsid w:val="00D80C1A"/>
    <w:rsid w:val="00D815BF"/>
    <w:rsid w:val="00D81A25"/>
    <w:rsid w:val="00D81C65"/>
    <w:rsid w:val="00D822A2"/>
    <w:rsid w:val="00D829E3"/>
    <w:rsid w:val="00D83375"/>
    <w:rsid w:val="00D83B57"/>
    <w:rsid w:val="00D83B5A"/>
    <w:rsid w:val="00D83E7B"/>
    <w:rsid w:val="00D84740"/>
    <w:rsid w:val="00D848C1"/>
    <w:rsid w:val="00D84A2B"/>
    <w:rsid w:val="00D84CD9"/>
    <w:rsid w:val="00D85181"/>
    <w:rsid w:val="00D8527D"/>
    <w:rsid w:val="00D85488"/>
    <w:rsid w:val="00D85866"/>
    <w:rsid w:val="00D85E00"/>
    <w:rsid w:val="00D868C6"/>
    <w:rsid w:val="00D86C5D"/>
    <w:rsid w:val="00D86C62"/>
    <w:rsid w:val="00D86EE0"/>
    <w:rsid w:val="00D8705A"/>
    <w:rsid w:val="00D87726"/>
    <w:rsid w:val="00D9001A"/>
    <w:rsid w:val="00D900FC"/>
    <w:rsid w:val="00D9035F"/>
    <w:rsid w:val="00D9040A"/>
    <w:rsid w:val="00D9045A"/>
    <w:rsid w:val="00D90805"/>
    <w:rsid w:val="00D9085D"/>
    <w:rsid w:val="00D90902"/>
    <w:rsid w:val="00D90F59"/>
    <w:rsid w:val="00D91165"/>
    <w:rsid w:val="00D91326"/>
    <w:rsid w:val="00D916C7"/>
    <w:rsid w:val="00D91748"/>
    <w:rsid w:val="00D91933"/>
    <w:rsid w:val="00D91A97"/>
    <w:rsid w:val="00D91D72"/>
    <w:rsid w:val="00D92225"/>
    <w:rsid w:val="00D927DF"/>
    <w:rsid w:val="00D92DB7"/>
    <w:rsid w:val="00D9314D"/>
    <w:rsid w:val="00D936C6"/>
    <w:rsid w:val="00D93C16"/>
    <w:rsid w:val="00D93FF9"/>
    <w:rsid w:val="00D94653"/>
    <w:rsid w:val="00D9478F"/>
    <w:rsid w:val="00D94FF3"/>
    <w:rsid w:val="00D95511"/>
    <w:rsid w:val="00D956E1"/>
    <w:rsid w:val="00D9590C"/>
    <w:rsid w:val="00D959CA"/>
    <w:rsid w:val="00D95AF9"/>
    <w:rsid w:val="00D95B89"/>
    <w:rsid w:val="00D95CD5"/>
    <w:rsid w:val="00D95DDB"/>
    <w:rsid w:val="00D96643"/>
    <w:rsid w:val="00D9683D"/>
    <w:rsid w:val="00D96A5C"/>
    <w:rsid w:val="00D96DCE"/>
    <w:rsid w:val="00D97032"/>
    <w:rsid w:val="00D9724B"/>
    <w:rsid w:val="00D974DE"/>
    <w:rsid w:val="00D9790E"/>
    <w:rsid w:val="00D97943"/>
    <w:rsid w:val="00D97B9D"/>
    <w:rsid w:val="00D97E6C"/>
    <w:rsid w:val="00DA0295"/>
    <w:rsid w:val="00DA0A41"/>
    <w:rsid w:val="00DA0D9B"/>
    <w:rsid w:val="00DA1836"/>
    <w:rsid w:val="00DA1887"/>
    <w:rsid w:val="00DA1D49"/>
    <w:rsid w:val="00DA1DB3"/>
    <w:rsid w:val="00DA1ED7"/>
    <w:rsid w:val="00DA2529"/>
    <w:rsid w:val="00DA2787"/>
    <w:rsid w:val="00DA2794"/>
    <w:rsid w:val="00DA2BF5"/>
    <w:rsid w:val="00DA2D78"/>
    <w:rsid w:val="00DA2F70"/>
    <w:rsid w:val="00DA3230"/>
    <w:rsid w:val="00DA344A"/>
    <w:rsid w:val="00DA37DF"/>
    <w:rsid w:val="00DA38BA"/>
    <w:rsid w:val="00DA3DB7"/>
    <w:rsid w:val="00DA41A8"/>
    <w:rsid w:val="00DA433B"/>
    <w:rsid w:val="00DA437B"/>
    <w:rsid w:val="00DA444C"/>
    <w:rsid w:val="00DA486F"/>
    <w:rsid w:val="00DA497A"/>
    <w:rsid w:val="00DA4B82"/>
    <w:rsid w:val="00DA4C63"/>
    <w:rsid w:val="00DA4DC4"/>
    <w:rsid w:val="00DA554B"/>
    <w:rsid w:val="00DA5784"/>
    <w:rsid w:val="00DA579C"/>
    <w:rsid w:val="00DA57F0"/>
    <w:rsid w:val="00DA5F37"/>
    <w:rsid w:val="00DA62B0"/>
    <w:rsid w:val="00DA62E1"/>
    <w:rsid w:val="00DA630F"/>
    <w:rsid w:val="00DA6563"/>
    <w:rsid w:val="00DA66AE"/>
    <w:rsid w:val="00DA6710"/>
    <w:rsid w:val="00DA6A4E"/>
    <w:rsid w:val="00DA6AAF"/>
    <w:rsid w:val="00DA7412"/>
    <w:rsid w:val="00DA79C4"/>
    <w:rsid w:val="00DB0047"/>
    <w:rsid w:val="00DB01FB"/>
    <w:rsid w:val="00DB0B1D"/>
    <w:rsid w:val="00DB10E2"/>
    <w:rsid w:val="00DB1126"/>
    <w:rsid w:val="00DB1267"/>
    <w:rsid w:val="00DB130A"/>
    <w:rsid w:val="00DB17B6"/>
    <w:rsid w:val="00DB1C8E"/>
    <w:rsid w:val="00DB1E66"/>
    <w:rsid w:val="00DB212C"/>
    <w:rsid w:val="00DB21C2"/>
    <w:rsid w:val="00DB2A99"/>
    <w:rsid w:val="00DB2C22"/>
    <w:rsid w:val="00DB2C91"/>
    <w:rsid w:val="00DB2EBB"/>
    <w:rsid w:val="00DB3022"/>
    <w:rsid w:val="00DB33F6"/>
    <w:rsid w:val="00DB34D8"/>
    <w:rsid w:val="00DB380A"/>
    <w:rsid w:val="00DB3F0A"/>
    <w:rsid w:val="00DB4193"/>
    <w:rsid w:val="00DB5154"/>
    <w:rsid w:val="00DB53A3"/>
    <w:rsid w:val="00DB5912"/>
    <w:rsid w:val="00DB5BC5"/>
    <w:rsid w:val="00DB5BF7"/>
    <w:rsid w:val="00DB650F"/>
    <w:rsid w:val="00DB67AA"/>
    <w:rsid w:val="00DB6FFE"/>
    <w:rsid w:val="00DB7B7D"/>
    <w:rsid w:val="00DB7BBA"/>
    <w:rsid w:val="00DB7F07"/>
    <w:rsid w:val="00DB7F3A"/>
    <w:rsid w:val="00DB7F3C"/>
    <w:rsid w:val="00DC0133"/>
    <w:rsid w:val="00DC0631"/>
    <w:rsid w:val="00DC0BB0"/>
    <w:rsid w:val="00DC10A1"/>
    <w:rsid w:val="00DC155D"/>
    <w:rsid w:val="00DC15B4"/>
    <w:rsid w:val="00DC1954"/>
    <w:rsid w:val="00DC1F03"/>
    <w:rsid w:val="00DC1FF5"/>
    <w:rsid w:val="00DC2017"/>
    <w:rsid w:val="00DC2279"/>
    <w:rsid w:val="00DC22BC"/>
    <w:rsid w:val="00DC251A"/>
    <w:rsid w:val="00DC26A3"/>
    <w:rsid w:val="00DC2A6B"/>
    <w:rsid w:val="00DC2BE0"/>
    <w:rsid w:val="00DC2ED5"/>
    <w:rsid w:val="00DC2F9D"/>
    <w:rsid w:val="00DC2FBF"/>
    <w:rsid w:val="00DC3A1B"/>
    <w:rsid w:val="00DC3A58"/>
    <w:rsid w:val="00DC3BDF"/>
    <w:rsid w:val="00DC412A"/>
    <w:rsid w:val="00DC414D"/>
    <w:rsid w:val="00DC449A"/>
    <w:rsid w:val="00DC44F2"/>
    <w:rsid w:val="00DC48F3"/>
    <w:rsid w:val="00DC4BAF"/>
    <w:rsid w:val="00DC4D91"/>
    <w:rsid w:val="00DC5211"/>
    <w:rsid w:val="00DC53F3"/>
    <w:rsid w:val="00DC57E5"/>
    <w:rsid w:val="00DC5DA3"/>
    <w:rsid w:val="00DC5EF2"/>
    <w:rsid w:val="00DC5EFB"/>
    <w:rsid w:val="00DC655F"/>
    <w:rsid w:val="00DC679A"/>
    <w:rsid w:val="00DC6B60"/>
    <w:rsid w:val="00DC72FD"/>
    <w:rsid w:val="00DC7545"/>
    <w:rsid w:val="00DC7BC7"/>
    <w:rsid w:val="00DC7DCE"/>
    <w:rsid w:val="00DC7F21"/>
    <w:rsid w:val="00DD03C4"/>
    <w:rsid w:val="00DD0536"/>
    <w:rsid w:val="00DD05AD"/>
    <w:rsid w:val="00DD08BC"/>
    <w:rsid w:val="00DD0912"/>
    <w:rsid w:val="00DD0B24"/>
    <w:rsid w:val="00DD0B59"/>
    <w:rsid w:val="00DD1108"/>
    <w:rsid w:val="00DD18F6"/>
    <w:rsid w:val="00DD192D"/>
    <w:rsid w:val="00DD2002"/>
    <w:rsid w:val="00DD22C9"/>
    <w:rsid w:val="00DD237D"/>
    <w:rsid w:val="00DD28E6"/>
    <w:rsid w:val="00DD2EB6"/>
    <w:rsid w:val="00DD30C5"/>
    <w:rsid w:val="00DD3D3A"/>
    <w:rsid w:val="00DD4A4D"/>
    <w:rsid w:val="00DD4ED7"/>
    <w:rsid w:val="00DD51F5"/>
    <w:rsid w:val="00DD52C1"/>
    <w:rsid w:val="00DD55D9"/>
    <w:rsid w:val="00DD56CE"/>
    <w:rsid w:val="00DD59F4"/>
    <w:rsid w:val="00DD5B3D"/>
    <w:rsid w:val="00DD5DA9"/>
    <w:rsid w:val="00DD61FD"/>
    <w:rsid w:val="00DD6A6C"/>
    <w:rsid w:val="00DD6C8C"/>
    <w:rsid w:val="00DD7007"/>
    <w:rsid w:val="00DD73BD"/>
    <w:rsid w:val="00DD783C"/>
    <w:rsid w:val="00DD7C6E"/>
    <w:rsid w:val="00DD7EBD"/>
    <w:rsid w:val="00DD7EDB"/>
    <w:rsid w:val="00DE03DF"/>
    <w:rsid w:val="00DE0446"/>
    <w:rsid w:val="00DE05ED"/>
    <w:rsid w:val="00DE2213"/>
    <w:rsid w:val="00DE24E7"/>
    <w:rsid w:val="00DE273B"/>
    <w:rsid w:val="00DE309C"/>
    <w:rsid w:val="00DE36CA"/>
    <w:rsid w:val="00DE37C9"/>
    <w:rsid w:val="00DE3978"/>
    <w:rsid w:val="00DE3AAB"/>
    <w:rsid w:val="00DE3D88"/>
    <w:rsid w:val="00DE40DC"/>
    <w:rsid w:val="00DE4555"/>
    <w:rsid w:val="00DE458F"/>
    <w:rsid w:val="00DE467E"/>
    <w:rsid w:val="00DE46F4"/>
    <w:rsid w:val="00DE4812"/>
    <w:rsid w:val="00DE48B9"/>
    <w:rsid w:val="00DE529B"/>
    <w:rsid w:val="00DE5933"/>
    <w:rsid w:val="00DE5C4D"/>
    <w:rsid w:val="00DE686E"/>
    <w:rsid w:val="00DE6EF5"/>
    <w:rsid w:val="00DE70D4"/>
    <w:rsid w:val="00DE7398"/>
    <w:rsid w:val="00DE7881"/>
    <w:rsid w:val="00DF0183"/>
    <w:rsid w:val="00DF01DD"/>
    <w:rsid w:val="00DF0594"/>
    <w:rsid w:val="00DF07B8"/>
    <w:rsid w:val="00DF1336"/>
    <w:rsid w:val="00DF14CA"/>
    <w:rsid w:val="00DF1577"/>
    <w:rsid w:val="00DF1659"/>
    <w:rsid w:val="00DF186D"/>
    <w:rsid w:val="00DF19B8"/>
    <w:rsid w:val="00DF1F47"/>
    <w:rsid w:val="00DF1F97"/>
    <w:rsid w:val="00DF20D3"/>
    <w:rsid w:val="00DF23A2"/>
    <w:rsid w:val="00DF2473"/>
    <w:rsid w:val="00DF2722"/>
    <w:rsid w:val="00DF2E0D"/>
    <w:rsid w:val="00DF3C96"/>
    <w:rsid w:val="00DF408A"/>
    <w:rsid w:val="00DF40BD"/>
    <w:rsid w:val="00DF560E"/>
    <w:rsid w:val="00DF5704"/>
    <w:rsid w:val="00DF5B98"/>
    <w:rsid w:val="00DF5F9A"/>
    <w:rsid w:val="00DF62B6"/>
    <w:rsid w:val="00DF6518"/>
    <w:rsid w:val="00DF664A"/>
    <w:rsid w:val="00DF694D"/>
    <w:rsid w:val="00DF6A31"/>
    <w:rsid w:val="00DF6F55"/>
    <w:rsid w:val="00DF7239"/>
    <w:rsid w:val="00DF74E5"/>
    <w:rsid w:val="00DF75D4"/>
    <w:rsid w:val="00DF7626"/>
    <w:rsid w:val="00DF782D"/>
    <w:rsid w:val="00DF78B4"/>
    <w:rsid w:val="00DF7B02"/>
    <w:rsid w:val="00DF7C96"/>
    <w:rsid w:val="00DF7F1D"/>
    <w:rsid w:val="00E002BE"/>
    <w:rsid w:val="00E0045C"/>
    <w:rsid w:val="00E004FD"/>
    <w:rsid w:val="00E00525"/>
    <w:rsid w:val="00E011F4"/>
    <w:rsid w:val="00E012C4"/>
    <w:rsid w:val="00E0170E"/>
    <w:rsid w:val="00E01833"/>
    <w:rsid w:val="00E01866"/>
    <w:rsid w:val="00E01AE6"/>
    <w:rsid w:val="00E01B67"/>
    <w:rsid w:val="00E01F68"/>
    <w:rsid w:val="00E01FCD"/>
    <w:rsid w:val="00E021F5"/>
    <w:rsid w:val="00E0221A"/>
    <w:rsid w:val="00E022C5"/>
    <w:rsid w:val="00E02A3E"/>
    <w:rsid w:val="00E02AFC"/>
    <w:rsid w:val="00E02BA5"/>
    <w:rsid w:val="00E02CAB"/>
    <w:rsid w:val="00E02EB4"/>
    <w:rsid w:val="00E02EBE"/>
    <w:rsid w:val="00E031BE"/>
    <w:rsid w:val="00E036DC"/>
    <w:rsid w:val="00E03884"/>
    <w:rsid w:val="00E03927"/>
    <w:rsid w:val="00E03DB5"/>
    <w:rsid w:val="00E044A4"/>
    <w:rsid w:val="00E0466D"/>
    <w:rsid w:val="00E0479D"/>
    <w:rsid w:val="00E04955"/>
    <w:rsid w:val="00E05368"/>
    <w:rsid w:val="00E056A9"/>
    <w:rsid w:val="00E05AF5"/>
    <w:rsid w:val="00E05C88"/>
    <w:rsid w:val="00E05EA0"/>
    <w:rsid w:val="00E05F87"/>
    <w:rsid w:val="00E063DE"/>
    <w:rsid w:val="00E0646A"/>
    <w:rsid w:val="00E06A26"/>
    <w:rsid w:val="00E06CAD"/>
    <w:rsid w:val="00E06D39"/>
    <w:rsid w:val="00E07225"/>
    <w:rsid w:val="00E07529"/>
    <w:rsid w:val="00E07734"/>
    <w:rsid w:val="00E07C57"/>
    <w:rsid w:val="00E104C0"/>
    <w:rsid w:val="00E107AD"/>
    <w:rsid w:val="00E10866"/>
    <w:rsid w:val="00E10F31"/>
    <w:rsid w:val="00E11484"/>
    <w:rsid w:val="00E11B3B"/>
    <w:rsid w:val="00E11C48"/>
    <w:rsid w:val="00E121A8"/>
    <w:rsid w:val="00E1250F"/>
    <w:rsid w:val="00E1275D"/>
    <w:rsid w:val="00E12C21"/>
    <w:rsid w:val="00E131FE"/>
    <w:rsid w:val="00E132B3"/>
    <w:rsid w:val="00E13CCB"/>
    <w:rsid w:val="00E14127"/>
    <w:rsid w:val="00E14327"/>
    <w:rsid w:val="00E145AE"/>
    <w:rsid w:val="00E15152"/>
    <w:rsid w:val="00E153B6"/>
    <w:rsid w:val="00E15654"/>
    <w:rsid w:val="00E15B79"/>
    <w:rsid w:val="00E164E9"/>
    <w:rsid w:val="00E1660F"/>
    <w:rsid w:val="00E1688B"/>
    <w:rsid w:val="00E16A77"/>
    <w:rsid w:val="00E16D6B"/>
    <w:rsid w:val="00E1707C"/>
    <w:rsid w:val="00E171BE"/>
    <w:rsid w:val="00E17A54"/>
    <w:rsid w:val="00E20445"/>
    <w:rsid w:val="00E20DAB"/>
    <w:rsid w:val="00E21929"/>
    <w:rsid w:val="00E21B4C"/>
    <w:rsid w:val="00E21B98"/>
    <w:rsid w:val="00E220C5"/>
    <w:rsid w:val="00E22633"/>
    <w:rsid w:val="00E227FF"/>
    <w:rsid w:val="00E2314B"/>
    <w:rsid w:val="00E234B0"/>
    <w:rsid w:val="00E23982"/>
    <w:rsid w:val="00E23AB4"/>
    <w:rsid w:val="00E23D2B"/>
    <w:rsid w:val="00E23F39"/>
    <w:rsid w:val="00E24319"/>
    <w:rsid w:val="00E24744"/>
    <w:rsid w:val="00E24971"/>
    <w:rsid w:val="00E24BE0"/>
    <w:rsid w:val="00E24D67"/>
    <w:rsid w:val="00E25056"/>
    <w:rsid w:val="00E251CB"/>
    <w:rsid w:val="00E25267"/>
    <w:rsid w:val="00E25BA3"/>
    <w:rsid w:val="00E25F1B"/>
    <w:rsid w:val="00E26C08"/>
    <w:rsid w:val="00E26C61"/>
    <w:rsid w:val="00E27295"/>
    <w:rsid w:val="00E27817"/>
    <w:rsid w:val="00E2783A"/>
    <w:rsid w:val="00E2792B"/>
    <w:rsid w:val="00E27C0D"/>
    <w:rsid w:val="00E27C95"/>
    <w:rsid w:val="00E30210"/>
    <w:rsid w:val="00E30372"/>
    <w:rsid w:val="00E303E1"/>
    <w:rsid w:val="00E30684"/>
    <w:rsid w:val="00E307BB"/>
    <w:rsid w:val="00E30B86"/>
    <w:rsid w:val="00E30E15"/>
    <w:rsid w:val="00E310F5"/>
    <w:rsid w:val="00E31299"/>
    <w:rsid w:val="00E315C2"/>
    <w:rsid w:val="00E31B88"/>
    <w:rsid w:val="00E31C8D"/>
    <w:rsid w:val="00E31E48"/>
    <w:rsid w:val="00E328E1"/>
    <w:rsid w:val="00E32ACA"/>
    <w:rsid w:val="00E32D61"/>
    <w:rsid w:val="00E32FA9"/>
    <w:rsid w:val="00E33143"/>
    <w:rsid w:val="00E3325A"/>
    <w:rsid w:val="00E33277"/>
    <w:rsid w:val="00E33376"/>
    <w:rsid w:val="00E33521"/>
    <w:rsid w:val="00E33983"/>
    <w:rsid w:val="00E33C10"/>
    <w:rsid w:val="00E33EDA"/>
    <w:rsid w:val="00E346C3"/>
    <w:rsid w:val="00E3473C"/>
    <w:rsid w:val="00E34863"/>
    <w:rsid w:val="00E3505B"/>
    <w:rsid w:val="00E3530F"/>
    <w:rsid w:val="00E35676"/>
    <w:rsid w:val="00E35A1D"/>
    <w:rsid w:val="00E362B1"/>
    <w:rsid w:val="00E36371"/>
    <w:rsid w:val="00E36860"/>
    <w:rsid w:val="00E36B0B"/>
    <w:rsid w:val="00E36BDB"/>
    <w:rsid w:val="00E377B4"/>
    <w:rsid w:val="00E37A7B"/>
    <w:rsid w:val="00E37B33"/>
    <w:rsid w:val="00E37F32"/>
    <w:rsid w:val="00E40346"/>
    <w:rsid w:val="00E4092E"/>
    <w:rsid w:val="00E409D9"/>
    <w:rsid w:val="00E40F68"/>
    <w:rsid w:val="00E41199"/>
    <w:rsid w:val="00E41346"/>
    <w:rsid w:val="00E413FE"/>
    <w:rsid w:val="00E41BBC"/>
    <w:rsid w:val="00E41C84"/>
    <w:rsid w:val="00E42ACC"/>
    <w:rsid w:val="00E43329"/>
    <w:rsid w:val="00E433FB"/>
    <w:rsid w:val="00E43648"/>
    <w:rsid w:val="00E43AEB"/>
    <w:rsid w:val="00E442BA"/>
    <w:rsid w:val="00E44671"/>
    <w:rsid w:val="00E44A45"/>
    <w:rsid w:val="00E45254"/>
    <w:rsid w:val="00E45318"/>
    <w:rsid w:val="00E454BE"/>
    <w:rsid w:val="00E45BF7"/>
    <w:rsid w:val="00E45D7F"/>
    <w:rsid w:val="00E45D87"/>
    <w:rsid w:val="00E45E62"/>
    <w:rsid w:val="00E46418"/>
    <w:rsid w:val="00E46957"/>
    <w:rsid w:val="00E46985"/>
    <w:rsid w:val="00E469E7"/>
    <w:rsid w:val="00E46C27"/>
    <w:rsid w:val="00E46CF8"/>
    <w:rsid w:val="00E47134"/>
    <w:rsid w:val="00E47153"/>
    <w:rsid w:val="00E4767F"/>
    <w:rsid w:val="00E47A10"/>
    <w:rsid w:val="00E47B38"/>
    <w:rsid w:val="00E50181"/>
    <w:rsid w:val="00E50324"/>
    <w:rsid w:val="00E508FA"/>
    <w:rsid w:val="00E5091B"/>
    <w:rsid w:val="00E50C87"/>
    <w:rsid w:val="00E50E4B"/>
    <w:rsid w:val="00E512B2"/>
    <w:rsid w:val="00E51667"/>
    <w:rsid w:val="00E5255A"/>
    <w:rsid w:val="00E5278E"/>
    <w:rsid w:val="00E52A4E"/>
    <w:rsid w:val="00E53535"/>
    <w:rsid w:val="00E535D4"/>
    <w:rsid w:val="00E5392B"/>
    <w:rsid w:val="00E5400F"/>
    <w:rsid w:val="00E5409F"/>
    <w:rsid w:val="00E54142"/>
    <w:rsid w:val="00E543C7"/>
    <w:rsid w:val="00E54894"/>
    <w:rsid w:val="00E54A29"/>
    <w:rsid w:val="00E54FF7"/>
    <w:rsid w:val="00E5526C"/>
    <w:rsid w:val="00E5527F"/>
    <w:rsid w:val="00E55B83"/>
    <w:rsid w:val="00E55E79"/>
    <w:rsid w:val="00E56183"/>
    <w:rsid w:val="00E56584"/>
    <w:rsid w:val="00E56BEC"/>
    <w:rsid w:val="00E5716A"/>
    <w:rsid w:val="00E5734D"/>
    <w:rsid w:val="00E5797D"/>
    <w:rsid w:val="00E6000A"/>
    <w:rsid w:val="00E60133"/>
    <w:rsid w:val="00E6013D"/>
    <w:rsid w:val="00E60768"/>
    <w:rsid w:val="00E60AD0"/>
    <w:rsid w:val="00E60F17"/>
    <w:rsid w:val="00E60FC5"/>
    <w:rsid w:val="00E61059"/>
    <w:rsid w:val="00E614DD"/>
    <w:rsid w:val="00E6153E"/>
    <w:rsid w:val="00E6211A"/>
    <w:rsid w:val="00E62417"/>
    <w:rsid w:val="00E629E3"/>
    <w:rsid w:val="00E62B5C"/>
    <w:rsid w:val="00E62E31"/>
    <w:rsid w:val="00E63526"/>
    <w:rsid w:val="00E639F9"/>
    <w:rsid w:val="00E63A29"/>
    <w:rsid w:val="00E63B00"/>
    <w:rsid w:val="00E63E76"/>
    <w:rsid w:val="00E65402"/>
    <w:rsid w:val="00E65410"/>
    <w:rsid w:val="00E65A5E"/>
    <w:rsid w:val="00E661C9"/>
    <w:rsid w:val="00E66992"/>
    <w:rsid w:val="00E66D6C"/>
    <w:rsid w:val="00E67643"/>
    <w:rsid w:val="00E679C9"/>
    <w:rsid w:val="00E67A0E"/>
    <w:rsid w:val="00E67FCC"/>
    <w:rsid w:val="00E70204"/>
    <w:rsid w:val="00E70299"/>
    <w:rsid w:val="00E703A1"/>
    <w:rsid w:val="00E7040A"/>
    <w:rsid w:val="00E70FC6"/>
    <w:rsid w:val="00E71055"/>
    <w:rsid w:val="00E71072"/>
    <w:rsid w:val="00E711EC"/>
    <w:rsid w:val="00E71975"/>
    <w:rsid w:val="00E71D9C"/>
    <w:rsid w:val="00E71E5F"/>
    <w:rsid w:val="00E71FD8"/>
    <w:rsid w:val="00E721B5"/>
    <w:rsid w:val="00E72D73"/>
    <w:rsid w:val="00E73357"/>
    <w:rsid w:val="00E73437"/>
    <w:rsid w:val="00E73660"/>
    <w:rsid w:val="00E73A81"/>
    <w:rsid w:val="00E74045"/>
    <w:rsid w:val="00E74374"/>
    <w:rsid w:val="00E7461C"/>
    <w:rsid w:val="00E74D0B"/>
    <w:rsid w:val="00E754A2"/>
    <w:rsid w:val="00E75B39"/>
    <w:rsid w:val="00E75D21"/>
    <w:rsid w:val="00E76100"/>
    <w:rsid w:val="00E768BC"/>
    <w:rsid w:val="00E76C46"/>
    <w:rsid w:val="00E76E14"/>
    <w:rsid w:val="00E76E6C"/>
    <w:rsid w:val="00E77085"/>
    <w:rsid w:val="00E77470"/>
    <w:rsid w:val="00E7748A"/>
    <w:rsid w:val="00E777EB"/>
    <w:rsid w:val="00E77F3B"/>
    <w:rsid w:val="00E8049E"/>
    <w:rsid w:val="00E81135"/>
    <w:rsid w:val="00E8119B"/>
    <w:rsid w:val="00E814BC"/>
    <w:rsid w:val="00E81709"/>
    <w:rsid w:val="00E81731"/>
    <w:rsid w:val="00E81995"/>
    <w:rsid w:val="00E81A7E"/>
    <w:rsid w:val="00E81F67"/>
    <w:rsid w:val="00E82224"/>
    <w:rsid w:val="00E82648"/>
    <w:rsid w:val="00E82E59"/>
    <w:rsid w:val="00E82E9B"/>
    <w:rsid w:val="00E83113"/>
    <w:rsid w:val="00E8338E"/>
    <w:rsid w:val="00E833B1"/>
    <w:rsid w:val="00E83730"/>
    <w:rsid w:val="00E83776"/>
    <w:rsid w:val="00E839E4"/>
    <w:rsid w:val="00E83D64"/>
    <w:rsid w:val="00E83E4C"/>
    <w:rsid w:val="00E841E5"/>
    <w:rsid w:val="00E84643"/>
    <w:rsid w:val="00E848CD"/>
    <w:rsid w:val="00E84B84"/>
    <w:rsid w:val="00E84D19"/>
    <w:rsid w:val="00E84D2F"/>
    <w:rsid w:val="00E85117"/>
    <w:rsid w:val="00E851BE"/>
    <w:rsid w:val="00E851ED"/>
    <w:rsid w:val="00E85B12"/>
    <w:rsid w:val="00E85DCD"/>
    <w:rsid w:val="00E87FF3"/>
    <w:rsid w:val="00E901A0"/>
    <w:rsid w:val="00E9095B"/>
    <w:rsid w:val="00E90A89"/>
    <w:rsid w:val="00E90BFF"/>
    <w:rsid w:val="00E90C3B"/>
    <w:rsid w:val="00E90FDE"/>
    <w:rsid w:val="00E91F33"/>
    <w:rsid w:val="00E92991"/>
    <w:rsid w:val="00E92A3C"/>
    <w:rsid w:val="00E92C6B"/>
    <w:rsid w:val="00E93638"/>
    <w:rsid w:val="00E93AB5"/>
    <w:rsid w:val="00E93BF1"/>
    <w:rsid w:val="00E93ED6"/>
    <w:rsid w:val="00E94A06"/>
    <w:rsid w:val="00E94C05"/>
    <w:rsid w:val="00E9503C"/>
    <w:rsid w:val="00E95051"/>
    <w:rsid w:val="00E95640"/>
    <w:rsid w:val="00E95A79"/>
    <w:rsid w:val="00E95C5C"/>
    <w:rsid w:val="00E95CB2"/>
    <w:rsid w:val="00E95DC3"/>
    <w:rsid w:val="00E96482"/>
    <w:rsid w:val="00E965B8"/>
    <w:rsid w:val="00E968C3"/>
    <w:rsid w:val="00E969E7"/>
    <w:rsid w:val="00E96B26"/>
    <w:rsid w:val="00E96D0C"/>
    <w:rsid w:val="00E96D50"/>
    <w:rsid w:val="00E97013"/>
    <w:rsid w:val="00E971C9"/>
    <w:rsid w:val="00E975EE"/>
    <w:rsid w:val="00E975FE"/>
    <w:rsid w:val="00E9778A"/>
    <w:rsid w:val="00E97DF9"/>
    <w:rsid w:val="00E97E8F"/>
    <w:rsid w:val="00EA0143"/>
    <w:rsid w:val="00EA03BC"/>
    <w:rsid w:val="00EA03F4"/>
    <w:rsid w:val="00EA0823"/>
    <w:rsid w:val="00EA082D"/>
    <w:rsid w:val="00EA0A91"/>
    <w:rsid w:val="00EA0A9F"/>
    <w:rsid w:val="00EA0C40"/>
    <w:rsid w:val="00EA0C75"/>
    <w:rsid w:val="00EA0E6B"/>
    <w:rsid w:val="00EA0EF8"/>
    <w:rsid w:val="00EA14A4"/>
    <w:rsid w:val="00EA1853"/>
    <w:rsid w:val="00EA1C4A"/>
    <w:rsid w:val="00EA1DE5"/>
    <w:rsid w:val="00EA2171"/>
    <w:rsid w:val="00EA24CD"/>
    <w:rsid w:val="00EA2ACF"/>
    <w:rsid w:val="00EA2D40"/>
    <w:rsid w:val="00EA3288"/>
    <w:rsid w:val="00EA3ACB"/>
    <w:rsid w:val="00EA3B9F"/>
    <w:rsid w:val="00EA3CB4"/>
    <w:rsid w:val="00EA3D06"/>
    <w:rsid w:val="00EA4032"/>
    <w:rsid w:val="00EA47AF"/>
    <w:rsid w:val="00EA4ABA"/>
    <w:rsid w:val="00EA500F"/>
    <w:rsid w:val="00EA55FB"/>
    <w:rsid w:val="00EA5C8F"/>
    <w:rsid w:val="00EA5CE0"/>
    <w:rsid w:val="00EA632B"/>
    <w:rsid w:val="00EA63A5"/>
    <w:rsid w:val="00EA68F4"/>
    <w:rsid w:val="00EA6AC6"/>
    <w:rsid w:val="00EA6AD0"/>
    <w:rsid w:val="00EA6E36"/>
    <w:rsid w:val="00EA784B"/>
    <w:rsid w:val="00EA7A93"/>
    <w:rsid w:val="00EA7BC9"/>
    <w:rsid w:val="00EA7C48"/>
    <w:rsid w:val="00EA7DFD"/>
    <w:rsid w:val="00EB05A8"/>
    <w:rsid w:val="00EB0764"/>
    <w:rsid w:val="00EB08FA"/>
    <w:rsid w:val="00EB109D"/>
    <w:rsid w:val="00EB153E"/>
    <w:rsid w:val="00EB18DC"/>
    <w:rsid w:val="00EB1938"/>
    <w:rsid w:val="00EB1BA7"/>
    <w:rsid w:val="00EB1E5F"/>
    <w:rsid w:val="00EB22F4"/>
    <w:rsid w:val="00EB259E"/>
    <w:rsid w:val="00EB2790"/>
    <w:rsid w:val="00EB2AA8"/>
    <w:rsid w:val="00EB2C61"/>
    <w:rsid w:val="00EB2FA4"/>
    <w:rsid w:val="00EB3178"/>
    <w:rsid w:val="00EB3427"/>
    <w:rsid w:val="00EB37D7"/>
    <w:rsid w:val="00EB3B95"/>
    <w:rsid w:val="00EB4097"/>
    <w:rsid w:val="00EB4A80"/>
    <w:rsid w:val="00EB4C82"/>
    <w:rsid w:val="00EB4DA9"/>
    <w:rsid w:val="00EB541C"/>
    <w:rsid w:val="00EB59FA"/>
    <w:rsid w:val="00EB5BD1"/>
    <w:rsid w:val="00EB5EB0"/>
    <w:rsid w:val="00EB617D"/>
    <w:rsid w:val="00EB6325"/>
    <w:rsid w:val="00EB636D"/>
    <w:rsid w:val="00EB6E1F"/>
    <w:rsid w:val="00EB70BD"/>
    <w:rsid w:val="00EB74B7"/>
    <w:rsid w:val="00EB7514"/>
    <w:rsid w:val="00EB758F"/>
    <w:rsid w:val="00EB7835"/>
    <w:rsid w:val="00EC002C"/>
    <w:rsid w:val="00EC05C4"/>
    <w:rsid w:val="00EC092B"/>
    <w:rsid w:val="00EC0C7F"/>
    <w:rsid w:val="00EC119C"/>
    <w:rsid w:val="00EC167D"/>
    <w:rsid w:val="00EC169B"/>
    <w:rsid w:val="00EC18C6"/>
    <w:rsid w:val="00EC1E8D"/>
    <w:rsid w:val="00EC1EEE"/>
    <w:rsid w:val="00EC2066"/>
    <w:rsid w:val="00EC222E"/>
    <w:rsid w:val="00EC2919"/>
    <w:rsid w:val="00EC2C1F"/>
    <w:rsid w:val="00EC2EDF"/>
    <w:rsid w:val="00EC2EE2"/>
    <w:rsid w:val="00EC2F7F"/>
    <w:rsid w:val="00EC3527"/>
    <w:rsid w:val="00EC37D0"/>
    <w:rsid w:val="00EC3A14"/>
    <w:rsid w:val="00EC3B1A"/>
    <w:rsid w:val="00EC4258"/>
    <w:rsid w:val="00EC4488"/>
    <w:rsid w:val="00EC44AE"/>
    <w:rsid w:val="00EC47B2"/>
    <w:rsid w:val="00EC4B6A"/>
    <w:rsid w:val="00EC4DE3"/>
    <w:rsid w:val="00EC4FDF"/>
    <w:rsid w:val="00EC51B4"/>
    <w:rsid w:val="00EC5411"/>
    <w:rsid w:val="00EC55CF"/>
    <w:rsid w:val="00EC572E"/>
    <w:rsid w:val="00EC587D"/>
    <w:rsid w:val="00EC58ED"/>
    <w:rsid w:val="00EC5967"/>
    <w:rsid w:val="00EC5990"/>
    <w:rsid w:val="00EC6236"/>
    <w:rsid w:val="00EC66C5"/>
    <w:rsid w:val="00EC68B3"/>
    <w:rsid w:val="00EC7204"/>
    <w:rsid w:val="00EC7CD8"/>
    <w:rsid w:val="00EC7EBB"/>
    <w:rsid w:val="00ED02DE"/>
    <w:rsid w:val="00ED069F"/>
    <w:rsid w:val="00ED076C"/>
    <w:rsid w:val="00ED0DA6"/>
    <w:rsid w:val="00ED1161"/>
    <w:rsid w:val="00ED12F5"/>
    <w:rsid w:val="00ED1884"/>
    <w:rsid w:val="00ED1FEC"/>
    <w:rsid w:val="00ED2266"/>
    <w:rsid w:val="00ED2671"/>
    <w:rsid w:val="00ED29FC"/>
    <w:rsid w:val="00ED2A1D"/>
    <w:rsid w:val="00ED2E9F"/>
    <w:rsid w:val="00ED2FF0"/>
    <w:rsid w:val="00ED30E2"/>
    <w:rsid w:val="00ED30E4"/>
    <w:rsid w:val="00ED3A16"/>
    <w:rsid w:val="00ED3BBE"/>
    <w:rsid w:val="00ED4124"/>
    <w:rsid w:val="00ED444C"/>
    <w:rsid w:val="00ED45BA"/>
    <w:rsid w:val="00ED4A0D"/>
    <w:rsid w:val="00ED4F63"/>
    <w:rsid w:val="00ED5016"/>
    <w:rsid w:val="00ED5422"/>
    <w:rsid w:val="00ED55C0"/>
    <w:rsid w:val="00ED55C2"/>
    <w:rsid w:val="00ED5A49"/>
    <w:rsid w:val="00ED5A4C"/>
    <w:rsid w:val="00ED5FAB"/>
    <w:rsid w:val="00ED5FF5"/>
    <w:rsid w:val="00ED6265"/>
    <w:rsid w:val="00ED630D"/>
    <w:rsid w:val="00ED6527"/>
    <w:rsid w:val="00ED65AD"/>
    <w:rsid w:val="00ED6C18"/>
    <w:rsid w:val="00ED7862"/>
    <w:rsid w:val="00ED7EB4"/>
    <w:rsid w:val="00ED7F51"/>
    <w:rsid w:val="00EE079D"/>
    <w:rsid w:val="00EE07A4"/>
    <w:rsid w:val="00EE0D79"/>
    <w:rsid w:val="00EE0DBF"/>
    <w:rsid w:val="00EE106C"/>
    <w:rsid w:val="00EE1473"/>
    <w:rsid w:val="00EE16DB"/>
    <w:rsid w:val="00EE192B"/>
    <w:rsid w:val="00EE1D32"/>
    <w:rsid w:val="00EE1D72"/>
    <w:rsid w:val="00EE2784"/>
    <w:rsid w:val="00EE286F"/>
    <w:rsid w:val="00EE2948"/>
    <w:rsid w:val="00EE2995"/>
    <w:rsid w:val="00EE2A3C"/>
    <w:rsid w:val="00EE2A48"/>
    <w:rsid w:val="00EE2BE4"/>
    <w:rsid w:val="00EE2C44"/>
    <w:rsid w:val="00EE3196"/>
    <w:rsid w:val="00EE3328"/>
    <w:rsid w:val="00EE3EBA"/>
    <w:rsid w:val="00EE462F"/>
    <w:rsid w:val="00EE53C5"/>
    <w:rsid w:val="00EE5B42"/>
    <w:rsid w:val="00EE6299"/>
    <w:rsid w:val="00EE647F"/>
    <w:rsid w:val="00EE6488"/>
    <w:rsid w:val="00EE718A"/>
    <w:rsid w:val="00EE72DA"/>
    <w:rsid w:val="00EF006D"/>
    <w:rsid w:val="00EF0497"/>
    <w:rsid w:val="00EF0514"/>
    <w:rsid w:val="00EF087D"/>
    <w:rsid w:val="00EF107A"/>
    <w:rsid w:val="00EF11E9"/>
    <w:rsid w:val="00EF1CD3"/>
    <w:rsid w:val="00EF1D44"/>
    <w:rsid w:val="00EF2734"/>
    <w:rsid w:val="00EF2F2F"/>
    <w:rsid w:val="00EF2FCD"/>
    <w:rsid w:val="00EF3164"/>
    <w:rsid w:val="00EF3612"/>
    <w:rsid w:val="00EF3EA5"/>
    <w:rsid w:val="00EF3EC6"/>
    <w:rsid w:val="00EF3F3F"/>
    <w:rsid w:val="00EF404A"/>
    <w:rsid w:val="00EF461C"/>
    <w:rsid w:val="00EF4927"/>
    <w:rsid w:val="00EF4C22"/>
    <w:rsid w:val="00EF5C00"/>
    <w:rsid w:val="00EF6115"/>
    <w:rsid w:val="00EF6202"/>
    <w:rsid w:val="00EF673C"/>
    <w:rsid w:val="00EF698D"/>
    <w:rsid w:val="00EF6CAA"/>
    <w:rsid w:val="00EF6D7F"/>
    <w:rsid w:val="00EF6E1F"/>
    <w:rsid w:val="00EF72AA"/>
    <w:rsid w:val="00EF74B1"/>
    <w:rsid w:val="00EF7E13"/>
    <w:rsid w:val="00EF7F74"/>
    <w:rsid w:val="00F00385"/>
    <w:rsid w:val="00F00B07"/>
    <w:rsid w:val="00F00F98"/>
    <w:rsid w:val="00F010C1"/>
    <w:rsid w:val="00F0184D"/>
    <w:rsid w:val="00F0205B"/>
    <w:rsid w:val="00F021FA"/>
    <w:rsid w:val="00F0245B"/>
    <w:rsid w:val="00F0270A"/>
    <w:rsid w:val="00F0270C"/>
    <w:rsid w:val="00F02863"/>
    <w:rsid w:val="00F02B16"/>
    <w:rsid w:val="00F02DE5"/>
    <w:rsid w:val="00F036D9"/>
    <w:rsid w:val="00F0387B"/>
    <w:rsid w:val="00F038D7"/>
    <w:rsid w:val="00F04572"/>
    <w:rsid w:val="00F045E0"/>
    <w:rsid w:val="00F04645"/>
    <w:rsid w:val="00F046CD"/>
    <w:rsid w:val="00F05020"/>
    <w:rsid w:val="00F05284"/>
    <w:rsid w:val="00F057A3"/>
    <w:rsid w:val="00F05880"/>
    <w:rsid w:val="00F05AD7"/>
    <w:rsid w:val="00F05C6E"/>
    <w:rsid w:val="00F05E9C"/>
    <w:rsid w:val="00F0641B"/>
    <w:rsid w:val="00F06585"/>
    <w:rsid w:val="00F06A64"/>
    <w:rsid w:val="00F06A71"/>
    <w:rsid w:val="00F06C49"/>
    <w:rsid w:val="00F06CAE"/>
    <w:rsid w:val="00F06CF3"/>
    <w:rsid w:val="00F06D04"/>
    <w:rsid w:val="00F06EA1"/>
    <w:rsid w:val="00F06F14"/>
    <w:rsid w:val="00F071D9"/>
    <w:rsid w:val="00F07202"/>
    <w:rsid w:val="00F073BD"/>
    <w:rsid w:val="00F074E4"/>
    <w:rsid w:val="00F075C6"/>
    <w:rsid w:val="00F07F6F"/>
    <w:rsid w:val="00F1080D"/>
    <w:rsid w:val="00F10DEE"/>
    <w:rsid w:val="00F11122"/>
    <w:rsid w:val="00F112BB"/>
    <w:rsid w:val="00F11A40"/>
    <w:rsid w:val="00F11F54"/>
    <w:rsid w:val="00F12070"/>
    <w:rsid w:val="00F1218C"/>
    <w:rsid w:val="00F1219B"/>
    <w:rsid w:val="00F1221B"/>
    <w:rsid w:val="00F12618"/>
    <w:rsid w:val="00F13862"/>
    <w:rsid w:val="00F13C67"/>
    <w:rsid w:val="00F13CED"/>
    <w:rsid w:val="00F13D08"/>
    <w:rsid w:val="00F15379"/>
    <w:rsid w:val="00F166CD"/>
    <w:rsid w:val="00F168D9"/>
    <w:rsid w:val="00F169C4"/>
    <w:rsid w:val="00F169E1"/>
    <w:rsid w:val="00F176D7"/>
    <w:rsid w:val="00F17734"/>
    <w:rsid w:val="00F17D07"/>
    <w:rsid w:val="00F20392"/>
    <w:rsid w:val="00F21083"/>
    <w:rsid w:val="00F21F66"/>
    <w:rsid w:val="00F221BC"/>
    <w:rsid w:val="00F22508"/>
    <w:rsid w:val="00F225B8"/>
    <w:rsid w:val="00F2275C"/>
    <w:rsid w:val="00F22B6F"/>
    <w:rsid w:val="00F22C35"/>
    <w:rsid w:val="00F22DD3"/>
    <w:rsid w:val="00F23012"/>
    <w:rsid w:val="00F2303C"/>
    <w:rsid w:val="00F235D4"/>
    <w:rsid w:val="00F2366A"/>
    <w:rsid w:val="00F23B0C"/>
    <w:rsid w:val="00F24049"/>
    <w:rsid w:val="00F24096"/>
    <w:rsid w:val="00F24185"/>
    <w:rsid w:val="00F243D5"/>
    <w:rsid w:val="00F247A6"/>
    <w:rsid w:val="00F24CA3"/>
    <w:rsid w:val="00F2539A"/>
    <w:rsid w:val="00F253A0"/>
    <w:rsid w:val="00F25552"/>
    <w:rsid w:val="00F25784"/>
    <w:rsid w:val="00F25885"/>
    <w:rsid w:val="00F25C72"/>
    <w:rsid w:val="00F26374"/>
    <w:rsid w:val="00F26772"/>
    <w:rsid w:val="00F26B57"/>
    <w:rsid w:val="00F275A5"/>
    <w:rsid w:val="00F2782E"/>
    <w:rsid w:val="00F27C9A"/>
    <w:rsid w:val="00F27EEF"/>
    <w:rsid w:val="00F300A6"/>
    <w:rsid w:val="00F300D6"/>
    <w:rsid w:val="00F304B9"/>
    <w:rsid w:val="00F30667"/>
    <w:rsid w:val="00F30AEA"/>
    <w:rsid w:val="00F30F4E"/>
    <w:rsid w:val="00F31420"/>
    <w:rsid w:val="00F31AB4"/>
    <w:rsid w:val="00F31B70"/>
    <w:rsid w:val="00F32245"/>
    <w:rsid w:val="00F32436"/>
    <w:rsid w:val="00F3249E"/>
    <w:rsid w:val="00F325F1"/>
    <w:rsid w:val="00F326C4"/>
    <w:rsid w:val="00F32F4B"/>
    <w:rsid w:val="00F33124"/>
    <w:rsid w:val="00F33180"/>
    <w:rsid w:val="00F33497"/>
    <w:rsid w:val="00F33751"/>
    <w:rsid w:val="00F33CDF"/>
    <w:rsid w:val="00F34050"/>
    <w:rsid w:val="00F3456B"/>
    <w:rsid w:val="00F34898"/>
    <w:rsid w:val="00F34C52"/>
    <w:rsid w:val="00F34D7F"/>
    <w:rsid w:val="00F34E6B"/>
    <w:rsid w:val="00F350D0"/>
    <w:rsid w:val="00F3556C"/>
    <w:rsid w:val="00F3587B"/>
    <w:rsid w:val="00F35A7C"/>
    <w:rsid w:val="00F35B00"/>
    <w:rsid w:val="00F35CED"/>
    <w:rsid w:val="00F366C3"/>
    <w:rsid w:val="00F36938"/>
    <w:rsid w:val="00F369B1"/>
    <w:rsid w:val="00F36E8E"/>
    <w:rsid w:val="00F37505"/>
    <w:rsid w:val="00F37B78"/>
    <w:rsid w:val="00F37DC5"/>
    <w:rsid w:val="00F4050B"/>
    <w:rsid w:val="00F405E3"/>
    <w:rsid w:val="00F4070B"/>
    <w:rsid w:val="00F41086"/>
    <w:rsid w:val="00F4128D"/>
    <w:rsid w:val="00F41BD7"/>
    <w:rsid w:val="00F42021"/>
    <w:rsid w:val="00F42316"/>
    <w:rsid w:val="00F42AC6"/>
    <w:rsid w:val="00F42B24"/>
    <w:rsid w:val="00F42D55"/>
    <w:rsid w:val="00F430A1"/>
    <w:rsid w:val="00F4337F"/>
    <w:rsid w:val="00F4462E"/>
    <w:rsid w:val="00F447D5"/>
    <w:rsid w:val="00F44983"/>
    <w:rsid w:val="00F456DA"/>
    <w:rsid w:val="00F46051"/>
    <w:rsid w:val="00F46392"/>
    <w:rsid w:val="00F46C80"/>
    <w:rsid w:val="00F46E21"/>
    <w:rsid w:val="00F475D8"/>
    <w:rsid w:val="00F47ACF"/>
    <w:rsid w:val="00F50100"/>
    <w:rsid w:val="00F50214"/>
    <w:rsid w:val="00F507F4"/>
    <w:rsid w:val="00F50DC3"/>
    <w:rsid w:val="00F51845"/>
    <w:rsid w:val="00F5184A"/>
    <w:rsid w:val="00F5184C"/>
    <w:rsid w:val="00F519B4"/>
    <w:rsid w:val="00F51D2A"/>
    <w:rsid w:val="00F52599"/>
    <w:rsid w:val="00F525D5"/>
    <w:rsid w:val="00F52C14"/>
    <w:rsid w:val="00F534FF"/>
    <w:rsid w:val="00F5367E"/>
    <w:rsid w:val="00F53C76"/>
    <w:rsid w:val="00F53DCE"/>
    <w:rsid w:val="00F54471"/>
    <w:rsid w:val="00F544A7"/>
    <w:rsid w:val="00F54929"/>
    <w:rsid w:val="00F54B23"/>
    <w:rsid w:val="00F54B6B"/>
    <w:rsid w:val="00F54C32"/>
    <w:rsid w:val="00F54E64"/>
    <w:rsid w:val="00F55651"/>
    <w:rsid w:val="00F55A68"/>
    <w:rsid w:val="00F55B1F"/>
    <w:rsid w:val="00F55CA1"/>
    <w:rsid w:val="00F56572"/>
    <w:rsid w:val="00F565AB"/>
    <w:rsid w:val="00F56BFB"/>
    <w:rsid w:val="00F56C33"/>
    <w:rsid w:val="00F579A7"/>
    <w:rsid w:val="00F57CC1"/>
    <w:rsid w:val="00F60707"/>
    <w:rsid w:val="00F60B37"/>
    <w:rsid w:val="00F60C44"/>
    <w:rsid w:val="00F61BC5"/>
    <w:rsid w:val="00F61C0F"/>
    <w:rsid w:val="00F622E9"/>
    <w:rsid w:val="00F62513"/>
    <w:rsid w:val="00F62607"/>
    <w:rsid w:val="00F62712"/>
    <w:rsid w:val="00F627D3"/>
    <w:rsid w:val="00F62AFD"/>
    <w:rsid w:val="00F62E97"/>
    <w:rsid w:val="00F634A3"/>
    <w:rsid w:val="00F63678"/>
    <w:rsid w:val="00F63707"/>
    <w:rsid w:val="00F63ADF"/>
    <w:rsid w:val="00F63BB0"/>
    <w:rsid w:val="00F63C53"/>
    <w:rsid w:val="00F63D83"/>
    <w:rsid w:val="00F64209"/>
    <w:rsid w:val="00F64E11"/>
    <w:rsid w:val="00F6518A"/>
    <w:rsid w:val="00F651BB"/>
    <w:rsid w:val="00F6555B"/>
    <w:rsid w:val="00F6568A"/>
    <w:rsid w:val="00F66060"/>
    <w:rsid w:val="00F66112"/>
    <w:rsid w:val="00F66321"/>
    <w:rsid w:val="00F667C1"/>
    <w:rsid w:val="00F669B2"/>
    <w:rsid w:val="00F66B39"/>
    <w:rsid w:val="00F66ECA"/>
    <w:rsid w:val="00F67822"/>
    <w:rsid w:val="00F706DF"/>
    <w:rsid w:val="00F70928"/>
    <w:rsid w:val="00F7138A"/>
    <w:rsid w:val="00F71CAA"/>
    <w:rsid w:val="00F71F3E"/>
    <w:rsid w:val="00F7208E"/>
    <w:rsid w:val="00F725B0"/>
    <w:rsid w:val="00F72CC0"/>
    <w:rsid w:val="00F731AB"/>
    <w:rsid w:val="00F73848"/>
    <w:rsid w:val="00F73C08"/>
    <w:rsid w:val="00F73CAD"/>
    <w:rsid w:val="00F73D75"/>
    <w:rsid w:val="00F74502"/>
    <w:rsid w:val="00F745D4"/>
    <w:rsid w:val="00F745FC"/>
    <w:rsid w:val="00F7556C"/>
    <w:rsid w:val="00F7587E"/>
    <w:rsid w:val="00F75A35"/>
    <w:rsid w:val="00F75BFF"/>
    <w:rsid w:val="00F75CD4"/>
    <w:rsid w:val="00F75DDF"/>
    <w:rsid w:val="00F75DEC"/>
    <w:rsid w:val="00F7681D"/>
    <w:rsid w:val="00F770AD"/>
    <w:rsid w:val="00F773FE"/>
    <w:rsid w:val="00F77546"/>
    <w:rsid w:val="00F77767"/>
    <w:rsid w:val="00F77847"/>
    <w:rsid w:val="00F77D09"/>
    <w:rsid w:val="00F77E27"/>
    <w:rsid w:val="00F80435"/>
    <w:rsid w:val="00F80445"/>
    <w:rsid w:val="00F80576"/>
    <w:rsid w:val="00F8076B"/>
    <w:rsid w:val="00F81031"/>
    <w:rsid w:val="00F8134D"/>
    <w:rsid w:val="00F8170D"/>
    <w:rsid w:val="00F82388"/>
    <w:rsid w:val="00F82428"/>
    <w:rsid w:val="00F83253"/>
    <w:rsid w:val="00F83693"/>
    <w:rsid w:val="00F839DC"/>
    <w:rsid w:val="00F83DA4"/>
    <w:rsid w:val="00F840F2"/>
    <w:rsid w:val="00F84718"/>
    <w:rsid w:val="00F8495A"/>
    <w:rsid w:val="00F84E7D"/>
    <w:rsid w:val="00F84EA3"/>
    <w:rsid w:val="00F850B1"/>
    <w:rsid w:val="00F85417"/>
    <w:rsid w:val="00F85566"/>
    <w:rsid w:val="00F855C5"/>
    <w:rsid w:val="00F85749"/>
    <w:rsid w:val="00F85FFC"/>
    <w:rsid w:val="00F8640F"/>
    <w:rsid w:val="00F86AA2"/>
    <w:rsid w:val="00F86C83"/>
    <w:rsid w:val="00F86ECD"/>
    <w:rsid w:val="00F87B6F"/>
    <w:rsid w:val="00F87C84"/>
    <w:rsid w:val="00F87E7C"/>
    <w:rsid w:val="00F87EA9"/>
    <w:rsid w:val="00F90045"/>
    <w:rsid w:val="00F90631"/>
    <w:rsid w:val="00F9084D"/>
    <w:rsid w:val="00F90F77"/>
    <w:rsid w:val="00F913DE"/>
    <w:rsid w:val="00F916A9"/>
    <w:rsid w:val="00F91C97"/>
    <w:rsid w:val="00F91D59"/>
    <w:rsid w:val="00F91E34"/>
    <w:rsid w:val="00F92451"/>
    <w:rsid w:val="00F92472"/>
    <w:rsid w:val="00F93051"/>
    <w:rsid w:val="00F931CA"/>
    <w:rsid w:val="00F932A8"/>
    <w:rsid w:val="00F935BF"/>
    <w:rsid w:val="00F9365A"/>
    <w:rsid w:val="00F93849"/>
    <w:rsid w:val="00F93997"/>
    <w:rsid w:val="00F93BF5"/>
    <w:rsid w:val="00F93BF7"/>
    <w:rsid w:val="00F93C8E"/>
    <w:rsid w:val="00F94162"/>
    <w:rsid w:val="00F9441D"/>
    <w:rsid w:val="00F94A7A"/>
    <w:rsid w:val="00F94AF7"/>
    <w:rsid w:val="00F951E0"/>
    <w:rsid w:val="00F95599"/>
    <w:rsid w:val="00F95975"/>
    <w:rsid w:val="00F95B97"/>
    <w:rsid w:val="00F95C18"/>
    <w:rsid w:val="00F95DC7"/>
    <w:rsid w:val="00F95F24"/>
    <w:rsid w:val="00F96025"/>
    <w:rsid w:val="00F96311"/>
    <w:rsid w:val="00F963BD"/>
    <w:rsid w:val="00F963DB"/>
    <w:rsid w:val="00F9696D"/>
    <w:rsid w:val="00F96AE3"/>
    <w:rsid w:val="00F96B26"/>
    <w:rsid w:val="00F96C1F"/>
    <w:rsid w:val="00F977BB"/>
    <w:rsid w:val="00F97B38"/>
    <w:rsid w:val="00F97B5D"/>
    <w:rsid w:val="00FA08BA"/>
    <w:rsid w:val="00FA0AF1"/>
    <w:rsid w:val="00FA0DEB"/>
    <w:rsid w:val="00FA1327"/>
    <w:rsid w:val="00FA1345"/>
    <w:rsid w:val="00FA1430"/>
    <w:rsid w:val="00FA14D9"/>
    <w:rsid w:val="00FA154D"/>
    <w:rsid w:val="00FA1790"/>
    <w:rsid w:val="00FA1B69"/>
    <w:rsid w:val="00FA1F86"/>
    <w:rsid w:val="00FA229C"/>
    <w:rsid w:val="00FA2660"/>
    <w:rsid w:val="00FA2AD6"/>
    <w:rsid w:val="00FA2B3E"/>
    <w:rsid w:val="00FA2B68"/>
    <w:rsid w:val="00FA2BF9"/>
    <w:rsid w:val="00FA2DEE"/>
    <w:rsid w:val="00FA3440"/>
    <w:rsid w:val="00FA346F"/>
    <w:rsid w:val="00FA3DC8"/>
    <w:rsid w:val="00FA41D8"/>
    <w:rsid w:val="00FA470E"/>
    <w:rsid w:val="00FA4B0D"/>
    <w:rsid w:val="00FA4F41"/>
    <w:rsid w:val="00FA5AB4"/>
    <w:rsid w:val="00FA5D0F"/>
    <w:rsid w:val="00FA5DDE"/>
    <w:rsid w:val="00FA6392"/>
    <w:rsid w:val="00FA660F"/>
    <w:rsid w:val="00FA6CB7"/>
    <w:rsid w:val="00FA70C6"/>
    <w:rsid w:val="00FA79FC"/>
    <w:rsid w:val="00FA7C30"/>
    <w:rsid w:val="00FA7D8E"/>
    <w:rsid w:val="00FA7DBF"/>
    <w:rsid w:val="00FB0017"/>
    <w:rsid w:val="00FB1262"/>
    <w:rsid w:val="00FB1555"/>
    <w:rsid w:val="00FB159F"/>
    <w:rsid w:val="00FB1968"/>
    <w:rsid w:val="00FB2047"/>
    <w:rsid w:val="00FB2568"/>
    <w:rsid w:val="00FB256A"/>
    <w:rsid w:val="00FB268E"/>
    <w:rsid w:val="00FB2F17"/>
    <w:rsid w:val="00FB2FF0"/>
    <w:rsid w:val="00FB311E"/>
    <w:rsid w:val="00FB322D"/>
    <w:rsid w:val="00FB3320"/>
    <w:rsid w:val="00FB34C2"/>
    <w:rsid w:val="00FB3A86"/>
    <w:rsid w:val="00FB4350"/>
    <w:rsid w:val="00FB5164"/>
    <w:rsid w:val="00FB5249"/>
    <w:rsid w:val="00FB544D"/>
    <w:rsid w:val="00FB5A09"/>
    <w:rsid w:val="00FB603B"/>
    <w:rsid w:val="00FB66EC"/>
    <w:rsid w:val="00FB691E"/>
    <w:rsid w:val="00FB7772"/>
    <w:rsid w:val="00FB7A00"/>
    <w:rsid w:val="00FB7C70"/>
    <w:rsid w:val="00FB7EED"/>
    <w:rsid w:val="00FB7FBD"/>
    <w:rsid w:val="00FC01FF"/>
    <w:rsid w:val="00FC0249"/>
    <w:rsid w:val="00FC059D"/>
    <w:rsid w:val="00FC05CB"/>
    <w:rsid w:val="00FC0DC2"/>
    <w:rsid w:val="00FC0F60"/>
    <w:rsid w:val="00FC0F8D"/>
    <w:rsid w:val="00FC1120"/>
    <w:rsid w:val="00FC1338"/>
    <w:rsid w:val="00FC174A"/>
    <w:rsid w:val="00FC1784"/>
    <w:rsid w:val="00FC19FE"/>
    <w:rsid w:val="00FC1A9A"/>
    <w:rsid w:val="00FC1C55"/>
    <w:rsid w:val="00FC1D50"/>
    <w:rsid w:val="00FC2BDD"/>
    <w:rsid w:val="00FC2DEE"/>
    <w:rsid w:val="00FC3FA6"/>
    <w:rsid w:val="00FC4206"/>
    <w:rsid w:val="00FC45AB"/>
    <w:rsid w:val="00FC506C"/>
    <w:rsid w:val="00FC52DA"/>
    <w:rsid w:val="00FC5490"/>
    <w:rsid w:val="00FC5891"/>
    <w:rsid w:val="00FC5D60"/>
    <w:rsid w:val="00FC5D88"/>
    <w:rsid w:val="00FC6362"/>
    <w:rsid w:val="00FC6484"/>
    <w:rsid w:val="00FC6661"/>
    <w:rsid w:val="00FC67AE"/>
    <w:rsid w:val="00FC690D"/>
    <w:rsid w:val="00FC699A"/>
    <w:rsid w:val="00FC6C2C"/>
    <w:rsid w:val="00FC6E6E"/>
    <w:rsid w:val="00FC7655"/>
    <w:rsid w:val="00FC7762"/>
    <w:rsid w:val="00FC788D"/>
    <w:rsid w:val="00FC7D3B"/>
    <w:rsid w:val="00FD005B"/>
    <w:rsid w:val="00FD011C"/>
    <w:rsid w:val="00FD021B"/>
    <w:rsid w:val="00FD0342"/>
    <w:rsid w:val="00FD06E9"/>
    <w:rsid w:val="00FD0779"/>
    <w:rsid w:val="00FD08C7"/>
    <w:rsid w:val="00FD0C84"/>
    <w:rsid w:val="00FD0D12"/>
    <w:rsid w:val="00FD0F98"/>
    <w:rsid w:val="00FD1034"/>
    <w:rsid w:val="00FD13C7"/>
    <w:rsid w:val="00FD1527"/>
    <w:rsid w:val="00FD1543"/>
    <w:rsid w:val="00FD181E"/>
    <w:rsid w:val="00FD1893"/>
    <w:rsid w:val="00FD1A27"/>
    <w:rsid w:val="00FD1A5F"/>
    <w:rsid w:val="00FD236C"/>
    <w:rsid w:val="00FD32BD"/>
    <w:rsid w:val="00FD33AF"/>
    <w:rsid w:val="00FD33EB"/>
    <w:rsid w:val="00FD34B9"/>
    <w:rsid w:val="00FD3B36"/>
    <w:rsid w:val="00FD3BD3"/>
    <w:rsid w:val="00FD426F"/>
    <w:rsid w:val="00FD446B"/>
    <w:rsid w:val="00FD4579"/>
    <w:rsid w:val="00FD4645"/>
    <w:rsid w:val="00FD4659"/>
    <w:rsid w:val="00FD4E92"/>
    <w:rsid w:val="00FD4F8A"/>
    <w:rsid w:val="00FD4FF8"/>
    <w:rsid w:val="00FD52AA"/>
    <w:rsid w:val="00FD52B9"/>
    <w:rsid w:val="00FD5897"/>
    <w:rsid w:val="00FD5D9C"/>
    <w:rsid w:val="00FD6162"/>
    <w:rsid w:val="00FD61F9"/>
    <w:rsid w:val="00FD66D5"/>
    <w:rsid w:val="00FD6A3B"/>
    <w:rsid w:val="00FD6EA6"/>
    <w:rsid w:val="00FD6F88"/>
    <w:rsid w:val="00FD74B0"/>
    <w:rsid w:val="00FD7BB9"/>
    <w:rsid w:val="00FD7BCD"/>
    <w:rsid w:val="00FD7C53"/>
    <w:rsid w:val="00FD7DF8"/>
    <w:rsid w:val="00FD7EDE"/>
    <w:rsid w:val="00FE0038"/>
    <w:rsid w:val="00FE0081"/>
    <w:rsid w:val="00FE018A"/>
    <w:rsid w:val="00FE02D0"/>
    <w:rsid w:val="00FE03D5"/>
    <w:rsid w:val="00FE05DD"/>
    <w:rsid w:val="00FE0E82"/>
    <w:rsid w:val="00FE106B"/>
    <w:rsid w:val="00FE1482"/>
    <w:rsid w:val="00FE1543"/>
    <w:rsid w:val="00FE17A9"/>
    <w:rsid w:val="00FE1F97"/>
    <w:rsid w:val="00FE2079"/>
    <w:rsid w:val="00FE2938"/>
    <w:rsid w:val="00FE2C16"/>
    <w:rsid w:val="00FE2FA5"/>
    <w:rsid w:val="00FE30A4"/>
    <w:rsid w:val="00FE32D8"/>
    <w:rsid w:val="00FE375C"/>
    <w:rsid w:val="00FE3A75"/>
    <w:rsid w:val="00FE3B30"/>
    <w:rsid w:val="00FE3F58"/>
    <w:rsid w:val="00FE415A"/>
    <w:rsid w:val="00FE4548"/>
    <w:rsid w:val="00FE46F3"/>
    <w:rsid w:val="00FE4A94"/>
    <w:rsid w:val="00FE4BA4"/>
    <w:rsid w:val="00FE4EF3"/>
    <w:rsid w:val="00FE5037"/>
    <w:rsid w:val="00FE50AF"/>
    <w:rsid w:val="00FE530C"/>
    <w:rsid w:val="00FE53F0"/>
    <w:rsid w:val="00FE54C4"/>
    <w:rsid w:val="00FE59D8"/>
    <w:rsid w:val="00FE5ABD"/>
    <w:rsid w:val="00FE60DF"/>
    <w:rsid w:val="00FE634B"/>
    <w:rsid w:val="00FE63A5"/>
    <w:rsid w:val="00FE65F6"/>
    <w:rsid w:val="00FE681C"/>
    <w:rsid w:val="00FE7308"/>
    <w:rsid w:val="00FE7848"/>
    <w:rsid w:val="00FE7D27"/>
    <w:rsid w:val="00FE7D80"/>
    <w:rsid w:val="00FE7ED3"/>
    <w:rsid w:val="00FF0388"/>
    <w:rsid w:val="00FF04E6"/>
    <w:rsid w:val="00FF0587"/>
    <w:rsid w:val="00FF0668"/>
    <w:rsid w:val="00FF0673"/>
    <w:rsid w:val="00FF0B27"/>
    <w:rsid w:val="00FF0B6E"/>
    <w:rsid w:val="00FF0FA5"/>
    <w:rsid w:val="00FF1135"/>
    <w:rsid w:val="00FF2076"/>
    <w:rsid w:val="00FF250F"/>
    <w:rsid w:val="00FF2AF5"/>
    <w:rsid w:val="00FF2C15"/>
    <w:rsid w:val="00FF2C68"/>
    <w:rsid w:val="00FF2D5D"/>
    <w:rsid w:val="00FF30DD"/>
    <w:rsid w:val="00FF37E5"/>
    <w:rsid w:val="00FF3E34"/>
    <w:rsid w:val="00FF4233"/>
    <w:rsid w:val="00FF4491"/>
    <w:rsid w:val="00FF46DA"/>
    <w:rsid w:val="00FF47A6"/>
    <w:rsid w:val="00FF4A0F"/>
    <w:rsid w:val="00FF4ABE"/>
    <w:rsid w:val="00FF4DFC"/>
    <w:rsid w:val="00FF4FF6"/>
    <w:rsid w:val="00FF50E0"/>
    <w:rsid w:val="00FF5375"/>
    <w:rsid w:val="00FF67A8"/>
    <w:rsid w:val="00FF71A2"/>
    <w:rsid w:val="00FF7681"/>
    <w:rsid w:val="00FF7842"/>
    <w:rsid w:val="00FF78A4"/>
    <w:rsid w:val="59C7AA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DED2E86-7106-48BB-B37A-B6361443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D0"/>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link w:val="Heading2Char"/>
    <w:autoRedefine/>
    <w:qFormat/>
    <w:rsid w:val="00E814BC"/>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6 Char,Footnote Text Char Char6 Char Char1 Char1,Footnote Text Char2 Char3,Footnote Text Char4 Char2 Char Char Char Char,Footnote Text Char6 Char,Footnote Text Char6 Char Char Char,f,fn,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CommentReference">
    <w:name w:val="annotation reference"/>
    <w:rsid w:val="00713FD5"/>
    <w:rPr>
      <w:sz w:val="16"/>
      <w:szCs w:val="16"/>
    </w:rPr>
  </w:style>
  <w:style w:type="paragraph" w:styleId="CommentText">
    <w:name w:val="annotation text"/>
    <w:basedOn w:val="Normal"/>
    <w:link w:val="CommentTextChar"/>
    <w:rsid w:val="00713FD5"/>
    <w:rPr>
      <w:sz w:val="20"/>
    </w:rPr>
  </w:style>
  <w:style w:type="character" w:customStyle="1" w:styleId="CommentTextChar">
    <w:name w:val="Comment Text Char"/>
    <w:link w:val="CommentText"/>
    <w:rsid w:val="00713FD5"/>
    <w:rPr>
      <w:snapToGrid w:val="0"/>
      <w:kern w:val="28"/>
    </w:rPr>
  </w:style>
  <w:style w:type="paragraph" w:styleId="CommentSubject">
    <w:name w:val="annotation subject"/>
    <w:basedOn w:val="CommentText"/>
    <w:next w:val="CommentText"/>
    <w:link w:val="CommentSubjectChar"/>
    <w:rsid w:val="00713FD5"/>
    <w:rPr>
      <w:b/>
      <w:bCs/>
    </w:rPr>
  </w:style>
  <w:style w:type="character" w:customStyle="1" w:styleId="CommentSubjectChar">
    <w:name w:val="Comment Subject Char"/>
    <w:link w:val="CommentSubject"/>
    <w:rsid w:val="00713FD5"/>
    <w:rPr>
      <w:b/>
      <w:bCs/>
      <w:snapToGrid w:val="0"/>
      <w:kern w:val="28"/>
    </w:rPr>
  </w:style>
  <w:style w:type="paragraph" w:styleId="BalloonText">
    <w:name w:val="Balloon Text"/>
    <w:basedOn w:val="Normal"/>
    <w:link w:val="BalloonTextChar"/>
    <w:rsid w:val="00713FD5"/>
    <w:rPr>
      <w:rFonts w:ascii="Segoe UI" w:hAnsi="Segoe UI" w:cs="Segoe UI"/>
      <w:sz w:val="18"/>
      <w:szCs w:val="18"/>
    </w:rPr>
  </w:style>
  <w:style w:type="character" w:customStyle="1" w:styleId="BalloonTextChar">
    <w:name w:val="Balloon Text Char"/>
    <w:link w:val="BalloonText"/>
    <w:rsid w:val="00713FD5"/>
    <w:rPr>
      <w:rFonts w:ascii="Segoe UI" w:hAnsi="Segoe UI" w:cs="Segoe UI"/>
      <w:snapToGrid w:val="0"/>
      <w:kern w:val="28"/>
      <w:sz w:val="18"/>
      <w:szCs w:val="18"/>
    </w:rPr>
  </w:style>
  <w:style w:type="character" w:customStyle="1" w:styleId="ParaNumChar">
    <w:name w:val="ParaNum Char"/>
    <w:link w:val="ParaNum"/>
    <w:rsid w:val="00B53A1B"/>
    <w:rPr>
      <w:snapToGrid w:val="0"/>
      <w:kern w:val="28"/>
      <w:sz w:val="22"/>
    </w:rPr>
  </w:style>
  <w:style w:type="character" w:customStyle="1" w:styleId="FootnoteTextChar">
    <w:name w:val="Footnote Text Char"/>
    <w:aliases w:val="ALTS FOOTNOTE Char,Footnote Text Char Char6 Char Char,Footnote Text Char Char6 Char Char1 Char1 Char,Footnote Text Char2 Char3 Char,Footnote Text Char4 Char2 Char Char Char Char Char,Footnote Text Char6 Char Char,f Char,fn Char"/>
    <w:link w:val="FootnoteText"/>
    <w:rsid w:val="00B53A1B"/>
  </w:style>
  <w:style w:type="character" w:customStyle="1" w:styleId="ParaNumChar1">
    <w:name w:val="ParaNum Char1"/>
    <w:rsid w:val="002020AE"/>
    <w:rPr>
      <w:rFonts w:ascii="Times New Roman" w:eastAsia="Times New Roman" w:hAnsi="Times New Roman" w:cs="Times New Roman"/>
      <w:snapToGrid w:val="0"/>
      <w:kern w:val="28"/>
      <w:szCs w:val="20"/>
    </w:rPr>
  </w:style>
  <w:style w:type="character" w:customStyle="1" w:styleId="UnresolvedMention">
    <w:name w:val="Unresolved Mention"/>
    <w:uiPriority w:val="99"/>
    <w:semiHidden/>
    <w:unhideWhenUsed/>
    <w:rsid w:val="00B735F9"/>
    <w:rPr>
      <w:color w:val="605E5C"/>
      <w:shd w:val="clear" w:color="auto" w:fill="E1DFDD"/>
    </w:rPr>
  </w:style>
  <w:style w:type="character" w:customStyle="1" w:styleId="item-value">
    <w:name w:val="item-value"/>
    <w:basedOn w:val="DefaultParagraphFont"/>
    <w:rsid w:val="004B2C5D"/>
  </w:style>
  <w:style w:type="character" w:styleId="FollowedHyperlink">
    <w:name w:val="FollowedHyperlink"/>
    <w:rsid w:val="005E14A1"/>
    <w:rPr>
      <w:color w:val="954F72"/>
      <w:u w:val="single"/>
    </w:rPr>
  </w:style>
  <w:style w:type="paragraph" w:styleId="ListParagraph">
    <w:name w:val="List Paragraph"/>
    <w:basedOn w:val="Normal"/>
    <w:uiPriority w:val="34"/>
    <w:qFormat/>
    <w:rsid w:val="00352176"/>
    <w:pPr>
      <w:ind w:left="720"/>
      <w:contextualSpacing/>
    </w:pPr>
  </w:style>
  <w:style w:type="paragraph" w:styleId="Revision">
    <w:name w:val="Revision"/>
    <w:hidden/>
    <w:uiPriority w:val="99"/>
    <w:semiHidden/>
    <w:rsid w:val="006A442E"/>
    <w:rPr>
      <w:snapToGrid w:val="0"/>
      <w:kern w:val="28"/>
      <w:sz w:val="22"/>
    </w:rPr>
  </w:style>
  <w:style w:type="table" w:styleId="TableGrid">
    <w:name w:val="Table Grid"/>
    <w:basedOn w:val="TableNormal"/>
    <w:rsid w:val="002F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7C0162"/>
    <w:rPr>
      <w:rFonts w:ascii="Times New Roman Bold" w:hAnsi="Times New Roman Bold"/>
      <w:b/>
      <w:caps/>
      <w:snapToGrid w:val="0"/>
      <w:kern w:val="28"/>
      <w:sz w:val="22"/>
    </w:rPr>
  </w:style>
  <w:style w:type="character" w:customStyle="1" w:styleId="Heading2Char">
    <w:name w:val="Heading 2 Char"/>
    <w:aliases w:val="Heading 2 Char Char Char Char Char,Heading 2 Char Char1 Char,Heading 2 Char Char3 Char Char Char Char Char,Heading 2 Char1 Char,Heading 2 Char1 Char Char1 Char Char Char,UNDERRUBRIK 1-2 Char Char,h2 Char Char,h2 Char1"/>
    <w:link w:val="Heading2"/>
    <w:rsid w:val="00A51AC4"/>
    <w:rPr>
      <w:b/>
      <w:snapToGrid w:val="0"/>
      <w:kern w:val="28"/>
      <w:sz w:val="22"/>
    </w:rPr>
  </w:style>
  <w:style w:type="character" w:customStyle="1" w:styleId="normaltextrun">
    <w:name w:val="normaltextrun"/>
    <w:basedOn w:val="DefaultParagraphFont"/>
    <w:rsid w:val="00A51AC4"/>
  </w:style>
  <w:style w:type="character" w:customStyle="1" w:styleId="HeaderChar">
    <w:name w:val="Header Char"/>
    <w:link w:val="Header"/>
    <w:rsid w:val="004019A8"/>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go.usa.gov/xparp" TargetMode="External" /><Relationship Id="rId10" Type="http://schemas.openxmlformats.org/officeDocument/2006/relationships/hyperlink" Target="https://factfinder.census.gov/bkmk/table/1.0/en/COG/2012/ORG07.US01" TargetMode="External" /><Relationship Id="rId11" Type="http://schemas.openxmlformats.org/officeDocument/2006/relationships/hyperlink" Target="https://factfinder.census.gov/bkmk/table/1.0/en/COG/2012/ORG11.US01" TargetMode="External" /><Relationship Id="rId12" Type="http://schemas.openxmlformats.org/officeDocument/2006/relationships/hyperlink" Target="https://factfinder.census.gov/bkmk/table/1.0/en/COG/2012/ORG09.US01" TargetMode="External" /><Relationship Id="rId13" Type="http://schemas.openxmlformats.org/officeDocument/2006/relationships/hyperlink" Target="https://factfinder.census.gov/bkmk/table/1.0/en/ECN/2012_US/51SSSZ5//naics~517210" TargetMode="External" /><Relationship Id="rId14" Type="http://schemas.openxmlformats.org/officeDocument/2006/relationships/hyperlink" Target="https://www.census.gov/cgi-bin/sssd/naics/naicsrch?input=334290&amp;search=2017+NAICS+Search&amp;search=2017" TargetMode="External" /><Relationship Id="rId15" Type="http://schemas.openxmlformats.org/officeDocument/2006/relationships/hyperlink" Target="https://factfinder.census.gov/bkmk/table/1.0/en/ECN/2012_US/31SG2//naics~334290" TargetMode="External" /><Relationship Id="rId16" Type="http://schemas.openxmlformats.org/officeDocument/2006/relationships/hyperlink" Target="https://factfinder.census.gov/faces/affhelp/jsf/pages/metadata.xhtml?lang=en&amp;type=ib&amp;id=ib.en./ECN.NAICS2012.334220" TargetMode="External" /><Relationship Id="rId17" Type="http://schemas.openxmlformats.org/officeDocument/2006/relationships/hyperlink" Target="https://factfinder.census.gov/bkmk/table/1.0/en/ECN/2012_US/31SG2//naics~334220" TargetMode="External" /><Relationship Id="rId2" Type="http://schemas.openxmlformats.org/officeDocument/2006/relationships/hyperlink" Target="https://www.ntia.doc.gov/other-publication/2017/federal-government-spectrum-compendium" TargetMode="External" /><Relationship Id="rId3" Type="http://schemas.openxmlformats.org/officeDocument/2006/relationships/hyperlink" Target="https://www.ntia.doc.gov/report/2000/federal-radar-spectrum-requirements" TargetMode="External" /><Relationship Id="rId4" Type="http://schemas.openxmlformats.org/officeDocument/2006/relationships/hyperlink" Target="https://apps.fcc.gov/oetcf/els/reports/GenericSearch.cfm" TargetMode="External" /><Relationship Id="rId5" Type="http://schemas.openxmlformats.org/officeDocument/2006/relationships/hyperlink" Target="https://www.sba.gov/sites/default/files/advocacy/SB-FAQ-2016_WEB.pdf" TargetMode="External" /><Relationship Id="rId6" Type="http://schemas.openxmlformats.org/officeDocument/2006/relationships/hyperlink" Target="http://nccs.urban.org/sites/all/nccs-archive/html/tablewiz/tw.php" TargetMode="External" /><Relationship Id="rId7" Type="http://schemas.openxmlformats.org/officeDocument/2006/relationships/hyperlink" Target="https://factfinder.census.gov/faces/affhelp/jsf/pages/metadata.xhtml?lang=en&amp;type=program&amp;id=program.en.COG" TargetMode="External" /><Relationship Id="rId8" Type="http://schemas.openxmlformats.org/officeDocument/2006/relationships/hyperlink" Target="https://factfinder.census.gov/bkmk/table/1.0/en/COG/2012/ORG02.US01" TargetMode="External" /><Relationship Id="rId9" Type="http://schemas.openxmlformats.org/officeDocument/2006/relationships/hyperlink" Target="https://factfinder.census.gov/bkmk/table/1.0/en/COG/2012/ORG06.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