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A0DA6" w:rsidRPr="001A35F8" w:rsidP="001A35F8" w14:paraId="00BA6A0B" w14:textId="77777777">
      <w:pPr>
        <w:spacing w:after="120"/>
        <w:jc w:val="center"/>
        <w:rPr>
          <w:b/>
          <w:caps/>
        </w:rPr>
      </w:pPr>
      <w:r w:rsidRPr="001A35F8">
        <w:rPr>
          <w:b/>
          <w:caps/>
        </w:rPr>
        <w:t>Statement of</w:t>
      </w:r>
    </w:p>
    <w:p w:rsidR="008A0DA6" w:rsidRPr="001A35F8" w:rsidP="001A35F8" w14:paraId="0A82CE96" w14:textId="77777777">
      <w:pPr>
        <w:spacing w:after="120"/>
        <w:jc w:val="center"/>
        <w:rPr>
          <w:b/>
          <w:caps/>
        </w:rPr>
      </w:pPr>
      <w:r w:rsidRPr="001A35F8">
        <w:rPr>
          <w:b/>
          <w:caps/>
        </w:rPr>
        <w:t>COMMISSIONER GEOFFREY STARKS</w:t>
      </w:r>
    </w:p>
    <w:p w:rsidR="008A0DA6" w:rsidRPr="001A35F8" w:rsidP="001A35F8" w14:paraId="37931A30" w14:textId="77777777">
      <w:pPr>
        <w:spacing w:after="120"/>
        <w:jc w:val="center"/>
        <w:rPr>
          <w:b/>
          <w:caps/>
        </w:rPr>
      </w:pPr>
    </w:p>
    <w:p w:rsidR="008A0DA6" w:rsidRPr="00CA1B8B" w:rsidP="001A35F8" w14:paraId="0A40662C" w14:textId="48490B7D">
      <w:pPr>
        <w:spacing w:after="120"/>
        <w:ind w:left="720" w:hanging="720"/>
      </w:pPr>
      <w:r w:rsidRPr="001A35F8">
        <w:rPr>
          <w:b/>
        </w:rPr>
        <w:t xml:space="preserve">Re: </w:t>
      </w:r>
      <w:r w:rsidRPr="001A35F8">
        <w:rPr>
          <w:b/>
        </w:rPr>
        <w:tab/>
      </w:r>
      <w:r w:rsidRPr="001B2DFF" w:rsidR="001B2DFF">
        <w:rPr>
          <w:b/>
          <w:i/>
        </w:rPr>
        <w:t>Acerome</w:t>
      </w:r>
      <w:r w:rsidRPr="001B2DFF" w:rsidR="001B2DFF">
        <w:rPr>
          <w:b/>
          <w:i/>
        </w:rPr>
        <w:t xml:space="preserve"> Jean Charles, Boston, Massachusetts, </w:t>
      </w:r>
      <w:r w:rsidRPr="00CA1B8B" w:rsidR="001B2DFF">
        <w:rPr>
          <w:b/>
        </w:rPr>
        <w:t>File No. EB-FIELDNER-17-00024504</w:t>
      </w:r>
    </w:p>
    <w:p w:rsidR="004C7982" w:rsidRPr="001A35F8" w:rsidP="001A35F8" w14:paraId="6210BF3A" w14:textId="7557DC51">
      <w:pPr>
        <w:widowControl w:val="0"/>
        <w:spacing w:after="120"/>
        <w:ind w:firstLine="360"/>
      </w:pPr>
      <w:r w:rsidRPr="001A35F8">
        <w:t>As a former enforcement official, both at the FCC and the Department of</w:t>
      </w:r>
      <w:bookmarkStart w:id="0" w:name="_GoBack"/>
      <w:bookmarkEnd w:id="0"/>
      <w:r w:rsidRPr="001A35F8">
        <w:t xml:space="preserve"> Justice, it should come as no surprise to anybody that I would support today’s actions and the investigative work performed by EB’s field agents that went into them.  The FCC exists</w:t>
      </w:r>
      <w:r w:rsidRPr="001A35F8" w:rsidR="002C257F">
        <w:t>, in part,</w:t>
      </w:r>
      <w:r w:rsidRPr="001A35F8">
        <w:t xml:space="preserve"> to manage the use of spectrum and, at its inception, was created to prevent interference among broadcast signals.  </w:t>
      </w:r>
      <w:r w:rsidRPr="001A35F8" w:rsidR="002C257F">
        <w:t xml:space="preserve">Let there be no doubt that when </w:t>
      </w:r>
      <w:r w:rsidRPr="001A35F8">
        <w:t>we act to enforce the law preventing unlicensed stations, we are executing a statutorily mandated duty that protects licensed and public safety operations and ensures that folks using our airwaves are bound by our rules concerning emergency alerting, indecency, payola, political advertising transparency, and more.</w:t>
      </w:r>
      <w:r w:rsidRPr="001A35F8" w:rsidR="002C257F">
        <w:t xml:space="preserve">  </w:t>
      </w:r>
    </w:p>
    <w:p w:rsidR="004C7982" w:rsidRPr="001A35F8" w:rsidP="001A35F8" w14:paraId="7FE813BF" w14:textId="0CF71FDC">
      <w:pPr>
        <w:widowControl w:val="0"/>
        <w:spacing w:after="120"/>
        <w:ind w:firstLine="360"/>
      </w:pPr>
      <w:r w:rsidRPr="001A35F8">
        <w:t>That said</w:t>
      </w:r>
      <w:r w:rsidRPr="001A35F8">
        <w:t xml:space="preserve">, it is impossible to consider today’s actions without experiencing the disheartening realization that something is not working as it should.  </w:t>
      </w:r>
      <w:r w:rsidRPr="001A35F8" w:rsidR="009532AB">
        <w:t xml:space="preserve">There are </w:t>
      </w:r>
      <w:r w:rsidRPr="001A35F8">
        <w:t xml:space="preserve">no excuses for those who choose to break the law or violate our rules, </w:t>
      </w:r>
      <w:r w:rsidRPr="001A35F8" w:rsidR="008B7E72">
        <w:t xml:space="preserve">but </w:t>
      </w:r>
      <w:r w:rsidRPr="001A35F8">
        <w:t xml:space="preserve">I can’t help but think about what impact the Commission’s longstanding abdication of our diversity </w:t>
      </w:r>
      <w:r w:rsidRPr="001A35F8" w:rsidR="009D66E0">
        <w:t xml:space="preserve">obligations </w:t>
      </w:r>
      <w:r w:rsidRPr="001A35F8">
        <w:t xml:space="preserve">has had on the development of unlicensed stations serving immigrant communities.  Our numbers reveal that representatives of the communities that largely turn to pirate </w:t>
      </w:r>
      <w:r w:rsidRPr="001A35F8" w:rsidR="00F5039D">
        <w:t>radio</w:t>
      </w:r>
      <w:r w:rsidRPr="001A35F8">
        <w:t xml:space="preserve"> – Haitians, Jamaicans, Trinidadians</w:t>
      </w:r>
      <w:r w:rsidRPr="001A35F8" w:rsidR="000F281F">
        <w:t xml:space="preserve">, </w:t>
      </w:r>
      <w:r w:rsidRPr="001A35F8" w:rsidR="00EE127A">
        <w:t>folks from Grenada or Guyana, to name a few</w:t>
      </w:r>
      <w:r w:rsidRPr="001A35F8">
        <w:t xml:space="preserve"> – are absent from </w:t>
      </w:r>
      <w:r w:rsidRPr="001A35F8" w:rsidR="009D66E0">
        <w:t xml:space="preserve">the </w:t>
      </w:r>
      <w:r w:rsidRPr="001A35F8">
        <w:t xml:space="preserve">ranks of licensed operators. </w:t>
      </w:r>
      <w:r w:rsidRPr="001A35F8" w:rsidR="00551140">
        <w:t xml:space="preserve"> </w:t>
      </w:r>
      <w:r w:rsidRPr="001A35F8">
        <w:t xml:space="preserve">Opportunities to obtain licenses are few and far between. And, even when they do </w:t>
      </w:r>
      <w:r w:rsidRPr="001A35F8">
        <w:t>open up</w:t>
      </w:r>
      <w:r w:rsidRPr="001A35F8">
        <w:t xml:space="preserve">, </w:t>
      </w:r>
      <w:r w:rsidRPr="001A35F8" w:rsidR="009D66E0">
        <w:t>opportunities</w:t>
      </w:r>
      <w:r w:rsidRPr="001A35F8" w:rsidR="00C06B59">
        <w:t xml:space="preserve"> </w:t>
      </w:r>
      <w:r w:rsidRPr="001A35F8">
        <w:t>remain severely limited in urban population centers</w:t>
      </w:r>
      <w:r w:rsidRPr="001A35F8" w:rsidR="00C06B59">
        <w:t xml:space="preserve"> </w:t>
      </w:r>
      <w:r w:rsidRPr="001A35F8">
        <w:t>like New York, Boston, and Miami</w:t>
      </w:r>
      <w:r w:rsidRPr="001A35F8" w:rsidR="009D66E0">
        <w:t xml:space="preserve">, </w:t>
      </w:r>
      <w:r w:rsidRPr="001A35F8">
        <w:t xml:space="preserve">where unlicensed operators have historically operated.  </w:t>
      </w:r>
    </w:p>
    <w:p w:rsidR="004C7982" w:rsidRPr="001A35F8" w:rsidP="001A35F8" w14:paraId="04CCB11C" w14:textId="030FE786">
      <w:pPr>
        <w:widowControl w:val="0"/>
        <w:spacing w:after="120"/>
        <w:ind w:firstLine="360"/>
      </w:pPr>
      <w:r w:rsidRPr="001A35F8">
        <w:t xml:space="preserve">Where would we be today if we provided real opportunities </w:t>
      </w:r>
      <w:r w:rsidRPr="001A35F8" w:rsidR="009D66E0">
        <w:t xml:space="preserve">for </w:t>
      </w:r>
      <w:r w:rsidRPr="001A35F8">
        <w:t>these operators years ago and were more intentional about making sure our licenses were distributed</w:t>
      </w:r>
      <w:r w:rsidRPr="001A35F8" w:rsidR="00F01C35">
        <w:t xml:space="preserve"> with diversity </w:t>
      </w:r>
      <w:r w:rsidRPr="001A35F8" w:rsidR="009D66E0">
        <w:t xml:space="preserve">obligations </w:t>
      </w:r>
      <w:r w:rsidRPr="001A35F8" w:rsidR="00F01C35">
        <w:t>in mind</w:t>
      </w:r>
      <w:r w:rsidRPr="001A35F8">
        <w:t xml:space="preserve">?  What if we listened to the Third Circuit Court of Appeals the first or second time, or even the third time </w:t>
      </w:r>
      <w:r w:rsidRPr="001A35F8" w:rsidR="009532AB">
        <w:t xml:space="preserve">when </w:t>
      </w:r>
      <w:r w:rsidRPr="001A35F8">
        <w:t xml:space="preserve">it issued one of its </w:t>
      </w:r>
      <w:r w:rsidRPr="001A35F8">
        <w:rPr>
          <w:i/>
        </w:rPr>
        <w:t>Prometheus</w:t>
      </w:r>
      <w:r w:rsidRPr="001A35F8">
        <w:t xml:space="preserve"> opinions telling us we need to better study how our rules and policies impact ownership opportunities for women and people of color</w:t>
      </w:r>
      <w:r w:rsidRPr="001A35F8" w:rsidR="009532AB">
        <w:t xml:space="preserve">?  And what if </w:t>
      </w:r>
      <w:r w:rsidRPr="001A35F8">
        <w:t>we acted years ago to put in place solid</w:t>
      </w:r>
      <w:r w:rsidRPr="001A35F8" w:rsidR="009D66E0">
        <w:t>,</w:t>
      </w:r>
      <w:r w:rsidRPr="001A35F8">
        <w:t xml:space="preserve"> legally sound programs to promote ownership diversity?</w:t>
      </w:r>
      <w:r w:rsidRPr="001A35F8" w:rsidR="008B7E72">
        <w:t xml:space="preserve">  </w:t>
      </w:r>
      <w:r w:rsidRPr="001A35F8" w:rsidR="003F16DA">
        <w:t>O</w:t>
      </w:r>
      <w:r w:rsidRPr="001A35F8" w:rsidR="008B7E72">
        <w:t xml:space="preserve">n this fourth remand from the </w:t>
      </w:r>
      <w:r w:rsidRPr="001A35F8" w:rsidR="008B7E72">
        <w:rPr>
          <w:i/>
        </w:rPr>
        <w:t>Prometheus</w:t>
      </w:r>
      <w:r w:rsidRPr="001A35F8" w:rsidR="008B7E72">
        <w:t xml:space="preserve"> court, I have called for us to </w:t>
      </w:r>
      <w:r w:rsidRPr="001A35F8" w:rsidR="00BD041F">
        <w:t xml:space="preserve">improve our data and conduct new empirical research to support targeted efforts to improve broadcast ownership diversity.  </w:t>
      </w:r>
      <w:r w:rsidRPr="001A35F8" w:rsidR="003F16DA">
        <w:t>Our work here is long overdue</w:t>
      </w:r>
      <w:r w:rsidRPr="001A35F8" w:rsidR="008B7E72">
        <w:t xml:space="preserve">. </w:t>
      </w:r>
      <w:r w:rsidRPr="001A35F8">
        <w:t xml:space="preserve">    </w:t>
      </w:r>
    </w:p>
    <w:p w:rsidR="004C7982" w:rsidRPr="001A35F8" w:rsidP="001A35F8" w14:paraId="3BB32F34" w14:textId="208E9876">
      <w:pPr>
        <w:widowControl w:val="0"/>
        <w:spacing w:after="120"/>
        <w:ind w:firstLine="360"/>
      </w:pPr>
      <w:r w:rsidRPr="001A35F8">
        <w:t xml:space="preserve">According to one local business owner, who routinely tunes into one of the unlicensed stations </w:t>
      </w:r>
      <w:r w:rsidRPr="001A35F8" w:rsidR="00B10D7C">
        <w:t xml:space="preserve">at issue </w:t>
      </w:r>
      <w:r w:rsidRPr="001A35F8">
        <w:t>today, “[T]he most important way of communication that we have is the radio . . . Haitian radio is very, very, very important in our community. [If] all those stations get shut down, the Haitian community would shut down, too.”</w:t>
      </w:r>
      <w:r>
        <w:rPr>
          <w:rStyle w:val="FootnoteReference"/>
          <w:sz w:val="22"/>
          <w:szCs w:val="22"/>
        </w:rPr>
        <w:footnoteReference w:id="3"/>
      </w:r>
      <w:r w:rsidRPr="001A35F8">
        <w:t xml:space="preserve">  </w:t>
      </w:r>
      <w:r w:rsidRPr="001A35F8" w:rsidR="008B7E72">
        <w:t>These operators took matters into their own hands</w:t>
      </w:r>
      <w:r w:rsidRPr="001A35F8" w:rsidR="00551140">
        <w:t xml:space="preserve"> </w:t>
      </w:r>
      <w:r w:rsidRPr="001A35F8" w:rsidR="00E6068B">
        <w:t xml:space="preserve">by </w:t>
      </w:r>
      <w:r w:rsidRPr="001A35F8" w:rsidR="008B7E72">
        <w:t>broadcast</w:t>
      </w:r>
      <w:r w:rsidRPr="001A35F8" w:rsidR="00CD46CE">
        <w:t>ing</w:t>
      </w:r>
      <w:r w:rsidRPr="001A35F8" w:rsidR="008B7E72">
        <w:t xml:space="preserve"> without a license</w:t>
      </w:r>
      <w:r w:rsidRPr="001A35F8" w:rsidR="00551140">
        <w:t>,</w:t>
      </w:r>
      <w:r w:rsidRPr="001A35F8" w:rsidR="008B7E72">
        <w:t xml:space="preserve"> which risks other licensees and public safety in clear violation of </w:t>
      </w:r>
      <w:r w:rsidRPr="001A35F8" w:rsidR="00CD46CE">
        <w:t>the law</w:t>
      </w:r>
      <w:r w:rsidRPr="001A35F8" w:rsidR="008B7E72">
        <w:t>.</w:t>
      </w:r>
      <w:r w:rsidRPr="001A35F8" w:rsidR="00441508">
        <w:t xml:space="preserve">  They cannot be allowed to serve their communities illegally.</w:t>
      </w:r>
      <w:r w:rsidRPr="001A35F8" w:rsidR="008B7E72">
        <w:t xml:space="preserve">  But </w:t>
      </w:r>
      <w:r w:rsidRPr="001A35F8" w:rsidR="002C257F">
        <w:t xml:space="preserve">I </w:t>
      </w:r>
      <w:r w:rsidRPr="001A35F8" w:rsidR="008B7E72">
        <w:t xml:space="preserve">also </w:t>
      </w:r>
      <w:r w:rsidRPr="001A35F8" w:rsidR="002C257F">
        <w:t>believe that we must widen our aperture on today’s action</w:t>
      </w:r>
      <w:r w:rsidRPr="001A35F8" w:rsidR="009279AC">
        <w:t>s</w:t>
      </w:r>
      <w:r w:rsidRPr="001A35F8" w:rsidR="002C257F">
        <w:t xml:space="preserve"> to </w:t>
      </w:r>
      <w:r w:rsidRPr="001A35F8" w:rsidR="009532AB">
        <w:t xml:space="preserve">fully capture </w:t>
      </w:r>
      <w:r w:rsidRPr="001A35F8" w:rsidR="00441508">
        <w:t xml:space="preserve">how the </w:t>
      </w:r>
      <w:r w:rsidRPr="001A35F8" w:rsidR="002C257F">
        <w:t>FCC</w:t>
      </w:r>
      <w:r w:rsidRPr="001A35F8" w:rsidR="00551140">
        <w:t>’s</w:t>
      </w:r>
      <w:r w:rsidRPr="001A35F8" w:rsidR="002C257F">
        <w:t xml:space="preserve"> policies have let these communities down.  </w:t>
      </w:r>
      <w:r w:rsidRPr="001A35F8" w:rsidR="008B7E72">
        <w:t xml:space="preserve">Both are true, and we </w:t>
      </w:r>
      <w:r w:rsidRPr="001A35F8">
        <w:t>can all do better.</w:t>
      </w:r>
    </w:p>
    <w:p w:rsidR="008A0DA6" w:rsidRPr="001A35F8" w:rsidP="001A35F8" w14:paraId="4B4DF57A" w14:textId="21CC1CDE">
      <w:pPr>
        <w:widowControl w:val="0"/>
        <w:spacing w:after="120"/>
        <w:ind w:firstLine="360"/>
      </w:pPr>
      <w:r w:rsidRPr="001A35F8">
        <w:t xml:space="preserve">As I noted throughout my statement, I support our efforts and I appreciate the tireless work of the Enforcement Bureau and our field agents in combatting unlicensed operations across the country.  </w:t>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titlePg/>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DA6" w14:paraId="707828DA" w14:textId="77777777">
    <w:pPr>
      <w:pStyle w:val="Footer"/>
      <w:framePr w:wrap="none" w:vAnchor="text" w:hAnchor="margin" w:x="4620" w:y="1"/>
    </w:pPr>
    <w:r>
      <w:fldChar w:fldCharType="begin"/>
    </w:r>
    <w:r>
      <w:instrText>PAGE  \* MERGEFORMAT</w:instrText>
    </w:r>
    <w:r>
      <w:fldChar w:fldCharType="separate"/>
    </w:r>
    <w:r>
      <w:t>1</w:t>
    </w:r>
    <w:r>
      <w:fldChar w:fldCharType="end"/>
    </w:r>
  </w:p>
  <w:p w:rsidR="008A0DA6" w14:paraId="4CC419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DA6" w14:paraId="45AEFD06" w14:textId="77777777">
    <w:pPr>
      <w:framePr w:wrap="none" w:vAnchor="text" w:hAnchor="margin" w:x="4620" w:y="1"/>
      <w:tabs>
        <w:tab w:val="center" w:pos="4320"/>
        <w:tab w:val="right" w:pos="8640"/>
      </w:tabs>
    </w:pPr>
    <w:r>
      <w:fldChar w:fldCharType="begin"/>
    </w:r>
    <w:r>
      <w:instrText>PAGE  \* MERGEFORMAT</w:instrText>
    </w:r>
    <w:r>
      <w:fldChar w:fldCharType="separate"/>
    </w:r>
    <w:r>
      <w:t>1</w:t>
    </w:r>
    <w:r>
      <w:fldChar w:fldCharType="end"/>
    </w:r>
  </w:p>
  <w:p w:rsidR="008A0DA6" w14:paraId="652DB7DA" w14:textId="77777777">
    <w:pPr>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5E90" w14:paraId="04EDCE46" w14:textId="77777777">
      <w:r>
        <w:separator/>
      </w:r>
    </w:p>
  </w:footnote>
  <w:footnote w:type="continuationSeparator" w:id="1">
    <w:p w:rsidR="00ED5E90" w14:paraId="049FEE6F" w14:textId="77777777">
      <w:r>
        <w:continuationSeparator/>
      </w:r>
    </w:p>
  </w:footnote>
  <w:footnote w:type="continuationNotice" w:id="2">
    <w:p w:rsidR="00ED5E90" w14:paraId="13F03DB6" w14:textId="77777777"/>
  </w:footnote>
  <w:footnote w:id="3">
    <w:p w:rsidR="003F16DA" w:rsidRPr="009D66E0" w14:paraId="0C4E05A4" w14:textId="4119B768">
      <w:pPr>
        <w:pStyle w:val="FootnoteText"/>
      </w:pPr>
      <w:r>
        <w:rPr>
          <w:rStyle w:val="FootnoteReference"/>
        </w:rPr>
        <w:footnoteRef/>
      </w:r>
      <w:r>
        <w:t xml:space="preserve"> </w:t>
      </w:r>
      <w:r w:rsidR="009D66E0">
        <w:t xml:space="preserve">Tori Bedford, </w:t>
      </w:r>
      <w:r w:rsidR="009D66E0">
        <w:rPr>
          <w:i/>
        </w:rPr>
        <w:t xml:space="preserve">Radio Concorde: On </w:t>
      </w:r>
      <w:r w:rsidR="009D66E0">
        <w:rPr>
          <w:i/>
        </w:rPr>
        <w:t>The</w:t>
      </w:r>
      <w:r w:rsidR="009D66E0">
        <w:rPr>
          <w:i/>
        </w:rPr>
        <w:t xml:space="preserve"> Air, Undercover</w:t>
      </w:r>
      <w:r w:rsidR="009D66E0">
        <w:t>, WGBH News (June 6,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0DA6" w14:paraId="200D6A3D" w14:textId="77777777">
    <w:pPr>
      <w:pStyle w:val="Header"/>
      <w:rPr>
        <w:b w:val="0"/>
        <w:sz w:val="22"/>
        <w:szCs w:val="22"/>
      </w:rPr>
    </w:pPr>
    <w:r>
      <w:rPr>
        <w:sz w:val="22"/>
        <w:szCs w:val="22"/>
      </w:rPr>
      <w:tab/>
      <w:t>Federal Communications Commission</w:t>
    </w:r>
    <w:r>
      <w:rPr>
        <w:sz w:val="22"/>
        <w:szCs w:val="22"/>
      </w:rPr>
      <w:tab/>
    </w:r>
  </w:p>
  <w:p w:rsidR="008A0DA6" w14:paraId="3DB15B82" w14:textId="77777777">
    <w:pPr>
      <w:tabs>
        <w:tab w:val="left" w:pos="-720"/>
      </w:tabs>
      <w:spacing w:line="19" w:lineRule="exact"/>
      <w:rPr>
        <w:spacing w:val="-2"/>
      </w:rPr>
    </w:pPr>
    <w:r>
      <w:rPr>
        <w:noProof/>
        <w:sz w:val="20"/>
      </w:rPr>
      <mc:AlternateContent>
        <mc:Choice Requires="wps">
          <w:drawing>
            <wp:anchor distT="0" distB="0" distL="114300" distR="114300" simplePos="0" relativeHeight="251658240" behindDoc="1" locked="0" layoutInCell="0" allowOverlap="1">
              <wp:simplePos x="0" y="0"/>
              <wp:positionH relativeFrom="margin">
                <wp:posOffset>-5</wp:posOffset>
              </wp:positionH>
              <wp:positionV relativeFrom="paragraph">
                <wp:posOffset>-5</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5944235" cy="12700"/>
                      </a:xfrm>
                      <a:prstGeom prst="rect">
                        <a:avLst/>
                      </a:prstGeom>
                      <a:solidFill>
                        <a:prstClr val="black"/>
                      </a:solidFill>
                      <a:ln>
                        <a:noFill/>
                      </a:ln>
                    </wps:spPr>
                    <wps:bodyPr rot="0" spcFirstLastPara="0" vertOverflow="overflow" horzOverflow="overflow" vert="horz" wrap="square" numCol="1" spcCol="0" rtlCol="0" fromWordArt="0" anchor="t" anchorCtr="0" forceAA="0" upright="1" compatLnSpc="0">
                      <a:prstTxWarp prst="textNoShape">
                        <a:avLst/>
                      </a:prstTxWarp>
                    </wps:bodyPr>
                  </wps:wsp>
                </a:graphicData>
              </a:graphic>
            </wp:anchor>
          </w:drawing>
        </mc:Choice>
        <mc:Fallback>
          <w:pict>
            <v:rect id="Rectangle 1" o:spid="_x0000_s2049" style="width:468pt;height:0.95pt;margin-top:0;margin-left:0;mso-position-horizontal-relative:margin;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8A0DA6" w14:paraId="581070A7" w14:textId="77777777">
    <w:pPr>
      <w:spacing w:after="389" w:line="100" w:lineRule="exac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5F8" w:rsidRPr="001A35F8" w:rsidP="001A35F8" w14:paraId="5D304CF7" w14:textId="68665E24">
    <w:pPr>
      <w:widowControl w:val="0"/>
      <w:tabs>
        <w:tab w:val="center" w:pos="4680"/>
        <w:tab w:val="right" w:pos="9360"/>
      </w:tabs>
      <w:rPr>
        <w:snapToGrid w:val="0"/>
        <w:kern w:val="28"/>
        <w:szCs w:val="20"/>
      </w:rPr>
    </w:pPr>
    <w:r w:rsidRPr="001A35F8">
      <w:rPr>
        <w:b/>
        <w:snapToGrid w:val="0"/>
        <w:kern w:val="28"/>
        <w:szCs w:val="20"/>
      </w:rPr>
      <w:tab/>
      <w:t>Federal Communications Commission</w:t>
    </w:r>
    <w:r w:rsidRPr="001A35F8">
      <w:rPr>
        <w:b/>
        <w:snapToGrid w:val="0"/>
        <w:kern w:val="28"/>
        <w:szCs w:val="20"/>
      </w:rPr>
      <w:tab/>
      <w:t>FCC 19-13</w:t>
    </w:r>
    <w:r w:rsidR="001B2DFF">
      <w:rPr>
        <w:b/>
        <w:snapToGrid w:val="0"/>
        <w:kern w:val="28"/>
        <w:szCs w:val="20"/>
      </w:rPr>
      <w:t>4</w:t>
    </w:r>
  </w:p>
  <w:p w:rsidR="001A35F8" w:rsidRPr="001A35F8" w:rsidP="001A35F8" w14:paraId="21058F87" w14:textId="77777777">
    <w:pPr>
      <w:widowControl w:val="0"/>
      <w:tabs>
        <w:tab w:val="left" w:pos="-720"/>
      </w:tabs>
      <w:suppressAutoHyphens/>
      <w:spacing w:line="19" w:lineRule="exact"/>
      <w:rPr>
        <w:snapToGrid w:val="0"/>
        <w:spacing w:val="-2"/>
        <w:kern w:val="28"/>
        <w:szCs w:val="20"/>
      </w:rPr>
    </w:pPr>
    <w:r w:rsidRPr="001A35F8">
      <w:rPr>
        <w:noProof/>
        <w:snapToGrid w:val="0"/>
        <w:kern w:val="28"/>
        <w:szCs w:val="20"/>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1A35F8" w:rsidRPr="001A35F8" w:rsidP="001A35F8" w14:paraId="6D5FE1D1" w14:textId="77777777">
    <w:pPr>
      <w:widowControl w:val="0"/>
      <w:spacing w:after="389" w:line="100" w:lineRule="exact"/>
      <w:rPr>
        <w:snapToGrid w:val="0"/>
        <w:kern w:val="28"/>
        <w:sz w:val="1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54294E"/>
    <w:multiLevelType w:val="hybridMultilevel"/>
    <w:tmpl w:val="A296C1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F000000"/>
    <w:multiLevelType w:val="multilevel"/>
    <w:tmpl w:val="9172464A"/>
    <w:lvl w:ilvl="0">
      <w:start w:val="1"/>
      <w:numFmt w:val="decimal"/>
      <w:lvlText w:val="%1."/>
      <w:lvlJc w:val="left"/>
      <w:pPr>
        <w:tabs>
          <w:tab w:val="left" w:pos="1080"/>
        </w:tabs>
        <w:ind w:firstLine="720"/>
        <w:jc w:val="both"/>
      </w:pPr>
    </w:lvl>
    <w:lvl w:ilvl="1">
      <w:start w:val="1"/>
      <w:numFmt w:val="decimal"/>
      <w:lvlText w:val="%1."/>
      <w:lvlJc w:val="left"/>
      <w:pPr>
        <w:tabs>
          <w:tab w:val="left" w:pos="1080"/>
        </w:tabs>
        <w:ind w:firstLine="720"/>
        <w:jc w:val="both"/>
      </w:pPr>
    </w:lvl>
    <w:lvl w:ilvl="2">
      <w:start w:val="1"/>
      <w:numFmt w:val="decimal"/>
      <w:lvlText w:val="%1."/>
      <w:lvlJc w:val="left"/>
      <w:pPr>
        <w:tabs>
          <w:tab w:val="left" w:pos="1080"/>
        </w:tabs>
        <w:ind w:firstLine="720"/>
        <w:jc w:val="both"/>
      </w:pPr>
    </w:lvl>
    <w:lvl w:ilvl="3">
      <w:start w:val="1"/>
      <w:numFmt w:val="decimal"/>
      <w:lvlText w:val="%1."/>
      <w:lvlJc w:val="left"/>
      <w:pPr>
        <w:tabs>
          <w:tab w:val="left" w:pos="1080"/>
        </w:tabs>
        <w:ind w:firstLine="720"/>
        <w:jc w:val="both"/>
      </w:pPr>
    </w:lvl>
    <w:lvl w:ilvl="4">
      <w:start w:val="1"/>
      <w:numFmt w:val="decimal"/>
      <w:lvlText w:val="%1."/>
      <w:lvlJc w:val="left"/>
      <w:pPr>
        <w:tabs>
          <w:tab w:val="left" w:pos="1080"/>
        </w:tabs>
        <w:ind w:firstLine="720"/>
        <w:jc w:val="both"/>
      </w:pPr>
    </w:lvl>
    <w:lvl w:ilvl="5">
      <w:start w:val="1"/>
      <w:numFmt w:val="decimal"/>
      <w:lvlText w:val="%1."/>
      <w:lvlJc w:val="left"/>
      <w:pPr>
        <w:tabs>
          <w:tab w:val="left" w:pos="1080"/>
        </w:tabs>
        <w:ind w:firstLine="720"/>
        <w:jc w:val="both"/>
      </w:pPr>
    </w:lvl>
    <w:lvl w:ilvl="6">
      <w:start w:val="1"/>
      <w:numFmt w:val="decimal"/>
      <w:lvlText w:val="%1."/>
      <w:lvlJc w:val="left"/>
      <w:pPr>
        <w:tabs>
          <w:tab w:val="left" w:pos="1080"/>
        </w:tabs>
        <w:ind w:firstLine="720"/>
        <w:jc w:val="both"/>
      </w:pPr>
    </w:lvl>
    <w:lvl w:ilvl="7">
      <w:start w:val="1"/>
      <w:numFmt w:val="decimal"/>
      <w:lvlText w:val="%1."/>
      <w:lvlJc w:val="left"/>
      <w:pPr>
        <w:tabs>
          <w:tab w:val="left" w:pos="1080"/>
        </w:tabs>
        <w:ind w:firstLine="720"/>
        <w:jc w:val="both"/>
      </w:pPr>
    </w:lvl>
    <w:lvl w:ilvl="8">
      <w:start w:val="1"/>
      <w:numFmt w:val="decimal"/>
      <w:lvlText w:val="%1."/>
      <w:lvlJc w:val="left"/>
      <w:pPr>
        <w:tabs>
          <w:tab w:val="left" w:pos="1080"/>
        </w:tabs>
        <w:ind w:firstLine="720"/>
        <w:jc w:val="both"/>
      </w:pPr>
    </w:lvl>
  </w:abstractNum>
  <w:abstractNum w:abstractNumId="2">
    <w:nsid w:val="2F000001"/>
    <w:multiLevelType w:val="hybridMultilevel"/>
    <w:tmpl w:val="276B1D78"/>
    <w:lvl w:ilvl="0">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1">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2">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3">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4">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5">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6">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7">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lvl w:ilvl="8">
      <w:start w:val="1"/>
      <w:numFmt w:val="bullet"/>
      <w:lvlText w:val="·"/>
      <w:lvlJc w:val="left"/>
      <w:pPr>
        <w:tabs>
          <w:tab w:val="left" w:pos="360"/>
        </w:tabs>
        <w:ind w:left="360" w:hanging="360"/>
        <w:jc w:val="both"/>
      </w:pPr>
      <w:rPr>
        <w:rFonts w:ascii="Symbol" w:eastAsia="Symbol" w:hAnsi="Symbol"/>
        <w:w w:val="100"/>
        <w:sz w:val="20"/>
        <w:szCs w:val="20"/>
        <w:shd w:val="clear" w:color="auto" w:fill="auto"/>
      </w:rPr>
    </w:lvl>
  </w:abstractNum>
  <w:abstractNum w:abstractNumId="3">
    <w:nsid w:val="2F000002"/>
    <w:multiLevelType w:val="multilevel"/>
    <w:tmpl w:val="ECBEDB22"/>
    <w:lvl w:ilvl="0">
      <w:start w:val="1"/>
      <w:numFmt w:val="decimal"/>
      <w:lvlText w:val="%1."/>
      <w:lvlJc w:val="left"/>
      <w:pPr>
        <w:tabs>
          <w:tab w:val="left" w:pos="1080"/>
        </w:tabs>
        <w:ind w:firstLine="720"/>
        <w:jc w:val="both"/>
      </w:pPr>
    </w:lvl>
    <w:lvl w:ilvl="1">
      <w:start w:val="1"/>
      <w:numFmt w:val="decimal"/>
      <w:lvlText w:val="%1."/>
      <w:lvlJc w:val="left"/>
      <w:pPr>
        <w:tabs>
          <w:tab w:val="left" w:pos="1080"/>
        </w:tabs>
        <w:ind w:firstLine="720"/>
        <w:jc w:val="both"/>
      </w:pPr>
    </w:lvl>
    <w:lvl w:ilvl="2">
      <w:start w:val="1"/>
      <w:numFmt w:val="decimal"/>
      <w:lvlText w:val="%1."/>
      <w:lvlJc w:val="left"/>
      <w:pPr>
        <w:tabs>
          <w:tab w:val="left" w:pos="1080"/>
        </w:tabs>
        <w:ind w:firstLine="720"/>
        <w:jc w:val="both"/>
      </w:pPr>
    </w:lvl>
    <w:lvl w:ilvl="3">
      <w:start w:val="1"/>
      <w:numFmt w:val="decimal"/>
      <w:lvlText w:val="%1."/>
      <w:lvlJc w:val="left"/>
      <w:pPr>
        <w:tabs>
          <w:tab w:val="left" w:pos="1080"/>
        </w:tabs>
        <w:ind w:firstLine="720"/>
        <w:jc w:val="both"/>
      </w:pPr>
    </w:lvl>
    <w:lvl w:ilvl="4">
      <w:start w:val="1"/>
      <w:numFmt w:val="decimal"/>
      <w:lvlText w:val="%1."/>
      <w:lvlJc w:val="left"/>
      <w:pPr>
        <w:tabs>
          <w:tab w:val="left" w:pos="1080"/>
        </w:tabs>
        <w:ind w:firstLine="720"/>
        <w:jc w:val="both"/>
      </w:pPr>
    </w:lvl>
    <w:lvl w:ilvl="5">
      <w:start w:val="1"/>
      <w:numFmt w:val="decimal"/>
      <w:lvlText w:val="%1."/>
      <w:lvlJc w:val="left"/>
      <w:pPr>
        <w:tabs>
          <w:tab w:val="left" w:pos="1080"/>
        </w:tabs>
        <w:ind w:firstLine="720"/>
        <w:jc w:val="both"/>
      </w:pPr>
    </w:lvl>
    <w:lvl w:ilvl="6">
      <w:start w:val="1"/>
      <w:numFmt w:val="decimal"/>
      <w:lvlText w:val="%1."/>
      <w:lvlJc w:val="left"/>
      <w:pPr>
        <w:tabs>
          <w:tab w:val="left" w:pos="1080"/>
        </w:tabs>
        <w:ind w:firstLine="720"/>
        <w:jc w:val="both"/>
      </w:pPr>
    </w:lvl>
    <w:lvl w:ilvl="7">
      <w:start w:val="1"/>
      <w:numFmt w:val="decimal"/>
      <w:lvlText w:val="%1."/>
      <w:lvlJc w:val="left"/>
      <w:pPr>
        <w:tabs>
          <w:tab w:val="left" w:pos="1080"/>
        </w:tabs>
        <w:ind w:firstLine="720"/>
        <w:jc w:val="both"/>
      </w:pPr>
    </w:lvl>
    <w:lvl w:ilvl="8">
      <w:start w:val="1"/>
      <w:numFmt w:val="decimal"/>
      <w:lvlText w:val="%1."/>
      <w:lvlJc w:val="left"/>
      <w:pPr>
        <w:tabs>
          <w:tab w:val="left" w:pos="1080"/>
        </w:tabs>
        <w:ind w:firstLine="720"/>
        <w:jc w:val="both"/>
      </w:pPr>
    </w:lvl>
  </w:abstractNum>
  <w:abstractNum w:abstractNumId="4">
    <w:nsid w:val="2F000003"/>
    <w:multiLevelType w:val="multilevel"/>
    <w:tmpl w:val="3C5A8615"/>
    <w:lvl w:ilvl="0">
      <w:start w:val="1"/>
      <w:numFmt w:val="upperRoman"/>
      <w:pStyle w:val="Heading1"/>
      <w:lvlText w:val="%1."/>
      <w:lvlJc w:val="left"/>
      <w:pPr>
        <w:tabs>
          <w:tab w:val="left" w:pos="720"/>
        </w:tabs>
        <w:ind w:left="720" w:hanging="720"/>
        <w:jc w:val="both"/>
      </w:pPr>
    </w:lvl>
    <w:lvl w:ilvl="1">
      <w:start w:val="1"/>
      <w:numFmt w:val="upperLetter"/>
      <w:pStyle w:val="Heading2"/>
      <w:lvlText w:val="%2."/>
      <w:lvlJc w:val="left"/>
      <w:pPr>
        <w:tabs>
          <w:tab w:val="left" w:pos="1440"/>
        </w:tabs>
        <w:ind w:left="1440" w:hanging="720"/>
        <w:jc w:val="both"/>
      </w:pPr>
    </w:lvl>
    <w:lvl w:ilvl="2">
      <w:start w:val="1"/>
      <w:numFmt w:val="decimal"/>
      <w:pStyle w:val="Heading3"/>
      <w:lvlText w:val="%3."/>
      <w:lvlJc w:val="left"/>
      <w:pPr>
        <w:tabs>
          <w:tab w:val="left" w:pos="2160"/>
        </w:tabs>
        <w:ind w:left="2160" w:hanging="720"/>
        <w:jc w:val="both"/>
      </w:pPr>
    </w:lvl>
    <w:lvl w:ilvl="3">
      <w:start w:val="1"/>
      <w:numFmt w:val="lowerLetter"/>
      <w:pStyle w:val="Heading4"/>
      <w:lvlText w:val="%4."/>
      <w:lvlJc w:val="left"/>
      <w:pPr>
        <w:tabs>
          <w:tab w:val="left" w:pos="2880"/>
        </w:tabs>
        <w:ind w:left="2880" w:hanging="720"/>
        <w:jc w:val="both"/>
      </w:pPr>
    </w:lvl>
    <w:lvl w:ilvl="4">
      <w:start w:val="1"/>
      <w:numFmt w:val="lowerRoman"/>
      <w:pStyle w:val="Heading5"/>
      <w:lvlText w:val="(%5)"/>
      <w:lvlJc w:val="left"/>
      <w:pPr>
        <w:tabs>
          <w:tab w:val="left" w:pos="3600"/>
        </w:tabs>
        <w:ind w:left="3600" w:hanging="720"/>
        <w:jc w:val="both"/>
      </w:pPr>
    </w:lvl>
    <w:lvl w:ilvl="5">
      <w:start w:val="1"/>
      <w:numFmt w:val="lowerLetter"/>
      <w:pStyle w:val="Heading6"/>
      <w:lvlText w:val="(%6)"/>
      <w:lvlJc w:val="left"/>
      <w:pPr>
        <w:tabs>
          <w:tab w:val="left" w:pos="4320"/>
        </w:tabs>
        <w:ind w:left="4320" w:hanging="720"/>
        <w:jc w:val="both"/>
      </w:pPr>
    </w:lvl>
    <w:lvl w:ilvl="6">
      <w:start w:val="1"/>
      <w:numFmt w:val="lowerRoman"/>
      <w:pStyle w:val="Heading7"/>
      <w:lvlText w:val="(%7)"/>
      <w:lvlJc w:val="left"/>
      <w:pPr>
        <w:tabs>
          <w:tab w:val="left" w:pos="5040"/>
        </w:tabs>
        <w:ind w:left="4320" w:firstLine="0"/>
        <w:jc w:val="both"/>
      </w:pPr>
    </w:lvl>
    <w:lvl w:ilvl="7">
      <w:start w:val="1"/>
      <w:numFmt w:val="lowerLetter"/>
      <w:pStyle w:val="Heading8"/>
      <w:lvlText w:val="(%8)"/>
      <w:lvlJc w:val="left"/>
      <w:pPr>
        <w:tabs>
          <w:tab w:val="left" w:pos="5400"/>
        </w:tabs>
        <w:ind w:left="5040" w:firstLine="0"/>
        <w:jc w:val="both"/>
      </w:pPr>
    </w:lvl>
    <w:lvl w:ilvl="8">
      <w:start w:val="1"/>
      <w:numFmt w:val="lowerRoman"/>
      <w:pStyle w:val="Heading9"/>
      <w:lvlText w:val="(%9)"/>
      <w:lvlJc w:val="left"/>
      <w:pPr>
        <w:tabs>
          <w:tab w:val="left" w:pos="6120"/>
        </w:tabs>
        <w:ind w:left="5760" w:firstLine="0"/>
        <w:jc w:val="both"/>
      </w:pPr>
    </w:lvl>
  </w:abstractNum>
  <w:abstractNum w:abstractNumId="5">
    <w:nsid w:val="2F000004"/>
    <w:multiLevelType w:val="multilevel"/>
    <w:tmpl w:val="4118DBC1"/>
    <w:lvl w:ilvl="0">
      <w:start w:val="1"/>
      <w:numFmt w:val="upperRoman"/>
      <w:lvlText w:val="%1."/>
      <w:lvlJc w:val="left"/>
      <w:pPr>
        <w:tabs>
          <w:tab w:val="left" w:pos="720"/>
        </w:tabs>
        <w:ind w:left="720" w:hanging="720"/>
        <w:jc w:val="both"/>
      </w:pPr>
    </w:lvl>
    <w:lvl w:ilvl="1">
      <w:start w:val="1"/>
      <w:numFmt w:val="upperLetter"/>
      <w:lvlText w:val="%2."/>
      <w:lvlJc w:val="left"/>
      <w:pPr>
        <w:tabs>
          <w:tab w:val="left" w:pos="1440"/>
        </w:tabs>
        <w:ind w:left="1440" w:hanging="720"/>
        <w:jc w:val="both"/>
      </w:pPr>
    </w:lvl>
    <w:lvl w:ilvl="2">
      <w:start w:val="1"/>
      <w:numFmt w:val="decimal"/>
      <w:lvlText w:val="%3."/>
      <w:lvlJc w:val="left"/>
      <w:pPr>
        <w:tabs>
          <w:tab w:val="left" w:pos="2160"/>
        </w:tabs>
        <w:ind w:left="2160" w:hanging="720"/>
        <w:jc w:val="both"/>
      </w:pPr>
    </w:lvl>
    <w:lvl w:ilvl="3">
      <w:start w:val="1"/>
      <w:numFmt w:val="lowerLetter"/>
      <w:lvlText w:val="%4."/>
      <w:lvlJc w:val="left"/>
      <w:pPr>
        <w:tabs>
          <w:tab w:val="left" w:pos="2880"/>
        </w:tabs>
        <w:ind w:left="2880" w:hanging="720"/>
        <w:jc w:val="both"/>
      </w:pPr>
    </w:lvl>
    <w:lvl w:ilvl="4">
      <w:start w:val="1"/>
      <w:numFmt w:val="lowerRoman"/>
      <w:lvlText w:val="(%5)"/>
      <w:lvlJc w:val="left"/>
      <w:pPr>
        <w:tabs>
          <w:tab w:val="left" w:pos="3600"/>
        </w:tabs>
        <w:ind w:left="3600" w:hanging="720"/>
        <w:jc w:val="both"/>
      </w:pPr>
    </w:lvl>
    <w:lvl w:ilvl="5">
      <w:start w:val="1"/>
      <w:numFmt w:val="lowerLetter"/>
      <w:lvlText w:val="(%6)"/>
      <w:lvlJc w:val="left"/>
      <w:pPr>
        <w:tabs>
          <w:tab w:val="left" w:pos="4320"/>
        </w:tabs>
        <w:ind w:left="4320" w:hanging="720"/>
        <w:jc w:val="both"/>
      </w:pPr>
    </w:lvl>
    <w:lvl w:ilvl="6">
      <w:start w:val="1"/>
      <w:numFmt w:val="lowerRoman"/>
      <w:lvlText w:val="(%7)"/>
      <w:lvlJc w:val="left"/>
      <w:pPr>
        <w:tabs>
          <w:tab w:val="left" w:pos="5040"/>
        </w:tabs>
        <w:ind w:left="4320" w:firstLine="0"/>
        <w:jc w:val="both"/>
      </w:pPr>
    </w:lvl>
    <w:lvl w:ilvl="7">
      <w:start w:val="1"/>
      <w:numFmt w:val="lowerLetter"/>
      <w:lvlText w:val="(%8)"/>
      <w:lvlJc w:val="left"/>
      <w:pPr>
        <w:tabs>
          <w:tab w:val="left" w:pos="5400"/>
        </w:tabs>
        <w:ind w:left="5040" w:firstLine="0"/>
        <w:jc w:val="both"/>
      </w:pPr>
    </w:lvl>
    <w:lvl w:ilvl="8">
      <w:start w:val="1"/>
      <w:numFmt w:val="lowerRoman"/>
      <w:lvlText w:val="(%9)"/>
      <w:lvlJc w:val="left"/>
      <w:pPr>
        <w:tabs>
          <w:tab w:val="left" w:pos="6120"/>
        </w:tabs>
        <w:ind w:left="5760" w:firstLine="0"/>
        <w:jc w:val="both"/>
      </w:pPr>
    </w:lvl>
  </w:abstractNum>
  <w:abstractNum w:abstractNumId="6">
    <w:nsid w:val="2F000005"/>
    <w:multiLevelType w:val="multilevel"/>
    <w:tmpl w:val="32241A94"/>
    <w:lvl w:ilvl="0">
      <w:start w:val="1"/>
      <w:numFmt w:val="decimal"/>
      <w:pStyle w:val="ParaNum"/>
      <w:lvlText w:val="%1."/>
      <w:lvlJc w:val="left"/>
      <w:pPr>
        <w:tabs>
          <w:tab w:val="left" w:pos="1080"/>
        </w:tabs>
        <w:ind w:firstLine="720"/>
        <w:jc w:val="both"/>
      </w:pPr>
    </w:lvl>
    <w:lvl w:ilvl="1">
      <w:start w:val="1"/>
      <w:numFmt w:val="decimal"/>
      <w:lvlText w:val="%1."/>
      <w:lvlJc w:val="left"/>
      <w:pPr>
        <w:tabs>
          <w:tab w:val="left" w:pos="1080"/>
        </w:tabs>
        <w:ind w:firstLine="720"/>
        <w:jc w:val="both"/>
      </w:pPr>
    </w:lvl>
    <w:lvl w:ilvl="2">
      <w:start w:val="1"/>
      <w:numFmt w:val="decimal"/>
      <w:lvlText w:val="%1."/>
      <w:lvlJc w:val="left"/>
      <w:pPr>
        <w:tabs>
          <w:tab w:val="left" w:pos="1080"/>
        </w:tabs>
        <w:ind w:firstLine="720"/>
        <w:jc w:val="both"/>
      </w:pPr>
    </w:lvl>
    <w:lvl w:ilvl="3">
      <w:start w:val="1"/>
      <w:numFmt w:val="decimal"/>
      <w:lvlText w:val="%1."/>
      <w:lvlJc w:val="left"/>
      <w:pPr>
        <w:tabs>
          <w:tab w:val="left" w:pos="1080"/>
        </w:tabs>
        <w:ind w:firstLine="720"/>
        <w:jc w:val="both"/>
      </w:pPr>
    </w:lvl>
    <w:lvl w:ilvl="4">
      <w:start w:val="1"/>
      <w:numFmt w:val="decimal"/>
      <w:lvlText w:val="%1."/>
      <w:lvlJc w:val="left"/>
      <w:pPr>
        <w:tabs>
          <w:tab w:val="left" w:pos="1080"/>
        </w:tabs>
        <w:ind w:firstLine="720"/>
        <w:jc w:val="both"/>
      </w:pPr>
    </w:lvl>
    <w:lvl w:ilvl="5">
      <w:start w:val="1"/>
      <w:numFmt w:val="decimal"/>
      <w:lvlText w:val="%1."/>
      <w:lvlJc w:val="left"/>
      <w:pPr>
        <w:tabs>
          <w:tab w:val="left" w:pos="1080"/>
        </w:tabs>
        <w:ind w:firstLine="720"/>
        <w:jc w:val="both"/>
      </w:pPr>
    </w:lvl>
    <w:lvl w:ilvl="6">
      <w:start w:val="1"/>
      <w:numFmt w:val="decimal"/>
      <w:lvlText w:val="%1."/>
      <w:lvlJc w:val="left"/>
      <w:pPr>
        <w:tabs>
          <w:tab w:val="left" w:pos="1080"/>
        </w:tabs>
        <w:ind w:firstLine="720"/>
        <w:jc w:val="both"/>
      </w:pPr>
    </w:lvl>
    <w:lvl w:ilvl="7">
      <w:start w:val="1"/>
      <w:numFmt w:val="decimal"/>
      <w:lvlText w:val="%1."/>
      <w:lvlJc w:val="left"/>
      <w:pPr>
        <w:tabs>
          <w:tab w:val="left" w:pos="1080"/>
        </w:tabs>
        <w:ind w:firstLine="720"/>
        <w:jc w:val="both"/>
      </w:pPr>
    </w:lvl>
    <w:lvl w:ilvl="8">
      <w:start w:val="1"/>
      <w:numFmt w:val="decimal"/>
      <w:lvlText w:val="%1."/>
      <w:lvlJc w:val="left"/>
      <w:pPr>
        <w:tabs>
          <w:tab w:val="left" w:pos="1080"/>
        </w:tabs>
        <w:ind w:firstLine="720"/>
        <w:jc w:val="both"/>
      </w:pPr>
    </w:lvl>
  </w:abstractNum>
  <w:abstractNum w:abstractNumId="7">
    <w:nsid w:val="3732336B"/>
    <w:multiLevelType w:val="hybridMultilevel"/>
    <w:tmpl w:val="9B58F25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A684591"/>
    <w:multiLevelType w:val="hybridMultilevel"/>
    <w:tmpl w:val="DE5C2A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2"/>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A6"/>
    <w:rsid w:val="000055E6"/>
    <w:rsid w:val="0001337D"/>
    <w:rsid w:val="0004233F"/>
    <w:rsid w:val="0005446C"/>
    <w:rsid w:val="000705DD"/>
    <w:rsid w:val="0007243B"/>
    <w:rsid w:val="000A227A"/>
    <w:rsid w:val="000A6276"/>
    <w:rsid w:val="000B0D97"/>
    <w:rsid w:val="000D7156"/>
    <w:rsid w:val="000F281F"/>
    <w:rsid w:val="0010032B"/>
    <w:rsid w:val="00104D0F"/>
    <w:rsid w:val="001119FD"/>
    <w:rsid w:val="001136AA"/>
    <w:rsid w:val="001311CB"/>
    <w:rsid w:val="00137D32"/>
    <w:rsid w:val="001731B4"/>
    <w:rsid w:val="0019062B"/>
    <w:rsid w:val="001A35F8"/>
    <w:rsid w:val="001A468F"/>
    <w:rsid w:val="001B2DFF"/>
    <w:rsid w:val="001B5011"/>
    <w:rsid w:val="001B5E37"/>
    <w:rsid w:val="001E1A8F"/>
    <w:rsid w:val="001E3D24"/>
    <w:rsid w:val="001E3F7B"/>
    <w:rsid w:val="001E6107"/>
    <w:rsid w:val="001F7B34"/>
    <w:rsid w:val="00230697"/>
    <w:rsid w:val="00262601"/>
    <w:rsid w:val="00284F63"/>
    <w:rsid w:val="002A7396"/>
    <w:rsid w:val="002B3F79"/>
    <w:rsid w:val="002C257F"/>
    <w:rsid w:val="002D5EEF"/>
    <w:rsid w:val="002F5B06"/>
    <w:rsid w:val="0034217F"/>
    <w:rsid w:val="00343766"/>
    <w:rsid w:val="00352DA1"/>
    <w:rsid w:val="00354C92"/>
    <w:rsid w:val="00356948"/>
    <w:rsid w:val="0037061E"/>
    <w:rsid w:val="00372C30"/>
    <w:rsid w:val="00394A90"/>
    <w:rsid w:val="003956EE"/>
    <w:rsid w:val="003A3F46"/>
    <w:rsid w:val="003C0958"/>
    <w:rsid w:val="003E36BE"/>
    <w:rsid w:val="003E5102"/>
    <w:rsid w:val="003F0E55"/>
    <w:rsid w:val="003F16DA"/>
    <w:rsid w:val="003F186E"/>
    <w:rsid w:val="0041215A"/>
    <w:rsid w:val="00424C5D"/>
    <w:rsid w:val="00430523"/>
    <w:rsid w:val="00431DCC"/>
    <w:rsid w:val="00441508"/>
    <w:rsid w:val="00467AD6"/>
    <w:rsid w:val="00476399"/>
    <w:rsid w:val="0048141B"/>
    <w:rsid w:val="004B0AD0"/>
    <w:rsid w:val="004B4D67"/>
    <w:rsid w:val="004B5CB1"/>
    <w:rsid w:val="004C7982"/>
    <w:rsid w:val="00522A88"/>
    <w:rsid w:val="00526094"/>
    <w:rsid w:val="0054275D"/>
    <w:rsid w:val="00551140"/>
    <w:rsid w:val="00597692"/>
    <w:rsid w:val="005A0C5E"/>
    <w:rsid w:val="005F6870"/>
    <w:rsid w:val="005F6A8D"/>
    <w:rsid w:val="00606B70"/>
    <w:rsid w:val="00620A1F"/>
    <w:rsid w:val="0062456C"/>
    <w:rsid w:val="0062702E"/>
    <w:rsid w:val="00631DFA"/>
    <w:rsid w:val="00653495"/>
    <w:rsid w:val="00671B72"/>
    <w:rsid w:val="006906A8"/>
    <w:rsid w:val="006A6096"/>
    <w:rsid w:val="006B737E"/>
    <w:rsid w:val="006C0393"/>
    <w:rsid w:val="006E6038"/>
    <w:rsid w:val="006F41F1"/>
    <w:rsid w:val="006F540B"/>
    <w:rsid w:val="007153E0"/>
    <w:rsid w:val="00767323"/>
    <w:rsid w:val="007967DC"/>
    <w:rsid w:val="007D5B22"/>
    <w:rsid w:val="007D72DE"/>
    <w:rsid w:val="007E5E25"/>
    <w:rsid w:val="007F60D7"/>
    <w:rsid w:val="00805B1B"/>
    <w:rsid w:val="00806008"/>
    <w:rsid w:val="00806DB5"/>
    <w:rsid w:val="008224A5"/>
    <w:rsid w:val="00826F41"/>
    <w:rsid w:val="00834B4E"/>
    <w:rsid w:val="00842EF4"/>
    <w:rsid w:val="0084544C"/>
    <w:rsid w:val="00857406"/>
    <w:rsid w:val="00873098"/>
    <w:rsid w:val="00883E8E"/>
    <w:rsid w:val="008A0DA6"/>
    <w:rsid w:val="008A31AF"/>
    <w:rsid w:val="008A78DC"/>
    <w:rsid w:val="008B3D32"/>
    <w:rsid w:val="008B7E72"/>
    <w:rsid w:val="008D7819"/>
    <w:rsid w:val="008D7B4F"/>
    <w:rsid w:val="008E1A41"/>
    <w:rsid w:val="00907C46"/>
    <w:rsid w:val="009142DB"/>
    <w:rsid w:val="00915C6A"/>
    <w:rsid w:val="009231EA"/>
    <w:rsid w:val="009279AC"/>
    <w:rsid w:val="00943262"/>
    <w:rsid w:val="009532AB"/>
    <w:rsid w:val="0099496E"/>
    <w:rsid w:val="009D66E0"/>
    <w:rsid w:val="009E15AC"/>
    <w:rsid w:val="009F0E63"/>
    <w:rsid w:val="00A17697"/>
    <w:rsid w:val="00A51FBF"/>
    <w:rsid w:val="00A56578"/>
    <w:rsid w:val="00A60DF4"/>
    <w:rsid w:val="00A66EB9"/>
    <w:rsid w:val="00A817CA"/>
    <w:rsid w:val="00AE5D16"/>
    <w:rsid w:val="00B06C0D"/>
    <w:rsid w:val="00B10D7C"/>
    <w:rsid w:val="00B5790E"/>
    <w:rsid w:val="00B82FE4"/>
    <w:rsid w:val="00B90122"/>
    <w:rsid w:val="00B9242F"/>
    <w:rsid w:val="00BA1282"/>
    <w:rsid w:val="00BA7F55"/>
    <w:rsid w:val="00BB50F5"/>
    <w:rsid w:val="00BB6477"/>
    <w:rsid w:val="00BB691D"/>
    <w:rsid w:val="00BC49D8"/>
    <w:rsid w:val="00BC5C7B"/>
    <w:rsid w:val="00BD041F"/>
    <w:rsid w:val="00BD61D6"/>
    <w:rsid w:val="00BE3414"/>
    <w:rsid w:val="00BE553B"/>
    <w:rsid w:val="00BE7C30"/>
    <w:rsid w:val="00C028A5"/>
    <w:rsid w:val="00C06B59"/>
    <w:rsid w:val="00C10AD7"/>
    <w:rsid w:val="00C12507"/>
    <w:rsid w:val="00C1572F"/>
    <w:rsid w:val="00C23864"/>
    <w:rsid w:val="00C2456B"/>
    <w:rsid w:val="00C5172E"/>
    <w:rsid w:val="00C7248B"/>
    <w:rsid w:val="00C80C6E"/>
    <w:rsid w:val="00C81567"/>
    <w:rsid w:val="00C963A4"/>
    <w:rsid w:val="00CA1B8B"/>
    <w:rsid w:val="00CA27B4"/>
    <w:rsid w:val="00CB2EE6"/>
    <w:rsid w:val="00CC091B"/>
    <w:rsid w:val="00CC5FF5"/>
    <w:rsid w:val="00CD1B17"/>
    <w:rsid w:val="00CD46CE"/>
    <w:rsid w:val="00CF47C4"/>
    <w:rsid w:val="00D37D40"/>
    <w:rsid w:val="00D45424"/>
    <w:rsid w:val="00D5792B"/>
    <w:rsid w:val="00DA4C27"/>
    <w:rsid w:val="00DD02B8"/>
    <w:rsid w:val="00DE5240"/>
    <w:rsid w:val="00E017CF"/>
    <w:rsid w:val="00E10F22"/>
    <w:rsid w:val="00E13E26"/>
    <w:rsid w:val="00E2799C"/>
    <w:rsid w:val="00E4185E"/>
    <w:rsid w:val="00E4205D"/>
    <w:rsid w:val="00E6068B"/>
    <w:rsid w:val="00E7052B"/>
    <w:rsid w:val="00E70FAD"/>
    <w:rsid w:val="00E85354"/>
    <w:rsid w:val="00E874FA"/>
    <w:rsid w:val="00E902D4"/>
    <w:rsid w:val="00E970B9"/>
    <w:rsid w:val="00EB0501"/>
    <w:rsid w:val="00EB4AF3"/>
    <w:rsid w:val="00EC52BD"/>
    <w:rsid w:val="00ED0C71"/>
    <w:rsid w:val="00ED5E90"/>
    <w:rsid w:val="00EE127A"/>
    <w:rsid w:val="00EE5457"/>
    <w:rsid w:val="00EF0540"/>
    <w:rsid w:val="00EF2C8A"/>
    <w:rsid w:val="00F01C35"/>
    <w:rsid w:val="00F05E66"/>
    <w:rsid w:val="00F16578"/>
    <w:rsid w:val="00F333C2"/>
    <w:rsid w:val="00F40B5B"/>
    <w:rsid w:val="00F41FD5"/>
    <w:rsid w:val="00F5039D"/>
    <w:rsid w:val="00FB3816"/>
    <w:rsid w:val="00FF611A"/>
  </w:rsids>
  <m:mathPr>
    <m:mathFont m:val="Cambria Math"/>
    <m:smallFrac/>
    <m:lMargin m:val="1440"/>
    <m:rMargin m:val="1440"/>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5:docId w15:val="{083AB99C-198F-44F8-8EC0-E18B0838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29" w:unhideWhenUsed="1"/>
    <w:lsdException w:name="toc 3" w:semiHidden="1" w:uiPriority="30" w:unhideWhenUsed="1"/>
    <w:lsdException w:name="toc 4" w:semiHidden="1" w:uiPriority="31" w:unhideWhenUsed="1"/>
    <w:lsdException w:name="toc 5" w:semiHidden="1" w:uiPriority="32" w:unhideWhenUsed="1"/>
    <w:lsdException w:name="toc 6" w:semiHidden="1" w:uiPriority="33" w:unhideWhenUsed="1"/>
    <w:lsdException w:name="toc 7" w:semiHidden="1" w:uiPriority="34" w:unhideWhenUsed="1"/>
    <w:lsdException w:name="toc 8" w:semiHidden="1" w:uiPriority="35" w:unhideWhenUsed="1"/>
    <w:lsdException w:name="toc 9" w:semiHidden="1" w:uiPriority="36"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uiPriority w:val="9"/>
    <w:qFormat/>
    <w:pPr>
      <w:keepNext/>
      <w:numPr>
        <w:numId w:val="3"/>
      </w:numPr>
      <w:outlineLvl w:val="0"/>
    </w:pPr>
    <w:rPr>
      <w:rFonts w:ascii="Times New Roman Bold" w:eastAsia="Times New Roman Bold" w:hAnsi="Times New Roman Bold"/>
      <w:b/>
      <w:caps/>
      <w:sz w:val="20"/>
      <w:szCs w:val="20"/>
    </w:rPr>
  </w:style>
  <w:style w:type="paragraph" w:styleId="Heading2">
    <w:name w:val="heading 2"/>
    <w:basedOn w:val="Normal"/>
    <w:uiPriority w:val="9"/>
    <w:semiHidden/>
    <w:unhideWhenUsed/>
    <w:qFormat/>
    <w:pPr>
      <w:keepNext/>
      <w:numPr>
        <w:ilvl w:val="1"/>
        <w:numId w:val="3"/>
      </w:numPr>
      <w:outlineLvl w:val="1"/>
    </w:pPr>
    <w:rPr>
      <w:b/>
      <w:sz w:val="20"/>
      <w:szCs w:val="20"/>
    </w:rPr>
  </w:style>
  <w:style w:type="paragraph" w:styleId="Heading3">
    <w:name w:val="heading 3"/>
    <w:basedOn w:val="Normal"/>
    <w:uiPriority w:val="9"/>
    <w:semiHidden/>
    <w:unhideWhenUsed/>
    <w:qFormat/>
    <w:pPr>
      <w:keepNext/>
      <w:numPr>
        <w:ilvl w:val="2"/>
        <w:numId w:val="3"/>
      </w:numPr>
      <w:outlineLvl w:val="2"/>
    </w:pPr>
    <w:rPr>
      <w:b/>
      <w:sz w:val="20"/>
      <w:szCs w:val="20"/>
    </w:rPr>
  </w:style>
  <w:style w:type="paragraph" w:styleId="Heading4">
    <w:name w:val="heading 4"/>
    <w:basedOn w:val="Normal"/>
    <w:uiPriority w:val="9"/>
    <w:semiHidden/>
    <w:unhideWhenUsed/>
    <w:qFormat/>
    <w:pPr>
      <w:keepNext/>
      <w:numPr>
        <w:ilvl w:val="3"/>
        <w:numId w:val="3"/>
      </w:numPr>
      <w:outlineLvl w:val="3"/>
    </w:pPr>
    <w:rPr>
      <w:b/>
      <w:sz w:val="20"/>
      <w:szCs w:val="20"/>
    </w:rPr>
  </w:style>
  <w:style w:type="paragraph" w:styleId="Heading5">
    <w:name w:val="heading 5"/>
    <w:basedOn w:val="Normal"/>
    <w:uiPriority w:val="9"/>
    <w:semiHidden/>
    <w:unhideWhenUsed/>
    <w:qFormat/>
    <w:pPr>
      <w:keepNext/>
      <w:numPr>
        <w:ilvl w:val="4"/>
        <w:numId w:val="3"/>
      </w:numPr>
      <w:outlineLvl w:val="4"/>
    </w:pPr>
    <w:rPr>
      <w:b/>
      <w:sz w:val="20"/>
      <w:szCs w:val="20"/>
    </w:rPr>
  </w:style>
  <w:style w:type="paragraph" w:styleId="Heading6">
    <w:name w:val="heading 6"/>
    <w:basedOn w:val="Normal"/>
    <w:uiPriority w:val="9"/>
    <w:semiHidden/>
    <w:unhideWhenUsed/>
    <w:qFormat/>
    <w:pPr>
      <w:numPr>
        <w:ilvl w:val="5"/>
        <w:numId w:val="3"/>
      </w:numPr>
      <w:outlineLvl w:val="5"/>
    </w:pPr>
    <w:rPr>
      <w:b/>
      <w:sz w:val="20"/>
      <w:szCs w:val="20"/>
    </w:rPr>
  </w:style>
  <w:style w:type="paragraph" w:styleId="Heading7">
    <w:name w:val="heading 7"/>
    <w:basedOn w:val="Normal"/>
    <w:uiPriority w:val="13"/>
    <w:qFormat/>
    <w:pPr>
      <w:numPr>
        <w:ilvl w:val="6"/>
        <w:numId w:val="3"/>
      </w:numPr>
      <w:ind w:left="5040" w:hanging="720"/>
      <w:outlineLvl w:val="6"/>
    </w:pPr>
    <w:rPr>
      <w:b/>
      <w:sz w:val="20"/>
      <w:szCs w:val="20"/>
    </w:rPr>
  </w:style>
  <w:style w:type="paragraph" w:styleId="Heading8">
    <w:name w:val="heading 8"/>
    <w:basedOn w:val="Normal"/>
    <w:uiPriority w:val="14"/>
    <w:qFormat/>
    <w:pPr>
      <w:numPr>
        <w:ilvl w:val="7"/>
        <w:numId w:val="3"/>
      </w:numPr>
      <w:tabs>
        <w:tab w:val="left" w:pos="5760"/>
      </w:tabs>
      <w:ind w:left="5760" w:hanging="720"/>
      <w:outlineLvl w:val="7"/>
    </w:pPr>
    <w:rPr>
      <w:b/>
      <w:sz w:val="20"/>
      <w:szCs w:val="20"/>
    </w:rPr>
  </w:style>
  <w:style w:type="paragraph" w:styleId="Heading9">
    <w:name w:val="heading 9"/>
    <w:basedOn w:val="Normal"/>
    <w:uiPriority w:val="15"/>
    <w:qFormat/>
    <w:pPr>
      <w:numPr>
        <w:ilvl w:val="8"/>
        <w:numId w:val="3"/>
      </w:numPr>
      <w:tabs>
        <w:tab w:val="left" w:pos="6480"/>
      </w:tabs>
      <w:ind w:left="6480" w:hanging="720"/>
      <w:outlineLvl w:val="8"/>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28"/>
    <w:semiHidden/>
    <w:pPr>
      <w:tabs>
        <w:tab w:val="left" w:pos="360"/>
        <w:tab w:val="right" w:leader="dot" w:pos="9360"/>
      </w:tabs>
      <w:ind w:left="360" w:right="720" w:hanging="360"/>
    </w:pPr>
    <w:rPr>
      <w:caps/>
      <w:sz w:val="20"/>
      <w:szCs w:val="20"/>
    </w:rPr>
  </w:style>
  <w:style w:type="paragraph" w:styleId="TOC2">
    <w:name w:val="toc 2"/>
    <w:basedOn w:val="Normal"/>
    <w:next w:val="Normal"/>
    <w:uiPriority w:val="29"/>
    <w:semiHidden/>
    <w:pPr>
      <w:tabs>
        <w:tab w:val="left" w:pos="720"/>
        <w:tab w:val="right" w:leader="dot" w:pos="9360"/>
      </w:tabs>
      <w:ind w:left="720" w:right="720" w:hanging="360"/>
    </w:pPr>
    <w:rPr>
      <w:sz w:val="20"/>
      <w:szCs w:val="20"/>
    </w:rPr>
  </w:style>
  <w:style w:type="paragraph" w:styleId="TOC3">
    <w:name w:val="toc 3"/>
    <w:basedOn w:val="Normal"/>
    <w:next w:val="Normal"/>
    <w:uiPriority w:val="30"/>
    <w:semiHidden/>
    <w:pPr>
      <w:tabs>
        <w:tab w:val="left" w:pos="1080"/>
        <w:tab w:val="right" w:leader="dot" w:pos="9360"/>
      </w:tabs>
      <w:ind w:left="1080" w:right="720" w:hanging="360"/>
    </w:pPr>
    <w:rPr>
      <w:sz w:val="20"/>
      <w:szCs w:val="20"/>
    </w:rPr>
  </w:style>
  <w:style w:type="paragraph" w:styleId="TOC4">
    <w:name w:val="toc 4"/>
    <w:basedOn w:val="Normal"/>
    <w:next w:val="Normal"/>
    <w:uiPriority w:val="31"/>
    <w:semiHidden/>
    <w:pPr>
      <w:tabs>
        <w:tab w:val="left" w:pos="1440"/>
        <w:tab w:val="right" w:leader="dot" w:pos="9360"/>
      </w:tabs>
      <w:ind w:left="1440" w:right="720" w:hanging="360"/>
    </w:pPr>
    <w:rPr>
      <w:sz w:val="20"/>
      <w:szCs w:val="20"/>
    </w:rPr>
  </w:style>
  <w:style w:type="paragraph" w:styleId="TOC5">
    <w:name w:val="toc 5"/>
    <w:basedOn w:val="Normal"/>
    <w:next w:val="Normal"/>
    <w:uiPriority w:val="32"/>
    <w:semiHidden/>
    <w:pPr>
      <w:tabs>
        <w:tab w:val="left" w:pos="1800"/>
        <w:tab w:val="right" w:leader="dot" w:pos="9360"/>
      </w:tabs>
      <w:ind w:left="1800" w:right="720" w:hanging="360"/>
    </w:pPr>
    <w:rPr>
      <w:sz w:val="20"/>
      <w:szCs w:val="20"/>
    </w:rPr>
  </w:style>
  <w:style w:type="paragraph" w:styleId="TOC6">
    <w:name w:val="toc 6"/>
    <w:basedOn w:val="Normal"/>
    <w:next w:val="Normal"/>
    <w:uiPriority w:val="33"/>
    <w:semiHidden/>
    <w:pPr>
      <w:tabs>
        <w:tab w:val="left" w:pos="2160"/>
        <w:tab w:val="right" w:leader="dot" w:pos="9360"/>
      </w:tabs>
      <w:ind w:left="2160" w:hanging="360"/>
    </w:pPr>
    <w:rPr>
      <w:sz w:val="20"/>
      <w:szCs w:val="20"/>
    </w:rPr>
  </w:style>
  <w:style w:type="paragraph" w:styleId="TOC7">
    <w:name w:val="toc 7"/>
    <w:basedOn w:val="Normal"/>
    <w:next w:val="Normal"/>
    <w:uiPriority w:val="34"/>
    <w:semiHidden/>
    <w:pPr>
      <w:tabs>
        <w:tab w:val="left" w:pos="2520"/>
        <w:tab w:val="right" w:leader="dot" w:pos="9360"/>
      </w:tabs>
      <w:ind w:left="2520" w:hanging="360"/>
    </w:pPr>
    <w:rPr>
      <w:sz w:val="20"/>
      <w:szCs w:val="20"/>
    </w:rPr>
  </w:style>
  <w:style w:type="paragraph" w:styleId="TOC8">
    <w:name w:val="toc 8"/>
    <w:basedOn w:val="Normal"/>
    <w:next w:val="Normal"/>
    <w:uiPriority w:val="35"/>
    <w:semiHidden/>
    <w:pPr>
      <w:tabs>
        <w:tab w:val="left" w:pos="2880"/>
        <w:tab w:val="right" w:leader="dot" w:pos="9360"/>
      </w:tabs>
      <w:ind w:left="2880" w:hanging="360"/>
    </w:pPr>
    <w:rPr>
      <w:sz w:val="20"/>
      <w:szCs w:val="20"/>
    </w:rPr>
  </w:style>
  <w:style w:type="paragraph" w:styleId="TOC9">
    <w:name w:val="toc 9"/>
    <w:basedOn w:val="Normal"/>
    <w:next w:val="Normal"/>
    <w:uiPriority w:val="36"/>
    <w:semiHidden/>
    <w:pPr>
      <w:tabs>
        <w:tab w:val="left" w:pos="3240"/>
        <w:tab w:val="right" w:leader="dot" w:pos="9360"/>
      </w:tabs>
      <w:ind w:left="3240" w:hanging="360"/>
    </w:pPr>
    <w:rPr>
      <w:sz w:val="20"/>
      <w:szCs w:val="20"/>
    </w:rPr>
  </w:style>
  <w:style w:type="paragraph" w:customStyle="1" w:styleId="ParaNum">
    <w:name w:val="ParaNum"/>
    <w:basedOn w:val="Normal"/>
    <w:pPr>
      <w:numPr>
        <w:numId w:val="2"/>
      </w:numPr>
      <w:tabs>
        <w:tab w:val="left" w:pos="1440"/>
      </w:tabs>
    </w:pPr>
  </w:style>
  <w:style w:type="paragraph" w:styleId="EndnoteText">
    <w:name w:val="endnote text"/>
    <w:basedOn w:val="Normal"/>
    <w:semiHidden/>
    <w:rPr>
      <w:sz w:val="20"/>
      <w:szCs w:val="20"/>
    </w:rPr>
  </w:style>
  <w:style w:type="character" w:styleId="EndnoteReference">
    <w:name w:val="endnote reference"/>
    <w:semiHidden/>
    <w:rPr>
      <w:w w:val="100"/>
      <w:sz w:val="20"/>
      <w:szCs w:val="20"/>
      <w:shd w:val="clear" w:color="auto" w:fill="auto"/>
      <w:vertAlign w:val="superscript"/>
    </w:rPr>
  </w:style>
  <w:style w:type="paragraph" w:styleId="FootnoteText">
    <w:name w:val="footnote text"/>
  </w:style>
  <w:style w:type="character" w:styleId="FootnoteReference">
    <w:name w:val="footnote reference"/>
    <w:rPr>
      <w:rFonts w:ascii="Times New Roman" w:eastAsia="Times New Roman" w:hAnsi="Times New Roman"/>
      <w:w w:val="100"/>
      <w:sz w:val="20"/>
      <w:szCs w:val="20"/>
      <w:shd w:val="clear" w:color="auto" w:fill="auto"/>
      <w:vertAlign w:val="superscript"/>
    </w:rPr>
  </w:style>
  <w:style w:type="paragraph" w:styleId="TOAHeading">
    <w:name w:val="toa heading"/>
    <w:basedOn w:val="Normal"/>
    <w:next w:val="Normal"/>
    <w:semiHidden/>
    <w:pPr>
      <w:tabs>
        <w:tab w:val="right" w:pos="9360"/>
      </w:tabs>
    </w:pPr>
  </w:style>
  <w:style w:type="character" w:customStyle="1" w:styleId="EquationCaption">
    <w:name w:val="_Equation Caption"/>
  </w:style>
  <w:style w:type="paragraph" w:styleId="Header">
    <w:name w:val="header"/>
    <w:basedOn w:val="Normal"/>
    <w:pPr>
      <w:tabs>
        <w:tab w:val="center" w:pos="4680"/>
        <w:tab w:val="right" w:pos="9360"/>
      </w:tabs>
    </w:pPr>
    <w:rPr>
      <w:b/>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1440"/>
    </w:pPr>
  </w:style>
  <w:style w:type="paragraph" w:customStyle="1" w:styleId="Paratitle">
    <w:name w:val="Para title"/>
    <w:basedOn w:val="Normal"/>
    <w:pPr>
      <w:tabs>
        <w:tab w:val="center" w:pos="9270"/>
      </w:tabs>
    </w:pPr>
    <w:rPr>
      <w:spacing w:val="-2"/>
      <w:sz w:val="20"/>
      <w:szCs w:val="20"/>
    </w:rPr>
  </w:style>
  <w:style w:type="paragraph" w:customStyle="1" w:styleId="Bullet">
    <w:name w:val="Bullet"/>
    <w:basedOn w:val="Normal"/>
    <w:pPr>
      <w:tabs>
        <w:tab w:val="left" w:pos="2160"/>
      </w:tabs>
      <w:ind w:left="2160" w:hanging="720"/>
    </w:pPr>
  </w:style>
  <w:style w:type="paragraph" w:customStyle="1" w:styleId="TableFormat">
    <w:name w:val="TableFormat"/>
    <w:basedOn w:val="Bullet"/>
    <w:pPr>
      <w:tabs>
        <w:tab w:val="left" w:pos="5040"/>
      </w:tabs>
      <w:ind w:left="5040" w:hanging="3600"/>
    </w:pPr>
  </w:style>
  <w:style w:type="paragraph" w:customStyle="1" w:styleId="TOCTitle">
    <w:name w:val="TOC Title"/>
    <w:basedOn w:val="Normal"/>
    <w:pPr>
      <w:jc w:val="center"/>
    </w:pPr>
    <w:rPr>
      <w:rFonts w:ascii="Times New Roman Bold" w:eastAsia="Times New Roman Bold" w:hAnsi="Times New Roman Bold"/>
      <w:b/>
      <w:caps/>
      <w:spacing w:val="-2"/>
      <w:sz w:val="20"/>
      <w:szCs w:val="20"/>
    </w:rPr>
  </w:style>
  <w:style w:type="paragraph" w:customStyle="1" w:styleId="StyleBoldCentered">
    <w:name w:val="Style Bold Centered"/>
    <w:basedOn w:val="Normal"/>
    <w:pPr>
      <w:jc w:val="center"/>
    </w:pPr>
    <w:rPr>
      <w:rFonts w:ascii="Times New Roman Bold" w:eastAsia="Times New Roman Bold" w:hAnsi="Times New Roman Bold"/>
      <w:b/>
      <w:caps/>
      <w:sz w:val="20"/>
      <w:szCs w:val="20"/>
    </w:rPr>
  </w:style>
  <w:style w:type="character" w:styleId="Hyperlink">
    <w:name w:val="Hyperlink"/>
    <w:rPr>
      <w:color w:val="0000FF"/>
      <w:w w:val="100"/>
      <w:sz w:val="20"/>
      <w:szCs w:val="20"/>
      <w:u w:val="single"/>
      <w:shd w:val="clear" w:color="auto" w:fill="auto"/>
    </w:rPr>
  </w:style>
  <w:style w:type="character" w:styleId="CommentReference">
    <w:name w:val="annotation reference"/>
    <w:unhideWhenUsed/>
    <w:rPr>
      <w:w w:val="100"/>
      <w:sz w:val="16"/>
      <w:szCs w:val="16"/>
      <w:shd w:val="clear" w:color="auto" w:fill="auto"/>
    </w:rPr>
  </w:style>
  <w:style w:type="paragraph" w:styleId="CommentText">
    <w:name w:val="annotation text"/>
    <w:basedOn w:val="Normal"/>
    <w:link w:val="CommentTextChar"/>
    <w:unhideWhenUsed/>
    <w:rPr>
      <w:rFonts w:ascii="Calibri" w:eastAsia="Calibri" w:hAnsi="Calibri"/>
      <w:sz w:val="20"/>
      <w:szCs w:val="20"/>
    </w:rPr>
  </w:style>
  <w:style w:type="character" w:customStyle="1" w:styleId="CommentTextChar">
    <w:name w:val="Comment Text Char"/>
    <w:basedOn w:val="DefaultParagraphFont"/>
    <w:link w:val="CommentText"/>
    <w:rPr>
      <w:rFonts w:ascii="Calibri" w:eastAsia="Calibri" w:hAnsi="Calibri"/>
      <w:w w:val="100"/>
      <w:sz w:val="20"/>
      <w:szCs w:val="20"/>
      <w:shd w:val="clear" w:color="auto" w:fill="auto"/>
    </w:rPr>
  </w:style>
  <w:style w:type="paragraph" w:styleId="BalloonText">
    <w:name w:val="Balloon Text"/>
    <w:basedOn w:val="Normal"/>
    <w:link w:val="BalloonTextChar"/>
    <w:rPr>
      <w:rFonts w:ascii="Segoe UI" w:eastAsia="Segoe UI" w:hAnsi="Segoe UI"/>
      <w:sz w:val="18"/>
      <w:szCs w:val="18"/>
    </w:rPr>
  </w:style>
  <w:style w:type="character" w:customStyle="1" w:styleId="BalloonTextChar">
    <w:name w:val="Balloon Text Char"/>
    <w:basedOn w:val="DefaultParagraphFont"/>
    <w:link w:val="BalloonText"/>
    <w:rPr>
      <w:rFonts w:ascii="Segoe UI" w:eastAsia="Segoe UI" w:hAnsi="Segoe UI"/>
      <w:w w:val="100"/>
      <w:sz w:val="18"/>
      <w:szCs w:val="18"/>
      <w:shd w:val="clear" w:color="auto" w:fill="auto"/>
    </w:rPr>
  </w:style>
  <w:style w:type="paragraph" w:styleId="CommentSubject">
    <w:name w:val="annotation subject"/>
    <w:basedOn w:val="CommentText"/>
    <w:next w:val="CommentText"/>
    <w:link w:val="CommentSubjectChar"/>
    <w:rPr>
      <w:rFonts w:ascii="Times New Roman" w:eastAsia="Times New Roman" w:hAnsi="Times New Roman"/>
      <w:b/>
    </w:rPr>
  </w:style>
  <w:style w:type="character" w:customStyle="1" w:styleId="CommentSubjectChar">
    <w:name w:val="Comment Subject Char"/>
    <w:basedOn w:val="CommentTextChar"/>
    <w:link w:val="CommentSubject"/>
    <w:rPr>
      <w:rFonts w:ascii="Calibri" w:eastAsia="Calibri" w:hAnsi="Calibri"/>
      <w:b/>
      <w:w w:val="100"/>
      <w:sz w:val="20"/>
      <w:szCs w:val="20"/>
      <w:shd w:val="clear" w:color="auto" w:fill="auto"/>
    </w:rPr>
  </w:style>
  <w:style w:type="paragraph" w:styleId="ListParagraph">
    <w:name w:val="List Paragraph"/>
    <w:basedOn w:val="Normal"/>
    <w:uiPriority w:val="34"/>
    <w:qFormat/>
    <w:rsid w:val="00C12507"/>
    <w:pPr>
      <w:ind w:left="720"/>
      <w:contextualSpacing/>
    </w:pPr>
  </w:style>
  <w:style w:type="paragraph" w:styleId="Revision">
    <w:name w:val="Revision"/>
    <w:hidden/>
    <w:uiPriority w:val="99"/>
    <w:semiHidden/>
    <w:rsid w:val="00E279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