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8A0DA6" w14:paraId="00BA6A0B" w14:textId="7777777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Statement of</w:t>
      </w:r>
    </w:p>
    <w:p w:rsidR="008A0DA6" w14:paraId="0A82CE96" w14:textId="77777777">
      <w:pPr>
        <w:jc w:val="center"/>
        <w:rPr>
          <w:b/>
          <w:caps/>
        </w:rPr>
      </w:pPr>
      <w:r>
        <w:rPr>
          <w:b/>
          <w:caps/>
        </w:rPr>
        <w:t>COMMISSIONER GEOFFREY STARKS</w:t>
      </w:r>
    </w:p>
    <w:p w:rsidR="008A0DA6" w14:paraId="37931A30" w14:textId="77777777">
      <w:pPr>
        <w:jc w:val="center"/>
        <w:rPr>
          <w:b/>
          <w:caps/>
        </w:rPr>
      </w:pPr>
    </w:p>
    <w:p w:rsidR="00726D16" w:rsidRPr="00726D16" w:rsidP="00726D16" w14:paraId="56784D69" w14:textId="59C5BFAA">
      <w:pPr>
        <w:ind w:left="720" w:hanging="720"/>
        <w:rPr>
          <w:b/>
        </w:rPr>
      </w:pPr>
      <w:r>
        <w:t xml:space="preserve">Re: </w:t>
      </w:r>
      <w:r>
        <w:tab/>
      </w:r>
      <w:r w:rsidRPr="00726D16">
        <w:rPr>
          <w:i/>
        </w:rPr>
        <w:t xml:space="preserve">William L. </w:t>
      </w:r>
      <w:r w:rsidRPr="00726D16">
        <w:rPr>
          <w:i/>
        </w:rPr>
        <w:t>Zawila</w:t>
      </w:r>
      <w:r w:rsidRPr="00726D16">
        <w:rPr>
          <w:i/>
        </w:rPr>
        <w:t>, Permittee of FM Station KNGS, Coalinga, California</w:t>
      </w:r>
      <w:r w:rsidRPr="00726D16">
        <w:rPr>
          <w:i/>
        </w:rPr>
        <w:t>,</w:t>
      </w:r>
      <w:r w:rsidRPr="00726D16">
        <w:rPr>
          <w:i/>
        </w:rPr>
        <w:t xml:space="preserve"> et al.</w:t>
      </w:r>
      <w:r w:rsidRPr="00726D16">
        <w:t>,</w:t>
      </w:r>
      <w:r>
        <w:t xml:space="preserve"> </w:t>
      </w:r>
      <w:r w:rsidRPr="00726D16">
        <w:t>EB Docket No. 03-152</w:t>
      </w:r>
      <w:r>
        <w:t>.</w:t>
      </w:r>
    </w:p>
    <w:p w:rsidR="008A0DA6" w:rsidRPr="006B737E" w:rsidP="00726D16" w14:paraId="21606647" w14:textId="0B18EE3D">
      <w:pPr>
        <w:ind w:left="720" w:hanging="720"/>
        <w:rPr>
          <w:i/>
        </w:rPr>
      </w:pPr>
    </w:p>
    <w:p w:rsidR="004C7982" w:rsidRPr="004C7982" w:rsidP="004C7982" w14:paraId="6210BF3A" w14:textId="52BD5204">
      <w:pPr>
        <w:widowControl w:val="0"/>
        <w:spacing w:after="120"/>
        <w:ind w:firstLine="360"/>
      </w:pPr>
      <w:r w:rsidRPr="004C7982">
        <w:t xml:space="preserve">As </w:t>
      </w:r>
      <w:r w:rsidR="00726D16">
        <w:t xml:space="preserve">we affirm today, engaging in misrepresentation or lack of candor before the Commission is among the most serious offenses a </w:t>
      </w:r>
      <w:r w:rsidR="00726D16">
        <w:t>regulate</w:t>
      </w:r>
      <w:r w:rsidR="00A93193">
        <w:t>e</w:t>
      </w:r>
      <w:r w:rsidR="00726D16">
        <w:t xml:space="preserve"> can commit.</w:t>
      </w:r>
      <w:r w:rsidR="00A93193">
        <w:t xml:space="preserve">  It jeopardizes the Commission’s ability to perform its core functions and causes the expenditure of additional, otherwise unnecessary, resources to correct.</w:t>
      </w:r>
      <w:r w:rsidR="00726D16">
        <w:t xml:space="preserve">  I support today’s action because it upholds longstanding Commission precedent that, particularly when it comes to broadcasters, </w:t>
      </w:r>
      <w:r w:rsidR="00896215">
        <w:t xml:space="preserve">a lack of candor </w:t>
      </w:r>
      <w:r w:rsidR="00726D16">
        <w:t xml:space="preserve">to the Commission is a strong indication that a party may not possess the requisite character to hold a Commission license.  Moreover, in the case of an unscrupulous </w:t>
      </w:r>
      <w:r w:rsidR="00A93193">
        <w:t>licensee</w:t>
      </w:r>
      <w:r w:rsidR="00726D16">
        <w:t xml:space="preserve"> with multiple </w:t>
      </w:r>
      <w:r w:rsidR="00A93193">
        <w:t>stations</w:t>
      </w:r>
      <w:r w:rsidR="00726D16">
        <w:t xml:space="preserve">, misrepresentation and lack of candor constitutes “serious deliberate misconduct” that </w:t>
      </w:r>
      <w:r w:rsidR="00A93193">
        <w:t xml:space="preserve">could put all of a broadcaster’s licenses at risk.  On both accounts, I strongly agree and I </w:t>
      </w:r>
      <w:r w:rsidR="002F2DA0">
        <w:t xml:space="preserve">expect </w:t>
      </w:r>
      <w:r w:rsidR="00A93193">
        <w:t xml:space="preserve">that the Commission </w:t>
      </w:r>
      <w:r w:rsidR="002F2DA0">
        <w:t xml:space="preserve">will </w:t>
      </w:r>
      <w:r w:rsidR="00A93193">
        <w:t xml:space="preserve">remain vigilant in </w:t>
      </w:r>
      <w:r w:rsidR="00FF469F">
        <w:t xml:space="preserve">our </w:t>
      </w:r>
      <w:r w:rsidR="002F2DA0">
        <w:t xml:space="preserve">review </w:t>
      </w:r>
      <w:r w:rsidR="00A93193">
        <w:t xml:space="preserve">of </w:t>
      </w:r>
      <w:r w:rsidR="00FC67DA">
        <w:t xml:space="preserve">the </w:t>
      </w:r>
      <w:r w:rsidR="00A93193">
        <w:t>character qualifications</w:t>
      </w:r>
      <w:r w:rsidR="00FC67DA">
        <w:t xml:space="preserve"> of our licensees</w:t>
      </w:r>
      <w:r w:rsidR="00A93193">
        <w:t>.</w:t>
      </w:r>
    </w:p>
    <w:p w:rsidR="008A0DA6" w:rsidP="004C7982" w14:paraId="4B4DF57A" w14:textId="387BA345">
      <w:pPr>
        <w:widowControl w:val="0"/>
        <w:spacing w:after="120"/>
        <w:ind w:firstLine="360"/>
      </w:pPr>
      <w:r w:rsidRPr="004C7982">
        <w:t xml:space="preserve"> </w:t>
      </w:r>
    </w:p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titlePg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DA6" w14:paraId="707828DA" w14:textId="77777777">
    <w:pPr>
      <w:pStyle w:val="Footer"/>
      <w:framePr w:wrap="none" w:vAnchor="text" w:hAnchor="margin" w:x="4620" w:y="1"/>
    </w:pPr>
    <w:r>
      <w:fldChar w:fldCharType="begin"/>
    </w:r>
    <w:r>
      <w:instrText>PAGE  \* MERGEFORMAT</w:instrText>
    </w:r>
    <w:r>
      <w:fldChar w:fldCharType="separate"/>
    </w:r>
    <w:r>
      <w:t>1</w:t>
    </w:r>
    <w:r>
      <w:fldChar w:fldCharType="end"/>
    </w:r>
  </w:p>
  <w:p w:rsidR="008A0DA6" w14:paraId="4CC419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DA6" w14:paraId="45AEFD06" w14:textId="77777777">
    <w:pPr>
      <w:framePr w:wrap="none" w:vAnchor="text" w:hAnchor="margin" w:x="4620" w:y="1"/>
      <w:tabs>
        <w:tab w:val="center" w:pos="4320"/>
        <w:tab w:val="right" w:pos="8640"/>
      </w:tabs>
    </w:pPr>
    <w:r>
      <w:fldChar w:fldCharType="begin"/>
    </w:r>
    <w:r>
      <w:instrText>PAGE  \* MERGEFORMAT</w:instrText>
    </w:r>
    <w:r>
      <w:fldChar w:fldCharType="separate"/>
    </w:r>
    <w:r>
      <w:t>1</w:t>
    </w:r>
    <w:r>
      <w:fldChar w:fldCharType="end"/>
    </w:r>
  </w:p>
  <w:p w:rsidR="008A0DA6" w14:paraId="652DB7DA" w14:textId="77777777">
    <w:pPr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DA6" w14:paraId="5522E1F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DA6" w14:paraId="200D6A3D" w14:textId="77777777">
    <w:pPr>
      <w:pStyle w:val="Header"/>
      <w:rPr>
        <w:b w:val="0"/>
        <w:sz w:val="22"/>
        <w:szCs w:val="22"/>
      </w:rPr>
    </w:pPr>
    <w:r>
      <w:rPr>
        <w:sz w:val="22"/>
        <w:szCs w:val="22"/>
      </w:rPr>
      <w:tab/>
      <w:t>Federal Communications Commission</w:t>
    </w:r>
    <w:r>
      <w:rPr>
        <w:sz w:val="22"/>
        <w:szCs w:val="22"/>
      </w:rPr>
      <w:tab/>
    </w:r>
  </w:p>
  <w:p w:rsidR="008A0DA6" w14:paraId="3DB15B82" w14:textId="77777777">
    <w:pPr>
      <w:tabs>
        <w:tab w:val="left" w:pos="-720"/>
      </w:tabs>
      <w:spacing w:line="19" w:lineRule="exact"/>
      <w:rPr>
        <w:spacing w:val="-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-5</wp:posOffset>
              </wp:positionH>
              <wp:positionV relativeFrom="paragraph">
                <wp:posOffset>-5</wp:posOffset>
              </wp:positionV>
              <wp:extent cx="5943600" cy="12065"/>
              <wp:effectExtent l="0" t="0" r="0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944235" cy="12700"/>
                      </a:xfrm>
                      <a:prstGeom prst="rect">
                        <a:avLst/>
                      </a:prstGeom>
                      <a:solidFill>
                        <a:prstClr val="black"/>
                      </a:solidFill>
                      <a:ln>
                        <a:noFill/>
                      </a:ln>
                    </wps:spPr>
                    <wps:bodyPr rot="0" spcFirstLastPara="0" vertOverflow="overflow" horzOverflow="overflow" vert="horz" wrap="square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2049" style="width:468pt;height:0.95pt;margin-top:0;margin-left:0;mso-position-horizontal-relative:margin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8A0DA6" w14:paraId="581070A7" w14:textId="77777777">
    <w:pPr>
      <w:spacing w:after="389" w:line="100" w:lineRule="exac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0DA6" w14:paraId="7AA7D926" w14:textId="77777777">
    <w:pPr>
      <w:pStyle w:val="Header"/>
      <w:rPr>
        <w:b w:val="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7625</wp:posOffset>
              </wp:positionH>
              <wp:positionV relativeFrom="paragraph">
                <wp:posOffset>160659</wp:posOffset>
              </wp:positionV>
              <wp:extent cx="5943600" cy="12065"/>
              <wp:effectExtent l="0" t="0" r="0" b="0"/>
              <wp:wrapNone/>
              <wp:docPr id="5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944235" cy="12700"/>
                      </a:xfrm>
                      <a:prstGeom prst="rect">
                        <a:avLst/>
                      </a:prstGeom>
                      <a:solidFill>
                        <a:prstClr val="black"/>
                      </a:solidFill>
                      <a:ln>
                        <a:noFill/>
                      </a:ln>
                    </wps:spPr>
                    <wps:bodyPr rot="0" spcFirstLastPara="0" vertOverflow="overflow" horzOverflow="overflow" vert="horz" wrap="square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2050" style="width:468pt;height:0.95pt;margin-top:12.65pt;margin-left:0.6pt;mso-position-horizontal-relative:margin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>
      <w:rPr>
        <w:sz w:val="22"/>
        <w:szCs w:val="22"/>
      </w:rPr>
      <w:tab/>
      <w:t>Federal Communications Commission</w:t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4294E"/>
    <w:multiLevelType w:val="hybridMultilevel"/>
    <w:tmpl w:val="A296C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0000"/>
    <w:multiLevelType w:val="multilevel"/>
    <w:tmpl w:val="9172464A"/>
    <w:lvl w:ilvl="0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1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2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3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4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5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6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7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8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</w:abstractNum>
  <w:abstractNum w:abstractNumId="2">
    <w:nsid w:val="2F000001"/>
    <w:multiLevelType w:val="hybridMultilevel"/>
    <w:tmpl w:val="276B1D78"/>
    <w:lvl w:ilvl="0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·"/>
      <w:lvlJc w:val="left"/>
      <w:pPr>
        <w:tabs>
          <w:tab w:val="left" w:pos="360"/>
        </w:tabs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3">
    <w:nsid w:val="2F000002"/>
    <w:multiLevelType w:val="multilevel"/>
    <w:tmpl w:val="ECBEDB22"/>
    <w:lvl w:ilvl="0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1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2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3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4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5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6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7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8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</w:abstractNum>
  <w:abstractNum w:abstractNumId="4">
    <w:nsid w:val="2F000003"/>
    <w:multiLevelType w:val="multilevel"/>
    <w:tmpl w:val="3C5A8615"/>
    <w:lvl w:ilvl="0">
      <w:start w:val="1"/>
      <w:numFmt w:val="upperRoman"/>
      <w:pStyle w:val="Heading1"/>
      <w:lvlText w:val="%1."/>
      <w:lvlJc w:val="left"/>
      <w:pPr>
        <w:tabs>
          <w:tab w:val="left" w:pos="720"/>
        </w:tabs>
        <w:ind w:left="720" w:hanging="720"/>
        <w:jc w:val="both"/>
      </w:pPr>
    </w:lvl>
    <w:lvl w:ilvl="1">
      <w:start w:val="1"/>
      <w:numFmt w:val="upperLetter"/>
      <w:pStyle w:val="Heading2"/>
      <w:lvlText w:val="%2."/>
      <w:lvlJc w:val="left"/>
      <w:pPr>
        <w:tabs>
          <w:tab w:val="left" w:pos="1440"/>
        </w:tabs>
        <w:ind w:left="1440" w:hanging="720"/>
        <w:jc w:val="both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  <w:jc w:val="both"/>
      </w:pPr>
    </w:lvl>
    <w:lvl w:ilvl="3">
      <w:start w:val="1"/>
      <w:numFmt w:val="lowerLetter"/>
      <w:pStyle w:val="Heading4"/>
      <w:lvlText w:val="%4."/>
      <w:lvlJc w:val="left"/>
      <w:pPr>
        <w:tabs>
          <w:tab w:val="left" w:pos="2880"/>
        </w:tabs>
        <w:ind w:left="2880" w:hanging="720"/>
        <w:jc w:val="both"/>
      </w:pPr>
    </w:lvl>
    <w:lvl w:ilvl="4">
      <w:start w:val="1"/>
      <w:numFmt w:val="lowerRoman"/>
      <w:pStyle w:val="Heading5"/>
      <w:lvlText w:val="(%5)"/>
      <w:lvlJc w:val="left"/>
      <w:pPr>
        <w:tabs>
          <w:tab w:val="left" w:pos="3600"/>
        </w:tabs>
        <w:ind w:left="3600" w:hanging="720"/>
        <w:jc w:val="both"/>
      </w:pPr>
    </w:lvl>
    <w:lvl w:ilvl="5">
      <w:start w:val="1"/>
      <w:numFmt w:val="lowerLetter"/>
      <w:pStyle w:val="Heading6"/>
      <w:lvlText w:val="(%6)"/>
      <w:lvlJc w:val="left"/>
      <w:pPr>
        <w:tabs>
          <w:tab w:val="left" w:pos="4320"/>
        </w:tabs>
        <w:ind w:left="4320" w:hanging="720"/>
        <w:jc w:val="both"/>
      </w:pPr>
    </w:lvl>
    <w:lvl w:ilvl="6">
      <w:start w:val="1"/>
      <w:numFmt w:val="lowerRoman"/>
      <w:pStyle w:val="Heading7"/>
      <w:lvlText w:val="(%7)"/>
      <w:lvlJc w:val="left"/>
      <w:pPr>
        <w:tabs>
          <w:tab w:val="left" w:pos="5040"/>
        </w:tabs>
        <w:ind w:left="4320" w:firstLine="0"/>
        <w:jc w:val="both"/>
      </w:pPr>
    </w:lvl>
    <w:lvl w:ilvl="7">
      <w:start w:val="1"/>
      <w:numFmt w:val="lowerLetter"/>
      <w:pStyle w:val="Heading8"/>
      <w:lvlText w:val="(%8)"/>
      <w:lvlJc w:val="left"/>
      <w:pPr>
        <w:tabs>
          <w:tab w:val="left" w:pos="5400"/>
        </w:tabs>
        <w:ind w:left="5040" w:firstLine="0"/>
        <w:jc w:val="both"/>
      </w:pPr>
    </w:lvl>
    <w:lvl w:ilvl="8">
      <w:start w:val="1"/>
      <w:numFmt w:val="lowerRoman"/>
      <w:pStyle w:val="Heading9"/>
      <w:lvlText w:val="(%9)"/>
      <w:lvlJc w:val="left"/>
      <w:pPr>
        <w:tabs>
          <w:tab w:val="left" w:pos="6120"/>
        </w:tabs>
        <w:ind w:left="5760" w:firstLine="0"/>
        <w:jc w:val="both"/>
      </w:pPr>
    </w:lvl>
  </w:abstractNum>
  <w:abstractNum w:abstractNumId="5">
    <w:nsid w:val="2F000004"/>
    <w:multiLevelType w:val="multilevel"/>
    <w:tmpl w:val="4118DBC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  <w:jc w:val="both"/>
      </w:p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72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  <w:jc w:val="both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720"/>
        <w:jc w:val="both"/>
      </w:pPr>
    </w:lvl>
    <w:lvl w:ilvl="4">
      <w:start w:val="1"/>
      <w:numFmt w:val="lowerRoman"/>
      <w:lvlText w:val="(%5)"/>
      <w:lvlJc w:val="left"/>
      <w:pPr>
        <w:tabs>
          <w:tab w:val="left" w:pos="3600"/>
        </w:tabs>
        <w:ind w:left="3600" w:hanging="720"/>
        <w:jc w:val="both"/>
      </w:pPr>
    </w:lvl>
    <w:lvl w:ilvl="5">
      <w:start w:val="1"/>
      <w:numFmt w:val="lowerLetter"/>
      <w:lvlText w:val="(%6)"/>
      <w:lvlJc w:val="left"/>
      <w:pPr>
        <w:tabs>
          <w:tab w:val="left" w:pos="4320"/>
        </w:tabs>
        <w:ind w:left="4320" w:hanging="720"/>
        <w:jc w:val="both"/>
      </w:pPr>
    </w:lvl>
    <w:lvl w:ilvl="6">
      <w:start w:val="1"/>
      <w:numFmt w:val="lowerRoman"/>
      <w:lvlText w:val="(%7)"/>
      <w:lvlJc w:val="left"/>
      <w:pPr>
        <w:tabs>
          <w:tab w:val="left" w:pos="5040"/>
        </w:tabs>
        <w:ind w:left="4320" w:firstLine="0"/>
        <w:jc w:val="both"/>
      </w:pPr>
    </w:lvl>
    <w:lvl w:ilvl="7">
      <w:start w:val="1"/>
      <w:numFmt w:val="lowerLetter"/>
      <w:lvlText w:val="(%8)"/>
      <w:lvlJc w:val="left"/>
      <w:pPr>
        <w:tabs>
          <w:tab w:val="left" w:pos="5400"/>
        </w:tabs>
        <w:ind w:left="5040" w:firstLine="0"/>
        <w:jc w:val="both"/>
      </w:pPr>
    </w:lvl>
    <w:lvl w:ilvl="8">
      <w:start w:val="1"/>
      <w:numFmt w:val="lowerRoman"/>
      <w:lvlText w:val="(%9)"/>
      <w:lvlJc w:val="left"/>
      <w:pPr>
        <w:tabs>
          <w:tab w:val="left" w:pos="6120"/>
        </w:tabs>
        <w:ind w:left="5760" w:firstLine="0"/>
        <w:jc w:val="both"/>
      </w:pPr>
    </w:lvl>
  </w:abstractNum>
  <w:abstractNum w:abstractNumId="6">
    <w:nsid w:val="2F000005"/>
    <w:multiLevelType w:val="multilevel"/>
    <w:tmpl w:val="32241A94"/>
    <w:lvl w:ilvl="0">
      <w:start w:val="1"/>
      <w:numFmt w:val="decimal"/>
      <w:pStyle w:val="ParaNum"/>
      <w:lvlText w:val="%1."/>
      <w:lvlJc w:val="left"/>
      <w:pPr>
        <w:tabs>
          <w:tab w:val="left" w:pos="1080"/>
        </w:tabs>
        <w:ind w:firstLine="720"/>
        <w:jc w:val="both"/>
      </w:pPr>
    </w:lvl>
    <w:lvl w:ilvl="1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2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3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4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5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6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7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  <w:lvl w:ilvl="8">
      <w:start w:val="1"/>
      <w:numFmt w:val="decimal"/>
      <w:lvlText w:val="%1."/>
      <w:lvlJc w:val="left"/>
      <w:pPr>
        <w:tabs>
          <w:tab w:val="left" w:pos="1080"/>
        </w:tabs>
        <w:ind w:firstLine="720"/>
        <w:jc w:val="both"/>
      </w:pPr>
    </w:lvl>
  </w:abstractNum>
  <w:abstractNum w:abstractNumId="7">
    <w:nsid w:val="3732336B"/>
    <w:multiLevelType w:val="hybridMultilevel"/>
    <w:tmpl w:val="9B58F2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684591"/>
    <w:multiLevelType w:val="hybridMultilevel"/>
    <w:tmpl w:val="DE5C2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Geoffrey Starks">
    <w15:presenceInfo w15:providerId="AD" w15:userId="S::Geoffrey.Starks@fcc.gov::da3315b9-76ff-4d1c-a1dd-3ec1815fa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A6"/>
    <w:rsid w:val="000055E6"/>
    <w:rsid w:val="0001337D"/>
    <w:rsid w:val="0004233F"/>
    <w:rsid w:val="0005446C"/>
    <w:rsid w:val="000705DD"/>
    <w:rsid w:val="0007243B"/>
    <w:rsid w:val="000A227A"/>
    <w:rsid w:val="000A6276"/>
    <w:rsid w:val="000B0D97"/>
    <w:rsid w:val="000D7156"/>
    <w:rsid w:val="000F281F"/>
    <w:rsid w:val="0010032B"/>
    <w:rsid w:val="00104D0F"/>
    <w:rsid w:val="001119FD"/>
    <w:rsid w:val="001136AA"/>
    <w:rsid w:val="001311CB"/>
    <w:rsid w:val="00137D32"/>
    <w:rsid w:val="001731B4"/>
    <w:rsid w:val="0019062B"/>
    <w:rsid w:val="001A468F"/>
    <w:rsid w:val="001B5011"/>
    <w:rsid w:val="001B5E37"/>
    <w:rsid w:val="001E1A8F"/>
    <w:rsid w:val="001E3D24"/>
    <w:rsid w:val="001E3F7B"/>
    <w:rsid w:val="001E6107"/>
    <w:rsid w:val="001F7B34"/>
    <w:rsid w:val="00201FBC"/>
    <w:rsid w:val="00230697"/>
    <w:rsid w:val="00262601"/>
    <w:rsid w:val="00284F63"/>
    <w:rsid w:val="002A7396"/>
    <w:rsid w:val="002B3F79"/>
    <w:rsid w:val="002C257F"/>
    <w:rsid w:val="002D5EEF"/>
    <w:rsid w:val="002F2DA0"/>
    <w:rsid w:val="002F5B06"/>
    <w:rsid w:val="0034217F"/>
    <w:rsid w:val="00343766"/>
    <w:rsid w:val="00352DA1"/>
    <w:rsid w:val="00354C92"/>
    <w:rsid w:val="00356948"/>
    <w:rsid w:val="0037061E"/>
    <w:rsid w:val="00372C30"/>
    <w:rsid w:val="00394A90"/>
    <w:rsid w:val="003956EE"/>
    <w:rsid w:val="003A3F46"/>
    <w:rsid w:val="003C0958"/>
    <w:rsid w:val="003E36BE"/>
    <w:rsid w:val="003E5102"/>
    <w:rsid w:val="003F0E55"/>
    <w:rsid w:val="003F16DA"/>
    <w:rsid w:val="003F186E"/>
    <w:rsid w:val="0041215A"/>
    <w:rsid w:val="004243F0"/>
    <w:rsid w:val="00424C5D"/>
    <w:rsid w:val="00430523"/>
    <w:rsid w:val="00431DCC"/>
    <w:rsid w:val="00441508"/>
    <w:rsid w:val="0046693E"/>
    <w:rsid w:val="00467AD6"/>
    <w:rsid w:val="00476399"/>
    <w:rsid w:val="0048141B"/>
    <w:rsid w:val="004B0AD0"/>
    <w:rsid w:val="004B4D67"/>
    <w:rsid w:val="004B5CB1"/>
    <w:rsid w:val="004C7982"/>
    <w:rsid w:val="00522A88"/>
    <w:rsid w:val="00526094"/>
    <w:rsid w:val="0054275D"/>
    <w:rsid w:val="00551140"/>
    <w:rsid w:val="00597692"/>
    <w:rsid w:val="005A0C5E"/>
    <w:rsid w:val="005F6870"/>
    <w:rsid w:val="005F6A8D"/>
    <w:rsid w:val="00606B70"/>
    <w:rsid w:val="00620A1F"/>
    <w:rsid w:val="0062456C"/>
    <w:rsid w:val="0062702E"/>
    <w:rsid w:val="00631DFA"/>
    <w:rsid w:val="00653495"/>
    <w:rsid w:val="00671B72"/>
    <w:rsid w:val="006906A8"/>
    <w:rsid w:val="006A6096"/>
    <w:rsid w:val="006B737E"/>
    <w:rsid w:val="006C0393"/>
    <w:rsid w:val="006D6608"/>
    <w:rsid w:val="006E6038"/>
    <w:rsid w:val="006F41F1"/>
    <w:rsid w:val="006F540B"/>
    <w:rsid w:val="007153E0"/>
    <w:rsid w:val="00726D16"/>
    <w:rsid w:val="00767323"/>
    <w:rsid w:val="007967DC"/>
    <w:rsid w:val="007D5B22"/>
    <w:rsid w:val="007D72DE"/>
    <w:rsid w:val="007E5E25"/>
    <w:rsid w:val="007F60D7"/>
    <w:rsid w:val="00805B1B"/>
    <w:rsid w:val="00806008"/>
    <w:rsid w:val="00806DB5"/>
    <w:rsid w:val="008224A5"/>
    <w:rsid w:val="00826F41"/>
    <w:rsid w:val="00834B4E"/>
    <w:rsid w:val="00842EF4"/>
    <w:rsid w:val="0084544C"/>
    <w:rsid w:val="00857406"/>
    <w:rsid w:val="00873098"/>
    <w:rsid w:val="00883E8E"/>
    <w:rsid w:val="00896215"/>
    <w:rsid w:val="008A0DA6"/>
    <w:rsid w:val="008A31AF"/>
    <w:rsid w:val="008A78DC"/>
    <w:rsid w:val="008B3D32"/>
    <w:rsid w:val="008B7E72"/>
    <w:rsid w:val="008D7819"/>
    <w:rsid w:val="008D7B4F"/>
    <w:rsid w:val="008E1A41"/>
    <w:rsid w:val="00907C46"/>
    <w:rsid w:val="009142DB"/>
    <w:rsid w:val="00915C6A"/>
    <w:rsid w:val="009231EA"/>
    <w:rsid w:val="00943262"/>
    <w:rsid w:val="009532AB"/>
    <w:rsid w:val="0099496E"/>
    <w:rsid w:val="009D66E0"/>
    <w:rsid w:val="009E15AC"/>
    <w:rsid w:val="009F0E63"/>
    <w:rsid w:val="00A17697"/>
    <w:rsid w:val="00A51FBF"/>
    <w:rsid w:val="00A56578"/>
    <w:rsid w:val="00A60DF4"/>
    <w:rsid w:val="00A66EB9"/>
    <w:rsid w:val="00A817CA"/>
    <w:rsid w:val="00A93193"/>
    <w:rsid w:val="00AE5D16"/>
    <w:rsid w:val="00B06C0D"/>
    <w:rsid w:val="00B10D7C"/>
    <w:rsid w:val="00B5790E"/>
    <w:rsid w:val="00B82FE4"/>
    <w:rsid w:val="00B90122"/>
    <w:rsid w:val="00B9242F"/>
    <w:rsid w:val="00BA1282"/>
    <w:rsid w:val="00BA7F55"/>
    <w:rsid w:val="00BB50F5"/>
    <w:rsid w:val="00BB6477"/>
    <w:rsid w:val="00BB691D"/>
    <w:rsid w:val="00BC49D8"/>
    <w:rsid w:val="00BC5C7B"/>
    <w:rsid w:val="00BD041F"/>
    <w:rsid w:val="00BD61D6"/>
    <w:rsid w:val="00BE3414"/>
    <w:rsid w:val="00BE553B"/>
    <w:rsid w:val="00BE7C30"/>
    <w:rsid w:val="00C028A5"/>
    <w:rsid w:val="00C06B59"/>
    <w:rsid w:val="00C10AD7"/>
    <w:rsid w:val="00C12507"/>
    <w:rsid w:val="00C1572F"/>
    <w:rsid w:val="00C23864"/>
    <w:rsid w:val="00C2456B"/>
    <w:rsid w:val="00C5172E"/>
    <w:rsid w:val="00C7248B"/>
    <w:rsid w:val="00C80C6E"/>
    <w:rsid w:val="00C81567"/>
    <w:rsid w:val="00CA27B4"/>
    <w:rsid w:val="00CB2EE6"/>
    <w:rsid w:val="00CC091B"/>
    <w:rsid w:val="00CC5FF5"/>
    <w:rsid w:val="00CD1B17"/>
    <w:rsid w:val="00CD46CE"/>
    <w:rsid w:val="00CF47C4"/>
    <w:rsid w:val="00D37D40"/>
    <w:rsid w:val="00D45424"/>
    <w:rsid w:val="00D5792B"/>
    <w:rsid w:val="00DA4C27"/>
    <w:rsid w:val="00DD02B8"/>
    <w:rsid w:val="00E017CF"/>
    <w:rsid w:val="00E10F22"/>
    <w:rsid w:val="00E13E26"/>
    <w:rsid w:val="00E2799C"/>
    <w:rsid w:val="00E4185E"/>
    <w:rsid w:val="00E4205D"/>
    <w:rsid w:val="00E6068B"/>
    <w:rsid w:val="00E7052B"/>
    <w:rsid w:val="00E70FAD"/>
    <w:rsid w:val="00E85354"/>
    <w:rsid w:val="00E874FA"/>
    <w:rsid w:val="00E902D4"/>
    <w:rsid w:val="00E970B9"/>
    <w:rsid w:val="00EB0501"/>
    <w:rsid w:val="00EB4AF3"/>
    <w:rsid w:val="00EC52BD"/>
    <w:rsid w:val="00ED0C71"/>
    <w:rsid w:val="00EE127A"/>
    <w:rsid w:val="00EE5457"/>
    <w:rsid w:val="00EF0540"/>
    <w:rsid w:val="00EF2C8A"/>
    <w:rsid w:val="00F01C35"/>
    <w:rsid w:val="00F05E66"/>
    <w:rsid w:val="00F16578"/>
    <w:rsid w:val="00F333C2"/>
    <w:rsid w:val="00F40B5B"/>
    <w:rsid w:val="00F41FD5"/>
    <w:rsid w:val="00F5039D"/>
    <w:rsid w:val="00F50D20"/>
    <w:rsid w:val="00FB3816"/>
    <w:rsid w:val="00FC67DA"/>
    <w:rsid w:val="00FF469F"/>
    <w:rsid w:val="00FF611A"/>
  </w:rsids>
  <m:mathPr>
    <m:mathFont m:val="Cambria Math"/>
    <m:smallFrac/>
    <m:lMargin m:val="1440"/>
    <m:rMargin m:val="1440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/>
    <w:lsdException w:name="toc 2" w:uiPriority="29"/>
    <w:lsdException w:name="toc 3" w:uiPriority="30"/>
    <w:lsdException w:name="toc 4" w:uiPriority="31"/>
    <w:lsdException w:name="toc 5" w:uiPriority="32"/>
    <w:lsdException w:name="toc 6" w:uiPriority="33"/>
    <w:lsdException w:name="toc 7" w:uiPriority="34"/>
    <w:lsdException w:name="toc 8" w:uiPriority="35"/>
    <w:lsdException w:name="toc 9" w:uiPriority="36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uiPriority w:val="9"/>
    <w:qFormat/>
    <w:pPr>
      <w:keepNext/>
      <w:numPr>
        <w:numId w:val="3"/>
      </w:numPr>
      <w:outlineLvl w:val="0"/>
    </w:pPr>
    <w:rPr>
      <w:rFonts w:ascii="Times New Roman Bold" w:eastAsia="Times New Roman Bold" w:hAnsi="Times New Roman Bold"/>
      <w:b/>
      <w:caps/>
      <w:sz w:val="20"/>
      <w:szCs w:val="20"/>
    </w:rPr>
  </w:style>
  <w:style w:type="paragraph" w:styleId="Heading2">
    <w:name w:val="heading 2"/>
    <w:basedOn w:val="Normal"/>
    <w:uiPriority w:val="9"/>
    <w:semiHidden/>
    <w:unhideWhenUsed/>
    <w:qFormat/>
    <w:pPr>
      <w:keepNext/>
      <w:numPr>
        <w:ilvl w:val="1"/>
        <w:numId w:val="3"/>
      </w:numPr>
      <w:outlineLvl w:val="1"/>
    </w:pPr>
    <w:rPr>
      <w:b/>
      <w:sz w:val="20"/>
      <w:szCs w:val="20"/>
    </w:rPr>
  </w:style>
  <w:style w:type="paragraph" w:styleId="Heading3">
    <w:name w:val="heading 3"/>
    <w:basedOn w:val="Normal"/>
    <w:uiPriority w:val="9"/>
    <w:semiHidden/>
    <w:unhideWhenUsed/>
    <w:qFormat/>
    <w:pPr>
      <w:keepNext/>
      <w:numPr>
        <w:ilvl w:val="2"/>
        <w:numId w:val="3"/>
      </w:numPr>
      <w:outlineLvl w:val="2"/>
    </w:pPr>
    <w:rPr>
      <w:b/>
      <w:sz w:val="20"/>
      <w:szCs w:val="20"/>
    </w:rPr>
  </w:style>
  <w:style w:type="paragraph" w:styleId="Heading4">
    <w:name w:val="heading 4"/>
    <w:basedOn w:val="Normal"/>
    <w:uiPriority w:val="9"/>
    <w:semiHidden/>
    <w:unhideWhenUsed/>
    <w:qFormat/>
    <w:pPr>
      <w:keepNext/>
      <w:numPr>
        <w:ilvl w:val="3"/>
        <w:numId w:val="3"/>
      </w:numPr>
      <w:outlineLvl w:val="3"/>
    </w:pPr>
    <w:rPr>
      <w:b/>
      <w:sz w:val="20"/>
      <w:szCs w:val="20"/>
    </w:rPr>
  </w:style>
  <w:style w:type="paragraph" w:styleId="Heading5">
    <w:name w:val="heading 5"/>
    <w:basedOn w:val="Normal"/>
    <w:uiPriority w:val="9"/>
    <w:semiHidden/>
    <w:unhideWhenUsed/>
    <w:qFormat/>
    <w:pPr>
      <w:keepNext/>
      <w:numPr>
        <w:ilvl w:val="4"/>
        <w:numId w:val="3"/>
      </w:numPr>
      <w:outlineLvl w:val="4"/>
    </w:pPr>
    <w:rPr>
      <w:b/>
      <w:sz w:val="20"/>
      <w:szCs w:val="20"/>
    </w:rPr>
  </w:style>
  <w:style w:type="paragraph" w:styleId="Heading6">
    <w:name w:val="heading 6"/>
    <w:basedOn w:val="Normal"/>
    <w:uiPriority w:val="9"/>
    <w:semiHidden/>
    <w:unhideWhenUsed/>
    <w:qFormat/>
    <w:pPr>
      <w:numPr>
        <w:ilvl w:val="5"/>
        <w:numId w:val="3"/>
      </w:numPr>
      <w:outlineLvl w:val="5"/>
    </w:pPr>
    <w:rPr>
      <w:b/>
      <w:sz w:val="20"/>
      <w:szCs w:val="20"/>
    </w:rPr>
  </w:style>
  <w:style w:type="paragraph" w:styleId="Heading7">
    <w:name w:val="heading 7"/>
    <w:basedOn w:val="Normal"/>
    <w:uiPriority w:val="13"/>
    <w:qFormat/>
    <w:pPr>
      <w:numPr>
        <w:ilvl w:val="6"/>
        <w:numId w:val="3"/>
      </w:numPr>
      <w:ind w:left="5040" w:hanging="720"/>
      <w:outlineLvl w:val="6"/>
    </w:pPr>
    <w:rPr>
      <w:b/>
      <w:sz w:val="20"/>
      <w:szCs w:val="20"/>
    </w:rPr>
  </w:style>
  <w:style w:type="paragraph" w:styleId="Heading8">
    <w:name w:val="heading 8"/>
    <w:basedOn w:val="Normal"/>
    <w:uiPriority w:val="14"/>
    <w:qFormat/>
    <w:pPr>
      <w:numPr>
        <w:ilvl w:val="7"/>
        <w:numId w:val="3"/>
      </w:numPr>
      <w:tabs>
        <w:tab w:val="left" w:pos="5760"/>
      </w:tabs>
      <w:ind w:left="5760" w:hanging="720"/>
      <w:outlineLvl w:val="7"/>
    </w:pPr>
    <w:rPr>
      <w:b/>
      <w:sz w:val="20"/>
      <w:szCs w:val="20"/>
    </w:rPr>
  </w:style>
  <w:style w:type="paragraph" w:styleId="Heading9">
    <w:name w:val="heading 9"/>
    <w:basedOn w:val="Normal"/>
    <w:uiPriority w:val="15"/>
    <w:qFormat/>
    <w:pPr>
      <w:numPr>
        <w:ilvl w:val="8"/>
        <w:numId w:val="3"/>
      </w:numPr>
      <w:tabs>
        <w:tab w:val="left" w:pos="6480"/>
      </w:tabs>
      <w:ind w:left="6480" w:hanging="720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28"/>
    <w:semiHidden/>
    <w:pPr>
      <w:tabs>
        <w:tab w:val="left" w:pos="360"/>
        <w:tab w:val="right" w:leader="dot" w:pos="9360"/>
      </w:tabs>
      <w:ind w:left="360" w:right="720" w:hanging="360"/>
    </w:pPr>
    <w:rPr>
      <w:caps/>
      <w:sz w:val="20"/>
      <w:szCs w:val="20"/>
    </w:rPr>
  </w:style>
  <w:style w:type="paragraph" w:styleId="TOC2">
    <w:name w:val="toc 2"/>
    <w:basedOn w:val="Normal"/>
    <w:next w:val="Normal"/>
    <w:uiPriority w:val="29"/>
    <w:semiHidden/>
    <w:pPr>
      <w:tabs>
        <w:tab w:val="left" w:pos="720"/>
        <w:tab w:val="right" w:leader="dot" w:pos="9360"/>
      </w:tabs>
      <w:ind w:left="720" w:right="720" w:hanging="360"/>
    </w:pPr>
    <w:rPr>
      <w:sz w:val="20"/>
      <w:szCs w:val="20"/>
    </w:rPr>
  </w:style>
  <w:style w:type="paragraph" w:styleId="TOC3">
    <w:name w:val="toc 3"/>
    <w:basedOn w:val="Normal"/>
    <w:next w:val="Normal"/>
    <w:uiPriority w:val="30"/>
    <w:semiHidden/>
    <w:pPr>
      <w:tabs>
        <w:tab w:val="left" w:pos="1080"/>
        <w:tab w:val="right" w:leader="dot" w:pos="9360"/>
      </w:tabs>
      <w:ind w:left="1080" w:right="720" w:hanging="360"/>
    </w:pPr>
    <w:rPr>
      <w:sz w:val="20"/>
      <w:szCs w:val="20"/>
    </w:rPr>
  </w:style>
  <w:style w:type="paragraph" w:styleId="TOC4">
    <w:name w:val="toc 4"/>
    <w:basedOn w:val="Normal"/>
    <w:next w:val="Normal"/>
    <w:uiPriority w:val="31"/>
    <w:semiHidden/>
    <w:pPr>
      <w:tabs>
        <w:tab w:val="left" w:pos="1440"/>
        <w:tab w:val="right" w:leader="dot" w:pos="9360"/>
      </w:tabs>
      <w:ind w:left="1440" w:right="720" w:hanging="360"/>
    </w:pPr>
    <w:rPr>
      <w:sz w:val="20"/>
      <w:szCs w:val="20"/>
    </w:rPr>
  </w:style>
  <w:style w:type="paragraph" w:styleId="TOC5">
    <w:name w:val="toc 5"/>
    <w:basedOn w:val="Normal"/>
    <w:next w:val="Normal"/>
    <w:uiPriority w:val="32"/>
    <w:semiHidden/>
    <w:pPr>
      <w:tabs>
        <w:tab w:val="left" w:pos="1800"/>
        <w:tab w:val="right" w:leader="dot" w:pos="9360"/>
      </w:tabs>
      <w:ind w:left="1800" w:right="720" w:hanging="360"/>
    </w:pPr>
    <w:rPr>
      <w:sz w:val="20"/>
      <w:szCs w:val="20"/>
    </w:rPr>
  </w:style>
  <w:style w:type="paragraph" w:styleId="TOC6">
    <w:name w:val="toc 6"/>
    <w:basedOn w:val="Normal"/>
    <w:next w:val="Normal"/>
    <w:uiPriority w:val="33"/>
    <w:semiHidden/>
    <w:pPr>
      <w:tabs>
        <w:tab w:val="left" w:pos="2160"/>
        <w:tab w:val="right" w:leader="dot" w:pos="9360"/>
      </w:tabs>
      <w:ind w:left="2160" w:hanging="360"/>
    </w:pPr>
    <w:rPr>
      <w:sz w:val="20"/>
      <w:szCs w:val="20"/>
    </w:rPr>
  </w:style>
  <w:style w:type="paragraph" w:styleId="TOC7">
    <w:name w:val="toc 7"/>
    <w:basedOn w:val="Normal"/>
    <w:next w:val="Normal"/>
    <w:uiPriority w:val="34"/>
    <w:semiHidden/>
    <w:pPr>
      <w:tabs>
        <w:tab w:val="left" w:pos="2520"/>
        <w:tab w:val="right" w:leader="dot" w:pos="9360"/>
      </w:tabs>
      <w:ind w:left="2520" w:hanging="360"/>
    </w:pPr>
    <w:rPr>
      <w:sz w:val="20"/>
      <w:szCs w:val="20"/>
    </w:rPr>
  </w:style>
  <w:style w:type="paragraph" w:styleId="TOC8">
    <w:name w:val="toc 8"/>
    <w:basedOn w:val="Normal"/>
    <w:next w:val="Normal"/>
    <w:uiPriority w:val="35"/>
    <w:semiHidden/>
    <w:pPr>
      <w:tabs>
        <w:tab w:val="left" w:pos="2880"/>
        <w:tab w:val="right" w:leader="dot" w:pos="9360"/>
      </w:tabs>
      <w:ind w:left="2880" w:hanging="360"/>
    </w:pPr>
    <w:rPr>
      <w:sz w:val="20"/>
      <w:szCs w:val="20"/>
    </w:rPr>
  </w:style>
  <w:style w:type="paragraph" w:styleId="TOC9">
    <w:name w:val="toc 9"/>
    <w:basedOn w:val="Normal"/>
    <w:next w:val="Normal"/>
    <w:uiPriority w:val="36"/>
    <w:semiHidden/>
    <w:pPr>
      <w:tabs>
        <w:tab w:val="left" w:pos="3240"/>
        <w:tab w:val="right" w:leader="dot" w:pos="9360"/>
      </w:tabs>
      <w:ind w:left="3240" w:hanging="360"/>
    </w:pPr>
    <w:rPr>
      <w:sz w:val="20"/>
      <w:szCs w:val="20"/>
    </w:rPr>
  </w:style>
  <w:style w:type="paragraph" w:customStyle="1" w:styleId="ParaNum">
    <w:name w:val="ParaNum"/>
    <w:basedOn w:val="Normal"/>
    <w:pPr>
      <w:numPr>
        <w:numId w:val="2"/>
      </w:numPr>
      <w:tabs>
        <w:tab w:val="left" w:pos="1440"/>
      </w:tabs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w w:val="100"/>
      <w:sz w:val="20"/>
      <w:szCs w:val="20"/>
      <w:shd w:val="clear" w:color="auto" w:fill="auto"/>
      <w:vertAlign w:val="superscript"/>
    </w:rPr>
  </w:style>
  <w:style w:type="paragraph" w:styleId="FootnoteText">
    <w:name w:val="footnote text"/>
  </w:style>
  <w:style w:type="character" w:styleId="FootnoteReference">
    <w:name w:val="footnote reference"/>
    <w:rPr>
      <w:rFonts w:ascii="Times New Roman" w:eastAsia="Times New Roman" w:hAnsi="Times New Roman"/>
      <w:w w:val="100"/>
      <w:sz w:val="20"/>
      <w:szCs w:val="20"/>
      <w:shd w:val="clear" w:color="auto" w:fill="auto"/>
      <w:vertAlign w:val="superscript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</w:p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b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</w:pPr>
    <w:rPr>
      <w:spacing w:val="-2"/>
      <w:sz w:val="20"/>
      <w:szCs w:val="20"/>
    </w:rPr>
  </w:style>
  <w:style w:type="paragraph" w:customStyle="1" w:styleId="Bullet">
    <w:name w:val="Bullet"/>
    <w:basedOn w:val="Normal"/>
    <w:pPr>
      <w:tabs>
        <w:tab w:val="left" w:pos="2160"/>
      </w:tabs>
      <w:ind w:left="2160" w:hanging="720"/>
    </w:pPr>
  </w:style>
  <w:style w:type="paragraph" w:customStyle="1" w:styleId="TableFormat">
    <w:name w:val="TableFormat"/>
    <w:basedOn w:val="Bullet"/>
    <w:pPr>
      <w:tabs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jc w:val="center"/>
    </w:pPr>
    <w:rPr>
      <w:rFonts w:ascii="Times New Roman Bold" w:eastAsia="Times New Roman Bold" w:hAnsi="Times New Roman Bold"/>
      <w:b/>
      <w:caps/>
      <w:spacing w:val="-2"/>
      <w:sz w:val="20"/>
      <w:szCs w:val="20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eastAsia="Times New Roman Bold" w:hAnsi="Times New Roman Bold"/>
      <w:b/>
      <w:caps/>
      <w:sz w:val="20"/>
      <w:szCs w:val="20"/>
    </w:rPr>
  </w:style>
  <w:style w:type="character" w:styleId="Hyperlink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character" w:styleId="CommentReference">
    <w:name w:val="annotation reference"/>
    <w:unhideWhenUsed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nhideWhenUsed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rPr>
      <w:rFonts w:ascii="Segoe UI" w:eastAsia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/>
      <w:w w:val="100"/>
      <w:sz w:val="18"/>
      <w:szCs w:val="18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rPr>
      <w:rFonts w:ascii="Times New Roman" w:eastAsia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Pr>
      <w:rFonts w:ascii="Calibri" w:eastAsia="Calibri" w:hAnsi="Calibri"/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C12507"/>
    <w:pPr>
      <w:ind w:left="720"/>
      <w:contextualSpacing/>
    </w:pPr>
  </w:style>
  <w:style w:type="paragraph" w:styleId="Revision">
    <w:name w:val="Revision"/>
    <w:hidden/>
    <w:uiPriority w:val="99"/>
    <w:semiHidden/>
    <w:rsid w:val="00E27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