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91F1A" w:rsidRPr="003B7C7F" w:rsidP="00E91F1A" w14:paraId="7EA63B5F" w14:textId="77777777">
      <w:pPr>
        <w:jc w:val="center"/>
        <w:rPr>
          <w:b/>
        </w:rPr>
      </w:pPr>
      <w:r w:rsidRPr="003B7C7F">
        <w:rPr>
          <w:b/>
        </w:rPr>
        <w:t>Before the</w:t>
      </w:r>
    </w:p>
    <w:p w:rsidR="00E91F1A" w:rsidRPr="003B7C7F" w:rsidP="00E91F1A" w14:paraId="4A40B78D" w14:textId="77777777">
      <w:pPr>
        <w:pStyle w:val="StyleBoldCentered"/>
        <w:rPr>
          <w:rFonts w:ascii="Times New Roman" w:hAnsi="Times New Roman"/>
        </w:rPr>
      </w:pPr>
      <w:r w:rsidRPr="003B7C7F">
        <w:rPr>
          <w:rFonts w:ascii="Times New Roman" w:hAnsi="Times New Roman"/>
        </w:rPr>
        <w:t>F</w:t>
      </w:r>
      <w:r w:rsidRPr="003B7C7F">
        <w:rPr>
          <w:rFonts w:ascii="Times New Roman" w:hAnsi="Times New Roman"/>
          <w:caps w:val="0"/>
        </w:rPr>
        <w:t>ederal Communications Commission</w:t>
      </w:r>
    </w:p>
    <w:p w:rsidR="00E91F1A" w:rsidRPr="003B7C7F" w:rsidP="00E91F1A" w14:paraId="2FCE88CC" w14:textId="77777777">
      <w:pPr>
        <w:pStyle w:val="StyleBoldCentered"/>
        <w:rPr>
          <w:rFonts w:ascii="Times New Roman" w:hAnsi="Times New Roman"/>
        </w:rPr>
      </w:pPr>
      <w:r w:rsidRPr="003B7C7F">
        <w:rPr>
          <w:rFonts w:ascii="Times New Roman" w:hAnsi="Times New Roman"/>
          <w:caps w:val="0"/>
        </w:rPr>
        <w:t>Washington, D.C. 20554</w:t>
      </w:r>
    </w:p>
    <w:p w:rsidR="00E91F1A" w:rsidRPr="003B7C7F" w:rsidP="00E91F1A" w14:paraId="2162B528" w14:textId="77777777"/>
    <w:p w:rsidR="00E91F1A" w:rsidRPr="003B7C7F" w:rsidP="00E91F1A" w14:paraId="62CC781A" w14:textId="77777777"/>
    <w:tbl>
      <w:tblPr>
        <w:tblW w:w="0" w:type="auto"/>
        <w:tblLayout w:type="fixed"/>
        <w:tblLook w:val="0000"/>
      </w:tblPr>
      <w:tblGrid>
        <w:gridCol w:w="4698"/>
        <w:gridCol w:w="630"/>
        <w:gridCol w:w="4248"/>
      </w:tblGrid>
      <w:tr w14:paraId="32A0B3DB" w14:textId="77777777" w:rsidTr="00DF764E">
        <w:tblPrEx>
          <w:tblW w:w="0" w:type="auto"/>
          <w:tblLayout w:type="fixed"/>
          <w:tblLook w:val="0000"/>
        </w:tblPrEx>
        <w:tc>
          <w:tcPr>
            <w:tcW w:w="4698" w:type="dxa"/>
          </w:tcPr>
          <w:p w:rsidR="00625E7A" w:rsidRPr="003B7C7F" w:rsidP="00DF764E" w14:paraId="59285C9A" w14:textId="77777777">
            <w:pPr>
              <w:tabs>
                <w:tab w:val="center" w:pos="4680"/>
              </w:tabs>
              <w:suppressAutoHyphens/>
              <w:rPr>
                <w:spacing w:val="-2"/>
              </w:rPr>
            </w:pPr>
            <w:r w:rsidRPr="003B7C7F">
              <w:rPr>
                <w:spacing w:val="-2"/>
              </w:rPr>
              <w:t>In the Matter of</w:t>
            </w:r>
          </w:p>
          <w:p w:rsidR="002458B1" w:rsidRPr="003B7C7F" w:rsidP="00DF764E" w14:paraId="7C757402" w14:textId="77777777">
            <w:pPr>
              <w:tabs>
                <w:tab w:val="center" w:pos="4680"/>
              </w:tabs>
              <w:suppressAutoHyphens/>
              <w:rPr>
                <w:spacing w:val="-2"/>
              </w:rPr>
            </w:pPr>
          </w:p>
          <w:p w:rsidR="00E91F1A" w:rsidRPr="003B7C7F" w:rsidP="00DF764E" w14:paraId="40F0586D" w14:textId="77777777">
            <w:pPr>
              <w:tabs>
                <w:tab w:val="center" w:pos="4680"/>
              </w:tabs>
              <w:suppressAutoHyphens/>
              <w:rPr>
                <w:spacing w:val="-2"/>
              </w:rPr>
            </w:pPr>
            <w:r w:rsidRPr="003B7C7F">
              <w:rPr>
                <w:spacing w:val="-2"/>
              </w:rPr>
              <w:t>July 1, 2018 Annual Access Charge Tariff Filings</w:t>
            </w:r>
          </w:p>
          <w:p w:rsidR="00BA45DE" w:rsidRPr="003B7C7F" w:rsidP="00DF764E" w14:paraId="5F7D366C" w14:textId="77777777">
            <w:pPr>
              <w:ind w:right="-18"/>
              <w:rPr>
                <w:szCs w:val="24"/>
              </w:rPr>
            </w:pPr>
          </w:p>
          <w:p w:rsidR="00BA45DE" w:rsidRPr="003B7C7F" w:rsidP="00DF764E" w14:paraId="619DAB7E" w14:textId="77777777">
            <w:pPr>
              <w:ind w:right="-18"/>
              <w:rPr>
                <w:szCs w:val="24"/>
              </w:rPr>
            </w:pPr>
            <w:r w:rsidRPr="003B7C7F">
              <w:rPr>
                <w:szCs w:val="24"/>
              </w:rPr>
              <w:t>South Dakota</w:t>
            </w:r>
            <w:r w:rsidRPr="003B7C7F" w:rsidR="00E91F1A">
              <w:rPr>
                <w:szCs w:val="24"/>
              </w:rPr>
              <w:t xml:space="preserve"> Network</w:t>
            </w:r>
            <w:r w:rsidRPr="003B7C7F">
              <w:rPr>
                <w:szCs w:val="24"/>
              </w:rPr>
              <w:t>, LLC</w:t>
            </w:r>
            <w:r w:rsidRPr="003B7C7F" w:rsidR="00E91F1A">
              <w:rPr>
                <w:szCs w:val="24"/>
              </w:rPr>
              <w:t xml:space="preserve"> </w:t>
            </w:r>
          </w:p>
          <w:p w:rsidR="00E91F1A" w:rsidRPr="003B7C7F" w:rsidP="00DF764E" w14:paraId="78C8EDF1" w14:textId="77777777">
            <w:pPr>
              <w:ind w:right="-18"/>
              <w:rPr>
                <w:szCs w:val="24"/>
              </w:rPr>
            </w:pPr>
            <w:r w:rsidRPr="003B7C7F">
              <w:rPr>
                <w:szCs w:val="24"/>
              </w:rPr>
              <w:t>Tariff</w:t>
            </w:r>
            <w:r w:rsidRPr="003B7C7F" w:rsidR="00BA45DE">
              <w:rPr>
                <w:szCs w:val="24"/>
              </w:rPr>
              <w:t xml:space="preserve"> </w:t>
            </w:r>
            <w:r w:rsidRPr="003B7C7F">
              <w:rPr>
                <w:szCs w:val="24"/>
              </w:rPr>
              <w:t>F.C.C. No. 1</w:t>
            </w:r>
          </w:p>
        </w:tc>
        <w:tc>
          <w:tcPr>
            <w:tcW w:w="630" w:type="dxa"/>
          </w:tcPr>
          <w:p w:rsidR="00E91F1A" w:rsidRPr="003B7C7F" w:rsidP="00DF764E" w14:paraId="4F5D2957" w14:textId="77777777">
            <w:pPr>
              <w:tabs>
                <w:tab w:val="center" w:pos="4680"/>
              </w:tabs>
              <w:suppressAutoHyphens/>
              <w:rPr>
                <w:b/>
                <w:spacing w:val="-2"/>
              </w:rPr>
            </w:pPr>
            <w:r w:rsidRPr="003B7C7F">
              <w:rPr>
                <w:b/>
                <w:spacing w:val="-2"/>
              </w:rPr>
              <w:t>)</w:t>
            </w:r>
          </w:p>
          <w:p w:rsidR="00E91F1A" w:rsidRPr="003B7C7F" w:rsidP="00DF764E" w14:paraId="4407D2EF" w14:textId="77777777">
            <w:pPr>
              <w:tabs>
                <w:tab w:val="center" w:pos="4680"/>
              </w:tabs>
              <w:suppressAutoHyphens/>
              <w:rPr>
                <w:b/>
                <w:spacing w:val="-2"/>
              </w:rPr>
            </w:pPr>
            <w:r w:rsidRPr="003B7C7F">
              <w:rPr>
                <w:b/>
                <w:spacing w:val="-2"/>
              </w:rPr>
              <w:t>)</w:t>
            </w:r>
          </w:p>
          <w:p w:rsidR="00E91F1A" w:rsidRPr="003B7C7F" w:rsidP="00DF764E" w14:paraId="7B33FCFA" w14:textId="77777777">
            <w:pPr>
              <w:tabs>
                <w:tab w:val="center" w:pos="4680"/>
              </w:tabs>
              <w:suppressAutoHyphens/>
              <w:rPr>
                <w:b/>
                <w:spacing w:val="-2"/>
              </w:rPr>
            </w:pPr>
            <w:r w:rsidRPr="003B7C7F">
              <w:rPr>
                <w:b/>
                <w:spacing w:val="-2"/>
              </w:rPr>
              <w:t>)</w:t>
            </w:r>
          </w:p>
          <w:p w:rsidR="00E91F1A" w:rsidRPr="003B7C7F" w:rsidP="00DF764E" w14:paraId="147D0114" w14:textId="77777777">
            <w:pPr>
              <w:tabs>
                <w:tab w:val="center" w:pos="4680"/>
              </w:tabs>
              <w:suppressAutoHyphens/>
              <w:rPr>
                <w:b/>
                <w:spacing w:val="-2"/>
              </w:rPr>
            </w:pPr>
            <w:r w:rsidRPr="003B7C7F">
              <w:rPr>
                <w:b/>
                <w:spacing w:val="-2"/>
              </w:rPr>
              <w:t>)</w:t>
            </w:r>
          </w:p>
          <w:p w:rsidR="00625E7A" w:rsidRPr="003B7C7F" w:rsidP="00DF764E" w14:paraId="1A9F124B" w14:textId="77777777">
            <w:pPr>
              <w:tabs>
                <w:tab w:val="center" w:pos="4680"/>
              </w:tabs>
              <w:suppressAutoHyphens/>
              <w:rPr>
                <w:b/>
                <w:spacing w:val="-2"/>
              </w:rPr>
            </w:pPr>
            <w:r w:rsidRPr="003B7C7F">
              <w:rPr>
                <w:b/>
                <w:spacing w:val="-2"/>
              </w:rPr>
              <w:t>)</w:t>
            </w:r>
          </w:p>
          <w:p w:rsidR="002458B1" w:rsidRPr="003B7C7F" w:rsidP="00DF764E" w14:paraId="638D794C" w14:textId="77777777">
            <w:pPr>
              <w:tabs>
                <w:tab w:val="center" w:pos="4680"/>
              </w:tabs>
              <w:suppressAutoHyphens/>
              <w:rPr>
                <w:b/>
                <w:spacing w:val="-2"/>
              </w:rPr>
            </w:pPr>
            <w:r w:rsidRPr="003B7C7F">
              <w:rPr>
                <w:b/>
                <w:spacing w:val="-2"/>
              </w:rPr>
              <w:t>)</w:t>
            </w:r>
          </w:p>
        </w:tc>
        <w:tc>
          <w:tcPr>
            <w:tcW w:w="4248" w:type="dxa"/>
          </w:tcPr>
          <w:p w:rsidR="00BA45DE" w:rsidRPr="003B7C7F" w:rsidP="00DF764E" w14:paraId="45733F56" w14:textId="77777777">
            <w:pPr>
              <w:rPr>
                <w:szCs w:val="24"/>
              </w:rPr>
            </w:pPr>
          </w:p>
          <w:p w:rsidR="0075573D" w:rsidRPr="003B7C7F" w:rsidP="00DF764E" w14:paraId="7151A134" w14:textId="77777777">
            <w:pPr>
              <w:rPr>
                <w:szCs w:val="24"/>
              </w:rPr>
            </w:pPr>
          </w:p>
          <w:p w:rsidR="00E91F1A" w:rsidRPr="003B7C7F" w:rsidP="00DF764E" w14:paraId="63A2355C" w14:textId="77777777">
            <w:pPr>
              <w:rPr>
                <w:szCs w:val="24"/>
              </w:rPr>
            </w:pPr>
            <w:r w:rsidRPr="003B7C7F">
              <w:rPr>
                <w:szCs w:val="24"/>
              </w:rPr>
              <w:t>WC Docket No. 18-10</w:t>
            </w:r>
            <w:r w:rsidRPr="003B7C7F">
              <w:rPr>
                <w:szCs w:val="24"/>
              </w:rPr>
              <w:t>0</w:t>
            </w:r>
          </w:p>
          <w:p w:rsidR="00E91F1A" w:rsidRPr="003B7C7F" w:rsidP="00DF764E" w14:paraId="60E5F2CC" w14:textId="77777777">
            <w:pPr>
              <w:rPr>
                <w:szCs w:val="24"/>
              </w:rPr>
            </w:pPr>
          </w:p>
          <w:p w:rsidR="00E91F1A" w:rsidRPr="003B7C7F" w:rsidP="00DF764E" w14:paraId="70A056EB" w14:textId="77777777">
            <w:pPr>
              <w:rPr>
                <w:szCs w:val="24"/>
              </w:rPr>
            </w:pPr>
            <w:r w:rsidRPr="003B7C7F">
              <w:rPr>
                <w:szCs w:val="24"/>
              </w:rPr>
              <w:t xml:space="preserve">Transmittal No. </w:t>
            </w:r>
            <w:r w:rsidRPr="003B7C7F" w:rsidR="00BA45DE">
              <w:rPr>
                <w:szCs w:val="24"/>
              </w:rPr>
              <w:t>13</w:t>
            </w:r>
          </w:p>
          <w:p w:rsidR="00E91F1A" w:rsidRPr="003B7C7F" w:rsidP="00DF764E" w14:paraId="52337B44" w14:textId="77777777">
            <w:pPr>
              <w:rPr>
                <w:szCs w:val="24"/>
              </w:rPr>
            </w:pPr>
          </w:p>
          <w:p w:rsidR="00E91F1A" w:rsidRPr="003B7C7F" w:rsidP="00DF764E" w14:paraId="1C0CD053" w14:textId="77777777">
            <w:pPr>
              <w:tabs>
                <w:tab w:val="center" w:pos="4680"/>
              </w:tabs>
              <w:suppressAutoHyphens/>
              <w:rPr>
                <w:spacing w:val="-2"/>
              </w:rPr>
            </w:pPr>
          </w:p>
        </w:tc>
      </w:tr>
    </w:tbl>
    <w:p w:rsidR="00E91F1A" w:rsidRPr="003B7C7F" w:rsidP="00E91F1A" w14:paraId="5A2098C5" w14:textId="77777777">
      <w:pPr>
        <w:spacing w:before="120" w:after="120"/>
        <w:jc w:val="center"/>
        <w:rPr>
          <w:b/>
        </w:rPr>
      </w:pPr>
      <w:r w:rsidRPr="003B7C7F">
        <w:rPr>
          <w:b/>
        </w:rPr>
        <w:t xml:space="preserve">MEMORANDUM OPINION AND </w:t>
      </w:r>
      <w:r w:rsidRPr="003B7C7F">
        <w:rPr>
          <w:b/>
        </w:rPr>
        <w:fldChar w:fldCharType="begin"/>
      </w:r>
      <w:r w:rsidRPr="003B7C7F">
        <w:rPr>
          <w:b/>
        </w:rPr>
        <w:instrText xml:space="preserve"> AUTOTEXTLIST  \* MERGEFORMAT </w:instrText>
      </w:r>
      <w:r w:rsidRPr="003B7C7F">
        <w:rPr>
          <w:b/>
        </w:rPr>
        <w:fldChar w:fldCharType="separate"/>
      </w:r>
      <w:r w:rsidRPr="003B7C7F">
        <w:rPr>
          <w:b/>
        </w:rPr>
        <w:t>ORDER</w:t>
      </w:r>
      <w:r w:rsidRPr="003B7C7F">
        <w:rPr>
          <w:b/>
        </w:rPr>
        <w:fldChar w:fldCharType="end"/>
      </w:r>
    </w:p>
    <w:p w:rsidR="00E91F1A" w:rsidRPr="003B7C7F" w:rsidP="00E91F1A" w14:paraId="2F91B0F5" w14:textId="77777777">
      <w:pPr>
        <w:spacing w:before="120" w:after="120"/>
        <w:jc w:val="center"/>
        <w:rPr>
          <w:b/>
        </w:rPr>
      </w:pPr>
    </w:p>
    <w:p w:rsidR="006572CD" w:rsidP="006572CD" w14:paraId="4AD33874" w14:textId="6DBE0BB3">
      <w:pPr>
        <w:tabs>
          <w:tab w:val="left" w:pos="720"/>
          <w:tab w:val="right" w:pos="9360"/>
        </w:tabs>
        <w:suppressAutoHyphens/>
        <w:spacing w:line="227" w:lineRule="auto"/>
        <w:rPr>
          <w:spacing w:val="-2"/>
        </w:rPr>
      </w:pPr>
      <w:r>
        <w:rPr>
          <w:b/>
          <w:spacing w:val="-2"/>
        </w:rPr>
        <w:t>Adopted:  February 28, 2019</w:t>
      </w:r>
      <w:r>
        <w:rPr>
          <w:b/>
          <w:spacing w:val="-2"/>
        </w:rPr>
        <w:tab/>
        <w:t xml:space="preserve">Released:  </w:t>
      </w:r>
      <w:r w:rsidR="003838B6">
        <w:rPr>
          <w:b/>
          <w:spacing w:val="-2"/>
        </w:rPr>
        <w:t>March 1</w:t>
      </w:r>
      <w:bookmarkStart w:id="0" w:name="_GoBack"/>
      <w:bookmarkEnd w:id="0"/>
      <w:r>
        <w:rPr>
          <w:b/>
          <w:spacing w:val="-2"/>
        </w:rPr>
        <w:t>, 2019</w:t>
      </w:r>
    </w:p>
    <w:p w:rsidR="00E91F1A" w:rsidRPr="003B7C7F" w:rsidP="00AD33F5" w14:paraId="0E4F4240" w14:textId="77777777">
      <w:pPr>
        <w:tabs>
          <w:tab w:val="left" w:pos="720"/>
          <w:tab w:val="left" w:pos="5760"/>
          <w:tab w:val="right" w:pos="9270"/>
        </w:tabs>
        <w:suppressAutoHyphens/>
        <w:spacing w:line="227" w:lineRule="auto"/>
        <w:rPr>
          <w:b/>
          <w:spacing w:val="-2"/>
        </w:rPr>
      </w:pPr>
    </w:p>
    <w:p w:rsidR="00E91F1A" w:rsidRPr="003B7C7F" w:rsidP="00AD33F5" w14:paraId="11AD45C8" w14:textId="77777777">
      <w:pPr>
        <w:tabs>
          <w:tab w:val="left" w:pos="720"/>
          <w:tab w:val="left" w:pos="5760"/>
          <w:tab w:val="right" w:pos="9270"/>
        </w:tabs>
        <w:suppressAutoHyphens/>
        <w:rPr>
          <w:b/>
          <w:spacing w:val="-2"/>
        </w:rPr>
      </w:pPr>
      <w:r w:rsidRPr="003B7C7F">
        <w:rPr>
          <w:b/>
          <w:spacing w:val="-2"/>
        </w:rPr>
        <w:t>By the Commission:</w:t>
      </w:r>
    </w:p>
    <w:p w:rsidR="00AD33F5" w:rsidRPr="003B7C7F" w:rsidP="00AD33F5" w14:paraId="3F5ABA6F" w14:textId="77777777">
      <w:pPr>
        <w:tabs>
          <w:tab w:val="left" w:pos="720"/>
          <w:tab w:val="left" w:pos="5760"/>
          <w:tab w:val="right" w:pos="9270"/>
        </w:tabs>
        <w:suppressAutoHyphens/>
        <w:rPr>
          <w:spacing w:val="-2"/>
        </w:rPr>
      </w:pPr>
    </w:p>
    <w:p w:rsidR="00E91F1A" w:rsidRPr="003B7C7F" w:rsidP="00E91F1A" w14:paraId="16AF17AF" w14:textId="77777777">
      <w:pPr>
        <w:pStyle w:val="Heading1"/>
        <w:spacing w:before="120"/>
        <w:rPr>
          <w:rFonts w:ascii="Times New Roman" w:hAnsi="Times New Roman"/>
        </w:rPr>
      </w:pPr>
      <w:r w:rsidRPr="003B7C7F">
        <w:rPr>
          <w:rFonts w:ascii="Times New Roman" w:hAnsi="Times New Roman"/>
        </w:rPr>
        <w:t>INTRODUCTION</w:t>
      </w:r>
    </w:p>
    <w:p w:rsidR="00006A3A" w:rsidRPr="003B7C7F" w:rsidP="00E91F1A" w14:paraId="562C4281" w14:textId="62DDCC94">
      <w:pPr>
        <w:pStyle w:val="ParaNum"/>
        <w:rPr>
          <w:szCs w:val="22"/>
        </w:rPr>
      </w:pPr>
      <w:r w:rsidRPr="003B7C7F">
        <w:rPr>
          <w:szCs w:val="22"/>
        </w:rPr>
        <w:t>Section 201(b) of the Communications Act</w:t>
      </w:r>
      <w:r w:rsidRPr="003B7C7F" w:rsidR="00B52FA9">
        <w:rPr>
          <w:szCs w:val="22"/>
        </w:rPr>
        <w:t xml:space="preserve"> of 193</w:t>
      </w:r>
      <w:r w:rsidRPr="003B7C7F" w:rsidR="006028DA">
        <w:rPr>
          <w:szCs w:val="22"/>
        </w:rPr>
        <w:t>4</w:t>
      </w:r>
      <w:r w:rsidRPr="003B7C7F" w:rsidR="00B52FA9">
        <w:rPr>
          <w:szCs w:val="22"/>
        </w:rPr>
        <w:t>, as amended</w:t>
      </w:r>
      <w:r w:rsidRPr="003B7C7F">
        <w:rPr>
          <w:szCs w:val="22"/>
        </w:rPr>
        <w:t xml:space="preserve"> </w:t>
      </w:r>
      <w:r w:rsidRPr="003B7C7F" w:rsidR="00B52FA9">
        <w:rPr>
          <w:szCs w:val="22"/>
        </w:rPr>
        <w:t xml:space="preserve">(the Act) </w:t>
      </w:r>
      <w:r w:rsidRPr="003B7C7F">
        <w:rPr>
          <w:szCs w:val="22"/>
        </w:rPr>
        <w:t>makes</w:t>
      </w:r>
      <w:r w:rsidRPr="003B7C7F" w:rsidR="001C797C">
        <w:rPr>
          <w:szCs w:val="22"/>
        </w:rPr>
        <w:t xml:space="preserve"> it unlawful for common carriers to charge rates that are unjust </w:t>
      </w:r>
      <w:r w:rsidRPr="003B7C7F" w:rsidR="00B52FA9">
        <w:rPr>
          <w:szCs w:val="22"/>
        </w:rPr>
        <w:t>or</w:t>
      </w:r>
      <w:r w:rsidRPr="003B7C7F" w:rsidR="001C797C">
        <w:rPr>
          <w:szCs w:val="22"/>
        </w:rPr>
        <w:t xml:space="preserve"> unreasonable.</w:t>
      </w:r>
      <w:r>
        <w:rPr>
          <w:rStyle w:val="FootnoteReference"/>
          <w:szCs w:val="22"/>
        </w:rPr>
        <w:footnoteReference w:id="3"/>
      </w:r>
      <w:r w:rsidRPr="003B7C7F" w:rsidR="001C797C">
        <w:rPr>
          <w:szCs w:val="22"/>
        </w:rPr>
        <w:t xml:space="preserve">  </w:t>
      </w:r>
      <w:r w:rsidRPr="003B7C7F" w:rsidR="00AA434F">
        <w:rPr>
          <w:szCs w:val="22"/>
        </w:rPr>
        <w:t>Dominant t</w:t>
      </w:r>
      <w:r w:rsidRPr="003B7C7F">
        <w:rPr>
          <w:szCs w:val="22"/>
        </w:rPr>
        <w:t xml:space="preserve">elecommunications carriers subject to our </w:t>
      </w:r>
      <w:r w:rsidRPr="003B7C7F" w:rsidR="006973D3">
        <w:rPr>
          <w:szCs w:val="22"/>
        </w:rPr>
        <w:t xml:space="preserve">public tariff filing process </w:t>
      </w:r>
      <w:r w:rsidRPr="003B7C7F">
        <w:rPr>
          <w:szCs w:val="22"/>
        </w:rPr>
        <w:t xml:space="preserve">must </w:t>
      </w:r>
      <w:r w:rsidRPr="003B7C7F" w:rsidR="00AA434F">
        <w:rPr>
          <w:szCs w:val="22"/>
        </w:rPr>
        <w:t>submit explanations and data to support proposed tariff changes, including a cost of service study for the most recent 12 months, a study containing a projection of costs for a representative 12 month period, and estimates of the effect of the proposed changes on traffic and revenues for the affected service</w:t>
      </w:r>
      <w:r w:rsidRPr="003B7C7F" w:rsidR="00B52FA9">
        <w:rPr>
          <w:szCs w:val="22"/>
        </w:rPr>
        <w:t>.</w:t>
      </w:r>
      <w:r>
        <w:rPr>
          <w:rStyle w:val="FootnoteReference"/>
          <w:szCs w:val="22"/>
        </w:rPr>
        <w:footnoteReference w:id="4"/>
      </w:r>
      <w:r w:rsidRPr="003B7C7F" w:rsidR="00B52FA9">
        <w:rPr>
          <w:szCs w:val="22"/>
        </w:rPr>
        <w:t xml:space="preserve">  Such tariff filings</w:t>
      </w:r>
      <w:r w:rsidRPr="003B7C7F">
        <w:rPr>
          <w:szCs w:val="22"/>
        </w:rPr>
        <w:t xml:space="preserve"> </w:t>
      </w:r>
      <w:r w:rsidRPr="003B7C7F" w:rsidR="00550117">
        <w:rPr>
          <w:szCs w:val="22"/>
        </w:rPr>
        <w:t xml:space="preserve">provide </w:t>
      </w:r>
      <w:r w:rsidRPr="003B7C7F" w:rsidR="006973D3">
        <w:rPr>
          <w:szCs w:val="22"/>
        </w:rPr>
        <w:t xml:space="preserve">transparency into </w:t>
      </w:r>
      <w:r w:rsidRPr="003B7C7F">
        <w:rPr>
          <w:szCs w:val="22"/>
        </w:rPr>
        <w:t>th</w:t>
      </w:r>
      <w:r w:rsidRPr="003B7C7F" w:rsidR="00E762B8">
        <w:rPr>
          <w:szCs w:val="22"/>
        </w:rPr>
        <w:t>e</w:t>
      </w:r>
      <w:r w:rsidRPr="003B7C7F">
        <w:rPr>
          <w:szCs w:val="22"/>
        </w:rPr>
        <w:t xml:space="preserve"> </w:t>
      </w:r>
      <w:r w:rsidRPr="003B7C7F" w:rsidR="00191A69">
        <w:rPr>
          <w:szCs w:val="22"/>
        </w:rPr>
        <w:t xml:space="preserve">carriers’ </w:t>
      </w:r>
      <w:r w:rsidRPr="003B7C7F" w:rsidR="006973D3">
        <w:rPr>
          <w:szCs w:val="22"/>
        </w:rPr>
        <w:t>rates and terms</w:t>
      </w:r>
      <w:r w:rsidRPr="003B7C7F">
        <w:rPr>
          <w:szCs w:val="22"/>
        </w:rPr>
        <w:t xml:space="preserve"> and </w:t>
      </w:r>
      <w:r w:rsidRPr="003B7C7F" w:rsidR="00B52FA9">
        <w:rPr>
          <w:szCs w:val="22"/>
        </w:rPr>
        <w:t>afford</w:t>
      </w:r>
      <w:r w:rsidRPr="003B7C7F">
        <w:rPr>
          <w:szCs w:val="22"/>
        </w:rPr>
        <w:t xml:space="preserve"> us the opportunity </w:t>
      </w:r>
      <w:r w:rsidRPr="003B7C7F" w:rsidR="00191A69">
        <w:rPr>
          <w:szCs w:val="22"/>
        </w:rPr>
        <w:t xml:space="preserve">to </w:t>
      </w:r>
      <w:r w:rsidRPr="003B7C7F" w:rsidR="006973D3">
        <w:rPr>
          <w:szCs w:val="22"/>
        </w:rPr>
        <w:t>review and</w:t>
      </w:r>
      <w:r w:rsidRPr="003B7C7F" w:rsidR="001D4D79">
        <w:rPr>
          <w:szCs w:val="22"/>
        </w:rPr>
        <w:t>, if necessary,</w:t>
      </w:r>
      <w:r w:rsidRPr="003B7C7F" w:rsidR="006973D3">
        <w:rPr>
          <w:szCs w:val="22"/>
        </w:rPr>
        <w:t xml:space="preserve"> </w:t>
      </w:r>
      <w:r w:rsidRPr="003B7C7F" w:rsidR="000D4304">
        <w:rPr>
          <w:szCs w:val="22"/>
        </w:rPr>
        <w:t>investigat</w:t>
      </w:r>
      <w:r w:rsidRPr="003B7C7F" w:rsidR="00191A69">
        <w:rPr>
          <w:szCs w:val="22"/>
        </w:rPr>
        <w:t>e</w:t>
      </w:r>
      <w:r w:rsidRPr="003B7C7F" w:rsidR="006973D3">
        <w:rPr>
          <w:szCs w:val="22"/>
        </w:rPr>
        <w:t xml:space="preserve"> </w:t>
      </w:r>
      <w:r w:rsidRPr="003B7C7F" w:rsidR="00B52FA9">
        <w:rPr>
          <w:szCs w:val="22"/>
        </w:rPr>
        <w:t xml:space="preserve">the lawfulness of those </w:t>
      </w:r>
      <w:r w:rsidRPr="003B7C7F" w:rsidR="00191A69">
        <w:rPr>
          <w:szCs w:val="22"/>
        </w:rPr>
        <w:t>tariffs</w:t>
      </w:r>
      <w:r w:rsidRPr="003B7C7F" w:rsidR="006973D3">
        <w:rPr>
          <w:szCs w:val="22"/>
        </w:rPr>
        <w:t xml:space="preserve">.  </w:t>
      </w:r>
      <w:r w:rsidRPr="003B7C7F" w:rsidR="00E91F1A">
        <w:rPr>
          <w:szCs w:val="22"/>
        </w:rPr>
        <w:t>In this Order</w:t>
      </w:r>
      <w:r w:rsidRPr="003B7C7F" w:rsidR="000729DB">
        <w:rPr>
          <w:szCs w:val="22"/>
        </w:rPr>
        <w:t xml:space="preserve">, pursuant to our authority in </w:t>
      </w:r>
      <w:r w:rsidRPr="003B7C7F" w:rsidR="00F0333D">
        <w:rPr>
          <w:szCs w:val="22"/>
        </w:rPr>
        <w:t>s</w:t>
      </w:r>
      <w:r w:rsidRPr="003B7C7F" w:rsidR="00E91F1A">
        <w:rPr>
          <w:szCs w:val="22"/>
        </w:rPr>
        <w:t>ections 204 and 205 of the Act,</w:t>
      </w:r>
      <w:r>
        <w:rPr>
          <w:rStyle w:val="FootnoteReference"/>
          <w:szCs w:val="22"/>
        </w:rPr>
        <w:footnoteReference w:id="5"/>
      </w:r>
      <w:r w:rsidRPr="003B7C7F" w:rsidR="001814FD">
        <w:rPr>
          <w:szCs w:val="22"/>
        </w:rPr>
        <w:t xml:space="preserve"> we </w:t>
      </w:r>
      <w:r w:rsidRPr="003B7C7F" w:rsidR="009E4BAC">
        <w:rPr>
          <w:szCs w:val="22"/>
        </w:rPr>
        <w:t>conclude the</w:t>
      </w:r>
      <w:r w:rsidRPr="003B7C7F" w:rsidR="00E91F1A">
        <w:rPr>
          <w:szCs w:val="22"/>
        </w:rPr>
        <w:t xml:space="preserve"> investigation </w:t>
      </w:r>
      <w:r w:rsidRPr="003B7C7F" w:rsidR="009E4BAC">
        <w:rPr>
          <w:szCs w:val="22"/>
        </w:rPr>
        <w:t>into</w:t>
      </w:r>
      <w:r w:rsidRPr="003B7C7F" w:rsidR="00E91F1A">
        <w:rPr>
          <w:szCs w:val="22"/>
        </w:rPr>
        <w:t xml:space="preserve"> the lawfulness of </w:t>
      </w:r>
      <w:r w:rsidRPr="003B7C7F" w:rsidR="0023264B">
        <w:rPr>
          <w:szCs w:val="22"/>
        </w:rPr>
        <w:t xml:space="preserve">tariff revisions </w:t>
      </w:r>
      <w:r w:rsidRPr="003B7C7F" w:rsidR="00FD3D91">
        <w:rPr>
          <w:szCs w:val="22"/>
        </w:rPr>
        <w:t xml:space="preserve">South Dakota Network, LLC (SDN) </w:t>
      </w:r>
      <w:r w:rsidRPr="003B7C7F" w:rsidR="00D30D29">
        <w:rPr>
          <w:szCs w:val="22"/>
        </w:rPr>
        <w:t xml:space="preserve">filed </w:t>
      </w:r>
      <w:r w:rsidRPr="003B7C7F" w:rsidR="00FD3D91">
        <w:rPr>
          <w:szCs w:val="22"/>
        </w:rPr>
        <w:t>on September 17, 2018</w:t>
      </w:r>
      <w:r w:rsidRPr="003B7C7F" w:rsidR="00FC15C7">
        <w:rPr>
          <w:szCs w:val="22"/>
        </w:rPr>
        <w:t>.</w:t>
      </w:r>
      <w:r>
        <w:rPr>
          <w:rStyle w:val="FootnoteReference"/>
          <w:szCs w:val="22"/>
        </w:rPr>
        <w:footnoteReference w:id="6"/>
      </w:r>
      <w:r w:rsidRPr="003B7C7F" w:rsidR="00FD3D91">
        <w:rPr>
          <w:szCs w:val="22"/>
        </w:rPr>
        <w:t xml:space="preserve"> </w:t>
      </w:r>
      <w:r w:rsidRPr="003B7C7F" w:rsidR="00FC15C7">
        <w:rPr>
          <w:szCs w:val="22"/>
        </w:rPr>
        <w:t xml:space="preserve"> </w:t>
      </w:r>
    </w:p>
    <w:p w:rsidR="00E91F1A" w:rsidRPr="003B7C7F" w:rsidP="00006A3A" w14:paraId="7B0035F6" w14:textId="38CC3DAD">
      <w:pPr>
        <w:pStyle w:val="ParaNum"/>
        <w:rPr>
          <w:szCs w:val="22"/>
        </w:rPr>
      </w:pPr>
      <w:r w:rsidRPr="003B7C7F">
        <w:t xml:space="preserve">As a centralized equal access (CEA) service provider, </w:t>
      </w:r>
      <w:r w:rsidRPr="003B7C7F" w:rsidR="007F67CE">
        <w:t xml:space="preserve">in determining its tariffed rates, SDN </w:t>
      </w:r>
      <w:r w:rsidRPr="003B7C7F">
        <w:t xml:space="preserve">must </w:t>
      </w:r>
      <w:r w:rsidRPr="003B7C7F">
        <w:rPr>
          <w:szCs w:val="22"/>
        </w:rPr>
        <w:t xml:space="preserve">comply with both </w:t>
      </w:r>
      <w:r w:rsidRPr="003B7C7F" w:rsidR="007F67CE">
        <w:rPr>
          <w:szCs w:val="22"/>
        </w:rPr>
        <w:t xml:space="preserve">our rules governing </w:t>
      </w:r>
      <w:r w:rsidRPr="003B7C7F">
        <w:rPr>
          <w:szCs w:val="22"/>
        </w:rPr>
        <w:t>transitional switched access rate</w:t>
      </w:r>
      <w:r w:rsidRPr="003B7C7F" w:rsidR="007F67CE">
        <w:rPr>
          <w:szCs w:val="22"/>
        </w:rPr>
        <w:t>s</w:t>
      </w:r>
      <w:r w:rsidRPr="003B7C7F" w:rsidR="009877D2">
        <w:rPr>
          <w:szCs w:val="22"/>
        </w:rPr>
        <w:t>, including the competitive local exchange carrier (LEC) benchmark rule,</w:t>
      </w:r>
      <w:r w:rsidRPr="003B7C7F">
        <w:rPr>
          <w:szCs w:val="22"/>
        </w:rPr>
        <w:t xml:space="preserve"> and </w:t>
      </w:r>
      <w:r w:rsidRPr="003B7C7F" w:rsidR="007F67CE">
        <w:rPr>
          <w:szCs w:val="22"/>
        </w:rPr>
        <w:t xml:space="preserve">those </w:t>
      </w:r>
      <w:r w:rsidRPr="003B7C7F">
        <w:rPr>
          <w:szCs w:val="22"/>
        </w:rPr>
        <w:t>governing cost-based rates.</w:t>
      </w:r>
      <w:r>
        <w:rPr>
          <w:rStyle w:val="FootnoteReference"/>
          <w:szCs w:val="22"/>
        </w:rPr>
        <w:footnoteReference w:id="7"/>
      </w:r>
      <w:r w:rsidRPr="003B7C7F">
        <w:rPr>
          <w:szCs w:val="22"/>
        </w:rPr>
        <w:t xml:space="preserve">  </w:t>
      </w:r>
      <w:r w:rsidRPr="003B7C7F" w:rsidR="007F67CE">
        <w:rPr>
          <w:szCs w:val="22"/>
        </w:rPr>
        <w:t>SDN is required to</w:t>
      </w:r>
      <w:r w:rsidRPr="003B7C7F">
        <w:rPr>
          <w:szCs w:val="22"/>
        </w:rPr>
        <w:t xml:space="preserve"> charge the lower of its cost</w:t>
      </w:r>
      <w:r w:rsidRPr="003B7C7F" w:rsidR="007F67CE">
        <w:rPr>
          <w:szCs w:val="22"/>
        </w:rPr>
        <w:t>-</w:t>
      </w:r>
      <w:r w:rsidRPr="003B7C7F">
        <w:rPr>
          <w:szCs w:val="22"/>
        </w:rPr>
        <w:t xml:space="preserve">based rate or </w:t>
      </w:r>
      <w:r w:rsidRPr="003B7C7F" w:rsidR="007F67CE">
        <w:rPr>
          <w:szCs w:val="22"/>
        </w:rPr>
        <w:t xml:space="preserve">a rate benchmarked to the </w:t>
      </w:r>
      <w:r w:rsidRPr="003B7C7F">
        <w:rPr>
          <w:szCs w:val="22"/>
        </w:rPr>
        <w:t xml:space="preserve">rate charged by </w:t>
      </w:r>
      <w:r w:rsidRPr="003B7C7F" w:rsidR="003C0340">
        <w:rPr>
          <w:szCs w:val="22"/>
        </w:rPr>
        <w:t xml:space="preserve">the </w:t>
      </w:r>
      <w:r w:rsidRPr="003B7C7F">
        <w:rPr>
          <w:szCs w:val="22"/>
        </w:rPr>
        <w:t xml:space="preserve">competing </w:t>
      </w:r>
      <w:r w:rsidRPr="003B7C7F" w:rsidR="00431856">
        <w:rPr>
          <w:szCs w:val="22"/>
        </w:rPr>
        <w:t xml:space="preserve">incumbent </w:t>
      </w:r>
      <w:r w:rsidRPr="003B7C7F" w:rsidR="006028DA">
        <w:rPr>
          <w:szCs w:val="22"/>
        </w:rPr>
        <w:t>LEC</w:t>
      </w:r>
      <w:r w:rsidRPr="003B7C7F" w:rsidR="003C0340">
        <w:rPr>
          <w:szCs w:val="22"/>
        </w:rPr>
        <w:t xml:space="preserve"> for the same switched access services</w:t>
      </w:r>
      <w:r w:rsidRPr="003B7C7F">
        <w:rPr>
          <w:szCs w:val="22"/>
        </w:rPr>
        <w:t>.</w:t>
      </w:r>
      <w:r>
        <w:rPr>
          <w:rStyle w:val="FootnoteReference"/>
          <w:szCs w:val="22"/>
        </w:rPr>
        <w:footnoteReference w:id="8"/>
      </w:r>
      <w:r w:rsidRPr="003B7C7F">
        <w:rPr>
          <w:szCs w:val="22"/>
        </w:rPr>
        <w:t xml:space="preserve">  </w:t>
      </w:r>
      <w:r w:rsidRPr="003B7C7F" w:rsidR="007F67CE">
        <w:t>In this Order, w</w:t>
      </w:r>
      <w:r w:rsidRPr="003B7C7F" w:rsidR="00B52FA9">
        <w:t xml:space="preserve">e </w:t>
      </w:r>
      <w:r w:rsidRPr="003B7C7F" w:rsidR="009E4BAC">
        <w:t>find that</w:t>
      </w:r>
      <w:r w:rsidRPr="003B7C7F" w:rsidR="001814FD">
        <w:t xml:space="preserve"> </w:t>
      </w:r>
      <w:r w:rsidRPr="003B7C7F" w:rsidR="00FD3D91">
        <w:t xml:space="preserve">the </w:t>
      </w:r>
      <w:r w:rsidRPr="003B7C7F" w:rsidR="00FA21EB">
        <w:t xml:space="preserve">benchmark rate applicable to SDN’s tariffed interstate switched access service is $0.002288 per </w:t>
      </w:r>
      <w:r w:rsidRPr="003B7C7F">
        <w:t>minute of use</w:t>
      </w:r>
      <w:r w:rsidRPr="003B7C7F" w:rsidR="009D5A83">
        <w:t>, the tandem switching rate</w:t>
      </w:r>
      <w:r w:rsidRPr="003B7C7F">
        <w:t xml:space="preserve"> charged by CenturyLink in South Dakota</w:t>
      </w:r>
      <w:r w:rsidRPr="003B7C7F" w:rsidR="00FA21EB">
        <w:t>.  SDN</w:t>
      </w:r>
      <w:r w:rsidRPr="003B7C7F" w:rsidR="00FB5B48">
        <w:t>’s</w:t>
      </w:r>
      <w:r w:rsidRPr="003B7C7F" w:rsidR="00FA21EB">
        <w:t xml:space="preserve"> tariffed</w:t>
      </w:r>
      <w:r w:rsidRPr="003B7C7F" w:rsidR="006028DA">
        <w:t xml:space="preserve"> </w:t>
      </w:r>
      <w:r w:rsidRPr="003B7C7F" w:rsidR="00FA21EB">
        <w:t xml:space="preserve">rate </w:t>
      </w:r>
      <w:r w:rsidRPr="003B7C7F" w:rsidR="00FE289C">
        <w:t xml:space="preserve">of $0.004871 per </w:t>
      </w:r>
      <w:r w:rsidRPr="003B7C7F" w:rsidR="00B52FA9">
        <w:t>minute of use</w:t>
      </w:r>
      <w:r w:rsidRPr="003B7C7F" w:rsidR="00FE289C">
        <w:t xml:space="preserve"> exceeds that</w:t>
      </w:r>
      <w:r w:rsidRPr="003B7C7F" w:rsidR="00FA21EB">
        <w:t xml:space="preserve"> benchmark</w:t>
      </w:r>
      <w:r w:rsidRPr="003B7C7F" w:rsidR="0000706E">
        <w:t xml:space="preserve">, and we </w:t>
      </w:r>
      <w:r w:rsidRPr="003B7C7F" w:rsidR="00FA21EB">
        <w:t xml:space="preserve">therefore </w:t>
      </w:r>
      <w:r w:rsidRPr="003B7C7F" w:rsidR="0000706E">
        <w:t xml:space="preserve">find it </w:t>
      </w:r>
      <w:r w:rsidRPr="003B7C7F" w:rsidR="00FA21EB">
        <w:t>unlawful.</w:t>
      </w:r>
    </w:p>
    <w:p w:rsidR="00E91F1A" w:rsidRPr="003B7C7F" w:rsidP="00E91F1A" w14:paraId="52231C2C" w14:textId="77777777">
      <w:pPr>
        <w:pStyle w:val="Heading1"/>
        <w:spacing w:before="120"/>
        <w:rPr>
          <w:rFonts w:ascii="Times New Roman" w:hAnsi="Times New Roman"/>
        </w:rPr>
      </w:pPr>
      <w:r w:rsidRPr="003B7C7F">
        <w:rPr>
          <w:rFonts w:ascii="Times New Roman" w:hAnsi="Times New Roman"/>
        </w:rPr>
        <w:t>background</w:t>
      </w:r>
    </w:p>
    <w:p w:rsidR="007F67CE" w:rsidRPr="003B7C7F" w:rsidP="00C51C4E" w14:paraId="27FC9CED" w14:textId="2593B7C1">
      <w:pPr>
        <w:pStyle w:val="ParaNum"/>
      </w:pPr>
      <w:r w:rsidRPr="003B7C7F">
        <w:t xml:space="preserve">SDN is </w:t>
      </w:r>
      <w:r w:rsidRPr="003B7C7F" w:rsidR="000B43DF">
        <w:t xml:space="preserve">one of three </w:t>
      </w:r>
      <w:r w:rsidRPr="003B7C7F">
        <w:t>CEA providers</w:t>
      </w:r>
      <w:r w:rsidRPr="003B7C7F" w:rsidR="0000706E">
        <w:t>—</w:t>
      </w:r>
      <w:r w:rsidRPr="003B7C7F" w:rsidR="00431856">
        <w:t>along with</w:t>
      </w:r>
      <w:r w:rsidRPr="003B7C7F" w:rsidR="006F792E">
        <w:t xml:space="preserve"> </w:t>
      </w:r>
      <w:r w:rsidRPr="003B7C7F" w:rsidR="00431856">
        <w:t>Aureon</w:t>
      </w:r>
      <w:r w:rsidRPr="003B7C7F" w:rsidR="00431856">
        <w:t xml:space="preserve"> and Minnesota Independent Equal Access Corporation</w:t>
      </w:r>
      <w:r w:rsidRPr="003B7C7F" w:rsidR="0000706E">
        <w:t>—</w:t>
      </w:r>
      <w:r w:rsidRPr="003B7C7F">
        <w:t xml:space="preserve">that </w:t>
      </w:r>
      <w:r w:rsidRPr="003B7C7F" w:rsidR="009D5A83">
        <w:t xml:space="preserve">were </w:t>
      </w:r>
      <w:r w:rsidRPr="003B7C7F">
        <w:t xml:space="preserve">formed to implement long distance equal access obligations </w:t>
      </w:r>
      <w:r w:rsidRPr="003B7C7F" w:rsidR="0042122C">
        <w:t xml:space="preserve">(permitting end users to use 1+ dialing to reach the interexchange carrier (IXC) of their choice) </w:t>
      </w:r>
      <w:r w:rsidRPr="003B7C7F">
        <w:t xml:space="preserve">and aggregate traffic for connection between rural incumbent LEC and IXC networks.  </w:t>
      </w:r>
      <w:r w:rsidRPr="003B7C7F" w:rsidR="000B43DF">
        <w:t>SDN currently provides CEA switched access service to 35 subtending LECs in South Dakota – 29 incumbent LECs and 6 competitive LECs.</w:t>
      </w:r>
      <w:r>
        <w:rPr>
          <w:rStyle w:val="FootnoteReference"/>
        </w:rPr>
        <w:footnoteReference w:id="9"/>
      </w:r>
      <w:r w:rsidRPr="003B7C7F" w:rsidR="000B43DF">
        <w:t xml:space="preserve">   </w:t>
      </w:r>
    </w:p>
    <w:p w:rsidR="00E91F1A" w:rsidRPr="003B7C7F" w:rsidP="003E1E93" w14:paraId="211CFAE1" w14:textId="77777777">
      <w:pPr>
        <w:pStyle w:val="Heading2"/>
      </w:pPr>
      <w:r w:rsidRPr="003B7C7F">
        <w:t>Regulatory Treatment of CEA Providers</w:t>
      </w:r>
      <w:r w:rsidRPr="003B7C7F" w:rsidR="005C3A44">
        <w:t xml:space="preserve"> and Recent Precedent</w:t>
      </w:r>
    </w:p>
    <w:p w:rsidR="00FC24A8" w:rsidRPr="003B7C7F" w:rsidP="00FC24A8" w14:paraId="242F8BE7" w14:textId="77777777">
      <w:pPr>
        <w:pStyle w:val="ParaNum"/>
      </w:pPr>
      <w:r w:rsidRPr="003B7C7F">
        <w:t>Since their inception, CEA providers, including SDN, have been regulated as dominant</w:t>
      </w:r>
      <w:r w:rsidRPr="003B7C7F" w:rsidR="00E62F26">
        <w:t>, rate-of-return</w:t>
      </w:r>
      <w:r w:rsidRPr="003B7C7F">
        <w:t xml:space="preserve"> carriers subject to the cost-based tariff filing requirements of section 61.38 of our rules.</w:t>
      </w:r>
      <w:r>
        <w:rPr>
          <w:rStyle w:val="FootnoteReference"/>
        </w:rPr>
        <w:footnoteReference w:id="10"/>
      </w:r>
      <w:r w:rsidRPr="003B7C7F">
        <w:t xml:space="preserve"> </w:t>
      </w:r>
      <w:r w:rsidRPr="003B7C7F">
        <w:t xml:space="preserve"> </w:t>
      </w:r>
      <w:r w:rsidRPr="003B7C7F" w:rsidR="00E55B34">
        <w:t>Historically, rate-of-return carriers have set their tariffed interstate switched access rates at level</w:t>
      </w:r>
      <w:r w:rsidRPr="003B7C7F" w:rsidR="009D5A83">
        <w:t>s</w:t>
      </w:r>
      <w:r w:rsidRPr="003B7C7F" w:rsidR="00E55B34">
        <w:t xml:space="preserve"> designed to provide carriers an opportunity to recover their operating costs plus an authorized rate of return on the regulated rate base (plant in service minus accumulated depreciation).</w:t>
      </w:r>
      <w:r>
        <w:rPr>
          <w:rStyle w:val="FootnoteReference"/>
        </w:rPr>
        <w:footnoteReference w:id="11"/>
      </w:r>
      <w:r w:rsidRPr="003B7C7F" w:rsidR="00E55B34">
        <w:t xml:space="preserve">  Under section 61.38, any tariff changes must</w:t>
      </w:r>
      <w:r w:rsidRPr="003B7C7F" w:rsidR="00E62F26">
        <w:t xml:space="preserve"> be supported by explanations and data that</w:t>
      </w:r>
      <w:r w:rsidRPr="003B7C7F" w:rsidR="00E55B34">
        <w:t xml:space="preserve"> include, among other things, the basis for the ratemaking employed and economic information to support the change, including specific cost information and cost projections.</w:t>
      </w:r>
      <w:r>
        <w:rPr>
          <w:rStyle w:val="FootnoteReference"/>
        </w:rPr>
        <w:footnoteReference w:id="12"/>
      </w:r>
      <w:r w:rsidRPr="003B7C7F" w:rsidR="00675264">
        <w:t xml:space="preserve">  SDN files its own tariff pursuant to section 61.38.</w:t>
      </w:r>
      <w:r>
        <w:rPr>
          <w:rStyle w:val="FootnoteReference"/>
        </w:rPr>
        <w:footnoteReference w:id="13"/>
      </w:r>
    </w:p>
    <w:p w:rsidR="00FF4A6D" w:rsidRPr="003B7C7F" w:rsidP="00FC24A8" w14:paraId="4ABE664A" w14:textId="6E0D3F8A">
      <w:pPr>
        <w:pStyle w:val="ParaNum"/>
      </w:pPr>
      <w:r w:rsidRPr="003B7C7F">
        <w:t>In 2011, the Commission comprehensively reformed and modernized its intercarrier compensation regime to facilitate the transition to Internet Protocol-based networks and curtail wasteful arbitrage.</w:t>
      </w:r>
      <w:r>
        <w:rPr>
          <w:rStyle w:val="FootnoteReference"/>
        </w:rPr>
        <w:footnoteReference w:id="14"/>
      </w:r>
      <w:r w:rsidRPr="003B7C7F">
        <w:t xml:space="preserve">  In the </w:t>
      </w:r>
      <w:r w:rsidRPr="003B7C7F">
        <w:rPr>
          <w:i/>
        </w:rPr>
        <w:t>USF/ICC Transformation Order</w:t>
      </w:r>
      <w:r w:rsidRPr="003B7C7F" w:rsidR="006F792E">
        <w:t>,</w:t>
      </w:r>
      <w:r w:rsidRPr="003B7C7F">
        <w:t xml:space="preserve"> the Commission immediately capped all interstate switched access rates, as well as many intrastate rates, as of the </w:t>
      </w:r>
      <w:r w:rsidRPr="003B7C7F" w:rsidR="002C6C04">
        <w:t xml:space="preserve">effective </w:t>
      </w:r>
      <w:r w:rsidRPr="003B7C7F">
        <w:t>date of the rules.</w:t>
      </w:r>
      <w:r>
        <w:rPr>
          <w:rStyle w:val="FootnoteReference"/>
        </w:rPr>
        <w:footnoteReference w:id="15"/>
      </w:r>
      <w:r w:rsidRPr="003B7C7F">
        <w:t xml:space="preserve">  T</w:t>
      </w:r>
      <w:r w:rsidRPr="003B7C7F" w:rsidR="004A5CEA">
        <w:t xml:space="preserve">he Commission </w:t>
      </w:r>
      <w:r w:rsidRPr="003B7C7F">
        <w:t xml:space="preserve">also reaffirmed the </w:t>
      </w:r>
      <w:r w:rsidRPr="003B7C7F" w:rsidR="004A5CEA">
        <w:t>“CLEC benchmark rule”</w:t>
      </w:r>
      <w:r w:rsidRPr="003B7C7F">
        <w:t xml:space="preserve"> as a limitation on competitive LECs</w:t>
      </w:r>
      <w:r w:rsidRPr="003B7C7F" w:rsidR="006517EB">
        <w:t>’</w:t>
      </w:r>
      <w:r w:rsidRPr="003B7C7F">
        <w:t xml:space="preserve"> rates.</w:t>
      </w:r>
      <w:r>
        <w:rPr>
          <w:rStyle w:val="FootnoteReference"/>
        </w:rPr>
        <w:footnoteReference w:id="16"/>
      </w:r>
      <w:r w:rsidRPr="003B7C7F" w:rsidR="004A5CEA">
        <w:t xml:space="preserve">  </w:t>
      </w:r>
      <w:r w:rsidRPr="003B7C7F" w:rsidR="00610EF7">
        <w:t xml:space="preserve">Two years ago, in the </w:t>
      </w:r>
      <w:r w:rsidRPr="003B7C7F" w:rsidR="00610EF7">
        <w:rPr>
          <w:i/>
        </w:rPr>
        <w:t>Aureon</w:t>
      </w:r>
      <w:r w:rsidRPr="003B7C7F" w:rsidR="00610EF7">
        <w:rPr>
          <w:i/>
        </w:rPr>
        <w:t xml:space="preserve"> Liability Order</w:t>
      </w:r>
      <w:r w:rsidRPr="003B7C7F" w:rsidR="00610EF7">
        <w:t>, the Commission confirmed that as a CEA provider</w:t>
      </w:r>
      <w:r w:rsidRPr="003B7C7F" w:rsidR="006F792E">
        <w:t>,</w:t>
      </w:r>
      <w:r w:rsidRPr="003B7C7F" w:rsidR="00610EF7">
        <w:t xml:space="preserve"> </w:t>
      </w:r>
      <w:r w:rsidRPr="003B7C7F" w:rsidR="00610EF7">
        <w:t>Aureon</w:t>
      </w:r>
      <w:r w:rsidRPr="003B7C7F" w:rsidR="00610EF7">
        <w:t xml:space="preserve"> </w:t>
      </w:r>
      <w:r w:rsidRPr="003B7C7F" w:rsidR="007B2461">
        <w:t xml:space="preserve">is a competitive LEC for purposes of complying </w:t>
      </w:r>
      <w:r w:rsidRPr="003B7C7F" w:rsidR="00610EF7">
        <w:t xml:space="preserve">with </w:t>
      </w:r>
      <w:r w:rsidRPr="003B7C7F" w:rsidR="007B2461">
        <w:t>t</w:t>
      </w:r>
      <w:r w:rsidRPr="003B7C7F" w:rsidR="00610EF7">
        <w:t xml:space="preserve">he Commission’s transitional switched access rate rules, including the </w:t>
      </w:r>
      <w:r w:rsidRPr="003B7C7F" w:rsidR="00675264">
        <w:t>C</w:t>
      </w:r>
      <w:r w:rsidRPr="003B7C7F" w:rsidR="00610EF7">
        <w:t>LEC benchmark rule.</w:t>
      </w:r>
      <w:r>
        <w:rPr>
          <w:rStyle w:val="FootnoteReference"/>
        </w:rPr>
        <w:footnoteReference w:id="17"/>
      </w:r>
      <w:r w:rsidRPr="003B7C7F" w:rsidR="00610EF7">
        <w:t xml:space="preserve"> </w:t>
      </w:r>
      <w:r w:rsidRPr="003B7C7F">
        <w:t xml:space="preserve"> </w:t>
      </w:r>
      <w:r w:rsidRPr="003B7C7F" w:rsidR="00F04AC5">
        <w:t>As the Commission explained, “</w:t>
      </w:r>
      <w:r w:rsidRPr="003B7C7F" w:rsidR="00F04AC5">
        <w:t>Aureon</w:t>
      </w:r>
      <w:r w:rsidRPr="003B7C7F" w:rsidR="00F04AC5">
        <w:t xml:space="preserve"> is a LEC under Rule 51.5 because it ‘</w:t>
      </w:r>
      <w:r w:rsidRPr="003B7C7F" w:rsidR="00F04AC5">
        <w:t>provi</w:t>
      </w:r>
      <w:r w:rsidRPr="003B7C7F" w:rsidR="00F04AC5">
        <w:t>[des] . . . exchange access.’”</w:t>
      </w:r>
      <w:r>
        <w:rPr>
          <w:rStyle w:val="FootnoteReference"/>
        </w:rPr>
        <w:footnoteReference w:id="18"/>
      </w:r>
      <w:r w:rsidRPr="003B7C7F" w:rsidR="00F04AC5">
        <w:t xml:space="preserve">  </w:t>
      </w:r>
      <w:r w:rsidRPr="003B7C7F" w:rsidR="00B47B14">
        <w:t>It “</w:t>
      </w:r>
      <w:r w:rsidRPr="003B7C7F" w:rsidR="00F04AC5">
        <w:t>is not an ILEC under Rule 51.5 because it neither provided ‘telephone exchange service’ on February 8, 1996, nor was it a member of NECA on February 8, 1996, (or a successor to a member).”</w:t>
      </w:r>
      <w:r>
        <w:rPr>
          <w:rStyle w:val="FootnoteReference"/>
        </w:rPr>
        <w:footnoteReference w:id="19"/>
      </w:r>
      <w:r w:rsidRPr="003B7C7F" w:rsidR="00F04AC5">
        <w:t xml:space="preserve">  Therefore, the Commission reasoned, </w:t>
      </w:r>
      <w:r w:rsidRPr="003B7C7F" w:rsidR="00F04AC5">
        <w:t>Aureon</w:t>
      </w:r>
      <w:r w:rsidRPr="003B7C7F" w:rsidR="00F04AC5">
        <w:t xml:space="preserve"> is a “CLEC for purposes of the rules adopted by the </w:t>
      </w:r>
      <w:r w:rsidRPr="003B7C7F" w:rsidR="00F04AC5">
        <w:rPr>
          <w:i/>
        </w:rPr>
        <w:t>USF/ICC Transformation Order</w:t>
      </w:r>
      <w:r w:rsidRPr="003B7C7F" w:rsidR="00F04AC5">
        <w:t xml:space="preserve"> because a ‘competitive local exchange carrier is any local exchange carrier, as defined in [Section] 51.5, that is not an incumbent local exchange carrier.’”</w:t>
      </w:r>
      <w:r>
        <w:rPr>
          <w:rStyle w:val="FootnoteReference"/>
        </w:rPr>
        <w:footnoteReference w:id="20"/>
      </w:r>
    </w:p>
    <w:p w:rsidR="002C6C04" w:rsidRPr="003B7C7F" w:rsidP="002C6C04" w14:paraId="0566F489" w14:textId="77777777">
      <w:pPr>
        <w:pStyle w:val="ParaNum"/>
      </w:pPr>
      <w:r w:rsidRPr="003B7C7F">
        <w:t>Last year, i</w:t>
      </w:r>
      <w:r w:rsidRPr="003B7C7F" w:rsidR="00FF4A6D">
        <w:t xml:space="preserve">n the </w:t>
      </w:r>
      <w:r w:rsidRPr="003B7C7F" w:rsidR="00FF4A6D">
        <w:rPr>
          <w:i/>
        </w:rPr>
        <w:t>Aureon</w:t>
      </w:r>
      <w:r w:rsidRPr="003B7C7F" w:rsidR="00FF4A6D">
        <w:rPr>
          <w:i/>
        </w:rPr>
        <w:t xml:space="preserve"> Tariff Investigation Order</w:t>
      </w:r>
      <w:r w:rsidRPr="003B7C7F" w:rsidR="00FF4A6D">
        <w:t xml:space="preserve">, the Commission reaffirmed its finding of the applicability of the </w:t>
      </w:r>
      <w:r w:rsidRPr="003B7C7F" w:rsidR="00ED31D3">
        <w:t xml:space="preserve">CLEC benchmark rule to </w:t>
      </w:r>
      <w:r w:rsidRPr="003B7C7F" w:rsidR="00ED31D3">
        <w:t>Aureon</w:t>
      </w:r>
      <w:r w:rsidRPr="003B7C7F" w:rsidR="00FF4A6D">
        <w:t>.</w:t>
      </w:r>
      <w:r>
        <w:rPr>
          <w:rStyle w:val="FootnoteReference"/>
        </w:rPr>
        <w:footnoteReference w:id="21"/>
      </w:r>
      <w:r w:rsidRPr="003B7C7F" w:rsidR="00FF4A6D">
        <w:t xml:space="preserve">  T</w:t>
      </w:r>
      <w:r w:rsidRPr="003B7C7F" w:rsidR="00610EF7">
        <w:t xml:space="preserve">he Commission </w:t>
      </w:r>
      <w:r w:rsidRPr="003B7C7F">
        <w:t xml:space="preserve">also </w:t>
      </w:r>
      <w:r w:rsidRPr="003B7C7F" w:rsidR="00610EF7">
        <w:t xml:space="preserve">explained that, as </w:t>
      </w:r>
      <w:r w:rsidRPr="003B7C7F" w:rsidR="004A5CEA">
        <w:t>a CEA provider,</w:t>
      </w:r>
      <w:r w:rsidRPr="003B7C7F" w:rsidR="00610EF7">
        <w:t xml:space="preserve"> </w:t>
      </w:r>
      <w:r w:rsidRPr="003B7C7F" w:rsidR="00610EF7">
        <w:t>Aureon</w:t>
      </w:r>
      <w:r w:rsidRPr="003B7C7F" w:rsidR="00610EF7">
        <w:t xml:space="preserve"> </w:t>
      </w:r>
      <w:r w:rsidRPr="003B7C7F" w:rsidR="004A5CEA">
        <w:t>does not serve end users and</w:t>
      </w:r>
      <w:r w:rsidRPr="003B7C7F" w:rsidR="00C06C24">
        <w:t>,</w:t>
      </w:r>
      <w:r w:rsidRPr="003B7C7F" w:rsidR="004A5CEA">
        <w:t xml:space="preserve"> </w:t>
      </w:r>
      <w:r w:rsidRPr="003B7C7F" w:rsidR="00C06C24">
        <w:t xml:space="preserve">therefore, </w:t>
      </w:r>
      <w:r w:rsidRPr="003B7C7F" w:rsidR="004A5CEA">
        <w:t>the procedure for implementing its benchmarking obligation is contained in subpart (f) of section 61.26 of our rules.</w:t>
      </w:r>
      <w:r>
        <w:rPr>
          <w:rStyle w:val="FootnoteReference"/>
        </w:rPr>
        <w:footnoteReference w:id="22"/>
      </w:r>
      <w:r w:rsidRPr="003B7C7F" w:rsidR="004A5CEA">
        <w:t xml:space="preserve">  Under this subpart, “[</w:t>
      </w:r>
      <w:r w:rsidRPr="003B7C7F" w:rsidR="004A5CEA">
        <w:t>i</w:t>
      </w:r>
      <w:r w:rsidRPr="003B7C7F" w:rsidR="004A5CEA">
        <w:t>]f a CLEC provides some portion of the switched exchange access services used to send traffic to or from an end user not served by that CLEC, the rate for the access services provided may not exceed the rate charged by the competing ILEC for the same access services . . . .”</w:t>
      </w:r>
      <w:r>
        <w:rPr>
          <w:rStyle w:val="FootnoteReference"/>
        </w:rPr>
        <w:footnoteReference w:id="23"/>
      </w:r>
      <w:r w:rsidRPr="003B7C7F" w:rsidR="004A5CEA">
        <w:t xml:space="preserve">  </w:t>
      </w:r>
      <w:r w:rsidRPr="003B7C7F">
        <w:t>Our rules define the competing incumbent LEC to which the competitive LEC should benchmark its rates as “the incumbent local exchange carrier, as defined in 47 U.S.C. § 251(h), that would provide interstate exchange access services, in whole or in part, to the extent those services were not provided by the CLEC.”</w:t>
      </w:r>
      <w:r>
        <w:rPr>
          <w:rStyle w:val="FootnoteReference"/>
        </w:rPr>
        <w:footnoteReference w:id="24"/>
      </w:r>
    </w:p>
    <w:p w:rsidR="00FC62DC" w:rsidRPr="003B7C7F" w:rsidP="002C6C04" w14:paraId="59BFE277" w14:textId="77777777">
      <w:pPr>
        <w:pStyle w:val="ParaNum"/>
      </w:pPr>
      <w:r w:rsidRPr="003B7C7F">
        <w:t xml:space="preserve">The Commission rejected </w:t>
      </w:r>
      <w:r w:rsidRPr="003B7C7F" w:rsidR="00FF4A6D">
        <w:t>Aureon</w:t>
      </w:r>
      <w:r w:rsidRPr="003B7C7F">
        <w:t>’s</w:t>
      </w:r>
      <w:r w:rsidRPr="003B7C7F">
        <w:t xml:space="preserve"> argument that its subtending LECs were the competing</w:t>
      </w:r>
      <w:r w:rsidRPr="003B7C7F" w:rsidR="00FB5B48">
        <w:t xml:space="preserve"> incumbent</w:t>
      </w:r>
      <w:r w:rsidRPr="003B7C7F">
        <w:t xml:space="preserve"> LEC to which it should benchmark its rates</w:t>
      </w:r>
      <w:r w:rsidRPr="003B7C7F" w:rsidR="005C3A44">
        <w:t>.</w:t>
      </w:r>
      <w:r>
        <w:rPr>
          <w:rStyle w:val="FootnoteReference"/>
        </w:rPr>
        <w:footnoteReference w:id="25"/>
      </w:r>
      <w:r w:rsidRPr="003B7C7F" w:rsidR="005C3A44">
        <w:t xml:space="preserve">  It </w:t>
      </w:r>
      <w:r w:rsidRPr="003B7C7F">
        <w:t>found</w:t>
      </w:r>
      <w:r w:rsidRPr="003B7C7F" w:rsidR="005C3A44">
        <w:t>, instead,</w:t>
      </w:r>
      <w:r w:rsidRPr="003B7C7F">
        <w:t xml:space="preserve"> that CenturyLink </w:t>
      </w:r>
      <w:r w:rsidRPr="003B7C7F" w:rsidR="005C3A44">
        <w:t xml:space="preserve">is the incumbent LEC that would provide the tandem switched services that </w:t>
      </w:r>
      <w:r w:rsidRPr="003B7C7F" w:rsidR="005C3A44">
        <w:t>Aureon</w:t>
      </w:r>
      <w:r w:rsidRPr="003B7C7F" w:rsidR="005C3A44">
        <w:t xml:space="preserve"> provides, if </w:t>
      </w:r>
      <w:r w:rsidRPr="003B7C7F" w:rsidR="005C3A44">
        <w:t>Aureon</w:t>
      </w:r>
      <w:r w:rsidRPr="003B7C7F" w:rsidR="005C3A44">
        <w:t xml:space="preserve"> did not provide them.</w:t>
      </w:r>
      <w:r>
        <w:rPr>
          <w:rStyle w:val="FootnoteReference"/>
        </w:rPr>
        <w:footnoteReference w:id="26"/>
      </w:r>
      <w:r w:rsidRPr="003B7C7F" w:rsidR="005C3A44">
        <w:t xml:space="preserve">  According to the Commission</w:t>
      </w:r>
      <w:r w:rsidRPr="003B7C7F" w:rsidR="00D82E9A">
        <w:t>,</w:t>
      </w:r>
      <w:r w:rsidRPr="003B7C7F" w:rsidR="005C3A44">
        <w:t xml:space="preserve"> “only CenturyLink has the network in Iowa currently capable of providing the same tandem switched transport services that </w:t>
      </w:r>
      <w:r w:rsidRPr="003B7C7F" w:rsidR="005C3A44">
        <w:t>Aureon</w:t>
      </w:r>
      <w:r w:rsidRPr="003B7C7F" w:rsidR="005C3A44">
        <w:t xml:space="preserve"> provides.”</w:t>
      </w:r>
      <w:r>
        <w:rPr>
          <w:rStyle w:val="FootnoteReference"/>
        </w:rPr>
        <w:footnoteReference w:id="27"/>
      </w:r>
      <w:r w:rsidRPr="003B7C7F" w:rsidR="005C3A44">
        <w:t xml:space="preserve">  </w:t>
      </w:r>
      <w:r w:rsidRPr="003B7C7F">
        <w:t xml:space="preserve">The Commission also found that CenturyLink’s switched access rate was the appropriate rate regardless of whether CenturyLink provided equal access functionality because “CenturyLink or its predecessors did provide equal access capability to its customers when it was required . . . thus, it has or had the technical capability to offer that functionality were </w:t>
      </w:r>
      <w:r w:rsidRPr="003B7C7F">
        <w:t>Aureon</w:t>
      </w:r>
      <w:r w:rsidRPr="003B7C7F">
        <w:t xml:space="preserve"> not providing it, to the extent still necessary</w:t>
      </w:r>
      <w:r w:rsidRPr="003B7C7F" w:rsidR="00104469">
        <w:t xml:space="preserve">, and </w:t>
      </w:r>
      <w:r w:rsidRPr="003B7C7F" w:rsidR="00104469">
        <w:t>Aureon’s</w:t>
      </w:r>
      <w:r w:rsidRPr="003B7C7F" w:rsidR="00104469">
        <w:t xml:space="preserve"> LECs do not.”</w:t>
      </w:r>
      <w:r>
        <w:rPr>
          <w:rStyle w:val="FootnoteReference"/>
        </w:rPr>
        <w:footnoteReference w:id="28"/>
      </w:r>
    </w:p>
    <w:p w:rsidR="000C0123" w:rsidRPr="003B7C7F" w:rsidP="00151B3F" w14:paraId="315FE000" w14:textId="77777777">
      <w:pPr>
        <w:pStyle w:val="Heading2"/>
      </w:pPr>
      <w:r w:rsidRPr="003B7C7F">
        <w:t>Procedural History</w:t>
      </w:r>
    </w:p>
    <w:p w:rsidR="00EB760E" w:rsidRPr="003B7C7F" w:rsidP="00866A04" w14:paraId="462121A3" w14:textId="77777777">
      <w:pPr>
        <w:pStyle w:val="ParaNum"/>
        <w:widowControl/>
      </w:pPr>
      <w:bookmarkStart w:id="2" w:name="_Hlk531350207"/>
      <w:r w:rsidRPr="003B7C7F">
        <w:t xml:space="preserve">After </w:t>
      </w:r>
      <w:r w:rsidRPr="003B7C7F" w:rsidR="00104469">
        <w:t xml:space="preserve">release of </w:t>
      </w:r>
      <w:r w:rsidRPr="003B7C7F">
        <w:t xml:space="preserve">the </w:t>
      </w:r>
      <w:r w:rsidRPr="003B7C7F">
        <w:rPr>
          <w:i/>
        </w:rPr>
        <w:t>Aureon</w:t>
      </w:r>
      <w:r w:rsidRPr="003B7C7F">
        <w:rPr>
          <w:i/>
        </w:rPr>
        <w:t xml:space="preserve"> Tariff Investigation Order</w:t>
      </w:r>
      <w:r w:rsidRPr="003B7C7F">
        <w:t xml:space="preserve">, </w:t>
      </w:r>
      <w:bookmarkEnd w:id="2"/>
      <w:r w:rsidRPr="003B7C7F" w:rsidR="00B957E4">
        <w:t xml:space="preserve">SDN filed proposed </w:t>
      </w:r>
      <w:r w:rsidRPr="003B7C7F" w:rsidR="00E145A2">
        <w:t xml:space="preserve">tariff revisions </w:t>
      </w:r>
      <w:r w:rsidRPr="003B7C7F" w:rsidR="00B957E4">
        <w:t>on September 17, 2018, to become effective on October 2, 2018.</w:t>
      </w:r>
      <w:r>
        <w:rPr>
          <w:sz w:val="20"/>
          <w:vertAlign w:val="superscript"/>
        </w:rPr>
        <w:footnoteReference w:id="29"/>
      </w:r>
      <w:r w:rsidRPr="003B7C7F" w:rsidR="00B957E4">
        <w:t xml:space="preserve">  </w:t>
      </w:r>
      <w:r w:rsidRPr="003B7C7F" w:rsidR="0023264B">
        <w:t xml:space="preserve">In its proposed tariff </w:t>
      </w:r>
      <w:r w:rsidRPr="003B7C7F" w:rsidR="00816400">
        <w:t>revisions,</w:t>
      </w:r>
      <w:r w:rsidRPr="003B7C7F" w:rsidR="00B957E4">
        <w:t xml:space="preserve"> SDN filed a CEA rate of $0.004871 per </w:t>
      </w:r>
      <w:r w:rsidRPr="003B7C7F" w:rsidR="00B45638">
        <w:t xml:space="preserve">minute of use </w:t>
      </w:r>
      <w:r w:rsidRPr="003B7C7F" w:rsidR="00B957E4">
        <w:t>based on its cost support.</w:t>
      </w:r>
      <w:r>
        <w:rPr>
          <w:rStyle w:val="FootnoteReference"/>
        </w:rPr>
        <w:footnoteReference w:id="30"/>
      </w:r>
      <w:r w:rsidRPr="003B7C7F" w:rsidR="00B957E4">
        <w:t xml:space="preserve">  Although </w:t>
      </w:r>
      <w:r w:rsidRPr="003B7C7F" w:rsidR="00816400">
        <w:t>SD</w:t>
      </w:r>
      <w:r w:rsidRPr="003B7C7F" w:rsidR="00C77185">
        <w:t>N</w:t>
      </w:r>
      <w:r w:rsidRPr="003B7C7F" w:rsidR="00816400">
        <w:t xml:space="preserve"> takes</w:t>
      </w:r>
      <w:r w:rsidRPr="003B7C7F" w:rsidR="00B957E4">
        <w:t xml:space="preserve"> issue with </w:t>
      </w:r>
      <w:r w:rsidRPr="003B7C7F" w:rsidR="00FE0816">
        <w:t xml:space="preserve">the Commission’s </w:t>
      </w:r>
      <w:r w:rsidRPr="003B7C7F" w:rsidR="002E5177">
        <w:t xml:space="preserve">previous determination </w:t>
      </w:r>
      <w:r w:rsidRPr="003B7C7F" w:rsidR="000C0123">
        <w:t xml:space="preserve">that the </w:t>
      </w:r>
      <w:r w:rsidRPr="003B7C7F" w:rsidR="00FC15C7">
        <w:t xml:space="preserve">CLEC benchmark rule </w:t>
      </w:r>
      <w:r w:rsidRPr="003B7C7F" w:rsidR="000C0123">
        <w:t>is applicable to</w:t>
      </w:r>
      <w:r w:rsidRPr="003B7C7F" w:rsidR="00FC15C7">
        <w:t xml:space="preserve"> CEA service</w:t>
      </w:r>
      <w:r w:rsidRPr="003B7C7F" w:rsidR="00B957E4">
        <w:t xml:space="preserve">, SDN also calculated </w:t>
      </w:r>
      <w:r w:rsidRPr="003B7C7F" w:rsidR="00303316">
        <w:t>what it calls a “</w:t>
      </w:r>
      <w:r w:rsidRPr="003B7C7F" w:rsidR="009516EF">
        <w:t>unified</w:t>
      </w:r>
      <w:r w:rsidRPr="003B7C7F" w:rsidR="00B957E4">
        <w:t xml:space="preserve"> benchmark rate</w:t>
      </w:r>
      <w:r w:rsidRPr="003B7C7F" w:rsidR="00303316">
        <w:t>”</w:t>
      </w:r>
      <w:r w:rsidRPr="003B7C7F" w:rsidR="00B957E4">
        <w:t xml:space="preserve"> of $0.014203 per </w:t>
      </w:r>
      <w:r w:rsidRPr="003B7C7F" w:rsidR="00B45638">
        <w:t>minute of use</w:t>
      </w:r>
      <w:r w:rsidRPr="003B7C7F" w:rsidR="00303316">
        <w:t>.</w:t>
      </w:r>
      <w:r>
        <w:rPr>
          <w:rStyle w:val="FootnoteReference"/>
        </w:rPr>
        <w:footnoteReference w:id="31"/>
      </w:r>
      <w:r w:rsidRPr="003B7C7F" w:rsidR="00303316">
        <w:t xml:space="preserve">  As described by SDN</w:t>
      </w:r>
      <w:r w:rsidRPr="003B7C7F" w:rsidR="00B12A41">
        <w:t>,</w:t>
      </w:r>
      <w:r w:rsidRPr="003B7C7F" w:rsidR="00303316">
        <w:t xml:space="preserve"> </w:t>
      </w:r>
      <w:r w:rsidRPr="003B7C7F" w:rsidR="006D5CEC">
        <w:t>its</w:t>
      </w:r>
      <w:r w:rsidRPr="003B7C7F" w:rsidR="00303316">
        <w:t xml:space="preserve"> </w:t>
      </w:r>
      <w:r w:rsidRPr="003B7C7F" w:rsidR="00B957E4">
        <w:t xml:space="preserve">“unified benchmark rate” </w:t>
      </w:r>
      <w:r w:rsidRPr="003B7C7F" w:rsidR="00303316">
        <w:t xml:space="preserve">is a combination of </w:t>
      </w:r>
      <w:r w:rsidRPr="003B7C7F" w:rsidR="00B957E4">
        <w:t xml:space="preserve">CenturyLink’s </w:t>
      </w:r>
      <w:r w:rsidRPr="003B7C7F" w:rsidR="00F40BF5">
        <w:t xml:space="preserve">interstate </w:t>
      </w:r>
      <w:r w:rsidRPr="003B7C7F" w:rsidR="00B957E4">
        <w:t xml:space="preserve">tandem switching rate ($0.002288 per </w:t>
      </w:r>
      <w:r w:rsidRPr="003B7C7F" w:rsidR="00A26354">
        <w:t>minute of use</w:t>
      </w:r>
      <w:r w:rsidRPr="003B7C7F" w:rsidR="00B957E4">
        <w:t>) and an “equal acce</w:t>
      </w:r>
      <w:r w:rsidRPr="003B7C7F" w:rsidR="00C77185">
        <w:t>ss service benchmark” ($0.01195</w:t>
      </w:r>
      <w:r w:rsidRPr="003B7C7F" w:rsidR="00B957E4">
        <w:t xml:space="preserve"> per </w:t>
      </w:r>
      <w:r w:rsidRPr="003B7C7F" w:rsidR="00A26354">
        <w:t>minute of use</w:t>
      </w:r>
      <w:r w:rsidRPr="003B7C7F" w:rsidR="00B957E4">
        <w:t>).</w:t>
      </w:r>
      <w:r>
        <w:rPr>
          <w:rStyle w:val="FootnoteReference"/>
        </w:rPr>
        <w:footnoteReference w:id="32"/>
      </w:r>
      <w:r w:rsidRPr="003B7C7F" w:rsidR="00B957E4">
        <w:t xml:space="preserve"> </w:t>
      </w:r>
    </w:p>
    <w:p w:rsidR="00B957E4" w:rsidRPr="003B7C7F" w:rsidP="00151B3F" w14:paraId="0014488E" w14:textId="2B24D66D">
      <w:pPr>
        <w:pStyle w:val="ParaNum"/>
      </w:pPr>
      <w:r w:rsidRPr="003B7C7F">
        <w:t>SDN</w:t>
      </w:r>
      <w:r w:rsidRPr="003B7C7F" w:rsidR="00FC154E">
        <w:t xml:space="preserve"> concedes that</w:t>
      </w:r>
      <w:r w:rsidRPr="003B7C7F" w:rsidR="00344173">
        <w:t xml:space="preserve"> to the extent the benchmark rule applies,</w:t>
      </w:r>
      <w:r w:rsidRPr="003B7C7F">
        <w:t xml:space="preserve"> </w:t>
      </w:r>
      <w:r w:rsidRPr="003B7C7F" w:rsidR="00104469">
        <w:t>CenturyLink would b</w:t>
      </w:r>
      <w:r w:rsidRPr="003B7C7F" w:rsidR="00EB760E">
        <w:t xml:space="preserve">e </w:t>
      </w:r>
      <w:r w:rsidRPr="003B7C7F" w:rsidR="00344173">
        <w:t>SDN’s</w:t>
      </w:r>
      <w:r w:rsidRPr="003B7C7F" w:rsidR="00104469">
        <w:t xml:space="preserve"> competing</w:t>
      </w:r>
      <w:r w:rsidRPr="003B7C7F" w:rsidR="001D5DA5">
        <w:t xml:space="preserve"> incumbent</w:t>
      </w:r>
      <w:r w:rsidRPr="003B7C7F" w:rsidR="00104469">
        <w:t xml:space="preserve"> LEC for purposes of tandem switching</w:t>
      </w:r>
      <w:r w:rsidRPr="003B7C7F" w:rsidR="00344173">
        <w:t>.</w:t>
      </w:r>
      <w:r>
        <w:rPr>
          <w:rStyle w:val="FootnoteReference"/>
        </w:rPr>
        <w:footnoteReference w:id="33"/>
      </w:r>
      <w:r w:rsidRPr="003B7C7F" w:rsidR="00344173">
        <w:t xml:space="preserve">  Thus</w:t>
      </w:r>
      <w:r w:rsidRPr="003B7C7F" w:rsidR="006F792E">
        <w:t>,</w:t>
      </w:r>
      <w:r w:rsidRPr="003B7C7F" w:rsidR="00344173">
        <w:t xml:space="preserve"> the first input to SDN’s “unified benchmark rate” is CenturyLink’s interstate tandem switching rate.  However, according to SDN, its </w:t>
      </w:r>
      <w:r w:rsidRPr="003B7C7F" w:rsidR="00607B9A">
        <w:t>benchmark</w:t>
      </w:r>
      <w:r w:rsidRPr="003B7C7F" w:rsidR="002C6C04">
        <w:t xml:space="preserve"> </w:t>
      </w:r>
      <w:r w:rsidRPr="003B7C7F" w:rsidR="00344173">
        <w:t xml:space="preserve">rate should also reflect the equal access services it provides, and it argues that </w:t>
      </w:r>
      <w:r w:rsidRPr="003B7C7F" w:rsidR="00FB5B48">
        <w:t>its</w:t>
      </w:r>
      <w:r w:rsidRPr="003B7C7F" w:rsidR="00104469">
        <w:t xml:space="preserve"> subtending </w:t>
      </w:r>
      <w:r w:rsidRPr="003B7C7F" w:rsidR="00EB760E">
        <w:t xml:space="preserve">incumbent </w:t>
      </w:r>
      <w:r w:rsidRPr="003B7C7F" w:rsidR="00104469">
        <w:t xml:space="preserve">LECs would be </w:t>
      </w:r>
      <w:r w:rsidRPr="003B7C7F" w:rsidR="001D5DA5">
        <w:t>the</w:t>
      </w:r>
      <w:r w:rsidRPr="003B7C7F" w:rsidR="00104469">
        <w:t xml:space="preserve"> competing </w:t>
      </w:r>
      <w:r w:rsidRPr="003B7C7F" w:rsidR="001D5DA5">
        <w:t xml:space="preserve">incumbent </w:t>
      </w:r>
      <w:r w:rsidRPr="003B7C7F" w:rsidR="00104469">
        <w:t>LEC</w:t>
      </w:r>
      <w:r w:rsidRPr="003B7C7F" w:rsidR="001D5DA5">
        <w:t>s</w:t>
      </w:r>
      <w:r w:rsidRPr="003B7C7F" w:rsidR="00104469">
        <w:t xml:space="preserve"> for purposes of providing equal access.</w:t>
      </w:r>
      <w:r>
        <w:rPr>
          <w:rStyle w:val="FootnoteReference"/>
        </w:rPr>
        <w:footnoteReference w:id="34"/>
      </w:r>
      <w:r w:rsidRPr="003B7C7F" w:rsidR="00104469">
        <w:t xml:space="preserve">  </w:t>
      </w:r>
      <w:r w:rsidRPr="003B7C7F" w:rsidR="00EB760E">
        <w:t xml:space="preserve">According to SDN, all but one of its </w:t>
      </w:r>
      <w:r w:rsidRPr="003B7C7F" w:rsidR="00104469">
        <w:t xml:space="preserve">subtending </w:t>
      </w:r>
      <w:r w:rsidRPr="003B7C7F" w:rsidR="00F203CD">
        <w:t xml:space="preserve">incumbent </w:t>
      </w:r>
      <w:r w:rsidRPr="003B7C7F" w:rsidR="00104469">
        <w:t xml:space="preserve">LECs </w:t>
      </w:r>
      <w:r w:rsidRPr="003B7C7F" w:rsidR="00607B9A">
        <w:t>participate in</w:t>
      </w:r>
      <w:r w:rsidRPr="003B7C7F" w:rsidR="00EB760E">
        <w:t xml:space="preserve"> the NECA tariffed rate</w:t>
      </w:r>
      <w:r w:rsidRPr="003B7C7F" w:rsidR="00321A7C">
        <w:t>s</w:t>
      </w:r>
      <w:r w:rsidRPr="003B7C7F" w:rsidR="00EB760E">
        <w:t xml:space="preserve"> for their end office switching.</w:t>
      </w:r>
      <w:r>
        <w:rPr>
          <w:rStyle w:val="FootnoteReference"/>
        </w:rPr>
        <w:footnoteReference w:id="35"/>
      </w:r>
      <w:r w:rsidRPr="003B7C7F" w:rsidR="00EB760E">
        <w:t xml:space="preserve">  </w:t>
      </w:r>
      <w:r w:rsidRPr="003B7C7F" w:rsidR="00A05DA3">
        <w:t>A</w:t>
      </w:r>
      <w:r w:rsidRPr="003B7C7F" w:rsidR="00344173">
        <w:t xml:space="preserve">s SDN explains, </w:t>
      </w:r>
      <w:r w:rsidRPr="003B7C7F" w:rsidR="00A05DA3">
        <w:t xml:space="preserve">although </w:t>
      </w:r>
      <w:r w:rsidRPr="003B7C7F" w:rsidR="00344173">
        <w:t>t</w:t>
      </w:r>
      <w:r w:rsidRPr="003B7C7F" w:rsidR="00EB760E">
        <w:t xml:space="preserve">he NECA tariff does not include a specific </w:t>
      </w:r>
      <w:r w:rsidRPr="003B7C7F" w:rsidR="00321A7C">
        <w:t>equal access</w:t>
      </w:r>
      <w:r w:rsidRPr="003B7C7F" w:rsidR="00EB760E">
        <w:t xml:space="preserve"> rate, “it does contain a premium and non-premium rate for originating local end office switching, depending on whether the LEC offers equal access with local end office switching (in which case the premium rate applies) or not (in which case the non-premium rate applies)</w:t>
      </w:r>
      <w:r w:rsidRPr="003B7C7F" w:rsidR="00344173">
        <w:t>.”</w:t>
      </w:r>
      <w:r>
        <w:rPr>
          <w:rStyle w:val="FootnoteReference"/>
        </w:rPr>
        <w:footnoteReference w:id="36"/>
      </w:r>
      <w:r w:rsidRPr="003B7C7F" w:rsidR="00344173">
        <w:t xml:space="preserve">  </w:t>
      </w:r>
      <w:r w:rsidRPr="003B7C7F" w:rsidR="007503E4">
        <w:t xml:space="preserve">According to </w:t>
      </w:r>
      <w:r w:rsidRPr="003B7C7F" w:rsidR="00EB760E">
        <w:t>SDN</w:t>
      </w:r>
      <w:r w:rsidRPr="003B7C7F" w:rsidR="00344173">
        <w:t xml:space="preserve">, </w:t>
      </w:r>
      <w:r w:rsidRPr="003B7C7F" w:rsidR="007503E4">
        <w:t xml:space="preserve">it </w:t>
      </w:r>
      <w:r w:rsidRPr="003B7C7F" w:rsidR="00344173">
        <w:t>therefore,</w:t>
      </w:r>
      <w:r w:rsidRPr="003B7C7F" w:rsidR="00EB760E">
        <w:t xml:space="preserve"> determine</w:t>
      </w:r>
      <w:r w:rsidRPr="003B7C7F" w:rsidR="00344173">
        <w:t>d</w:t>
      </w:r>
      <w:r w:rsidRPr="003B7C7F" w:rsidR="00EB760E">
        <w:t xml:space="preserve"> </w:t>
      </w:r>
      <w:r w:rsidRPr="003B7C7F" w:rsidR="00607B9A">
        <w:t>“</w:t>
      </w:r>
      <w:r w:rsidRPr="003B7C7F" w:rsidR="00EB760E">
        <w:t>a benchmark rate for the equal access portion of local end office switching by isolating the differential between the premium and non-premium rate.”</w:t>
      </w:r>
      <w:r>
        <w:rPr>
          <w:rStyle w:val="FootnoteReference"/>
        </w:rPr>
        <w:footnoteReference w:id="37"/>
      </w:r>
      <w:r w:rsidRPr="003B7C7F" w:rsidR="005D1F96">
        <w:t xml:space="preserve">  </w:t>
      </w:r>
      <w:r w:rsidRPr="003B7C7F">
        <w:t>SDN</w:t>
      </w:r>
      <w:r w:rsidRPr="003B7C7F" w:rsidR="005B6C76">
        <w:t xml:space="preserve"> explains that</w:t>
      </w:r>
      <w:r w:rsidRPr="003B7C7F">
        <w:t xml:space="preserve"> because its cost-based rate of $0.004871 </w:t>
      </w:r>
      <w:r w:rsidRPr="003B7C7F" w:rsidR="005B6C76">
        <w:t xml:space="preserve">per </w:t>
      </w:r>
      <w:r w:rsidRPr="003B7C7F" w:rsidR="00A26354">
        <w:t>minute of use</w:t>
      </w:r>
      <w:r w:rsidRPr="003B7C7F" w:rsidR="005B6C76">
        <w:t xml:space="preserve"> </w:t>
      </w:r>
      <w:r w:rsidRPr="003B7C7F">
        <w:t xml:space="preserve">is lower than its </w:t>
      </w:r>
      <w:r w:rsidRPr="003B7C7F" w:rsidR="000C46CF">
        <w:t>“</w:t>
      </w:r>
      <w:r w:rsidRPr="003B7C7F">
        <w:t>unified benchmark rate</w:t>
      </w:r>
      <w:r w:rsidRPr="003B7C7F" w:rsidR="000C46CF">
        <w:t>”</w:t>
      </w:r>
      <w:r w:rsidRPr="003B7C7F">
        <w:t xml:space="preserve"> of $0.014203</w:t>
      </w:r>
      <w:r w:rsidRPr="003B7C7F" w:rsidR="005B6C76">
        <w:t xml:space="preserve"> per </w:t>
      </w:r>
      <w:r w:rsidRPr="003B7C7F" w:rsidR="00A26354">
        <w:t>minute of use</w:t>
      </w:r>
      <w:r w:rsidRPr="003B7C7F">
        <w:t xml:space="preserve">, </w:t>
      </w:r>
      <w:r w:rsidRPr="003B7C7F" w:rsidR="00303316">
        <w:t>SDN</w:t>
      </w:r>
      <w:r w:rsidRPr="003B7C7F">
        <w:t xml:space="preserve"> used the former rate for purposes of its proposed </w:t>
      </w:r>
      <w:r w:rsidRPr="003B7C7F" w:rsidR="00E145A2">
        <w:t>tariff revisions</w:t>
      </w:r>
      <w:r w:rsidRPr="003B7C7F">
        <w:t>.</w:t>
      </w:r>
      <w:r>
        <w:rPr>
          <w:rStyle w:val="FootnoteReference"/>
        </w:rPr>
        <w:footnoteReference w:id="38"/>
      </w:r>
    </w:p>
    <w:p w:rsidR="00B957E4" w:rsidRPr="003B7C7F" w:rsidP="007E7F0A" w14:paraId="25301700" w14:textId="77777777">
      <w:pPr>
        <w:pStyle w:val="ParaNum"/>
      </w:pPr>
      <w:r w:rsidRPr="003B7C7F">
        <w:t xml:space="preserve">On September 24, 2018, James Valley Cooperative Telephone Company </w:t>
      </w:r>
      <w:r w:rsidRPr="003B7C7F" w:rsidR="00C05BD4">
        <w:t xml:space="preserve">(JVCTC) </w:t>
      </w:r>
      <w:r w:rsidRPr="003B7C7F">
        <w:t>and North</w:t>
      </w:r>
      <w:r w:rsidRPr="003B7C7F" w:rsidR="00E145A2">
        <w:t>ern</w:t>
      </w:r>
      <w:r w:rsidRPr="003B7C7F">
        <w:t xml:space="preserve"> Valley Communications, LLC (</w:t>
      </w:r>
      <w:r w:rsidRPr="003B7C7F" w:rsidR="00C05BD4">
        <w:t>NVC</w:t>
      </w:r>
      <w:r w:rsidRPr="003B7C7F">
        <w:t xml:space="preserve">) filed a </w:t>
      </w:r>
      <w:r w:rsidRPr="003B7C7F" w:rsidR="00BD1D39">
        <w:t>P</w:t>
      </w:r>
      <w:r w:rsidRPr="003B7C7F">
        <w:t>etition asking the Commission to reject, or to suspend and investigate, SDN</w:t>
      </w:r>
      <w:r w:rsidRPr="003B7C7F" w:rsidR="005B6C76">
        <w:t>’s proposed</w:t>
      </w:r>
      <w:r w:rsidRPr="003B7C7F">
        <w:t xml:space="preserve"> </w:t>
      </w:r>
      <w:r w:rsidRPr="003B7C7F" w:rsidR="000C46CF">
        <w:t>tariff revisions</w:t>
      </w:r>
      <w:r w:rsidRPr="003B7C7F">
        <w:t>.</w:t>
      </w:r>
      <w:r>
        <w:rPr>
          <w:rStyle w:val="FootnoteReference"/>
        </w:rPr>
        <w:footnoteReference w:id="39"/>
      </w:r>
      <w:r w:rsidRPr="003B7C7F">
        <w:t xml:space="preserve"> </w:t>
      </w:r>
      <w:r w:rsidRPr="003B7C7F" w:rsidR="0070381F">
        <w:t xml:space="preserve"> </w:t>
      </w:r>
      <w:r w:rsidRPr="003B7C7F" w:rsidR="00C05BD4">
        <w:t xml:space="preserve">JVCTC and NVC </w:t>
      </w:r>
      <w:r w:rsidRPr="003B7C7F" w:rsidR="0070381F">
        <w:t>argued that</w:t>
      </w:r>
      <w:r w:rsidRPr="003B7C7F" w:rsidR="00846106">
        <w:t>:</w:t>
      </w:r>
      <w:r w:rsidRPr="003B7C7F" w:rsidR="00C77185">
        <w:t xml:space="preserve"> </w:t>
      </w:r>
      <w:r w:rsidRPr="003B7C7F" w:rsidR="00970BF4">
        <w:t>(1)</w:t>
      </w:r>
      <w:r w:rsidRPr="003B7C7F" w:rsidR="0070381F">
        <w:t xml:space="preserve"> language in the tariff revision</w:t>
      </w:r>
      <w:r w:rsidRPr="003B7C7F" w:rsidR="0084202C">
        <w:t>s</w:t>
      </w:r>
      <w:r w:rsidRPr="003B7C7F" w:rsidR="00970BF4">
        <w:t xml:space="preserve"> was discrim</w:t>
      </w:r>
      <w:r w:rsidRPr="003B7C7F" w:rsidR="00560296">
        <w:t>in</w:t>
      </w:r>
      <w:r w:rsidRPr="003B7C7F" w:rsidR="00970BF4">
        <w:t xml:space="preserve">atory; (2) SDN’s benchmark calculation does not comply with </w:t>
      </w:r>
      <w:r w:rsidRPr="003B7C7F" w:rsidR="005D1F96">
        <w:t>the Commission’s</w:t>
      </w:r>
      <w:r w:rsidRPr="003B7C7F" w:rsidR="002E5177">
        <w:t xml:space="preserve"> previous treatment of CEA services</w:t>
      </w:r>
      <w:r w:rsidRPr="003B7C7F" w:rsidR="00F8191D">
        <w:t>;</w:t>
      </w:r>
      <w:r w:rsidRPr="003B7C7F" w:rsidR="00970BF4">
        <w:t xml:space="preserve"> and (3) SDN’s traffic projections should be </w:t>
      </w:r>
      <w:r w:rsidRPr="003B7C7F" w:rsidR="00970BF4">
        <w:t>investigated.</w:t>
      </w:r>
      <w:r>
        <w:rPr>
          <w:rStyle w:val="FootnoteReference"/>
        </w:rPr>
        <w:footnoteReference w:id="40"/>
      </w:r>
      <w:r w:rsidRPr="003B7C7F" w:rsidR="00C77185">
        <w:t xml:space="preserve"> </w:t>
      </w:r>
      <w:r w:rsidRPr="003B7C7F">
        <w:t xml:space="preserve"> SDN filed a reply to the Petition on September 28, 2018, requesting that the </w:t>
      </w:r>
      <w:r w:rsidRPr="003B7C7F" w:rsidR="00C548E1">
        <w:t xml:space="preserve">Petition </w:t>
      </w:r>
      <w:r w:rsidRPr="003B7C7F">
        <w:t>be denied.</w:t>
      </w:r>
      <w:r>
        <w:rPr>
          <w:rStyle w:val="FootnoteReference"/>
        </w:rPr>
        <w:footnoteReference w:id="41"/>
      </w:r>
      <w:r w:rsidRPr="003B7C7F">
        <w:t xml:space="preserve">  </w:t>
      </w:r>
      <w:r w:rsidRPr="003B7C7F">
        <w:rPr>
          <w:iCs/>
          <w:szCs w:val="22"/>
        </w:rPr>
        <w:t xml:space="preserve">On October 1, </w:t>
      </w:r>
      <w:r w:rsidRPr="003B7C7F" w:rsidR="00C50F01">
        <w:rPr>
          <w:iCs/>
          <w:szCs w:val="22"/>
        </w:rPr>
        <w:t xml:space="preserve">2018, </w:t>
      </w:r>
      <w:r w:rsidRPr="003B7C7F" w:rsidR="00C05BD4">
        <w:rPr>
          <w:iCs/>
          <w:szCs w:val="22"/>
        </w:rPr>
        <w:t xml:space="preserve">JVCTC and NVC </w:t>
      </w:r>
      <w:r w:rsidRPr="003B7C7F">
        <w:rPr>
          <w:iCs/>
          <w:szCs w:val="22"/>
        </w:rPr>
        <w:t>fil</w:t>
      </w:r>
      <w:r w:rsidRPr="003B7C7F" w:rsidR="007E7F0A">
        <w:rPr>
          <w:iCs/>
          <w:szCs w:val="22"/>
        </w:rPr>
        <w:t>ed a letter withdrawing in part</w:t>
      </w:r>
      <w:r w:rsidRPr="003B7C7F">
        <w:rPr>
          <w:iCs/>
          <w:szCs w:val="22"/>
        </w:rPr>
        <w:t xml:space="preserve"> their objection to SDN’s tariff revisions</w:t>
      </w:r>
      <w:r w:rsidRPr="003B7C7F" w:rsidR="00F40BF5">
        <w:rPr>
          <w:iCs/>
          <w:szCs w:val="22"/>
        </w:rPr>
        <w:t xml:space="preserve"> after SDN removed the language from its tariff that </w:t>
      </w:r>
      <w:r w:rsidRPr="003B7C7F" w:rsidR="00C05BD4">
        <w:rPr>
          <w:iCs/>
          <w:szCs w:val="22"/>
        </w:rPr>
        <w:t xml:space="preserve">JVCTC and NVC </w:t>
      </w:r>
      <w:r w:rsidRPr="003B7C7F" w:rsidR="00F40BF5">
        <w:rPr>
          <w:iCs/>
          <w:szCs w:val="22"/>
        </w:rPr>
        <w:t>argued was discriminatory</w:t>
      </w:r>
      <w:r w:rsidRPr="003B7C7F">
        <w:rPr>
          <w:iCs/>
          <w:szCs w:val="22"/>
        </w:rPr>
        <w:t>.</w:t>
      </w:r>
      <w:r>
        <w:rPr>
          <w:rStyle w:val="FootnoteReference"/>
          <w:iCs/>
          <w:szCs w:val="22"/>
        </w:rPr>
        <w:footnoteReference w:id="42"/>
      </w:r>
    </w:p>
    <w:p w:rsidR="00E91F1A" w:rsidRPr="003B7C7F" w:rsidP="00E91F1A" w14:paraId="40EF234F" w14:textId="6076D0D4">
      <w:pPr>
        <w:pStyle w:val="ParaNum"/>
      </w:pPr>
      <w:r w:rsidRPr="003B7C7F">
        <w:t xml:space="preserve">Upon review of </w:t>
      </w:r>
      <w:r w:rsidRPr="003B7C7F" w:rsidR="00BD1D39">
        <w:t>SDN’s tariff revisions</w:t>
      </w:r>
      <w:r w:rsidRPr="003B7C7F" w:rsidR="00017E96">
        <w:t xml:space="preserve">, </w:t>
      </w:r>
      <w:r w:rsidRPr="003B7C7F" w:rsidR="007E5D23">
        <w:t xml:space="preserve">the </w:t>
      </w:r>
      <w:r w:rsidRPr="003B7C7F" w:rsidR="00756C4E">
        <w:t>Wireline Competition Bureau (</w:t>
      </w:r>
      <w:r w:rsidRPr="003B7C7F" w:rsidR="007B3AB7">
        <w:t>Bureau</w:t>
      </w:r>
      <w:r w:rsidRPr="003B7C7F" w:rsidR="00756C4E">
        <w:t>)</w:t>
      </w:r>
      <w:r w:rsidRPr="003B7C7F" w:rsidR="009D5536">
        <w:t xml:space="preserve"> </w:t>
      </w:r>
      <w:r w:rsidRPr="003B7C7F">
        <w:t>concluded that substantial questions of l</w:t>
      </w:r>
      <w:r w:rsidRPr="003B7C7F" w:rsidR="00BA45DE">
        <w:t>awfulness exist regarding SDN</w:t>
      </w:r>
      <w:r w:rsidRPr="003B7C7F">
        <w:t xml:space="preserve">’s revised </w:t>
      </w:r>
      <w:r w:rsidRPr="003B7C7F" w:rsidR="00BA052B">
        <w:t xml:space="preserve">tandem switching </w:t>
      </w:r>
      <w:r w:rsidRPr="003B7C7F">
        <w:t>rate that require</w:t>
      </w:r>
      <w:r w:rsidRPr="003B7C7F" w:rsidR="009848CA">
        <w:t>d</w:t>
      </w:r>
      <w:r w:rsidRPr="003B7C7F">
        <w:t xml:space="preserve"> further investigation.</w:t>
      </w:r>
      <w:r>
        <w:rPr>
          <w:rStyle w:val="FootnoteReference"/>
        </w:rPr>
        <w:footnoteReference w:id="43"/>
      </w:r>
      <w:r w:rsidRPr="003B7C7F">
        <w:t xml:space="preserve">  Therefore, pursuant to </w:t>
      </w:r>
      <w:r w:rsidRPr="003B7C7F" w:rsidR="00F0333D">
        <w:t>s</w:t>
      </w:r>
      <w:r w:rsidRPr="003B7C7F">
        <w:t xml:space="preserve">ection 204 of the Act, </w:t>
      </w:r>
      <w:r w:rsidRPr="003B7C7F" w:rsidR="007E5D23">
        <w:t>the Bureau</w:t>
      </w:r>
      <w:r w:rsidRPr="003B7C7F" w:rsidR="006369E6">
        <w:t>:</w:t>
      </w:r>
      <w:r w:rsidRPr="003B7C7F" w:rsidR="009D5536">
        <w:t xml:space="preserve"> </w:t>
      </w:r>
      <w:r w:rsidRPr="003B7C7F">
        <w:t xml:space="preserve">advanced the effective date </w:t>
      </w:r>
      <w:r w:rsidRPr="003B7C7F" w:rsidR="0084202C">
        <w:t xml:space="preserve">of SDN’s tariff revisions </w:t>
      </w:r>
      <w:r w:rsidRPr="003B7C7F">
        <w:t xml:space="preserve">for one day to </w:t>
      </w:r>
      <w:r w:rsidRPr="003B7C7F" w:rsidR="00CD3423">
        <w:t>October 1, 2018</w:t>
      </w:r>
      <w:r w:rsidRPr="003B7C7F">
        <w:t xml:space="preserve"> and then suspended the</w:t>
      </w:r>
      <w:r w:rsidRPr="003B7C7F" w:rsidR="0084202C">
        <w:t>m</w:t>
      </w:r>
      <w:r w:rsidRPr="003B7C7F">
        <w:t xml:space="preserve"> for one day, allowing the</w:t>
      </w:r>
      <w:r w:rsidRPr="003B7C7F" w:rsidR="0084202C">
        <w:t>m</w:t>
      </w:r>
      <w:r w:rsidRPr="003B7C7F">
        <w:t xml:space="preserve"> to become effective on </w:t>
      </w:r>
      <w:r w:rsidRPr="003B7C7F" w:rsidR="00CD3423">
        <w:t>October 2, 2018</w:t>
      </w:r>
      <w:r w:rsidRPr="003B7C7F" w:rsidR="006369E6">
        <w:t>;</w:t>
      </w:r>
      <w:r w:rsidRPr="003B7C7F">
        <w:t xml:space="preserve"> imposed an accounting order</w:t>
      </w:r>
      <w:r w:rsidRPr="003B7C7F" w:rsidR="006369E6">
        <w:t>;</w:t>
      </w:r>
      <w:r w:rsidRPr="003B7C7F">
        <w:t xml:space="preserve"> and instituted an investigati</w:t>
      </w:r>
      <w:r w:rsidRPr="003B7C7F" w:rsidR="00B957E4">
        <w:t>on into the lawfulness of SDN</w:t>
      </w:r>
      <w:r w:rsidRPr="003B7C7F">
        <w:t xml:space="preserve">’s </w:t>
      </w:r>
      <w:r w:rsidRPr="003B7C7F" w:rsidR="00C77185">
        <w:t xml:space="preserve">revised interstate </w:t>
      </w:r>
      <w:r w:rsidRPr="003B7C7F" w:rsidR="00BA052B">
        <w:t>tandem-</w:t>
      </w:r>
      <w:r w:rsidRPr="003B7C7F">
        <w:t xml:space="preserve">switched </w:t>
      </w:r>
      <w:r w:rsidRPr="003B7C7F" w:rsidR="00C77185">
        <w:t>access service</w:t>
      </w:r>
      <w:r w:rsidRPr="003B7C7F">
        <w:t xml:space="preserve"> rate.</w:t>
      </w:r>
      <w:r>
        <w:rPr>
          <w:rStyle w:val="FootnoteReference"/>
        </w:rPr>
        <w:footnoteReference w:id="44"/>
      </w:r>
    </w:p>
    <w:p w:rsidR="005D1F96" w:rsidRPr="003B7C7F" w:rsidP="00E91F1A" w14:paraId="312A59AE" w14:textId="77777777">
      <w:pPr>
        <w:pStyle w:val="ParaNum"/>
      </w:pPr>
      <w:r w:rsidRPr="003B7C7F">
        <w:t xml:space="preserve">On November 29, 2018, the Bureau released the </w:t>
      </w:r>
      <w:r w:rsidRPr="003B7C7F">
        <w:rPr>
          <w:i/>
        </w:rPr>
        <w:t xml:space="preserve">SDN Designation </w:t>
      </w:r>
      <w:r w:rsidRPr="003B7C7F" w:rsidR="00CE4D04">
        <w:rPr>
          <w:i/>
        </w:rPr>
        <w:t>O</w:t>
      </w:r>
      <w:r w:rsidRPr="003B7C7F">
        <w:rPr>
          <w:i/>
        </w:rPr>
        <w:t>rder</w:t>
      </w:r>
      <w:r w:rsidRPr="003B7C7F">
        <w:t>, which designated for investigation the appropriate benchmark rate for SDN’s interstate switched access service.</w:t>
      </w:r>
      <w:r>
        <w:rPr>
          <w:rStyle w:val="FootnoteReference"/>
        </w:rPr>
        <w:footnoteReference w:id="45"/>
      </w:r>
      <w:r w:rsidRPr="003B7C7F" w:rsidR="006978CD">
        <w:t xml:space="preserve">  SDN submitted its Direct Case on </w:t>
      </w:r>
      <w:r w:rsidRPr="003B7C7F" w:rsidR="004931D0">
        <w:t>December 11, 2018, providing its supporting responses and arguing that becau</w:t>
      </w:r>
      <w:r w:rsidRPr="003B7C7F" w:rsidR="00FC15C7">
        <w:t xml:space="preserve">se it provides </w:t>
      </w:r>
      <w:r w:rsidRPr="003B7C7F">
        <w:t xml:space="preserve">both </w:t>
      </w:r>
      <w:r w:rsidRPr="003B7C7F" w:rsidR="00FE5DF7">
        <w:t xml:space="preserve">tandem switching and </w:t>
      </w:r>
      <w:r w:rsidRPr="003B7C7F" w:rsidR="00FC15C7">
        <w:t>equal access func</w:t>
      </w:r>
      <w:r w:rsidRPr="003B7C7F" w:rsidR="004931D0">
        <w:t>tionality, it is entitled to include rates in its benchmark calculation</w:t>
      </w:r>
      <w:r w:rsidRPr="003B7C7F" w:rsidR="00FE5DF7">
        <w:t xml:space="preserve"> for tandem switching using CenturyLink rates and for equal access using NECA rates</w:t>
      </w:r>
      <w:r w:rsidRPr="003B7C7F" w:rsidR="004931D0">
        <w:t>.</w:t>
      </w:r>
      <w:r>
        <w:rPr>
          <w:rStyle w:val="FootnoteReference"/>
        </w:rPr>
        <w:footnoteReference w:id="46"/>
      </w:r>
      <w:r w:rsidRPr="003B7C7F" w:rsidR="004931D0">
        <w:t xml:space="preserve">  </w:t>
      </w:r>
    </w:p>
    <w:p w:rsidR="005D1F96" w:rsidRPr="003B7C7F" w:rsidP="00E91F1A" w14:paraId="40BF22BB" w14:textId="3339D9A1">
      <w:pPr>
        <w:pStyle w:val="ParaNum"/>
      </w:pPr>
      <w:r w:rsidRPr="003B7C7F">
        <w:t xml:space="preserve">CenturyLink </w:t>
      </w:r>
      <w:r w:rsidRPr="003B7C7F" w:rsidR="009848CA">
        <w:t xml:space="preserve">and JVCTC and NVC </w:t>
      </w:r>
      <w:r w:rsidRPr="003B7C7F">
        <w:t>filed opposition</w:t>
      </w:r>
      <w:r w:rsidRPr="003B7C7F" w:rsidR="009848CA">
        <w:t>s</w:t>
      </w:r>
      <w:r w:rsidRPr="003B7C7F">
        <w:t xml:space="preserve"> to SDN’s </w:t>
      </w:r>
      <w:r w:rsidRPr="003B7C7F" w:rsidR="009848CA">
        <w:t>D</w:t>
      </w:r>
      <w:r w:rsidRPr="003B7C7F">
        <w:t xml:space="preserve">irect </w:t>
      </w:r>
      <w:r w:rsidRPr="003B7C7F" w:rsidR="009848CA">
        <w:t>C</w:t>
      </w:r>
      <w:r w:rsidRPr="003B7C7F">
        <w:t>ase.</w:t>
      </w:r>
      <w:r>
        <w:rPr>
          <w:rStyle w:val="FootnoteReference"/>
        </w:rPr>
        <w:footnoteReference w:id="47"/>
      </w:r>
      <w:r w:rsidRPr="003B7C7F">
        <w:t xml:space="preserve">  </w:t>
      </w:r>
      <w:r w:rsidRPr="003B7C7F" w:rsidR="00860974">
        <w:t xml:space="preserve">In its opposition, </w:t>
      </w:r>
      <w:r w:rsidRPr="003B7C7F">
        <w:t xml:space="preserve">CenturyLink argues that </w:t>
      </w:r>
      <w:r w:rsidRPr="003B7C7F" w:rsidR="00860974">
        <w:t xml:space="preserve">SDN should benchmark to the CenturyLink </w:t>
      </w:r>
      <w:r w:rsidRPr="003B7C7F" w:rsidR="00265F4F">
        <w:t xml:space="preserve">tandem </w:t>
      </w:r>
      <w:r w:rsidRPr="003B7C7F" w:rsidR="00860974">
        <w:t xml:space="preserve">switched access rate and that </w:t>
      </w:r>
      <w:r w:rsidRPr="003B7C7F" w:rsidR="007503E4">
        <w:t>SDN</w:t>
      </w:r>
      <w:r w:rsidRPr="003B7C7F" w:rsidR="00860974">
        <w:t xml:space="preserve"> </w:t>
      </w:r>
      <w:r w:rsidRPr="003B7C7F">
        <w:t xml:space="preserve">is not entitled to </w:t>
      </w:r>
      <w:r w:rsidRPr="003B7C7F" w:rsidR="00860974">
        <w:t xml:space="preserve">an </w:t>
      </w:r>
      <w:r w:rsidRPr="003B7C7F">
        <w:t>addi</w:t>
      </w:r>
      <w:r w:rsidRPr="003B7C7F" w:rsidR="00860974">
        <w:t>tur</w:t>
      </w:r>
      <w:r w:rsidRPr="003B7C7F">
        <w:t xml:space="preserve"> on top of the CenturyLink rate for</w:t>
      </w:r>
      <w:r w:rsidRPr="003B7C7F" w:rsidR="007B3AB7">
        <w:t xml:space="preserve"> equal access service</w:t>
      </w:r>
      <w:r w:rsidRPr="003B7C7F" w:rsidR="00860974">
        <w:t>.</w:t>
      </w:r>
      <w:r w:rsidRPr="003B7C7F" w:rsidR="004931D0">
        <w:t xml:space="preserve"> </w:t>
      </w:r>
      <w:r w:rsidRPr="003B7C7F" w:rsidR="00860974">
        <w:t xml:space="preserve"> CenturyLink </w:t>
      </w:r>
      <w:r w:rsidRPr="003B7C7F" w:rsidR="006369E6">
        <w:t xml:space="preserve">explains that </w:t>
      </w:r>
      <w:r w:rsidRPr="003B7C7F" w:rsidR="00860974">
        <w:t>it offer</w:t>
      </w:r>
      <w:r w:rsidRPr="003B7C7F" w:rsidR="00DD34B5">
        <w:t>s</w:t>
      </w:r>
      <w:r w:rsidRPr="003B7C7F" w:rsidR="00860974">
        <w:t xml:space="preserve"> equal access service </w:t>
      </w:r>
      <w:r w:rsidRPr="003B7C7F" w:rsidR="00DD34B5">
        <w:t xml:space="preserve">in South Dakota </w:t>
      </w:r>
      <w:r w:rsidRPr="003B7C7F" w:rsidR="00860974">
        <w:t xml:space="preserve">and </w:t>
      </w:r>
      <w:r w:rsidRPr="003B7C7F" w:rsidR="00DD34B5">
        <w:t xml:space="preserve">that it </w:t>
      </w:r>
      <w:r w:rsidRPr="003B7C7F" w:rsidR="00860974">
        <w:t>imposes no higher rates when providing equal access service in conjunction with switched access services, and therefore the CenturyLink</w:t>
      </w:r>
      <w:r w:rsidRPr="003B7C7F" w:rsidR="002C6C04">
        <w:t xml:space="preserve"> tandem switched access</w:t>
      </w:r>
      <w:r w:rsidRPr="003B7C7F" w:rsidR="00860974">
        <w:t xml:space="preserve"> rate </w:t>
      </w:r>
      <w:r w:rsidRPr="003B7C7F" w:rsidR="002E5177">
        <w:t xml:space="preserve">alone </w:t>
      </w:r>
      <w:r w:rsidRPr="003B7C7F" w:rsidR="00860974">
        <w:t>is the proper benchmark rate</w:t>
      </w:r>
      <w:r w:rsidRPr="003B7C7F" w:rsidR="002E5177">
        <w:t>.</w:t>
      </w:r>
      <w:r>
        <w:rPr>
          <w:rStyle w:val="FootnoteReference"/>
        </w:rPr>
        <w:footnoteReference w:id="48"/>
      </w:r>
      <w:r w:rsidRPr="003B7C7F" w:rsidR="00860974">
        <w:t xml:space="preserve">  CenturyLink also argues that allowing SDN the additur </w:t>
      </w:r>
      <w:r w:rsidRPr="003B7C7F" w:rsidR="00DD34B5">
        <w:t xml:space="preserve">for equal access services </w:t>
      </w:r>
      <w:r w:rsidRPr="003B7C7F" w:rsidR="00860974">
        <w:t>would result in double recovery</w:t>
      </w:r>
      <w:r w:rsidRPr="003B7C7F" w:rsidR="002C6C04">
        <w:t xml:space="preserve"> from IXCs</w:t>
      </w:r>
      <w:r w:rsidRPr="003B7C7F" w:rsidR="00860974">
        <w:t>, because SDN’s subtending LECs already recover for equal access functionality</w:t>
      </w:r>
      <w:r w:rsidRPr="003B7C7F" w:rsidR="00992C3F">
        <w:t xml:space="preserve"> through their participation </w:t>
      </w:r>
      <w:r w:rsidRPr="003B7C7F" w:rsidR="00992C3F">
        <w:t>in the NECA tariff and their application of the NECA premium rates</w:t>
      </w:r>
      <w:r w:rsidRPr="003B7C7F" w:rsidR="00860974">
        <w:t>.</w:t>
      </w:r>
      <w:r>
        <w:rPr>
          <w:rStyle w:val="FootnoteReference"/>
        </w:rPr>
        <w:footnoteReference w:id="49"/>
      </w:r>
      <w:r w:rsidRPr="003B7C7F" w:rsidR="0000706E">
        <w:t xml:space="preserve">  In their opposition, JVCTC and NVC argue that SDN’s terminating and originating equal access rates must be examined separately, and SDN should be entitled to an equal access additur only on its originating rate and only where the subtending LEC bills for non-premium local switching pursuant to the NECA tariff.</w:t>
      </w:r>
      <w:r>
        <w:rPr>
          <w:rStyle w:val="FootnoteReference"/>
        </w:rPr>
        <w:footnoteReference w:id="50"/>
      </w:r>
      <w:r w:rsidRPr="003B7C7F" w:rsidR="0000706E">
        <w:t xml:space="preserve">  </w:t>
      </w:r>
    </w:p>
    <w:p w:rsidR="007E5D23" w:rsidRPr="003B7C7F" w:rsidP="00E91F1A" w14:paraId="7FA43473" w14:textId="0D9AA816">
      <w:pPr>
        <w:pStyle w:val="ParaNum"/>
      </w:pPr>
      <w:r w:rsidRPr="003B7C7F">
        <w:t>SDN filed a</w:t>
      </w:r>
      <w:r w:rsidRPr="003B7C7F" w:rsidR="00EA2101">
        <w:t xml:space="preserve">n </w:t>
      </w:r>
      <w:r w:rsidRPr="003B7C7F" w:rsidR="00EA2101">
        <w:rPr>
          <w:i/>
        </w:rPr>
        <w:t>ex parte</w:t>
      </w:r>
      <w:r w:rsidRPr="003B7C7F">
        <w:t xml:space="preserve"> response to the</w:t>
      </w:r>
      <w:r w:rsidRPr="003B7C7F" w:rsidR="00EA2101">
        <w:t>se</w:t>
      </w:r>
      <w:r w:rsidRPr="003B7C7F">
        <w:t xml:space="preserve"> oppositions to </w:t>
      </w:r>
      <w:r w:rsidRPr="003B7C7F" w:rsidR="00FE0816">
        <w:t xml:space="preserve">further support </w:t>
      </w:r>
      <w:r w:rsidRPr="003B7C7F">
        <w:t xml:space="preserve">its use of NECA rates for </w:t>
      </w:r>
      <w:r w:rsidRPr="003B7C7F" w:rsidR="00FE0816">
        <w:t xml:space="preserve">end office </w:t>
      </w:r>
      <w:r w:rsidRPr="003B7C7F">
        <w:t xml:space="preserve">equal access functionality </w:t>
      </w:r>
      <w:r w:rsidRPr="003B7C7F" w:rsidR="00A07ECD">
        <w:t>as a component of</w:t>
      </w:r>
      <w:r w:rsidRPr="003B7C7F" w:rsidR="00A50B92">
        <w:t xml:space="preserve"> </w:t>
      </w:r>
      <w:r w:rsidRPr="003B7C7F" w:rsidR="00A07ECD">
        <w:t xml:space="preserve">its </w:t>
      </w:r>
      <w:r w:rsidRPr="003B7C7F" w:rsidR="00FE0816">
        <w:t xml:space="preserve">tandem switching </w:t>
      </w:r>
      <w:r w:rsidRPr="003B7C7F" w:rsidR="00A07ECD">
        <w:t xml:space="preserve">benchmark </w:t>
      </w:r>
      <w:r w:rsidRPr="003B7C7F" w:rsidR="00FE0816">
        <w:t xml:space="preserve">rate </w:t>
      </w:r>
      <w:r w:rsidRPr="003B7C7F" w:rsidR="00A07ECD">
        <w:t>calculation</w:t>
      </w:r>
      <w:r w:rsidRPr="003B7C7F">
        <w:t>.</w:t>
      </w:r>
      <w:r>
        <w:rPr>
          <w:rStyle w:val="FootnoteReference"/>
        </w:rPr>
        <w:footnoteReference w:id="51"/>
      </w:r>
      <w:r w:rsidRPr="003B7C7F" w:rsidR="004F2BE7">
        <w:t xml:space="preserve">  On January 30, 2019, SDN filed an</w:t>
      </w:r>
      <w:r w:rsidRPr="003B7C7F" w:rsidR="00AF6A52">
        <w:t>other</w:t>
      </w:r>
      <w:r w:rsidRPr="003B7C7F" w:rsidR="004F2BE7">
        <w:t xml:space="preserve"> </w:t>
      </w:r>
      <w:r w:rsidRPr="003B7C7F" w:rsidR="004F2BE7">
        <w:rPr>
          <w:i/>
        </w:rPr>
        <w:t>ex parte</w:t>
      </w:r>
      <w:r w:rsidRPr="003B7C7F" w:rsidR="004F2BE7">
        <w:t xml:space="preserve"> revising </w:t>
      </w:r>
      <w:r w:rsidRPr="003B7C7F" w:rsidR="000C4D3C">
        <w:t xml:space="preserve">confidential </w:t>
      </w:r>
      <w:r w:rsidRPr="003B7C7F" w:rsidR="004F2BE7">
        <w:t xml:space="preserve">data it </w:t>
      </w:r>
      <w:r w:rsidRPr="003B7C7F" w:rsidR="007613B6">
        <w:t xml:space="preserve">had previously </w:t>
      </w:r>
      <w:r w:rsidRPr="003B7C7F" w:rsidR="00B52FA9">
        <w:t>submitted</w:t>
      </w:r>
      <w:r w:rsidRPr="003B7C7F" w:rsidR="004F2BE7">
        <w:t>.</w:t>
      </w:r>
      <w:r>
        <w:rPr>
          <w:rStyle w:val="FootnoteReference"/>
        </w:rPr>
        <w:footnoteReference w:id="52"/>
      </w:r>
      <w:r w:rsidRPr="003B7C7F" w:rsidR="004F2BE7">
        <w:t xml:space="preserve">  </w:t>
      </w:r>
      <w:r w:rsidRPr="003B7C7F" w:rsidR="00B52FA9">
        <w:t xml:space="preserve">According to </w:t>
      </w:r>
      <w:r w:rsidRPr="003B7C7F" w:rsidR="000C4D3C">
        <w:t>SDN</w:t>
      </w:r>
      <w:r w:rsidRPr="003B7C7F" w:rsidR="00B52FA9">
        <w:t xml:space="preserve">, </w:t>
      </w:r>
      <w:r w:rsidRPr="003B7C7F" w:rsidR="000C4D3C">
        <w:t>th</w:t>
      </w:r>
      <w:r w:rsidRPr="003B7C7F" w:rsidR="00C05918">
        <w:t>ese</w:t>
      </w:r>
      <w:r w:rsidRPr="003B7C7F" w:rsidR="000C4D3C">
        <w:t xml:space="preserve"> revised data change the “equal access service benchmark” from $0.01195 to $0.012008, but this change “does not affect SDN’s cost study or its filed rate.”</w:t>
      </w:r>
      <w:r>
        <w:rPr>
          <w:rStyle w:val="FootnoteReference"/>
        </w:rPr>
        <w:footnoteReference w:id="53"/>
      </w:r>
      <w:r w:rsidRPr="003B7C7F" w:rsidR="002C6C04">
        <w:t xml:space="preserve">  SDN filed another </w:t>
      </w:r>
      <w:r w:rsidRPr="003B7C7F" w:rsidR="002C6C04">
        <w:rPr>
          <w:i/>
        </w:rPr>
        <w:t>ex parte</w:t>
      </w:r>
      <w:r w:rsidRPr="003B7C7F" w:rsidR="002C6C04">
        <w:t xml:space="preserve"> </w:t>
      </w:r>
      <w:r w:rsidRPr="003B7C7F" w:rsidR="001143BE">
        <w:t xml:space="preserve">on February 6, 2019 to </w:t>
      </w:r>
      <w:r w:rsidRPr="003B7C7F" w:rsidR="0031063A">
        <w:t>reiterate</w:t>
      </w:r>
      <w:r w:rsidRPr="003B7C7F" w:rsidR="001143BE">
        <w:t xml:space="preserve"> </w:t>
      </w:r>
      <w:r w:rsidRPr="003B7C7F" w:rsidR="004D204D">
        <w:t>“</w:t>
      </w:r>
      <w:r w:rsidRPr="003B7C7F" w:rsidR="001143BE">
        <w:t xml:space="preserve">its argument that CenturyLink would not and cannot currently provide equal access to SDN’s subtending </w:t>
      </w:r>
      <w:r w:rsidRPr="003B7C7F" w:rsidR="004D204D">
        <w:t>LECs . . . .”</w:t>
      </w:r>
      <w:r w:rsidRPr="003B7C7F" w:rsidR="002C6C04">
        <w:t>.</w:t>
      </w:r>
      <w:r>
        <w:rPr>
          <w:rStyle w:val="FootnoteReference"/>
        </w:rPr>
        <w:footnoteReference w:id="54"/>
      </w:r>
      <w:r w:rsidR="00D02571">
        <w:t xml:space="preserve">  SDN filed an additional </w:t>
      </w:r>
      <w:r w:rsidRPr="00932522" w:rsidR="00D02571">
        <w:rPr>
          <w:i/>
        </w:rPr>
        <w:t>ex parte</w:t>
      </w:r>
      <w:r w:rsidR="00D02571">
        <w:t xml:space="preserve"> on February 13, 2019, offering two declarations, one from its consultant and another from one of its business </w:t>
      </w:r>
      <w:r w:rsidR="00A43855">
        <w:t xml:space="preserve">systems </w:t>
      </w:r>
      <w:r w:rsidR="00D02571">
        <w:t>support managers, repeating its claim that CenturyLink “would not provide CEA to SDN’s subtending rural” LECs.</w:t>
      </w:r>
      <w:r>
        <w:rPr>
          <w:rStyle w:val="FootnoteReference"/>
        </w:rPr>
        <w:footnoteReference w:id="55"/>
      </w:r>
    </w:p>
    <w:p w:rsidR="00E91F1A" w:rsidRPr="003B7C7F" w:rsidP="003E1E93" w14:paraId="597D1BC8" w14:textId="77777777">
      <w:pPr>
        <w:pStyle w:val="Heading2"/>
      </w:pPr>
      <w:r w:rsidRPr="003B7C7F">
        <w:t xml:space="preserve">Commission Authority </w:t>
      </w:r>
      <w:r w:rsidRPr="003B7C7F" w:rsidR="00B52FA9">
        <w:t xml:space="preserve">to </w:t>
      </w:r>
      <w:r w:rsidRPr="003B7C7F">
        <w:t>Prescribe Rates</w:t>
      </w:r>
    </w:p>
    <w:p w:rsidR="00E91F1A" w:rsidRPr="003B7C7F" w:rsidP="00E91F1A" w14:paraId="2F9FB92D" w14:textId="15D39E3F">
      <w:pPr>
        <w:pStyle w:val="ParaNum"/>
      </w:pPr>
      <w:r w:rsidRPr="003B7C7F">
        <w:t xml:space="preserve">  Pursuant to </w:t>
      </w:r>
      <w:r w:rsidRPr="003B7C7F" w:rsidR="00F0333D">
        <w:t>s</w:t>
      </w:r>
      <w:r w:rsidRPr="003B7C7F">
        <w:t xml:space="preserve">ection 204 of the Act, </w:t>
      </w:r>
      <w:r w:rsidRPr="003B7C7F" w:rsidR="0068759D">
        <w:t>when</w:t>
      </w:r>
      <w:r w:rsidRPr="003B7C7F">
        <w:t xml:space="preserve"> a tariff filing has been suspended, the burden of proof is on the tariffing carrier to show that the new or revised charge is just and reasonable.</w:t>
      </w:r>
      <w:r>
        <w:rPr>
          <w:rStyle w:val="FootnoteReference"/>
        </w:rPr>
        <w:footnoteReference w:id="56"/>
      </w:r>
      <w:r w:rsidRPr="003B7C7F">
        <w:t xml:space="preserve">  At the conclusion of an investigation under </w:t>
      </w:r>
      <w:r w:rsidRPr="003B7C7F" w:rsidR="00F0333D">
        <w:t>s</w:t>
      </w:r>
      <w:r w:rsidRPr="003B7C7F">
        <w:t xml:space="preserve">ection 204, the Commission may, pursuant to </w:t>
      </w:r>
      <w:r w:rsidRPr="003B7C7F" w:rsidR="00F0333D">
        <w:t>s</w:t>
      </w:r>
      <w:r w:rsidRPr="003B7C7F">
        <w:t>ection 205</w:t>
      </w:r>
      <w:r w:rsidRPr="003B7C7F" w:rsidR="005B6C76">
        <w:t xml:space="preserve"> of the Act</w:t>
      </w:r>
      <w:r w:rsidRPr="003B7C7F">
        <w:t xml:space="preserve">, </w:t>
      </w:r>
      <w:r w:rsidRPr="003B7C7F" w:rsidR="00632BB1">
        <w:t>“</w:t>
      </w:r>
      <w:r w:rsidRPr="003B7C7F">
        <w:t>determine and prescribe what will be the just and reasonable charge</w:t>
      </w:r>
      <w:r w:rsidRPr="003B7C7F" w:rsidR="007A4D5C">
        <w:t>”</w:t>
      </w:r>
      <w:r w:rsidRPr="003B7C7F">
        <w:t xml:space="preserve"> or the maximum and/or minimum charge or charges going forward.</w:t>
      </w:r>
      <w:r>
        <w:rPr>
          <w:rStyle w:val="FootnoteReference"/>
        </w:rPr>
        <w:footnoteReference w:id="57"/>
      </w:r>
    </w:p>
    <w:p w:rsidR="00E91F1A" w:rsidRPr="003B7C7F" w:rsidP="00E91F1A" w14:paraId="1D8FADF2" w14:textId="77777777">
      <w:pPr>
        <w:pStyle w:val="Heading1"/>
        <w:spacing w:before="120"/>
        <w:rPr>
          <w:rFonts w:ascii="Times New Roman" w:hAnsi="Times New Roman"/>
        </w:rPr>
      </w:pPr>
      <w:r w:rsidRPr="003B7C7F">
        <w:rPr>
          <w:rFonts w:ascii="Times New Roman" w:hAnsi="Times New Roman"/>
        </w:rPr>
        <w:t>The appropriate benchmark rate for Sdn’s interstate switched access service</w:t>
      </w:r>
    </w:p>
    <w:p w:rsidR="003024BD" w:rsidRPr="003B7C7F" w:rsidP="005C7C28" w14:paraId="2C10D20A" w14:textId="78B3C022">
      <w:pPr>
        <w:pStyle w:val="ParaNum"/>
        <w:widowControl/>
      </w:pPr>
      <w:bookmarkStart w:id="10" w:name="_Hlk510431248"/>
      <w:r w:rsidRPr="003B7C7F">
        <w:rPr>
          <w:szCs w:val="22"/>
        </w:rPr>
        <w:t xml:space="preserve">Upon review of the record, we find that SDN did not </w:t>
      </w:r>
      <w:r w:rsidRPr="003B7C7F" w:rsidR="007503E4">
        <w:rPr>
          <w:szCs w:val="22"/>
        </w:rPr>
        <w:t xml:space="preserve">properly </w:t>
      </w:r>
      <w:r w:rsidRPr="003B7C7F" w:rsidR="001F1A3E">
        <w:t>calculate</w:t>
      </w:r>
      <w:r w:rsidRPr="003B7C7F" w:rsidR="009319A5">
        <w:t xml:space="preserve"> </w:t>
      </w:r>
      <w:r w:rsidRPr="003B7C7F" w:rsidR="001F1A3E">
        <w:t>its benchmark rate</w:t>
      </w:r>
      <w:r w:rsidRPr="003B7C7F" w:rsidR="00FC15C7">
        <w:t xml:space="preserve"> as required by the CLEC benchmark rule</w:t>
      </w:r>
      <w:r w:rsidRPr="003B7C7F" w:rsidR="005C7C28">
        <w:t xml:space="preserve"> and </w:t>
      </w:r>
      <w:r w:rsidRPr="003B7C7F" w:rsidR="00A60F06">
        <w:t xml:space="preserve">our </w:t>
      </w:r>
      <w:r w:rsidRPr="003B7C7F" w:rsidR="005C7C28">
        <w:t>recent precedent.</w:t>
      </w:r>
      <w:r>
        <w:rPr>
          <w:rStyle w:val="FootnoteReference"/>
        </w:rPr>
        <w:footnoteReference w:id="58"/>
      </w:r>
      <w:r w:rsidRPr="003B7C7F" w:rsidR="001F1A3E">
        <w:t xml:space="preserve">  </w:t>
      </w:r>
      <w:r w:rsidRPr="003B7C7F" w:rsidR="00943555">
        <w:t>SDN should have used CenturyLink’s interstate tandem switching rate as its benchmark rate r</w:t>
      </w:r>
      <w:r w:rsidRPr="003B7C7F" w:rsidR="005C7C28">
        <w:t>ather than creating a “unified benchmark rate” comp</w:t>
      </w:r>
      <w:r w:rsidRPr="003B7C7F" w:rsidR="001D6212">
        <w:t>ri</w:t>
      </w:r>
      <w:r w:rsidRPr="003B7C7F" w:rsidR="005C7C28">
        <w:t xml:space="preserve">sed of CenturyLink’s interstate tandem switching rate ($0.002288 per minute of use) and an “equal access service benchmark” ($0.01195 per minute of use).  </w:t>
      </w:r>
      <w:r w:rsidRPr="003B7C7F" w:rsidR="0000706E">
        <w:t>B</w:t>
      </w:r>
      <w:r w:rsidRPr="003B7C7F" w:rsidR="005C7C28">
        <w:t xml:space="preserve">ecause the CenturyLink </w:t>
      </w:r>
      <w:r w:rsidRPr="003B7C7F" w:rsidR="005C7C28">
        <w:t xml:space="preserve">rate that SDN should have used as its benchmark is lower than SDN’s cost-based rate, SDN should have used the benchmark rate as its tariffed rate.  </w:t>
      </w:r>
    </w:p>
    <w:p w:rsidR="003911F0" w:rsidRPr="003B7C7F" w:rsidP="003E1E93" w14:paraId="1C569B28" w14:textId="71FE2B3F">
      <w:pPr>
        <w:pStyle w:val="Heading2"/>
      </w:pPr>
      <w:r w:rsidRPr="003B7C7F">
        <w:t>CenturyLink</w:t>
      </w:r>
      <w:r w:rsidRPr="003B7C7F" w:rsidR="003819D2">
        <w:t xml:space="preserve"> </w:t>
      </w:r>
      <w:r w:rsidRPr="003B7C7F" w:rsidR="005361BC">
        <w:t>I</w:t>
      </w:r>
      <w:r w:rsidRPr="003B7C7F" w:rsidR="00FE5DF7">
        <w:t xml:space="preserve">s the </w:t>
      </w:r>
      <w:r w:rsidRPr="003B7C7F" w:rsidR="003819D2">
        <w:t>C</w:t>
      </w:r>
      <w:r w:rsidRPr="003B7C7F" w:rsidR="00FE5DF7">
        <w:t xml:space="preserve">ompeting </w:t>
      </w:r>
      <w:r w:rsidRPr="003B7C7F" w:rsidR="003819D2">
        <w:t>I</w:t>
      </w:r>
      <w:r w:rsidRPr="003B7C7F" w:rsidR="00FE5DF7">
        <w:t xml:space="preserve">ncumbent LEC to </w:t>
      </w:r>
      <w:r w:rsidRPr="003B7C7F" w:rsidR="003819D2">
        <w:t>w</w:t>
      </w:r>
      <w:r w:rsidRPr="003B7C7F" w:rsidR="00FE5DF7">
        <w:t xml:space="preserve">hich SDN </w:t>
      </w:r>
      <w:r w:rsidRPr="003B7C7F" w:rsidR="003819D2">
        <w:t>M</w:t>
      </w:r>
      <w:r w:rsidRPr="003B7C7F" w:rsidR="00FE5DF7">
        <w:t xml:space="preserve">ust </w:t>
      </w:r>
      <w:r w:rsidRPr="003B7C7F" w:rsidR="003819D2">
        <w:t>B</w:t>
      </w:r>
      <w:r w:rsidRPr="003B7C7F" w:rsidR="00FE5DF7">
        <w:t xml:space="preserve">enchmark  </w:t>
      </w:r>
    </w:p>
    <w:p w:rsidR="00707A65" w:rsidRPr="003B7C7F" w:rsidP="001D20D1" w14:paraId="418B18FC" w14:textId="7E5B216B">
      <w:pPr>
        <w:pStyle w:val="ParaNum"/>
      </w:pPr>
      <w:r w:rsidRPr="003B7C7F">
        <w:t xml:space="preserve">We find that </w:t>
      </w:r>
      <w:r w:rsidRPr="003B7C7F" w:rsidR="00D67157">
        <w:t xml:space="preserve">CenturyLink is the competing incumbent </w:t>
      </w:r>
      <w:r w:rsidRPr="003B7C7F" w:rsidR="002721D3">
        <w:t xml:space="preserve">LEC </w:t>
      </w:r>
      <w:r w:rsidRPr="003B7C7F" w:rsidR="00D67157">
        <w:t xml:space="preserve">to which </w:t>
      </w:r>
      <w:r w:rsidRPr="003B7C7F" w:rsidR="005030CE">
        <w:t xml:space="preserve">SDN </w:t>
      </w:r>
      <w:r w:rsidRPr="003B7C7F" w:rsidR="00D67157">
        <w:t>must benchmark its</w:t>
      </w:r>
      <w:r w:rsidRPr="003B7C7F" w:rsidR="001F712B">
        <w:t xml:space="preserve"> CEA service</w:t>
      </w:r>
      <w:r w:rsidRPr="003B7C7F" w:rsidR="00D67157">
        <w:t>.  As the Commission explained in</w:t>
      </w:r>
      <w:r w:rsidRPr="003B7C7F" w:rsidR="005C7C28">
        <w:t xml:space="preserve"> </w:t>
      </w:r>
      <w:r w:rsidRPr="003B7C7F" w:rsidR="001F712B">
        <w:t xml:space="preserve">determining </w:t>
      </w:r>
      <w:r w:rsidRPr="003B7C7F" w:rsidR="00607B9A">
        <w:t>whether</w:t>
      </w:r>
      <w:r w:rsidRPr="003B7C7F" w:rsidR="001F712B">
        <w:t xml:space="preserve"> CenturyLink</w:t>
      </w:r>
      <w:r w:rsidRPr="003B7C7F" w:rsidR="00E621DF">
        <w:t xml:space="preserve"> or </w:t>
      </w:r>
      <w:r w:rsidRPr="003B7C7F" w:rsidR="00E621DF">
        <w:t>Aureon’s</w:t>
      </w:r>
      <w:r w:rsidRPr="003B7C7F" w:rsidR="00E621DF">
        <w:t xml:space="preserve"> subtending LECs were </w:t>
      </w:r>
      <w:r w:rsidRPr="003B7C7F">
        <w:t xml:space="preserve">the competing </w:t>
      </w:r>
      <w:r w:rsidRPr="003B7C7F" w:rsidR="002721D3">
        <w:t xml:space="preserve">incumbent </w:t>
      </w:r>
      <w:r w:rsidRPr="003B7C7F">
        <w:t xml:space="preserve">LEC to </w:t>
      </w:r>
      <w:r w:rsidRPr="003B7C7F">
        <w:t>Aureon</w:t>
      </w:r>
      <w:r w:rsidRPr="003B7C7F">
        <w:t xml:space="preserve"> </w:t>
      </w:r>
      <w:r w:rsidRPr="003B7C7F" w:rsidR="001F712B">
        <w:t>in Iowa</w:t>
      </w:r>
      <w:r w:rsidRPr="003B7C7F" w:rsidR="00344173">
        <w:t xml:space="preserve">, </w:t>
      </w:r>
      <w:r w:rsidRPr="003B7C7F" w:rsidR="00C51C4E">
        <w:t>the question to be</w:t>
      </w:r>
      <w:r w:rsidRPr="003B7C7F">
        <w:t xml:space="preserve"> </w:t>
      </w:r>
      <w:r w:rsidRPr="003B7C7F" w:rsidR="00C51C4E">
        <w:t xml:space="preserve">answered </w:t>
      </w:r>
      <w:r w:rsidRPr="003B7C7F" w:rsidR="007503E4">
        <w:t>is</w:t>
      </w:r>
      <w:r w:rsidRPr="003B7C7F">
        <w:t xml:space="preserve"> “</w:t>
      </w:r>
      <w:r w:rsidRPr="003B7C7F" w:rsidR="00C51C4E">
        <w:t xml:space="preserve">whether CenturyLink would provide the portion of the access that </w:t>
      </w:r>
      <w:r w:rsidRPr="003B7C7F" w:rsidR="00C51C4E">
        <w:t>Aureon</w:t>
      </w:r>
      <w:r w:rsidRPr="003B7C7F" w:rsidR="00C51C4E">
        <w:t xml:space="preserve"> provides if </w:t>
      </w:r>
      <w:r w:rsidRPr="003B7C7F" w:rsidR="00C51C4E">
        <w:t>Aureon</w:t>
      </w:r>
      <w:r w:rsidRPr="003B7C7F">
        <w:t xml:space="preserve"> </w:t>
      </w:r>
      <w:r w:rsidRPr="003B7C7F" w:rsidR="00C51C4E">
        <w:t>did not provide it</w:t>
      </w:r>
      <w:r w:rsidRPr="003B7C7F">
        <w:t>.”</w:t>
      </w:r>
      <w:r>
        <w:rPr>
          <w:rStyle w:val="FootnoteReference"/>
        </w:rPr>
        <w:footnoteReference w:id="59"/>
      </w:r>
      <w:r w:rsidRPr="003B7C7F">
        <w:t xml:space="preserve"> </w:t>
      </w:r>
      <w:r w:rsidRPr="003B7C7F" w:rsidR="001F712B">
        <w:t xml:space="preserve"> </w:t>
      </w:r>
      <w:r w:rsidRPr="003B7C7F">
        <w:t xml:space="preserve">Likewise here, </w:t>
      </w:r>
      <w:r w:rsidRPr="003B7C7F">
        <w:t xml:space="preserve">the question to be answered is “whether CenturyLink would provide the portion of access that SDN provides if SDN did not provide it.”  Notwithstanding SDN’s assertions to the contrary, the record is clear that CenturyLink would provide both the tandem switching and equal access provided by SDN in South Dakota, </w:t>
      </w:r>
      <w:r w:rsidRPr="003B7C7F" w:rsidR="00E621DF">
        <w:t>if</w:t>
      </w:r>
      <w:r w:rsidRPr="003B7C7F">
        <w:t xml:space="preserve"> SDN </w:t>
      </w:r>
      <w:r w:rsidRPr="003B7C7F" w:rsidR="0004737A">
        <w:t xml:space="preserve">did </w:t>
      </w:r>
      <w:r w:rsidRPr="003B7C7F">
        <w:t>not provide it</w:t>
      </w:r>
      <w:r w:rsidRPr="003B7C7F" w:rsidR="00E57DDB">
        <w:t>;</w:t>
      </w:r>
      <w:r w:rsidRPr="003B7C7F" w:rsidR="00871A50">
        <w:t xml:space="preserve"> that CenturyLink would not impose any additional charge to provide equal access</w:t>
      </w:r>
      <w:r w:rsidRPr="003B7C7F" w:rsidR="00E621DF">
        <w:t xml:space="preserve">; and that SDN cannot justify inclusion of an additur to the CenturyLink switched access rate for purposes of complying with the </w:t>
      </w:r>
      <w:r w:rsidRPr="003B7C7F" w:rsidR="0004737A">
        <w:t xml:space="preserve">CLEC </w:t>
      </w:r>
      <w:r w:rsidRPr="003B7C7F" w:rsidR="00E621DF">
        <w:t>benchmark rule</w:t>
      </w:r>
      <w:r w:rsidRPr="003B7C7F" w:rsidR="00871A50">
        <w:t>.</w:t>
      </w:r>
      <w:r>
        <w:rPr>
          <w:rStyle w:val="FootnoteReference"/>
        </w:rPr>
        <w:footnoteReference w:id="60"/>
      </w:r>
      <w:r w:rsidRPr="003B7C7F" w:rsidR="0093013C">
        <w:t xml:space="preserve">  </w:t>
      </w:r>
    </w:p>
    <w:p w:rsidR="00D326E5" w:rsidRPr="003B7C7F" w:rsidP="00707A65" w14:paraId="104A5204" w14:textId="166653C1">
      <w:pPr>
        <w:pStyle w:val="ParaNum"/>
      </w:pPr>
      <w:r w:rsidRPr="003B7C7F">
        <w:t xml:space="preserve">In </w:t>
      </w:r>
      <w:r w:rsidRPr="003B7C7F" w:rsidR="00D06FD3">
        <w:t xml:space="preserve">its </w:t>
      </w:r>
      <w:r w:rsidRPr="003B7C7F" w:rsidR="002C6C04">
        <w:t>D</w:t>
      </w:r>
      <w:r w:rsidRPr="003B7C7F" w:rsidR="00D06FD3">
        <w:t xml:space="preserve">irect </w:t>
      </w:r>
      <w:r w:rsidRPr="003B7C7F" w:rsidR="002C6C04">
        <w:t>C</w:t>
      </w:r>
      <w:r w:rsidRPr="003B7C7F" w:rsidR="00D06FD3">
        <w:t>ase</w:t>
      </w:r>
      <w:r w:rsidRPr="003B7C7F" w:rsidR="00FE460E">
        <w:t>,</w:t>
      </w:r>
      <w:r w:rsidRPr="003B7C7F" w:rsidR="00D06FD3">
        <w:t xml:space="preserve"> </w:t>
      </w:r>
      <w:r w:rsidRPr="003B7C7F" w:rsidR="000210D4">
        <w:t>SDN recognizes that</w:t>
      </w:r>
      <w:r w:rsidRPr="003B7C7F" w:rsidR="004D46F8">
        <w:t xml:space="preserve"> to the extent</w:t>
      </w:r>
      <w:r w:rsidRPr="003B7C7F" w:rsidR="00DB1A33">
        <w:t xml:space="preserve"> the benchmark obligation applies</w:t>
      </w:r>
      <w:r w:rsidRPr="003B7C7F" w:rsidR="00507670">
        <w:t>,</w:t>
      </w:r>
      <w:r w:rsidRPr="003B7C7F" w:rsidR="00D67157">
        <w:t xml:space="preserve"> CenturyLink is the competing </w:t>
      </w:r>
      <w:r w:rsidRPr="003B7C7F" w:rsidR="002C6C04">
        <w:t xml:space="preserve">incumbent </w:t>
      </w:r>
      <w:r w:rsidRPr="003B7C7F" w:rsidR="00D67157">
        <w:t xml:space="preserve">LEC for its </w:t>
      </w:r>
      <w:r w:rsidRPr="003B7C7F" w:rsidR="00FE460E">
        <w:t xml:space="preserve">tandem </w:t>
      </w:r>
      <w:r w:rsidRPr="003B7C7F" w:rsidR="00D67157">
        <w:t>switched access functionality.</w:t>
      </w:r>
      <w:r>
        <w:rPr>
          <w:rStyle w:val="FootnoteReference"/>
        </w:rPr>
        <w:footnoteReference w:id="61"/>
      </w:r>
      <w:r w:rsidRPr="003B7C7F" w:rsidR="00D67157">
        <w:t xml:space="preserve">  </w:t>
      </w:r>
      <w:r w:rsidRPr="003B7C7F" w:rsidR="0093013C">
        <w:t xml:space="preserve">At the same time, </w:t>
      </w:r>
      <w:r w:rsidRPr="003B7C7F">
        <w:t>SDN alleges</w:t>
      </w:r>
      <w:r w:rsidRPr="003B7C7F" w:rsidR="004C0B3F">
        <w:t>,</w:t>
      </w:r>
      <w:r w:rsidRPr="003B7C7F">
        <w:t xml:space="preserve"> that CenturyLink cannot and would not provide equal access functionality to SDN’s subtending LECs</w:t>
      </w:r>
      <w:r w:rsidRPr="003B7C7F" w:rsidR="005A1176">
        <w:t>.</w:t>
      </w:r>
      <w:r>
        <w:rPr>
          <w:rStyle w:val="FootnoteReference"/>
        </w:rPr>
        <w:footnoteReference w:id="62"/>
      </w:r>
      <w:r w:rsidRPr="003B7C7F" w:rsidR="005030CE">
        <w:t xml:space="preserve">  </w:t>
      </w:r>
      <w:r w:rsidRPr="003B7C7F" w:rsidR="00081B02">
        <w:t xml:space="preserve">However, </w:t>
      </w:r>
      <w:r w:rsidRPr="003B7C7F" w:rsidR="00B870AF">
        <w:t>on this fundamental factual issue</w:t>
      </w:r>
      <w:r w:rsidRPr="003B7C7F" w:rsidR="005A1176">
        <w:t>,</w:t>
      </w:r>
      <w:r w:rsidRPr="003B7C7F" w:rsidR="00B870AF">
        <w:t xml:space="preserve"> </w:t>
      </w:r>
      <w:r w:rsidRPr="003B7C7F" w:rsidR="00081B02">
        <w:t xml:space="preserve">SDN is </w:t>
      </w:r>
      <w:r w:rsidRPr="003B7C7F" w:rsidR="00B870AF">
        <w:t xml:space="preserve">simply </w:t>
      </w:r>
      <w:r w:rsidRPr="003B7C7F" w:rsidR="00081B02">
        <w:t xml:space="preserve">incorrect.  </w:t>
      </w:r>
      <w:r w:rsidRPr="003B7C7F" w:rsidR="005A1176">
        <w:t>I</w:t>
      </w:r>
      <w:r w:rsidRPr="003B7C7F" w:rsidR="00081B02">
        <w:t>n its opposition, CenturyLink explains that it does provide equal access</w:t>
      </w:r>
      <w:r w:rsidRPr="003B7C7F" w:rsidR="00A60F06">
        <w:t xml:space="preserve"> </w:t>
      </w:r>
      <w:r w:rsidRPr="003B7C7F" w:rsidR="00F05C44">
        <w:t>in</w:t>
      </w:r>
      <w:r w:rsidRPr="003B7C7F" w:rsidR="00A60F06">
        <w:t xml:space="preserve"> South Dakota</w:t>
      </w:r>
      <w:r w:rsidRPr="003B7C7F" w:rsidR="007503E4">
        <w:t xml:space="preserve">, </w:t>
      </w:r>
      <w:r w:rsidRPr="003B7C7F" w:rsidR="00081B02">
        <w:t>that</w:t>
      </w:r>
      <w:r w:rsidRPr="003B7C7F" w:rsidR="00EA5B14">
        <w:t xml:space="preserve"> the CenturyLink switched access rates are the same whether it provides equal access service or not; and </w:t>
      </w:r>
      <w:r w:rsidRPr="003B7C7F" w:rsidR="00EA5B14">
        <w:t>therefore</w:t>
      </w:r>
      <w:r w:rsidRPr="003B7C7F" w:rsidR="00EA5B14">
        <w:t xml:space="preserve"> there is no reason to allow </w:t>
      </w:r>
      <w:r w:rsidRPr="003B7C7F" w:rsidR="004052D1">
        <w:t>SDN an additur for providing equal access services</w:t>
      </w:r>
      <w:r w:rsidRPr="003B7C7F" w:rsidR="00081B02">
        <w:t>.</w:t>
      </w:r>
      <w:r>
        <w:rPr>
          <w:rStyle w:val="FootnoteReference"/>
        </w:rPr>
        <w:footnoteReference w:id="63"/>
      </w:r>
      <w:r w:rsidRPr="003B7C7F" w:rsidR="00081B02">
        <w:t xml:space="preserve">  </w:t>
      </w:r>
    </w:p>
    <w:p w:rsidR="003D1A3C" w:rsidRPr="003B7C7F" w:rsidP="00151B3F" w14:paraId="0E392E76" w14:textId="5B460466">
      <w:pPr>
        <w:pStyle w:val="ParaNum"/>
      </w:pPr>
      <w:r w:rsidRPr="003B7C7F">
        <w:t>SDN</w:t>
      </w:r>
      <w:r w:rsidRPr="003B7C7F" w:rsidR="00CD7CD9">
        <w:t xml:space="preserve"> attempts to distinguish its equal access service from CenturyLink’s by arguing that </w:t>
      </w:r>
      <w:r w:rsidRPr="003B7C7F">
        <w:t>unlike SDN, CenturyLink does not provide equal access functionality at its tandem switch.</w:t>
      </w:r>
      <w:r>
        <w:rPr>
          <w:rStyle w:val="FootnoteReference"/>
        </w:rPr>
        <w:footnoteReference w:id="64"/>
      </w:r>
      <w:r w:rsidRPr="003B7C7F">
        <w:t xml:space="preserve">  </w:t>
      </w:r>
      <w:r w:rsidRPr="003B7C7F" w:rsidR="00F05C44">
        <w:t xml:space="preserve">Whether </w:t>
      </w:r>
      <w:r w:rsidRPr="003B7C7F" w:rsidR="00225747">
        <w:t xml:space="preserve">that is </w:t>
      </w:r>
      <w:r w:rsidRPr="003B7C7F" w:rsidR="00F05C44">
        <w:t>true or not</w:t>
      </w:r>
      <w:r w:rsidRPr="003B7C7F" w:rsidR="00CD7CD9">
        <w:t xml:space="preserve">, </w:t>
      </w:r>
      <w:r w:rsidRPr="003B7C7F" w:rsidR="004052D1">
        <w:t>the important fact</w:t>
      </w:r>
      <w:r w:rsidRPr="003B7C7F" w:rsidR="00E621DF">
        <w:t>s</w:t>
      </w:r>
      <w:r w:rsidRPr="003B7C7F" w:rsidR="004052D1">
        <w:t xml:space="preserve"> </w:t>
      </w:r>
      <w:r w:rsidRPr="003B7C7F" w:rsidR="00E621DF">
        <w:t xml:space="preserve">for purposes of the benchmark rule </w:t>
      </w:r>
      <w:r w:rsidRPr="003B7C7F" w:rsidR="0004737A">
        <w:t>are</w:t>
      </w:r>
      <w:r w:rsidRPr="003B7C7F" w:rsidR="004052D1">
        <w:t xml:space="preserve"> that </w:t>
      </w:r>
      <w:r w:rsidRPr="003B7C7F" w:rsidR="00CD7CD9">
        <w:t xml:space="preserve">CenturyLink </w:t>
      </w:r>
      <w:r w:rsidRPr="003B7C7F" w:rsidR="004052D1">
        <w:t xml:space="preserve">is capable of providing </w:t>
      </w:r>
      <w:r w:rsidRPr="003B7C7F" w:rsidR="00CD7CD9">
        <w:t>equal access in South Dakota</w:t>
      </w:r>
      <w:r w:rsidRPr="003B7C7F" w:rsidR="0007502F">
        <w:t xml:space="preserve"> and</w:t>
      </w:r>
      <w:r w:rsidRPr="003B7C7F" w:rsidR="00CD7CD9">
        <w:t xml:space="preserve"> </w:t>
      </w:r>
      <w:r w:rsidRPr="003B7C7F" w:rsidR="004052D1">
        <w:t xml:space="preserve">does so at no additional </w:t>
      </w:r>
      <w:r w:rsidRPr="003B7C7F" w:rsidR="001D6212">
        <w:t>charge</w:t>
      </w:r>
      <w:r w:rsidRPr="003B7C7F" w:rsidR="004052D1">
        <w:t xml:space="preserve"> for its switched access services</w:t>
      </w:r>
      <w:r w:rsidRPr="003B7C7F">
        <w:t>.</w:t>
      </w:r>
      <w:r>
        <w:rPr>
          <w:rStyle w:val="FootnoteReference"/>
        </w:rPr>
        <w:footnoteReference w:id="65"/>
      </w:r>
      <w:r w:rsidRPr="003B7C7F" w:rsidR="00781CB1">
        <w:rPr>
          <w:rStyle w:val="CommentReference"/>
        </w:rPr>
        <w:t xml:space="preserve"> </w:t>
      </w:r>
      <w:r w:rsidRPr="003B7C7F">
        <w:t xml:space="preserve"> </w:t>
      </w:r>
      <w:r w:rsidRPr="003B7C7F" w:rsidR="009274E6">
        <w:rPr>
          <w:snapToGrid/>
        </w:rPr>
        <w:t xml:space="preserve">Moreover, SDN’s </w:t>
      </w:r>
      <w:r w:rsidRPr="003B7C7F" w:rsidR="005F0212">
        <w:rPr>
          <w:snapToGrid/>
        </w:rPr>
        <w:t xml:space="preserve">benchmark </w:t>
      </w:r>
      <w:r w:rsidRPr="003B7C7F" w:rsidR="00DD34B5">
        <w:rPr>
          <w:snapToGrid/>
        </w:rPr>
        <w:t xml:space="preserve">is </w:t>
      </w:r>
      <w:r w:rsidRPr="003B7C7F" w:rsidR="005F0212">
        <w:rPr>
          <w:snapToGrid/>
        </w:rPr>
        <w:t xml:space="preserve">itself not </w:t>
      </w:r>
      <w:r w:rsidRPr="003B7C7F" w:rsidR="00DD34B5">
        <w:rPr>
          <w:snapToGrid/>
        </w:rPr>
        <w:t>based on a</w:t>
      </w:r>
      <w:r w:rsidRPr="003B7C7F" w:rsidR="005F0212">
        <w:rPr>
          <w:snapToGrid/>
        </w:rPr>
        <w:t xml:space="preserve"> comparable rate for equal access functionality provided at a tandem switch, but instead is based on </w:t>
      </w:r>
      <w:r w:rsidRPr="003B7C7F" w:rsidR="00F97C4D">
        <w:rPr>
          <w:snapToGrid/>
        </w:rPr>
        <w:t>equal access service provided at</w:t>
      </w:r>
      <w:r w:rsidRPr="003B7C7F" w:rsidR="005F0212">
        <w:rPr>
          <w:snapToGrid/>
        </w:rPr>
        <w:t xml:space="preserve"> </w:t>
      </w:r>
      <w:r w:rsidRPr="003B7C7F" w:rsidR="00F97C4D">
        <w:rPr>
          <w:snapToGrid/>
        </w:rPr>
        <w:t>local switch</w:t>
      </w:r>
      <w:r w:rsidRPr="003B7C7F" w:rsidR="005F0212">
        <w:rPr>
          <w:snapToGrid/>
        </w:rPr>
        <w:t xml:space="preserve">es by NECA participants.  </w:t>
      </w:r>
      <w:r w:rsidRPr="003B7C7F" w:rsidR="004052D1">
        <w:t xml:space="preserve">As a result, we find unavailing SDN’s arguments about where CenturyLink currently provides equal access functionality. </w:t>
      </w:r>
      <w:r w:rsidRPr="003B7C7F" w:rsidR="00543696">
        <w:t xml:space="preserve"> As </w:t>
      </w:r>
      <w:r w:rsidRPr="003B7C7F" w:rsidR="001D6212">
        <w:t>the Commission</w:t>
      </w:r>
      <w:r w:rsidRPr="003B7C7F" w:rsidR="00543696">
        <w:t xml:space="preserve"> previously explained, although the networks and facilities of competitive LECs, like SDN, may be different from the networks of the incumbents with which they compete, such differences do not impede the ability to benchmark access services.</w:t>
      </w:r>
      <w:r>
        <w:rPr>
          <w:sz w:val="20"/>
          <w:vertAlign w:val="superscript"/>
        </w:rPr>
        <w:footnoteReference w:id="66"/>
      </w:r>
      <w:r w:rsidRPr="003B7C7F" w:rsidR="00543696">
        <w:t xml:space="preserve">  </w:t>
      </w:r>
    </w:p>
    <w:p w:rsidR="00081B02" w:rsidRPr="003B7C7F" w:rsidP="00866A04" w14:paraId="42B81186" w14:textId="61F85700">
      <w:pPr>
        <w:pStyle w:val="ParaNum"/>
        <w:widowControl/>
      </w:pPr>
      <w:r w:rsidRPr="003B7C7F">
        <w:t xml:space="preserve">Strikingly, </w:t>
      </w:r>
      <w:r w:rsidRPr="003B7C7F" w:rsidR="00607B9A">
        <w:t>although</w:t>
      </w:r>
      <w:r w:rsidRPr="003B7C7F" w:rsidR="004052D1">
        <w:t xml:space="preserve"> the record demonstrates that CenturyLink can provide equal access functionality, </w:t>
      </w:r>
      <w:r w:rsidRPr="003B7C7F" w:rsidR="009274E6">
        <w:t>the record</w:t>
      </w:r>
      <w:r w:rsidRPr="003B7C7F" w:rsidR="00140582">
        <w:t xml:space="preserve"> does not offer any support for a finding that SDN’s subtending LECs have the capacity to provide equal access services.</w:t>
      </w:r>
      <w:r>
        <w:rPr>
          <w:rStyle w:val="FootnoteReference"/>
        </w:rPr>
        <w:footnoteReference w:id="67"/>
      </w:r>
      <w:r w:rsidRPr="003B7C7F" w:rsidR="00140582">
        <w:t xml:space="preserve">  To the contrary, </w:t>
      </w:r>
      <w:r w:rsidRPr="003B7C7F" w:rsidR="003001A3">
        <w:t xml:space="preserve">as SDN explains, </w:t>
      </w:r>
      <w:r w:rsidRPr="003B7C7F" w:rsidR="00C0775A">
        <w:t>when the Commission authorized SDN to provide service</w:t>
      </w:r>
      <w:r w:rsidRPr="003B7C7F" w:rsidR="00E57DDB">
        <w:t>,</w:t>
      </w:r>
      <w:r w:rsidRPr="003B7C7F" w:rsidR="00C0775A">
        <w:t xml:space="preserve"> it authorized “SDN to provide equal access functionality </w:t>
      </w:r>
      <w:r w:rsidRPr="003B7C7F" w:rsidR="00C0775A">
        <w:rPr>
          <w:u w:val="single"/>
        </w:rPr>
        <w:t xml:space="preserve">instead of the local exchange carriers that use </w:t>
      </w:r>
      <w:r w:rsidRPr="003B7C7F" w:rsidR="003001A3">
        <w:rPr>
          <w:u w:val="single"/>
        </w:rPr>
        <w:t xml:space="preserve">the </w:t>
      </w:r>
      <w:r w:rsidRPr="003B7C7F" w:rsidR="00140582">
        <w:rPr>
          <w:u w:val="single"/>
        </w:rPr>
        <w:t xml:space="preserve">SDN </w:t>
      </w:r>
      <w:r w:rsidRPr="003B7C7F" w:rsidR="00C65F50">
        <w:rPr>
          <w:u w:val="single"/>
        </w:rPr>
        <w:t>t</w:t>
      </w:r>
      <w:r w:rsidRPr="003B7C7F" w:rsidR="00140582">
        <w:rPr>
          <w:u w:val="single"/>
        </w:rPr>
        <w:t xml:space="preserve">andem </w:t>
      </w:r>
      <w:r w:rsidRPr="003B7C7F" w:rsidR="00C65F50">
        <w:rPr>
          <w:u w:val="single"/>
        </w:rPr>
        <w:t>s</w:t>
      </w:r>
      <w:r w:rsidRPr="003B7C7F" w:rsidR="00140582">
        <w:rPr>
          <w:u w:val="single"/>
        </w:rPr>
        <w:t>witch</w:t>
      </w:r>
      <w:r w:rsidRPr="003B7C7F" w:rsidR="00140582">
        <w:t>.”</w:t>
      </w:r>
      <w:r>
        <w:rPr>
          <w:rStyle w:val="FootnoteReference"/>
        </w:rPr>
        <w:footnoteReference w:id="68"/>
      </w:r>
      <w:r w:rsidRPr="003B7C7F" w:rsidR="00140582">
        <w:t xml:space="preserve">  </w:t>
      </w:r>
      <w:r w:rsidRPr="003B7C7F" w:rsidR="00607B9A">
        <w:t>Although</w:t>
      </w:r>
      <w:r w:rsidRPr="003B7C7F" w:rsidR="00140582">
        <w:t xml:space="preserve"> it is true that by authorizing SDN to provide equal access service, the Commission relieved SDN’s subtending LECs of the obligation to provide equal access services, that does not mean that </w:t>
      </w:r>
      <w:r w:rsidRPr="003B7C7F" w:rsidR="00E76D74">
        <w:t xml:space="preserve">in SDN’s absence its subtending LECs </w:t>
      </w:r>
      <w:r w:rsidRPr="003B7C7F" w:rsidR="00140582">
        <w:t>are the carrier</w:t>
      </w:r>
      <w:r w:rsidRPr="003B7C7F" w:rsidR="0004737A">
        <w:t>s</w:t>
      </w:r>
      <w:r w:rsidRPr="003B7C7F" w:rsidR="00140582">
        <w:t xml:space="preserve"> that would </w:t>
      </w:r>
      <w:r w:rsidRPr="003B7C7F" w:rsidR="00E76D74">
        <w:t>provide equal access services.</w:t>
      </w:r>
      <w:r>
        <w:rPr>
          <w:rStyle w:val="FootnoteReference"/>
        </w:rPr>
        <w:footnoteReference w:id="69"/>
      </w:r>
      <w:r w:rsidRPr="003B7C7F" w:rsidR="00E76D74">
        <w:t xml:space="preserve">  SDN also </w:t>
      </w:r>
      <w:r w:rsidRPr="003B7C7F">
        <w:t xml:space="preserve">suggests </w:t>
      </w:r>
      <w:r w:rsidRPr="003B7C7F" w:rsidR="00E76D74">
        <w:t xml:space="preserve">that </w:t>
      </w:r>
      <w:r w:rsidRPr="003B7C7F">
        <w:t xml:space="preserve">because </w:t>
      </w:r>
      <w:r w:rsidRPr="003B7C7F" w:rsidR="00E76D74">
        <w:t xml:space="preserve">CenturyLink’s predecessor fought </w:t>
      </w:r>
      <w:r w:rsidRPr="003B7C7F">
        <w:t xml:space="preserve">the creation of SDN, CenturyLink should not be considered the competing </w:t>
      </w:r>
      <w:r w:rsidRPr="003B7C7F" w:rsidR="00FB5B48">
        <w:t>incumbe</w:t>
      </w:r>
      <w:r w:rsidRPr="003B7C7F" w:rsidR="009848CA">
        <w:t>n</w:t>
      </w:r>
      <w:r w:rsidRPr="003B7C7F" w:rsidR="00FB5B48">
        <w:t xml:space="preserve">t </w:t>
      </w:r>
      <w:r w:rsidRPr="003B7C7F">
        <w:t>LEC for equal access services.</w:t>
      </w:r>
      <w:r>
        <w:rPr>
          <w:rStyle w:val="FootnoteReference"/>
        </w:rPr>
        <w:footnoteReference w:id="70"/>
      </w:r>
      <w:r w:rsidRPr="003B7C7F" w:rsidR="00E76D74">
        <w:t xml:space="preserve">  </w:t>
      </w:r>
      <w:r w:rsidRPr="003B7C7F" w:rsidR="00140582">
        <w:t xml:space="preserve">Even if true, this argument does not </w:t>
      </w:r>
      <w:r w:rsidRPr="003B7C7F">
        <w:t>support a determination that, if SDN were not to offer equal access services</w:t>
      </w:r>
      <w:r w:rsidRPr="003B7C7F" w:rsidR="00592BD0">
        <w:t>,</w:t>
      </w:r>
      <w:r w:rsidRPr="003B7C7F">
        <w:t xml:space="preserve"> its subtending LECs would provide those services.</w:t>
      </w:r>
    </w:p>
    <w:p w:rsidR="00253FF9" w:rsidRPr="003B7C7F" w:rsidP="003E1E93" w14:paraId="2A852569" w14:textId="77777777">
      <w:pPr>
        <w:pStyle w:val="Heading2"/>
      </w:pPr>
      <w:r w:rsidRPr="003B7C7F">
        <w:t xml:space="preserve">SDN Provides </w:t>
      </w:r>
      <w:r w:rsidRPr="003B7C7F" w:rsidR="002C6C04">
        <w:t>Insufficient</w:t>
      </w:r>
      <w:r w:rsidRPr="003B7C7F">
        <w:t xml:space="preserve"> Support for </w:t>
      </w:r>
      <w:r w:rsidRPr="003B7C7F" w:rsidR="002C6C04">
        <w:t>the</w:t>
      </w:r>
      <w:r w:rsidRPr="003B7C7F">
        <w:t xml:space="preserve"> Equal Access </w:t>
      </w:r>
      <w:r w:rsidRPr="003B7C7F" w:rsidR="002C6C04">
        <w:t xml:space="preserve">Component of its Benchmark </w:t>
      </w:r>
      <w:r w:rsidRPr="003B7C7F">
        <w:t xml:space="preserve">Rate </w:t>
      </w:r>
    </w:p>
    <w:p w:rsidR="00D326E5" w:rsidRPr="003B7C7F" w:rsidP="00745982" w14:paraId="50F8FDEB" w14:textId="46FC4336">
      <w:pPr>
        <w:pStyle w:val="ParaNum"/>
      </w:pPr>
      <w:r w:rsidRPr="003B7C7F">
        <w:t>Having de</w:t>
      </w:r>
      <w:r w:rsidRPr="003B7C7F" w:rsidR="00CD7CD9">
        <w:t>termined</w:t>
      </w:r>
      <w:r w:rsidRPr="003B7C7F">
        <w:t xml:space="preserve"> that </w:t>
      </w:r>
      <w:r w:rsidRPr="003B7C7F">
        <w:t>CenturyLink is the competi</w:t>
      </w:r>
      <w:r w:rsidRPr="003B7C7F" w:rsidR="00AC1EE6">
        <w:t>ng</w:t>
      </w:r>
      <w:r w:rsidRPr="003B7C7F">
        <w:t xml:space="preserve"> </w:t>
      </w:r>
      <w:r w:rsidRPr="003B7C7F" w:rsidR="00FB5B48">
        <w:t xml:space="preserve">incumbent </w:t>
      </w:r>
      <w:r w:rsidRPr="003B7C7F">
        <w:t xml:space="preserve">LEC to which </w:t>
      </w:r>
      <w:r w:rsidRPr="003B7C7F">
        <w:t xml:space="preserve">SDN </w:t>
      </w:r>
      <w:r w:rsidRPr="003B7C7F">
        <w:t>must benchmark</w:t>
      </w:r>
      <w:r w:rsidRPr="003B7C7F" w:rsidR="009274E6">
        <w:t xml:space="preserve"> the rate for</w:t>
      </w:r>
      <w:r w:rsidRPr="003B7C7F">
        <w:t xml:space="preserve"> its </w:t>
      </w:r>
      <w:r w:rsidRPr="003B7C7F" w:rsidR="006212DB">
        <w:t xml:space="preserve">tandem </w:t>
      </w:r>
      <w:r w:rsidRPr="003B7C7F">
        <w:t>switched access service</w:t>
      </w:r>
      <w:r w:rsidRPr="003B7C7F" w:rsidR="0063707C">
        <w:t>,</w:t>
      </w:r>
      <w:r w:rsidRPr="003B7C7F">
        <w:t xml:space="preserve"> including its provision of equal access service, we need not analyze SDN’s approach to creating a</w:t>
      </w:r>
      <w:r w:rsidRPr="003B7C7F" w:rsidR="00507670">
        <w:t>n equal access component for its</w:t>
      </w:r>
      <w:r w:rsidRPr="003B7C7F">
        <w:t xml:space="preserve"> benchmark rate.  </w:t>
      </w:r>
      <w:r w:rsidRPr="003B7C7F" w:rsidR="005F0212">
        <w:t>W</w:t>
      </w:r>
      <w:r w:rsidRPr="003B7C7F">
        <w:t xml:space="preserve">e </w:t>
      </w:r>
      <w:r w:rsidRPr="003B7C7F" w:rsidR="00E57DDB">
        <w:t>nonetheless</w:t>
      </w:r>
      <w:r w:rsidRPr="003B7C7F">
        <w:t xml:space="preserve"> take this </w:t>
      </w:r>
      <w:r w:rsidRPr="003B7C7F" w:rsidR="00AC1EE6">
        <w:t>opportunity</w:t>
      </w:r>
      <w:r w:rsidRPr="003B7C7F">
        <w:t xml:space="preserve"> to separately and independently reject SDN’s calculations</w:t>
      </w:r>
      <w:r w:rsidRPr="003B7C7F" w:rsidR="00607B9A">
        <w:t xml:space="preserve"> of an equal access component of its benchmark rate</w:t>
      </w:r>
      <w:r w:rsidRPr="003B7C7F">
        <w:t xml:space="preserve">. </w:t>
      </w:r>
    </w:p>
    <w:p w:rsidR="00D4038B" w:rsidRPr="003B7C7F" w14:paraId="7B31F2DD" w14:textId="3F8F9241">
      <w:pPr>
        <w:pStyle w:val="ParaNum"/>
      </w:pPr>
      <w:r w:rsidRPr="003B7C7F">
        <w:t xml:space="preserve"> </w:t>
      </w:r>
      <w:r w:rsidRPr="003B7C7F" w:rsidR="00716B98">
        <w:t xml:space="preserve">SDN’s Direct Case contains </w:t>
      </w:r>
      <w:r w:rsidRPr="003B7C7F" w:rsidR="00F6157F">
        <w:t xml:space="preserve">a </w:t>
      </w:r>
      <w:r w:rsidRPr="003B7C7F" w:rsidR="00716B98">
        <w:t>one</w:t>
      </w:r>
      <w:r w:rsidRPr="003B7C7F" w:rsidR="0063707C">
        <w:t>-</w:t>
      </w:r>
      <w:r w:rsidRPr="003B7C7F" w:rsidR="00716B98">
        <w:t xml:space="preserve">paragraph </w:t>
      </w:r>
      <w:r w:rsidRPr="003B7C7F" w:rsidR="00795392">
        <w:t xml:space="preserve">response to </w:t>
      </w:r>
      <w:r w:rsidRPr="003B7C7F">
        <w:t>the request that it explain and justify its use of a weighted average differential between NECA’s premium and non-premium originating local switching rates in an effort to include a rate for its offering of tandem-based equal access functionality in its benchmark</w:t>
      </w:r>
      <w:r w:rsidRPr="003B7C7F" w:rsidR="00AC1EE6">
        <w:t>.</w:t>
      </w:r>
      <w:r>
        <w:rPr>
          <w:rStyle w:val="FootnoteReference"/>
        </w:rPr>
        <w:footnoteReference w:id="71"/>
      </w:r>
      <w:r w:rsidRPr="003B7C7F" w:rsidR="00AC1EE6">
        <w:t xml:space="preserve">  </w:t>
      </w:r>
      <w:r w:rsidRPr="003B7C7F" w:rsidR="00F574DA">
        <w:t xml:space="preserve">The relevant paragraph in SDN’s Direct Case </w:t>
      </w:r>
      <w:r w:rsidRPr="003B7C7F" w:rsidR="0000706E">
        <w:t xml:space="preserve">cites </w:t>
      </w:r>
      <w:r w:rsidRPr="003B7C7F" w:rsidR="00F574DA">
        <w:t>the section of NECA’s tariff which describes the difference between NECA’s premium and non-premium rates, but that section contains no rates.</w:t>
      </w:r>
      <w:r>
        <w:rPr>
          <w:rStyle w:val="FootnoteReference"/>
        </w:rPr>
        <w:footnoteReference w:id="72"/>
      </w:r>
      <w:r w:rsidRPr="003B7C7F" w:rsidR="00F574DA">
        <w:t xml:space="preserve">  SDN acknowledges that “the NECA tariff does not contain a specific rate for equal access</w:t>
      </w:r>
      <w:r w:rsidRPr="003B7C7F" w:rsidR="0004737A">
        <w:t>.</w:t>
      </w:r>
      <w:r w:rsidRPr="003B7C7F" w:rsidR="00F574DA">
        <w:t>”</w:t>
      </w:r>
      <w:r>
        <w:rPr>
          <w:rStyle w:val="FootnoteReference"/>
        </w:rPr>
        <w:footnoteReference w:id="73"/>
      </w:r>
      <w:r w:rsidRPr="003B7C7F" w:rsidR="00F574DA">
        <w:t xml:space="preserve"> </w:t>
      </w:r>
      <w:r w:rsidRPr="003B7C7F" w:rsidR="00214A67">
        <w:t xml:space="preserve"> </w:t>
      </w:r>
      <w:r w:rsidRPr="003B7C7F" w:rsidR="00F574DA">
        <w:t>Instead, according to SDN, NECA’s tariff for local end office switching contains different rates</w:t>
      </w:r>
      <w:r w:rsidRPr="003B7C7F" w:rsidR="00592BD0">
        <w:t>, premium and non-premium,</w:t>
      </w:r>
      <w:r w:rsidRPr="003B7C7F" w:rsidR="00F574DA">
        <w:t xml:space="preserve"> depending on whether equal access functionality is provided.</w:t>
      </w:r>
      <w:r>
        <w:rPr>
          <w:rStyle w:val="FootnoteReference"/>
        </w:rPr>
        <w:footnoteReference w:id="74"/>
      </w:r>
      <w:r w:rsidRPr="003B7C7F" w:rsidR="00F574DA">
        <w:t xml:space="preserve">  </w:t>
      </w:r>
      <w:r w:rsidRPr="003B7C7F" w:rsidR="00F56BF8">
        <w:t>SDN</w:t>
      </w:r>
      <w:r w:rsidRPr="003B7C7F" w:rsidR="0063707C">
        <w:t xml:space="preserve"> </w:t>
      </w:r>
      <w:r w:rsidRPr="003B7C7F" w:rsidR="00592BD0">
        <w:t xml:space="preserve">thus </w:t>
      </w:r>
      <w:r w:rsidRPr="003B7C7F" w:rsidR="0063707C">
        <w:t>argues that</w:t>
      </w:r>
      <w:r w:rsidRPr="003B7C7F" w:rsidR="00F56BF8">
        <w:t xml:space="preserve"> its </w:t>
      </w:r>
      <w:r w:rsidRPr="003B7C7F" w:rsidR="00D52E34">
        <w:t xml:space="preserve">benchmark </w:t>
      </w:r>
      <w:r w:rsidRPr="003B7C7F" w:rsidR="00F56BF8">
        <w:t xml:space="preserve">rate for </w:t>
      </w:r>
      <w:r w:rsidRPr="003B7C7F" w:rsidR="00D52E34">
        <w:t xml:space="preserve">tandem-based </w:t>
      </w:r>
      <w:r w:rsidRPr="003B7C7F" w:rsidR="00F56BF8">
        <w:t xml:space="preserve">equal access service can be captured by the difference between </w:t>
      </w:r>
      <w:r w:rsidRPr="003B7C7F" w:rsidR="00DD6D48">
        <w:t>NECA’s</w:t>
      </w:r>
      <w:r w:rsidRPr="003B7C7F" w:rsidR="00F56BF8">
        <w:t xml:space="preserve"> premium and non-premium rate for </w:t>
      </w:r>
      <w:r w:rsidRPr="003B7C7F" w:rsidR="004E03CA">
        <w:t xml:space="preserve">originating </w:t>
      </w:r>
      <w:r w:rsidRPr="003B7C7F" w:rsidR="00F56BF8">
        <w:t xml:space="preserve">local </w:t>
      </w:r>
      <w:r w:rsidRPr="003B7C7F" w:rsidR="00D52E34">
        <w:t xml:space="preserve">end </w:t>
      </w:r>
      <w:r w:rsidRPr="003B7C7F" w:rsidR="00F56BF8">
        <w:t>office switching.</w:t>
      </w:r>
      <w:r>
        <w:rPr>
          <w:rStyle w:val="FootnoteReference"/>
        </w:rPr>
        <w:footnoteReference w:id="75"/>
      </w:r>
      <w:r w:rsidRPr="003B7C7F" w:rsidR="00D52E34">
        <w:t xml:space="preserve">  We disagree</w:t>
      </w:r>
      <w:r w:rsidRPr="003B7C7F" w:rsidR="005534AC">
        <w:t xml:space="preserve">. </w:t>
      </w:r>
      <w:r w:rsidRPr="003B7C7F" w:rsidR="00D52E34">
        <w:t xml:space="preserve"> </w:t>
      </w:r>
      <w:r w:rsidRPr="003B7C7F" w:rsidR="005534AC">
        <w:t xml:space="preserve">Allowing an equal access component to be included in SDN’s single tariffed rate applicable to both originating access, which may include equal access functionality, and terminating access, which never includes equal access functionality, would </w:t>
      </w:r>
      <w:r w:rsidRPr="003B7C7F" w:rsidR="002F608D">
        <w:t>be unjust and unreasonable.</w:t>
      </w:r>
    </w:p>
    <w:p w:rsidR="00D4038B" w:rsidRPr="003B7C7F" w:rsidP="00D4038B" w14:paraId="463F07F7" w14:textId="35384381">
      <w:pPr>
        <w:pStyle w:val="ParaNum"/>
      </w:pPr>
      <w:r w:rsidRPr="003B7C7F">
        <w:t xml:space="preserve">In the </w:t>
      </w:r>
      <w:r w:rsidRPr="003B7C7F">
        <w:rPr>
          <w:i/>
        </w:rPr>
        <w:t>SDN Designation Order</w:t>
      </w:r>
      <w:r w:rsidRPr="003B7C7F" w:rsidR="00C24BEF">
        <w:t>,</w:t>
      </w:r>
      <w:r w:rsidRPr="003B7C7F">
        <w:t xml:space="preserve"> the Bureau also required SDN to “explain and justify including the equal access service component in all originating switched access rates as that functionality may not be provided for all calls originating from every one of its subtending LECs.”</w:t>
      </w:r>
      <w:r>
        <w:rPr>
          <w:rStyle w:val="FootnoteReference"/>
        </w:rPr>
        <w:footnoteReference w:id="76"/>
      </w:r>
      <w:r w:rsidRPr="003B7C7F">
        <w:t xml:space="preserve">  SDN asserts that </w:t>
      </w:r>
      <w:r w:rsidRPr="003B7C7F">
        <w:t>including the equal access service component in all originating switched access rates is reasonable because the majority of calls originating from its subtending LECs include equal access functionality.</w:t>
      </w:r>
      <w:r>
        <w:rPr>
          <w:rStyle w:val="FootnoteReference"/>
        </w:rPr>
        <w:footnoteReference w:id="77"/>
      </w:r>
      <w:r w:rsidRPr="003B7C7F">
        <w:t xml:space="preserve">  SDN does not substantiate this claim.  Even if true, this claim alone would not justify inclusion of the equal access rate on </w:t>
      </w:r>
      <w:r w:rsidRPr="003B7C7F">
        <w:rPr>
          <w:i/>
        </w:rPr>
        <w:t>all</w:t>
      </w:r>
      <w:r w:rsidRPr="003B7C7F">
        <w:t xml:space="preserve"> </w:t>
      </w:r>
      <w:r w:rsidRPr="003B7C7F" w:rsidR="003C644E">
        <w:t xml:space="preserve">originating </w:t>
      </w:r>
      <w:r w:rsidRPr="003B7C7F">
        <w:t xml:space="preserve">calls.  </w:t>
      </w:r>
    </w:p>
    <w:p w:rsidR="00D4038B" w:rsidRPr="003B7C7F" w:rsidP="00D4038B" w14:paraId="7B2155FC" w14:textId="38930F70">
      <w:pPr>
        <w:pStyle w:val="ParaNum"/>
      </w:pPr>
      <w:r w:rsidRPr="003B7C7F">
        <w:t>JVCTC and NVC argue that SDN should be required to change its unified tariffed rate structure to have separate originating and terminating rates.</w:t>
      </w:r>
      <w:r>
        <w:rPr>
          <w:rStyle w:val="FootnoteReference"/>
        </w:rPr>
        <w:footnoteReference w:id="78"/>
      </w:r>
      <w:r w:rsidRPr="003B7C7F">
        <w:t xml:space="preserve">  </w:t>
      </w:r>
      <w:r w:rsidRPr="003B7C7F" w:rsidR="00860DB4">
        <w:t>As they explain</w:t>
      </w:r>
      <w:r w:rsidRPr="003B7C7F">
        <w:t>, t</w:t>
      </w:r>
      <w:r w:rsidRPr="003B7C7F" w:rsidR="00F56BF8">
        <w:t xml:space="preserve">he NECA tariff only uses </w:t>
      </w:r>
      <w:r w:rsidRPr="003B7C7F">
        <w:t>premium charges for originating access service,</w:t>
      </w:r>
      <w:r>
        <w:rPr>
          <w:rStyle w:val="FootnoteReference"/>
        </w:rPr>
        <w:footnoteReference w:id="79"/>
      </w:r>
      <w:r w:rsidRPr="003B7C7F">
        <w:t xml:space="preserve"> </w:t>
      </w:r>
      <w:r w:rsidRPr="003B7C7F" w:rsidR="00F56BF8">
        <w:t xml:space="preserve">and </w:t>
      </w:r>
      <w:r w:rsidRPr="003B7C7F">
        <w:t xml:space="preserve">contains </w:t>
      </w:r>
      <w:r w:rsidRPr="003B7C7F" w:rsidR="005F2448">
        <w:t xml:space="preserve">the same </w:t>
      </w:r>
      <w:r w:rsidRPr="003B7C7F">
        <w:t>separate</w:t>
      </w:r>
      <w:r w:rsidRPr="003B7C7F" w:rsidR="00BD5A5A">
        <w:t>—</w:t>
      </w:r>
      <w:r w:rsidRPr="003B7C7F" w:rsidR="005F2448">
        <w:t>but</w:t>
      </w:r>
      <w:r w:rsidRPr="003B7C7F">
        <w:t xml:space="preserve"> lower</w:t>
      </w:r>
      <w:r w:rsidRPr="003B7C7F" w:rsidR="00BD5A5A">
        <w:t>—</w:t>
      </w:r>
      <w:r w:rsidRPr="003B7C7F">
        <w:t xml:space="preserve">charges for </w:t>
      </w:r>
      <w:r w:rsidRPr="003B7C7F" w:rsidR="005F2448">
        <w:t xml:space="preserve">all </w:t>
      </w:r>
      <w:r w:rsidRPr="003B7C7F">
        <w:t>terminating access services.</w:t>
      </w:r>
      <w:r>
        <w:rPr>
          <w:rStyle w:val="FootnoteReference"/>
        </w:rPr>
        <w:footnoteReference w:id="80"/>
      </w:r>
      <w:r w:rsidRPr="003B7C7F">
        <w:t xml:space="preserve">  In its Direct Case, SDN argues that including the equal access service component in </w:t>
      </w:r>
      <w:r w:rsidRPr="003B7C7F" w:rsidR="00DD6D48">
        <w:t>its</w:t>
      </w:r>
      <w:r w:rsidRPr="003B7C7F">
        <w:t xml:space="preserve"> terminating switched access rate is reasonable because its “originating and terminating tariffed switched traffic is generally balanced. . . . </w:t>
      </w:r>
      <w:r w:rsidRPr="003B7C7F" w:rsidR="00AD65E7">
        <w:t xml:space="preserve"> </w:t>
      </w:r>
      <w:r w:rsidRPr="003B7C7F">
        <w:t>Accordingly, to the extent SDN’s terminating rate could be reduced by removing equal access costs, its originating rate would increase, resulting in no net benefit to IXCs.”</w:t>
      </w:r>
      <w:r>
        <w:rPr>
          <w:rStyle w:val="FootnoteReference"/>
        </w:rPr>
        <w:footnoteReference w:id="81"/>
      </w:r>
      <w:r w:rsidRPr="003B7C7F">
        <w:t xml:space="preserve">  This unsupported assertion ignores the fact that some IXCs may only deliver predominately terminating traffic to SDN for delivery to its subtending LECs.  For </w:t>
      </w:r>
      <w:r w:rsidRPr="003B7C7F" w:rsidR="00C14945">
        <w:t xml:space="preserve">those </w:t>
      </w:r>
      <w:r w:rsidRPr="003B7C7F">
        <w:t xml:space="preserve">IXCs, SDN’s inclusion of the recovery of equal access costs in the rates it charges these IXCs will result in charges to them for services SDN is not providing.  </w:t>
      </w:r>
      <w:r w:rsidRPr="003B7C7F" w:rsidR="00D74BA5">
        <w:t xml:space="preserve">Given that neither CenturyLink nor the NECA carriers to which SDN proposes to benchmark the </w:t>
      </w:r>
      <w:r w:rsidRPr="003B7C7F" w:rsidR="007A669B">
        <w:t>equal access</w:t>
      </w:r>
      <w:r w:rsidRPr="003B7C7F" w:rsidR="00D74BA5">
        <w:t xml:space="preserve"> component of its services imposes a</w:t>
      </w:r>
      <w:r w:rsidRPr="003B7C7F" w:rsidR="007A669B">
        <w:t>n</w:t>
      </w:r>
      <w:r w:rsidRPr="003B7C7F" w:rsidR="00D74BA5">
        <w:t xml:space="preserve"> </w:t>
      </w:r>
      <w:r w:rsidRPr="003B7C7F" w:rsidR="007A669B">
        <w:t>equal access</w:t>
      </w:r>
      <w:r w:rsidRPr="003B7C7F" w:rsidR="00D74BA5">
        <w:t xml:space="preserve"> charge for terminating traffic, SDN cannot justify doing so as part of its benchmarking obligation.  Indeed, </w:t>
      </w:r>
      <w:r w:rsidRPr="003B7C7F">
        <w:t>SDN does not explain or justify ignoring the NECA rates for terminating switched access services, which are lower than NECA’s rates for originating switched access services, in its benchmark calculations.  Including these lower terminating rates in the benchmark calculation would lower the resulting benchmark rate.</w:t>
      </w:r>
      <w:r w:rsidRPr="003B7C7F" w:rsidR="00E05A40">
        <w:t xml:space="preserve">  Thus, even if it </w:t>
      </w:r>
      <w:r w:rsidRPr="003B7C7F" w:rsidR="00D74BA5">
        <w:t>were</w:t>
      </w:r>
      <w:r w:rsidRPr="003B7C7F" w:rsidR="00E05A40">
        <w:t xml:space="preserve"> appropriate for SDN to include an equal access functionality component in its benchmark rate calculation</w:t>
      </w:r>
      <w:r w:rsidRPr="003B7C7F" w:rsidR="00D74BA5">
        <w:t xml:space="preserve"> for originating traffic</w:t>
      </w:r>
      <w:r w:rsidRPr="003B7C7F" w:rsidR="00E05A40">
        <w:t xml:space="preserve"> (and it is not, as we conclude above), </w:t>
      </w:r>
      <w:r w:rsidRPr="003B7C7F" w:rsidR="00AA3973">
        <w:t xml:space="preserve">there is no justification for SDN to include an equal access additur to its </w:t>
      </w:r>
      <w:r w:rsidRPr="003B7C7F" w:rsidR="007A669B">
        <w:t xml:space="preserve">rate applicable to </w:t>
      </w:r>
      <w:r w:rsidRPr="003B7C7F" w:rsidR="00AA3973">
        <w:t>terminating access.</w:t>
      </w:r>
      <w:r w:rsidRPr="003B7C7F" w:rsidR="00E05A40">
        <w:t xml:space="preserve">  </w:t>
      </w:r>
    </w:p>
    <w:p w:rsidR="00D4038B" w:rsidRPr="003B7C7F" w:rsidP="00D4038B" w14:paraId="48EC9AC9" w14:textId="72EABF18">
      <w:pPr>
        <w:pStyle w:val="ParaNum"/>
      </w:pPr>
      <w:r w:rsidRPr="003B7C7F">
        <w:t xml:space="preserve">SDN </w:t>
      </w:r>
      <w:r w:rsidRPr="003B7C7F" w:rsidR="00CD6FA4">
        <w:t xml:space="preserve">also </w:t>
      </w:r>
      <w:r w:rsidRPr="003B7C7F">
        <w:t>asserts that if it were to have separate rates for originating and terminating switched access, this would impose “cost on both SDN and IXCs” to “identify and track traffic as originating and terminating.”</w:t>
      </w:r>
      <w:r>
        <w:rPr>
          <w:rStyle w:val="FootnoteReference"/>
        </w:rPr>
        <w:footnoteReference w:id="82"/>
      </w:r>
      <w:r w:rsidRPr="003B7C7F">
        <w:t xml:space="preserve">  SDN provides no data to support this assertion, which ignores that NECA’s tariff contains separate originating and terminating tariffed switched access charges and thus IXCs (and SDN’s subtending LECs) would have the ability to “identify and track traffic as originating or terminating” when the subtending LECs charge the rates in NECA’s tariff, contrary to SDN’s claim.  </w:t>
      </w:r>
      <w:r w:rsidRPr="003B7C7F">
        <w:t>Indeed, SDN is also “identifying and tracking” originating and terminating traffic as it used only originating traffic volume in calculating its weighted average equal access benchmark rate.</w:t>
      </w:r>
      <w:r>
        <w:rPr>
          <w:rStyle w:val="FootnoteReference"/>
        </w:rPr>
        <w:footnoteReference w:id="83"/>
      </w:r>
      <w:r w:rsidRPr="003B7C7F" w:rsidR="00D52A1B">
        <w:t xml:space="preserve">  </w:t>
      </w:r>
      <w:r w:rsidRPr="003B7C7F" w:rsidR="008627FF">
        <w:t>We find SDN’s arguments unpersuasive</w:t>
      </w:r>
      <w:r w:rsidRPr="003B7C7F" w:rsidR="00CD6FA4">
        <w:t>.</w:t>
      </w:r>
    </w:p>
    <w:p w:rsidR="007503E4" w:rsidRPr="003B7C7F" w:rsidP="007550C7" w14:paraId="37FADCC6" w14:textId="77777777">
      <w:pPr>
        <w:pStyle w:val="Heading2"/>
      </w:pPr>
      <w:r w:rsidRPr="003B7C7F">
        <w:t>Calculating an Appropriate Benchmark Rate for SDN</w:t>
      </w:r>
    </w:p>
    <w:p w:rsidR="00C05B8F" w:rsidRPr="003B7C7F" w:rsidP="00C05B8F" w14:paraId="2DF463E9" w14:textId="77777777">
      <w:pPr>
        <w:pStyle w:val="ParaNum"/>
        <w:rPr>
          <w:szCs w:val="22"/>
        </w:rPr>
      </w:pPr>
      <w:r w:rsidRPr="003B7C7F">
        <w:rPr>
          <w:szCs w:val="22"/>
        </w:rPr>
        <w:t xml:space="preserve">Having found </w:t>
      </w:r>
      <w:r w:rsidRPr="003B7C7F">
        <w:rPr>
          <w:szCs w:val="22"/>
        </w:rPr>
        <w:t xml:space="preserve">that the </w:t>
      </w:r>
      <w:r w:rsidRPr="003B7C7F" w:rsidR="005D21DD">
        <w:rPr>
          <w:szCs w:val="22"/>
        </w:rPr>
        <w:t xml:space="preserve">SDN benchmark rate should be determined using only the tandem switching rates contained in section 6.8.1 of CenturyLink’s Tariff F.C.C. No. </w:t>
      </w:r>
      <w:r w:rsidRPr="003B7C7F" w:rsidR="00787830">
        <w:rPr>
          <w:szCs w:val="22"/>
        </w:rPr>
        <w:t>1</w:t>
      </w:r>
      <w:r w:rsidRPr="003B7C7F" w:rsidR="005D21DD">
        <w:rPr>
          <w:szCs w:val="22"/>
        </w:rPr>
        <w:t xml:space="preserve">1, consistent with </w:t>
      </w:r>
      <w:r w:rsidRPr="003B7C7F" w:rsidR="00942E71">
        <w:rPr>
          <w:szCs w:val="22"/>
        </w:rPr>
        <w:t xml:space="preserve">the </w:t>
      </w:r>
      <w:r w:rsidRPr="003B7C7F" w:rsidR="005D21DD">
        <w:rPr>
          <w:szCs w:val="22"/>
        </w:rPr>
        <w:t xml:space="preserve">decision in the </w:t>
      </w:r>
      <w:r w:rsidRPr="003B7C7F" w:rsidR="005D21DD">
        <w:rPr>
          <w:i/>
          <w:szCs w:val="22"/>
        </w:rPr>
        <w:t>Aureon</w:t>
      </w:r>
      <w:r w:rsidRPr="003B7C7F" w:rsidR="005D21DD">
        <w:rPr>
          <w:i/>
          <w:szCs w:val="22"/>
        </w:rPr>
        <w:t xml:space="preserve"> Tariff Investigation Order</w:t>
      </w:r>
      <w:r w:rsidRPr="003B7C7F">
        <w:rPr>
          <w:szCs w:val="22"/>
        </w:rPr>
        <w:t xml:space="preserve">, </w:t>
      </w:r>
      <w:r w:rsidRPr="003B7C7F" w:rsidR="004756DE">
        <w:rPr>
          <w:szCs w:val="22"/>
        </w:rPr>
        <w:t xml:space="preserve">the </w:t>
      </w:r>
      <w:r w:rsidRPr="003B7C7F">
        <w:rPr>
          <w:szCs w:val="22"/>
        </w:rPr>
        <w:t xml:space="preserve">benchmark rate to be used by </w:t>
      </w:r>
      <w:r w:rsidRPr="003B7C7F" w:rsidR="005D21DD">
        <w:rPr>
          <w:szCs w:val="22"/>
        </w:rPr>
        <w:t>SDN should be calculated</w:t>
      </w:r>
      <w:r w:rsidRPr="003B7C7F">
        <w:rPr>
          <w:szCs w:val="22"/>
        </w:rPr>
        <w:t xml:space="preserve"> as described in Table 1 below.</w:t>
      </w:r>
    </w:p>
    <w:p w:rsidR="00C05B8F" w:rsidRPr="003B7C7F" w:rsidP="00C05B8F" w14:paraId="13A99C2B" w14:textId="77777777">
      <w:pPr>
        <w:pStyle w:val="ParaNum"/>
        <w:keepNext/>
        <w:keepLines/>
        <w:numPr>
          <w:ilvl w:val="0"/>
          <w:numId w:val="0"/>
        </w:numPr>
        <w:jc w:val="center"/>
        <w:rPr>
          <w:b/>
          <w:szCs w:val="22"/>
        </w:rPr>
      </w:pPr>
      <w:r w:rsidRPr="003B7C7F">
        <w:rPr>
          <w:b/>
          <w:szCs w:val="22"/>
        </w:rPr>
        <w:t>TABLE 1</w:t>
      </w:r>
    </w:p>
    <w:p w:rsidR="00C05B8F" w:rsidRPr="003B7C7F" w:rsidP="00C05B8F" w14:paraId="6CD8CBC6" w14:textId="77777777">
      <w:pPr>
        <w:pStyle w:val="ParaNum"/>
        <w:keepNext/>
        <w:keepLines/>
        <w:numPr>
          <w:ilvl w:val="0"/>
          <w:numId w:val="0"/>
        </w:numPr>
        <w:jc w:val="center"/>
        <w:rPr>
          <w:b/>
          <w:szCs w:val="22"/>
        </w:rPr>
      </w:pPr>
      <w:bookmarkStart w:id="15" w:name="_Hlk514311236"/>
      <w:r w:rsidRPr="003B7C7F">
        <w:rPr>
          <w:b/>
          <w:szCs w:val="22"/>
        </w:rPr>
        <w:t>SDN</w:t>
      </w:r>
      <w:r w:rsidRPr="003B7C7F">
        <w:rPr>
          <w:b/>
          <w:szCs w:val="22"/>
        </w:rPr>
        <w:t xml:space="preserve"> Benchmark Rate</w:t>
      </w:r>
    </w:p>
    <w:tbl>
      <w:tblPr>
        <w:tblW w:w="0" w:type="auto"/>
        <w:tblInd w:w="720" w:type="dxa"/>
        <w:tblLook w:val="04A0"/>
      </w:tblPr>
      <w:tblGrid>
        <w:gridCol w:w="4680"/>
        <w:gridCol w:w="450"/>
        <w:gridCol w:w="1260"/>
        <w:gridCol w:w="1062"/>
      </w:tblGrid>
      <w:tr w14:paraId="4291A712" w14:textId="77777777" w:rsidTr="00D44A0D">
        <w:tblPrEx>
          <w:tblW w:w="0" w:type="auto"/>
          <w:tblInd w:w="720" w:type="dxa"/>
          <w:tblLook w:val="04A0"/>
        </w:tblPrEx>
        <w:tc>
          <w:tcPr>
            <w:tcW w:w="4680" w:type="dxa"/>
            <w:tcMar>
              <w:left w:w="0" w:type="dxa"/>
              <w:right w:w="115" w:type="dxa"/>
            </w:tcMar>
          </w:tcPr>
          <w:p w:rsidR="00C05B8F" w:rsidRPr="003B7C7F" w:rsidP="00DF764E" w14:paraId="540E66EF" w14:textId="77777777">
            <w:pPr>
              <w:keepNext/>
              <w:keepLines/>
            </w:pPr>
          </w:p>
        </w:tc>
        <w:tc>
          <w:tcPr>
            <w:tcW w:w="450" w:type="dxa"/>
          </w:tcPr>
          <w:p w:rsidR="00C05B8F" w:rsidRPr="003B7C7F" w:rsidP="00DF764E" w14:paraId="478FD057" w14:textId="77777777">
            <w:pPr>
              <w:keepNext/>
              <w:keepLines/>
            </w:pPr>
          </w:p>
        </w:tc>
        <w:tc>
          <w:tcPr>
            <w:tcW w:w="1260" w:type="dxa"/>
          </w:tcPr>
          <w:p w:rsidR="00C05B8F" w:rsidRPr="003B7C7F" w:rsidP="00DF764E" w14:paraId="73387A8F" w14:textId="77777777">
            <w:pPr>
              <w:keepNext/>
              <w:keepLines/>
            </w:pPr>
          </w:p>
        </w:tc>
        <w:tc>
          <w:tcPr>
            <w:tcW w:w="1062" w:type="dxa"/>
            <w:tcMar>
              <w:left w:w="115" w:type="dxa"/>
              <w:right w:w="0" w:type="dxa"/>
            </w:tcMar>
          </w:tcPr>
          <w:p w:rsidR="00C05B8F" w:rsidRPr="003B7C7F" w:rsidP="00DF764E" w14:paraId="58C2C1CC" w14:textId="77777777">
            <w:pPr>
              <w:keepNext/>
              <w:keepLines/>
              <w:jc w:val="right"/>
            </w:pPr>
          </w:p>
        </w:tc>
      </w:tr>
      <w:bookmarkEnd w:id="15"/>
      <w:tr w14:paraId="5769425C" w14:textId="77777777" w:rsidTr="00D44A0D">
        <w:tblPrEx>
          <w:tblW w:w="0" w:type="auto"/>
          <w:tblInd w:w="720" w:type="dxa"/>
          <w:tblLook w:val="04A0"/>
        </w:tblPrEx>
        <w:tc>
          <w:tcPr>
            <w:tcW w:w="4680" w:type="dxa"/>
            <w:tcMar>
              <w:left w:w="0" w:type="dxa"/>
              <w:right w:w="115" w:type="dxa"/>
            </w:tcMar>
          </w:tcPr>
          <w:p w:rsidR="00C05B8F" w:rsidRPr="003B7C7F" w:rsidP="00DF764E" w14:paraId="68C32FF5" w14:textId="77777777">
            <w:pPr>
              <w:keepNext/>
              <w:keepLines/>
            </w:pPr>
            <w:r w:rsidRPr="003B7C7F">
              <w:t>Tandem Switching</w:t>
            </w:r>
            <w:r w:rsidRPr="003B7C7F" w:rsidR="004756DE">
              <w:t xml:space="preserve"> per </w:t>
            </w:r>
            <w:r w:rsidRPr="003B7C7F" w:rsidR="00D44A0D">
              <w:t>minute of use</w:t>
            </w:r>
          </w:p>
        </w:tc>
        <w:tc>
          <w:tcPr>
            <w:tcW w:w="450" w:type="dxa"/>
          </w:tcPr>
          <w:p w:rsidR="00C05B8F" w:rsidRPr="003B7C7F" w:rsidP="00DF764E" w14:paraId="2313C2B7" w14:textId="77777777">
            <w:pPr>
              <w:keepNext/>
              <w:keepLines/>
            </w:pPr>
          </w:p>
        </w:tc>
        <w:tc>
          <w:tcPr>
            <w:tcW w:w="1260" w:type="dxa"/>
          </w:tcPr>
          <w:p w:rsidR="00C05B8F" w:rsidRPr="003B7C7F" w:rsidP="00DF764E" w14:paraId="4821B1DC" w14:textId="77777777">
            <w:pPr>
              <w:keepNext/>
              <w:keepLines/>
            </w:pPr>
          </w:p>
        </w:tc>
        <w:tc>
          <w:tcPr>
            <w:tcW w:w="1062" w:type="dxa"/>
            <w:tcMar>
              <w:left w:w="115" w:type="dxa"/>
              <w:right w:w="0" w:type="dxa"/>
            </w:tcMar>
          </w:tcPr>
          <w:p w:rsidR="00C05B8F" w:rsidRPr="003B7C7F" w:rsidP="00DF764E" w14:paraId="4FB1146C" w14:textId="77777777">
            <w:pPr>
              <w:keepNext/>
              <w:keepLines/>
              <w:jc w:val="right"/>
            </w:pPr>
            <w:r w:rsidRPr="003B7C7F">
              <w:t>$0.002252</w:t>
            </w:r>
          </w:p>
        </w:tc>
      </w:tr>
      <w:tr w14:paraId="3FCC97A0" w14:textId="77777777" w:rsidTr="00D44A0D">
        <w:tblPrEx>
          <w:tblW w:w="0" w:type="auto"/>
          <w:tblInd w:w="720" w:type="dxa"/>
          <w:tblLook w:val="04A0"/>
        </w:tblPrEx>
        <w:tc>
          <w:tcPr>
            <w:tcW w:w="4680" w:type="dxa"/>
            <w:tcBorders>
              <w:bottom w:val="single" w:sz="4" w:space="0" w:color="auto"/>
            </w:tcBorders>
            <w:tcMar>
              <w:left w:w="0" w:type="dxa"/>
              <w:right w:w="115" w:type="dxa"/>
            </w:tcMar>
          </w:tcPr>
          <w:p w:rsidR="00C05B8F" w:rsidRPr="003B7C7F" w:rsidP="00DF764E" w14:paraId="7C239610" w14:textId="77777777">
            <w:pPr>
              <w:keepNext/>
              <w:keepLines/>
            </w:pPr>
            <w:r w:rsidRPr="003B7C7F">
              <w:t>Common Transport Multiplexing</w:t>
            </w:r>
            <w:r w:rsidRPr="003B7C7F" w:rsidR="004756DE">
              <w:t xml:space="preserve"> per </w:t>
            </w:r>
            <w:r w:rsidRPr="003B7C7F" w:rsidR="00D44A0D">
              <w:t>minute of use</w:t>
            </w:r>
          </w:p>
        </w:tc>
        <w:tc>
          <w:tcPr>
            <w:tcW w:w="450" w:type="dxa"/>
            <w:tcBorders>
              <w:bottom w:val="single" w:sz="4" w:space="0" w:color="auto"/>
            </w:tcBorders>
          </w:tcPr>
          <w:p w:rsidR="00C05B8F" w:rsidRPr="003B7C7F" w:rsidP="00DF764E" w14:paraId="7C40F16C" w14:textId="77777777">
            <w:pPr>
              <w:keepNext/>
              <w:keepLines/>
            </w:pPr>
          </w:p>
        </w:tc>
        <w:tc>
          <w:tcPr>
            <w:tcW w:w="1260" w:type="dxa"/>
            <w:tcBorders>
              <w:bottom w:val="single" w:sz="4" w:space="0" w:color="auto"/>
            </w:tcBorders>
          </w:tcPr>
          <w:p w:rsidR="00C05B8F" w:rsidRPr="003B7C7F" w:rsidP="00DF764E" w14:paraId="627AC820" w14:textId="77777777">
            <w:pPr>
              <w:keepNext/>
              <w:keepLines/>
            </w:pPr>
          </w:p>
        </w:tc>
        <w:tc>
          <w:tcPr>
            <w:tcW w:w="1062" w:type="dxa"/>
            <w:tcBorders>
              <w:bottom w:val="single" w:sz="4" w:space="0" w:color="auto"/>
            </w:tcBorders>
            <w:tcMar>
              <w:left w:w="115" w:type="dxa"/>
              <w:right w:w="0" w:type="dxa"/>
            </w:tcMar>
          </w:tcPr>
          <w:p w:rsidR="00C05B8F" w:rsidRPr="003B7C7F" w:rsidP="00DF764E" w14:paraId="1B5C5243" w14:textId="77777777">
            <w:pPr>
              <w:keepNext/>
              <w:keepLines/>
              <w:jc w:val="right"/>
            </w:pPr>
            <w:r w:rsidRPr="003B7C7F">
              <w:t>$0.000036</w:t>
            </w:r>
          </w:p>
        </w:tc>
      </w:tr>
      <w:tr w14:paraId="2ECA52C1" w14:textId="77777777" w:rsidTr="00D44A0D">
        <w:tblPrEx>
          <w:tblW w:w="0" w:type="auto"/>
          <w:tblInd w:w="720" w:type="dxa"/>
          <w:tblLook w:val="04A0"/>
        </w:tblPrEx>
        <w:tc>
          <w:tcPr>
            <w:tcW w:w="4680" w:type="dxa"/>
            <w:tcBorders>
              <w:top w:val="single" w:sz="4" w:space="0" w:color="auto"/>
            </w:tcBorders>
            <w:tcMar>
              <w:left w:w="0" w:type="dxa"/>
              <w:right w:w="115" w:type="dxa"/>
            </w:tcMar>
          </w:tcPr>
          <w:p w:rsidR="00C05B8F" w:rsidRPr="003B7C7F" w:rsidP="00DF764E" w14:paraId="26E1B350" w14:textId="77777777">
            <w:pPr>
              <w:keepNext/>
              <w:keepLines/>
              <w:rPr>
                <w:b/>
              </w:rPr>
            </w:pPr>
            <w:r w:rsidRPr="003B7C7F">
              <w:rPr>
                <w:b/>
              </w:rPr>
              <w:t xml:space="preserve">Total per </w:t>
            </w:r>
            <w:r w:rsidRPr="003B7C7F" w:rsidR="00D44A0D">
              <w:rPr>
                <w:b/>
              </w:rPr>
              <w:t>minute of use</w:t>
            </w:r>
          </w:p>
        </w:tc>
        <w:tc>
          <w:tcPr>
            <w:tcW w:w="450" w:type="dxa"/>
            <w:tcBorders>
              <w:top w:val="single" w:sz="4" w:space="0" w:color="auto"/>
            </w:tcBorders>
          </w:tcPr>
          <w:p w:rsidR="00C05B8F" w:rsidRPr="003B7C7F" w:rsidP="00DF764E" w14:paraId="3BA8C3E7" w14:textId="77777777">
            <w:pPr>
              <w:keepNext/>
              <w:keepLines/>
              <w:rPr>
                <w:b/>
              </w:rPr>
            </w:pPr>
          </w:p>
        </w:tc>
        <w:tc>
          <w:tcPr>
            <w:tcW w:w="1260" w:type="dxa"/>
            <w:tcBorders>
              <w:top w:val="single" w:sz="4" w:space="0" w:color="auto"/>
            </w:tcBorders>
          </w:tcPr>
          <w:p w:rsidR="00C05B8F" w:rsidRPr="003B7C7F" w:rsidP="00DF764E" w14:paraId="54704577" w14:textId="77777777">
            <w:pPr>
              <w:keepNext/>
              <w:keepLines/>
              <w:rPr>
                <w:b/>
              </w:rPr>
            </w:pPr>
          </w:p>
        </w:tc>
        <w:tc>
          <w:tcPr>
            <w:tcW w:w="1062" w:type="dxa"/>
            <w:tcBorders>
              <w:top w:val="single" w:sz="4" w:space="0" w:color="auto"/>
            </w:tcBorders>
            <w:tcMar>
              <w:left w:w="115" w:type="dxa"/>
              <w:right w:w="0" w:type="dxa"/>
            </w:tcMar>
          </w:tcPr>
          <w:p w:rsidR="00C05B8F" w:rsidRPr="003B7C7F" w:rsidP="00DF764E" w14:paraId="7225CA2F" w14:textId="77777777">
            <w:pPr>
              <w:keepNext/>
              <w:keepLines/>
              <w:jc w:val="right"/>
              <w:rPr>
                <w:b/>
              </w:rPr>
            </w:pPr>
            <w:r w:rsidRPr="003B7C7F">
              <w:rPr>
                <w:b/>
              </w:rPr>
              <w:t>$0.00</w:t>
            </w:r>
            <w:r w:rsidRPr="003B7C7F" w:rsidR="005D21DD">
              <w:rPr>
                <w:b/>
              </w:rPr>
              <w:t>2288</w:t>
            </w:r>
          </w:p>
        </w:tc>
      </w:tr>
    </w:tbl>
    <w:p w:rsidR="00C05B8F" w:rsidRPr="003B7C7F" w:rsidP="00C05B8F" w14:paraId="22D57C53" w14:textId="77777777"/>
    <w:p w:rsidR="00507670" w:rsidRPr="003B7C7F" w:rsidP="00C05B8F" w14:paraId="730F3731" w14:textId="77777777">
      <w:pPr>
        <w:pStyle w:val="ParaNum"/>
      </w:pPr>
      <w:r w:rsidRPr="003B7C7F">
        <w:rPr>
          <w:szCs w:val="22"/>
        </w:rPr>
        <w:t>We find that this calculation of a benchmark rate of $0.00</w:t>
      </w:r>
      <w:r w:rsidRPr="003B7C7F" w:rsidR="005D21DD">
        <w:rPr>
          <w:szCs w:val="22"/>
        </w:rPr>
        <w:t>2288</w:t>
      </w:r>
      <w:r w:rsidRPr="003B7C7F">
        <w:rPr>
          <w:szCs w:val="22"/>
        </w:rPr>
        <w:t xml:space="preserve"> </w:t>
      </w:r>
      <w:r w:rsidRPr="003B7C7F" w:rsidR="00FA21EB">
        <w:rPr>
          <w:szCs w:val="22"/>
        </w:rPr>
        <w:t xml:space="preserve">per </w:t>
      </w:r>
      <w:r w:rsidRPr="003B7C7F" w:rsidR="00D44A0D">
        <w:t>minute of use</w:t>
      </w:r>
      <w:r w:rsidRPr="003B7C7F" w:rsidR="00D44A0D">
        <w:rPr>
          <w:szCs w:val="22"/>
        </w:rPr>
        <w:t xml:space="preserve"> </w:t>
      </w:r>
      <w:r w:rsidRPr="003B7C7F">
        <w:rPr>
          <w:szCs w:val="22"/>
        </w:rPr>
        <w:t>is reasonable and complies with our rules</w:t>
      </w:r>
      <w:r w:rsidRPr="003B7C7F" w:rsidR="00A94343">
        <w:rPr>
          <w:szCs w:val="22"/>
        </w:rPr>
        <w:t xml:space="preserve">. </w:t>
      </w:r>
      <w:r w:rsidRPr="003B7C7F" w:rsidR="00A94343">
        <w:t xml:space="preserve"> The benchmark rate of $0.002288 per </w:t>
      </w:r>
      <w:r w:rsidRPr="003B7C7F" w:rsidR="00D44A0D">
        <w:t xml:space="preserve">minute of use </w:t>
      </w:r>
      <w:r w:rsidRPr="003B7C7F" w:rsidR="00A94343">
        <w:t>is also the rate which SDN calculated using only CenturyLink’s tariffed rates.</w:t>
      </w:r>
      <w:r>
        <w:rPr>
          <w:rStyle w:val="FootnoteReference"/>
          <w:szCs w:val="22"/>
        </w:rPr>
        <w:footnoteReference w:id="84"/>
      </w:r>
      <w:r w:rsidRPr="003B7C7F">
        <w:rPr>
          <w:szCs w:val="22"/>
        </w:rPr>
        <w:t xml:space="preserve">  </w:t>
      </w:r>
      <w:r w:rsidRPr="003B7C7F" w:rsidR="00E861D0">
        <w:rPr>
          <w:szCs w:val="22"/>
        </w:rPr>
        <w:t xml:space="preserve">And CenturyLink affirms that its tariffed tandem switching rate of $0.002288 per </w:t>
      </w:r>
      <w:r w:rsidRPr="003B7C7F" w:rsidR="00D44A0D">
        <w:t>minute of use</w:t>
      </w:r>
      <w:r w:rsidRPr="003B7C7F" w:rsidR="00D44A0D">
        <w:rPr>
          <w:szCs w:val="22"/>
        </w:rPr>
        <w:t xml:space="preserve"> </w:t>
      </w:r>
      <w:r w:rsidRPr="003B7C7F" w:rsidR="00E861D0">
        <w:rPr>
          <w:szCs w:val="22"/>
        </w:rPr>
        <w:t xml:space="preserve">applies </w:t>
      </w:r>
      <w:r w:rsidRPr="003B7C7F" w:rsidR="00E861D0">
        <w:rPr>
          <w:szCs w:val="22"/>
        </w:rPr>
        <w:t>whether or not</w:t>
      </w:r>
      <w:r w:rsidRPr="003B7C7F" w:rsidR="00E861D0">
        <w:rPr>
          <w:szCs w:val="22"/>
        </w:rPr>
        <w:t xml:space="preserve"> </w:t>
      </w:r>
    </w:p>
    <w:p w:rsidR="00507670" w:rsidRPr="003B7C7F" w:rsidP="00507670" w14:paraId="29C5581A" w14:textId="77777777">
      <w:pPr>
        <w:pStyle w:val="ParaNum"/>
        <w:numPr>
          <w:ilvl w:val="0"/>
          <w:numId w:val="0"/>
        </w:numPr>
        <w:spacing w:after="0"/>
        <w:ind w:left="720" w:firstLine="720"/>
        <w:rPr>
          <w:szCs w:val="22"/>
        </w:rPr>
      </w:pPr>
      <w:r w:rsidRPr="003B7C7F">
        <w:rPr>
          <w:szCs w:val="22"/>
        </w:rPr>
        <w:t>it is providing equal access functionality</w:t>
      </w:r>
      <w:r w:rsidRPr="003B7C7F" w:rsidR="00DD2D0D">
        <w:rPr>
          <w:szCs w:val="22"/>
        </w:rPr>
        <w:t xml:space="preserve">.  The CenturyLink tandem rate of </w:t>
      </w:r>
    </w:p>
    <w:p w:rsidR="00507670" w:rsidRPr="003B7C7F" w:rsidP="00507670" w14:paraId="12D19652" w14:textId="77777777">
      <w:pPr>
        <w:pStyle w:val="ParaNum"/>
        <w:numPr>
          <w:ilvl w:val="0"/>
          <w:numId w:val="0"/>
        </w:numPr>
        <w:spacing w:after="0"/>
        <w:ind w:left="720" w:firstLine="720"/>
        <w:rPr>
          <w:szCs w:val="22"/>
        </w:rPr>
      </w:pPr>
      <w:r w:rsidRPr="003B7C7F">
        <w:rPr>
          <w:szCs w:val="22"/>
        </w:rPr>
        <w:t xml:space="preserve">$0.002288 </w:t>
      </w:r>
      <w:r w:rsidRPr="003B7C7F">
        <w:rPr>
          <w:i/>
          <w:szCs w:val="22"/>
        </w:rPr>
        <w:t>is</w:t>
      </w:r>
      <w:r w:rsidRPr="003B7C7F">
        <w:rPr>
          <w:szCs w:val="22"/>
        </w:rPr>
        <w:t xml:space="preserve"> the entirety of CenturyLink’s tariffed access charge compensation</w:t>
      </w:r>
    </w:p>
    <w:p w:rsidR="00507670" w:rsidRPr="003B7C7F" w:rsidP="00507670" w14:paraId="0D807619" w14:textId="77777777">
      <w:pPr>
        <w:pStyle w:val="ParaNum"/>
        <w:numPr>
          <w:ilvl w:val="0"/>
          <w:numId w:val="0"/>
        </w:numPr>
        <w:spacing w:after="0"/>
        <w:ind w:left="720" w:firstLine="720"/>
        <w:rPr>
          <w:szCs w:val="22"/>
        </w:rPr>
      </w:pPr>
      <w:r w:rsidRPr="003B7C7F">
        <w:rPr>
          <w:szCs w:val="22"/>
        </w:rPr>
        <w:t>for the entirety of the SDN access functionality at issue (whether characterized</w:t>
      </w:r>
    </w:p>
    <w:p w:rsidR="00507670" w:rsidRPr="003B7C7F" w:rsidP="00507670" w14:paraId="143F5A4D" w14:textId="77777777">
      <w:pPr>
        <w:pStyle w:val="ParaNum"/>
        <w:numPr>
          <w:ilvl w:val="0"/>
          <w:numId w:val="0"/>
        </w:numPr>
        <w:spacing w:after="0"/>
        <w:ind w:left="720" w:firstLine="720"/>
        <w:rPr>
          <w:szCs w:val="22"/>
        </w:rPr>
      </w:pPr>
      <w:r w:rsidRPr="003B7C7F">
        <w:rPr>
          <w:szCs w:val="22"/>
        </w:rPr>
        <w:t xml:space="preserve">as tandem or end office or both).  Under these circumstances, there is no basis </w:t>
      </w:r>
      <w:r w:rsidRPr="003B7C7F">
        <w:rPr>
          <w:szCs w:val="22"/>
        </w:rPr>
        <w:t xml:space="preserve"> </w:t>
      </w:r>
    </w:p>
    <w:p w:rsidR="00507670" w:rsidRPr="003B7C7F" w:rsidP="00507670" w14:paraId="5D77FECF" w14:textId="77777777">
      <w:pPr>
        <w:pStyle w:val="ParaNum"/>
        <w:numPr>
          <w:ilvl w:val="0"/>
          <w:numId w:val="0"/>
        </w:numPr>
        <w:spacing w:after="0"/>
        <w:ind w:left="720" w:firstLine="720"/>
        <w:rPr>
          <w:szCs w:val="22"/>
        </w:rPr>
      </w:pPr>
      <w:r w:rsidRPr="003B7C7F">
        <w:rPr>
          <w:szCs w:val="22"/>
        </w:rPr>
        <w:t xml:space="preserve">whatsoever for arguing that SDN should be permitted to recover a greater </w:t>
      </w:r>
    </w:p>
    <w:p w:rsidR="00507670" w:rsidRPr="003B7C7F" w:rsidP="005A22DC" w14:paraId="5F7725F0" w14:textId="77777777">
      <w:pPr>
        <w:pStyle w:val="ParaNum"/>
        <w:numPr>
          <w:ilvl w:val="0"/>
          <w:numId w:val="0"/>
        </w:numPr>
        <w:ind w:left="720" w:firstLine="720"/>
        <w:rPr>
          <w:szCs w:val="22"/>
        </w:rPr>
      </w:pPr>
      <w:r w:rsidRPr="003B7C7F">
        <w:rPr>
          <w:szCs w:val="22"/>
        </w:rPr>
        <w:t xml:space="preserve">amount </w:t>
      </w:r>
      <w:r w:rsidRPr="003B7C7F" w:rsidR="00DD2D0D">
        <w:rPr>
          <w:szCs w:val="22"/>
        </w:rPr>
        <w:t>than CenturyLink’s tariff charges for the same service.</w:t>
      </w:r>
      <w:r>
        <w:rPr>
          <w:rStyle w:val="FootnoteReference"/>
          <w:szCs w:val="22"/>
        </w:rPr>
        <w:footnoteReference w:id="85"/>
      </w:r>
      <w:r w:rsidRPr="003B7C7F" w:rsidR="00DD2D0D">
        <w:rPr>
          <w:szCs w:val="22"/>
        </w:rPr>
        <w:t xml:space="preserve">  </w:t>
      </w:r>
    </w:p>
    <w:p w:rsidR="006B3C1E" w:rsidRPr="003B7C7F" w:rsidP="00507670" w14:paraId="78F740C0" w14:textId="77777777">
      <w:pPr>
        <w:pStyle w:val="ParaNum"/>
        <w:numPr>
          <w:ilvl w:val="0"/>
          <w:numId w:val="0"/>
        </w:numPr>
      </w:pPr>
      <w:r w:rsidRPr="003B7C7F">
        <w:rPr>
          <w:szCs w:val="22"/>
        </w:rPr>
        <w:t xml:space="preserve">We agree.  </w:t>
      </w:r>
      <w:r w:rsidRPr="003B7C7F" w:rsidR="005D21DD">
        <w:rPr>
          <w:szCs w:val="22"/>
        </w:rPr>
        <w:t>SDN</w:t>
      </w:r>
      <w:r w:rsidRPr="003B7C7F" w:rsidR="00C05B8F">
        <w:rPr>
          <w:szCs w:val="22"/>
        </w:rPr>
        <w:t>’s tariffed rate of $0.00</w:t>
      </w:r>
      <w:r w:rsidRPr="003B7C7F" w:rsidR="005D21DD">
        <w:rPr>
          <w:szCs w:val="22"/>
        </w:rPr>
        <w:t>4871</w:t>
      </w:r>
      <w:r w:rsidRPr="003B7C7F" w:rsidR="00290DA0">
        <w:rPr>
          <w:szCs w:val="22"/>
        </w:rPr>
        <w:t xml:space="preserve"> </w:t>
      </w:r>
      <w:r w:rsidRPr="003B7C7F" w:rsidR="00FA21EB">
        <w:rPr>
          <w:szCs w:val="22"/>
        </w:rPr>
        <w:t xml:space="preserve">per </w:t>
      </w:r>
      <w:r w:rsidRPr="003B7C7F" w:rsidR="00D44A0D">
        <w:t>minute of use</w:t>
      </w:r>
      <w:r w:rsidRPr="003B7C7F" w:rsidR="00D44A0D">
        <w:rPr>
          <w:szCs w:val="22"/>
        </w:rPr>
        <w:t xml:space="preserve"> </w:t>
      </w:r>
      <w:r w:rsidRPr="003B7C7F" w:rsidR="00290DA0">
        <w:rPr>
          <w:szCs w:val="22"/>
        </w:rPr>
        <w:t>exceeds the</w:t>
      </w:r>
      <w:r w:rsidRPr="003B7C7F" w:rsidR="00C05B8F">
        <w:rPr>
          <w:szCs w:val="22"/>
        </w:rPr>
        <w:t xml:space="preserve"> </w:t>
      </w:r>
      <w:r w:rsidRPr="003B7C7F" w:rsidR="00D52A1B">
        <w:rPr>
          <w:szCs w:val="22"/>
        </w:rPr>
        <w:t xml:space="preserve">$0.002288 per </w:t>
      </w:r>
      <w:r w:rsidRPr="003B7C7F" w:rsidR="00D44A0D">
        <w:t>minute of use</w:t>
      </w:r>
      <w:r w:rsidRPr="003B7C7F" w:rsidR="00D44A0D">
        <w:rPr>
          <w:szCs w:val="22"/>
        </w:rPr>
        <w:t xml:space="preserve"> </w:t>
      </w:r>
      <w:r w:rsidRPr="003B7C7F" w:rsidR="00C05B8F">
        <w:rPr>
          <w:szCs w:val="22"/>
        </w:rPr>
        <w:t>benchmark</w:t>
      </w:r>
      <w:r w:rsidRPr="003B7C7F" w:rsidR="00FA21EB">
        <w:rPr>
          <w:szCs w:val="22"/>
        </w:rPr>
        <w:t>,</w:t>
      </w:r>
      <w:r w:rsidRPr="003B7C7F" w:rsidR="00C05B8F">
        <w:rPr>
          <w:szCs w:val="22"/>
        </w:rPr>
        <w:t xml:space="preserve"> violates </w:t>
      </w:r>
      <w:r w:rsidRPr="003B7C7F" w:rsidR="00811653">
        <w:rPr>
          <w:szCs w:val="22"/>
        </w:rPr>
        <w:t xml:space="preserve">the </w:t>
      </w:r>
      <w:r w:rsidRPr="003B7C7F" w:rsidR="00C05B8F">
        <w:rPr>
          <w:szCs w:val="22"/>
        </w:rPr>
        <w:t>CLEC benchmark rule</w:t>
      </w:r>
      <w:r w:rsidRPr="003B7C7F" w:rsidR="00FA21EB">
        <w:rPr>
          <w:szCs w:val="22"/>
        </w:rPr>
        <w:t>, and is unlawful.</w:t>
      </w:r>
      <w:r>
        <w:rPr>
          <w:rStyle w:val="FootnoteReference"/>
        </w:rPr>
        <w:footnoteReference w:id="86"/>
      </w:r>
    </w:p>
    <w:bookmarkEnd w:id="10"/>
    <w:p w:rsidR="00E91F1A" w:rsidRPr="003B7C7F" w:rsidP="00E91F1A" w14:paraId="407BFA6A" w14:textId="77777777">
      <w:pPr>
        <w:pStyle w:val="Heading1"/>
        <w:spacing w:before="120"/>
        <w:rPr>
          <w:rFonts w:ascii="Times New Roman" w:hAnsi="Times New Roman"/>
        </w:rPr>
      </w:pPr>
      <w:r w:rsidRPr="003B7C7F">
        <w:rPr>
          <w:rFonts w:ascii="Times New Roman" w:hAnsi="Times New Roman"/>
        </w:rPr>
        <w:t>procedural matters</w:t>
      </w:r>
    </w:p>
    <w:p w:rsidR="00E91F1A" w:rsidRPr="003B7C7F" w:rsidP="00E91F1A" w14:paraId="6F42874D" w14:textId="7CCC1470">
      <w:pPr>
        <w:pStyle w:val="ParaNum"/>
        <w:spacing w:before="120"/>
      </w:pPr>
      <w:r w:rsidRPr="003B7C7F">
        <w:rPr>
          <w:szCs w:val="22"/>
        </w:rPr>
        <w:t>We</w:t>
      </w:r>
      <w:r w:rsidRPr="003B7C7F" w:rsidR="00ED1D22">
        <w:rPr>
          <w:szCs w:val="22"/>
        </w:rPr>
        <w:t xml:space="preserve"> conclude that SDN’s interstate switched access rate of $0.004871 </w:t>
      </w:r>
      <w:r w:rsidRPr="003B7C7F" w:rsidR="00FA21EB">
        <w:rPr>
          <w:szCs w:val="22"/>
        </w:rPr>
        <w:t xml:space="preserve">per </w:t>
      </w:r>
      <w:r w:rsidRPr="003B7C7F" w:rsidR="00D44A0D">
        <w:t>minute of use</w:t>
      </w:r>
      <w:r w:rsidRPr="003B7C7F" w:rsidR="00D44A0D">
        <w:rPr>
          <w:szCs w:val="22"/>
        </w:rPr>
        <w:t xml:space="preserve"> </w:t>
      </w:r>
      <w:r w:rsidRPr="003B7C7F" w:rsidR="00ED1D22">
        <w:rPr>
          <w:szCs w:val="22"/>
        </w:rPr>
        <w:t xml:space="preserve">contained in Transmittal No. 13 of Tariff F.C.C. No. 1 is unlawful because it exceeds the allowable competitive </w:t>
      </w:r>
      <w:r w:rsidRPr="003B7C7F" w:rsidR="005A22DC">
        <w:rPr>
          <w:szCs w:val="22"/>
        </w:rPr>
        <w:t xml:space="preserve">incumbent </w:t>
      </w:r>
      <w:r w:rsidRPr="003B7C7F" w:rsidR="00ED1D22">
        <w:rPr>
          <w:szCs w:val="22"/>
        </w:rPr>
        <w:t xml:space="preserve">LEC benchmark rate </w:t>
      </w:r>
      <w:r w:rsidRPr="003B7C7F" w:rsidR="00F8191D">
        <w:rPr>
          <w:szCs w:val="22"/>
        </w:rPr>
        <w:t xml:space="preserve">for SDN </w:t>
      </w:r>
      <w:r w:rsidRPr="003B7C7F" w:rsidR="00ED1D22">
        <w:rPr>
          <w:szCs w:val="22"/>
        </w:rPr>
        <w:t>of $0.002288</w:t>
      </w:r>
      <w:r w:rsidRPr="003B7C7F" w:rsidR="00FA21EB">
        <w:rPr>
          <w:szCs w:val="22"/>
        </w:rPr>
        <w:t xml:space="preserve"> per </w:t>
      </w:r>
      <w:r w:rsidRPr="003B7C7F" w:rsidR="00D44A0D">
        <w:t>minute of use</w:t>
      </w:r>
      <w:r w:rsidRPr="003B7C7F" w:rsidR="00ED1D22">
        <w:rPr>
          <w:szCs w:val="22"/>
        </w:rPr>
        <w:t xml:space="preserve">.  Accordingly, we require SDN to file a revised tariff no later than sixty calendar days from the release date of this </w:t>
      </w:r>
      <w:r w:rsidRPr="003B7C7F" w:rsidR="00DD2D0D">
        <w:rPr>
          <w:szCs w:val="22"/>
        </w:rPr>
        <w:t>O</w:t>
      </w:r>
      <w:r w:rsidRPr="003B7C7F" w:rsidR="00ED1D22">
        <w:rPr>
          <w:szCs w:val="22"/>
        </w:rPr>
        <w:t xml:space="preserve">rder.  The revised tariff must include the allowable competitive LEC benchmark rate of $0.002288 </w:t>
      </w:r>
      <w:r w:rsidRPr="003B7C7F" w:rsidR="00FA21EB">
        <w:rPr>
          <w:szCs w:val="22"/>
        </w:rPr>
        <w:t xml:space="preserve">per </w:t>
      </w:r>
      <w:r w:rsidRPr="003B7C7F" w:rsidR="00D44A0D">
        <w:t>minute of u</w:t>
      </w:r>
      <w:r w:rsidRPr="003B7C7F" w:rsidR="00001B82">
        <w:t>se</w:t>
      </w:r>
      <w:r w:rsidRPr="003B7C7F" w:rsidR="00ED1D22">
        <w:rPr>
          <w:szCs w:val="22"/>
        </w:rPr>
        <w:t>.  SDN continues to be subject to the accounting order in this proceeding</w:t>
      </w:r>
      <w:r w:rsidRPr="003B7C7F">
        <w:rPr>
          <w:szCs w:val="22"/>
        </w:rPr>
        <w:t>.</w:t>
      </w:r>
    </w:p>
    <w:p w:rsidR="00E91F1A" w:rsidRPr="003B7C7F" w:rsidP="00E91F1A" w14:paraId="664D8A29" w14:textId="77777777">
      <w:pPr>
        <w:pStyle w:val="ParaNum"/>
        <w:spacing w:before="120"/>
      </w:pPr>
      <w:r w:rsidRPr="003B7C7F">
        <w:rPr>
          <w:szCs w:val="22"/>
        </w:rPr>
        <w:t xml:space="preserve">Given the complexities associated with implementation of the findings made in this Order, we direct the Bureau to ensure that the Commission’s findings are properly reflected in SDN’s revised Tariff F.C.C. No. 1.  We further direct the Bureau to determine any refunds that may be required once revised rates are effective.  </w:t>
      </w:r>
    </w:p>
    <w:p w:rsidR="00E91F1A" w:rsidRPr="003B7C7F" w:rsidP="00E91F1A" w14:paraId="47BA2408" w14:textId="77777777">
      <w:pPr>
        <w:pStyle w:val="Heading1"/>
        <w:spacing w:before="120"/>
        <w:rPr>
          <w:rFonts w:ascii="Times New Roman" w:hAnsi="Times New Roman"/>
        </w:rPr>
      </w:pPr>
      <w:r w:rsidRPr="003B7C7F">
        <w:rPr>
          <w:rFonts w:ascii="Times New Roman" w:hAnsi="Times New Roman"/>
        </w:rPr>
        <w:t>ordering clauses</w:t>
      </w:r>
    </w:p>
    <w:p w:rsidR="00E91F1A" w:rsidRPr="003B7C7F" w:rsidP="00E91F1A" w14:paraId="4B051847" w14:textId="1ABF6025">
      <w:pPr>
        <w:pStyle w:val="ParaNum"/>
        <w:spacing w:before="120"/>
      </w:pPr>
      <w:r w:rsidRPr="003B7C7F">
        <w:rPr>
          <w:szCs w:val="22"/>
        </w:rPr>
        <w:t>ACCORDINGLY, IT IS ORDERED that, pursuant to sections 4(</w:t>
      </w:r>
      <w:r w:rsidRPr="003B7C7F">
        <w:rPr>
          <w:szCs w:val="22"/>
        </w:rPr>
        <w:t>i</w:t>
      </w:r>
      <w:r w:rsidRPr="003B7C7F">
        <w:rPr>
          <w:szCs w:val="22"/>
        </w:rPr>
        <w:t>), 4(j), 201(b), 203(c), 204(a), 205</w:t>
      </w:r>
      <w:r w:rsidRPr="003B7C7F" w:rsidR="00AA3973">
        <w:rPr>
          <w:szCs w:val="22"/>
        </w:rPr>
        <w:t>,</w:t>
      </w:r>
      <w:r w:rsidRPr="003B7C7F">
        <w:rPr>
          <w:szCs w:val="22"/>
        </w:rPr>
        <w:t xml:space="preserve"> and 403 of the Communications Act, 47 U.S.C. §§ 154(</w:t>
      </w:r>
      <w:r w:rsidRPr="003B7C7F">
        <w:rPr>
          <w:szCs w:val="22"/>
        </w:rPr>
        <w:t>i</w:t>
      </w:r>
      <w:r w:rsidRPr="003B7C7F">
        <w:rPr>
          <w:szCs w:val="22"/>
        </w:rPr>
        <w:t xml:space="preserve">), 154(j), 201(b), 203(c), 204(a), 205, 403, and sections 0.91 and 0.291 of the Commission’s rules, 47 CFR §§ 0.91, 0.291, </w:t>
      </w:r>
      <w:bookmarkStart w:id="16" w:name="_Hlk531354470"/>
      <w:r w:rsidRPr="003B7C7F" w:rsidR="002F7EAB">
        <w:rPr>
          <w:szCs w:val="22"/>
        </w:rPr>
        <w:t xml:space="preserve">South Dakota Network, LLC (d/b/a SDN) </w:t>
      </w:r>
      <w:bookmarkEnd w:id="16"/>
      <w:r w:rsidRPr="003B7C7F">
        <w:rPr>
          <w:szCs w:val="22"/>
        </w:rPr>
        <w:t xml:space="preserve">SHALL FILE REVISED rate(s) in its Tariff F.C.C. No. 1, as described in this Order, no later than sixty </w:t>
      </w:r>
      <w:r w:rsidRPr="003B7C7F" w:rsidR="0013495A">
        <w:rPr>
          <w:szCs w:val="22"/>
        </w:rPr>
        <w:t xml:space="preserve">(60) </w:t>
      </w:r>
      <w:r w:rsidRPr="003B7C7F">
        <w:rPr>
          <w:szCs w:val="22"/>
        </w:rPr>
        <w:t>calendar days from the release date of this Order</w:t>
      </w:r>
      <w:r w:rsidRPr="003B7C7F" w:rsidR="002F7EAB">
        <w:rPr>
          <w:szCs w:val="22"/>
        </w:rPr>
        <w:t xml:space="preserve">.  </w:t>
      </w:r>
    </w:p>
    <w:p w:rsidR="00E91F1A" w:rsidRPr="003B7C7F" w:rsidP="00E91F1A" w14:paraId="1D813FAD" w14:textId="77777777">
      <w:pPr>
        <w:pStyle w:val="ParaNum"/>
        <w:spacing w:before="120"/>
      </w:pPr>
      <w:r w:rsidRPr="003B7C7F">
        <w:rPr>
          <w:kern w:val="0"/>
          <w:szCs w:val="22"/>
        </w:rPr>
        <w:t>IT IS FURTHER ORDERED that the investigation initiated in WC Docket No. 18-100 IS TERMINATED and that the rates under investigation in this proceeding are unlawful and subject to potential refunds for overearnings</w:t>
      </w:r>
      <w:r w:rsidRPr="003B7C7F">
        <w:rPr>
          <w:szCs w:val="22"/>
        </w:rPr>
        <w:t>.</w:t>
      </w:r>
    </w:p>
    <w:p w:rsidR="002F7EAB" w:rsidRPr="003B7C7F" w:rsidP="00E91F1A" w14:paraId="02748833" w14:textId="77777777">
      <w:pPr>
        <w:pStyle w:val="ParaNum"/>
        <w:spacing w:before="120"/>
      </w:pPr>
      <w:r w:rsidRPr="003B7C7F">
        <w:rPr>
          <w:kern w:val="0"/>
          <w:szCs w:val="22"/>
        </w:rPr>
        <w:t>IT IS FURTHER ORDERED that the rate</w:t>
      </w:r>
      <w:r w:rsidRPr="003B7C7F" w:rsidR="00531D6C">
        <w:rPr>
          <w:kern w:val="0"/>
          <w:szCs w:val="22"/>
        </w:rPr>
        <w:t>s</w:t>
      </w:r>
      <w:r w:rsidRPr="003B7C7F">
        <w:rPr>
          <w:kern w:val="0"/>
          <w:szCs w:val="22"/>
        </w:rPr>
        <w:t xml:space="preserve"> found unlawful herein</w:t>
      </w:r>
      <w:r w:rsidRPr="003B7C7F" w:rsidR="00F80C8E">
        <w:rPr>
          <w:kern w:val="0"/>
          <w:szCs w:val="22"/>
        </w:rPr>
        <w:t>,</w:t>
      </w:r>
      <w:r w:rsidRPr="003B7C7F">
        <w:rPr>
          <w:kern w:val="0"/>
          <w:szCs w:val="22"/>
        </w:rPr>
        <w:t xml:space="preserve"> which </w:t>
      </w:r>
      <w:r w:rsidRPr="003B7C7F" w:rsidR="00531D6C">
        <w:rPr>
          <w:kern w:val="0"/>
          <w:szCs w:val="22"/>
        </w:rPr>
        <w:t>are</w:t>
      </w:r>
      <w:r w:rsidRPr="003B7C7F">
        <w:rPr>
          <w:kern w:val="0"/>
          <w:szCs w:val="22"/>
        </w:rPr>
        <w:t xml:space="preserve"> presently in effect</w:t>
      </w:r>
      <w:r w:rsidRPr="003B7C7F" w:rsidR="00F80C8E">
        <w:rPr>
          <w:kern w:val="0"/>
          <w:szCs w:val="22"/>
        </w:rPr>
        <w:t>, shall continue in effect</w:t>
      </w:r>
      <w:r w:rsidRPr="003B7C7F">
        <w:rPr>
          <w:kern w:val="0"/>
          <w:szCs w:val="22"/>
        </w:rPr>
        <w:t xml:space="preserve"> pending further Commission </w:t>
      </w:r>
      <w:r w:rsidRPr="003B7C7F" w:rsidR="007171DF">
        <w:rPr>
          <w:kern w:val="0"/>
          <w:szCs w:val="22"/>
        </w:rPr>
        <w:t>o</w:t>
      </w:r>
      <w:r w:rsidRPr="003B7C7F">
        <w:rPr>
          <w:kern w:val="0"/>
          <w:szCs w:val="22"/>
        </w:rPr>
        <w:t xml:space="preserve">rder, unless cancelled by a subsequent </w:t>
      </w:r>
      <w:r w:rsidRPr="003B7C7F" w:rsidR="00F627D2">
        <w:rPr>
          <w:kern w:val="0"/>
          <w:szCs w:val="22"/>
        </w:rPr>
        <w:t>SDN</w:t>
      </w:r>
      <w:r w:rsidRPr="003B7C7F">
        <w:rPr>
          <w:kern w:val="0"/>
          <w:szCs w:val="22"/>
        </w:rPr>
        <w:t xml:space="preserve"> tariff revision.</w:t>
      </w:r>
    </w:p>
    <w:p w:rsidR="002F7EAB" w:rsidRPr="003B7C7F" w:rsidP="00E91F1A" w14:paraId="4B99B06B" w14:textId="77777777">
      <w:pPr>
        <w:pStyle w:val="ParaNum"/>
        <w:spacing w:before="120"/>
      </w:pPr>
      <w:r w:rsidRPr="003B7C7F">
        <w:rPr>
          <w:kern w:val="0"/>
          <w:szCs w:val="22"/>
        </w:rPr>
        <w:t xml:space="preserve">IT IS FURTHER ORDERED that the accounting order applicable to </w:t>
      </w:r>
      <w:r w:rsidRPr="003B7C7F">
        <w:rPr>
          <w:szCs w:val="22"/>
        </w:rPr>
        <w:t>South Dakota Network, LLC (d/b/a SDN)</w:t>
      </w:r>
      <w:r w:rsidRPr="003B7C7F">
        <w:rPr>
          <w:kern w:val="0"/>
          <w:szCs w:val="22"/>
        </w:rPr>
        <w:t xml:space="preserve">, shall remain in effect </w:t>
      </w:r>
      <w:r w:rsidRPr="003B7C7F" w:rsidR="00FC15C7">
        <w:rPr>
          <w:kern w:val="0"/>
          <w:szCs w:val="22"/>
        </w:rPr>
        <w:t>until</w:t>
      </w:r>
      <w:r w:rsidRPr="003B7C7F">
        <w:rPr>
          <w:kern w:val="0"/>
          <w:szCs w:val="22"/>
        </w:rPr>
        <w:t xml:space="preserve"> the revised rates are effective.</w:t>
      </w:r>
    </w:p>
    <w:p w:rsidR="002F7EAB" w:rsidRPr="003B7C7F" w:rsidP="002F7EAB" w14:paraId="6211D2EF" w14:textId="77777777">
      <w:pPr>
        <w:pStyle w:val="ParaNum"/>
        <w:numPr>
          <w:ilvl w:val="0"/>
          <w:numId w:val="0"/>
        </w:numPr>
        <w:spacing w:before="120"/>
        <w:ind w:firstLine="720"/>
      </w:pPr>
    </w:p>
    <w:p w:rsidR="00533F64" w:rsidP="0017296B" w14:paraId="6EFA7F1F" w14:textId="77777777">
      <w:r>
        <w:tab/>
      </w:r>
      <w:r>
        <w:tab/>
      </w:r>
      <w:r>
        <w:tab/>
      </w:r>
      <w:r>
        <w:tab/>
      </w:r>
      <w:r>
        <w:tab/>
      </w:r>
      <w:r>
        <w:tab/>
        <w:t>FEDERAL COMMUNICATIONS COMMISSION</w:t>
      </w:r>
    </w:p>
    <w:p w:rsidR="00533F64" w:rsidP="0017296B" w14:paraId="1AEBB7C2" w14:textId="77777777"/>
    <w:p w:rsidR="00533F64" w:rsidP="0017296B" w14:paraId="5FF54BBE" w14:textId="77777777"/>
    <w:p w:rsidR="00533F64" w:rsidP="0017296B" w14:paraId="60678FB0" w14:textId="77777777"/>
    <w:p w:rsidR="00533F64" w:rsidP="0017296B" w14:paraId="000040B6" w14:textId="77777777"/>
    <w:p w:rsidR="00533F64" w:rsidP="0017296B" w14:paraId="24BF3D91" w14:textId="77777777">
      <w:r>
        <w:tab/>
      </w:r>
      <w:r>
        <w:tab/>
      </w:r>
      <w:r>
        <w:tab/>
      </w:r>
      <w:r>
        <w:tab/>
      </w:r>
      <w:r>
        <w:tab/>
      </w:r>
      <w:r>
        <w:tab/>
        <w:t>Marlene H. Dortch</w:t>
      </w:r>
    </w:p>
    <w:p w:rsidR="00533F64" w:rsidP="0017296B" w14:paraId="57A9A709" w14:textId="77777777">
      <w:r>
        <w:tab/>
      </w:r>
      <w:r>
        <w:tab/>
      </w:r>
      <w:r>
        <w:tab/>
      </w:r>
      <w:r>
        <w:tab/>
      </w:r>
      <w:r>
        <w:tab/>
      </w:r>
      <w:r>
        <w:tab/>
        <w:t>Secretary</w:t>
      </w:r>
    </w:p>
    <w:p w:rsidR="002C00E8" w:rsidRPr="003B7C7F" w:rsidP="00AE0CCE" w14:paraId="617E1699" w14:textId="419AE972">
      <w:pPr>
        <w:pStyle w:val="ParaNum"/>
        <w:numPr>
          <w:ilvl w:val="0"/>
          <w:numId w:val="0"/>
        </w:numPr>
        <w:spacing w:after="0"/>
        <w:ind w:left="7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Heavy Heap"/>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1C4E" w:rsidP="0055614C" w14:paraId="529CDA14" w14:textId="77777777">
    <w:pPr>
      <w:pStyle w:val="Footer"/>
      <w:framePr w:wrap="around" w:vAnchor="text" w:hAnchor="margin" w:xAlign="center" w:y="1"/>
    </w:pPr>
    <w:r>
      <w:fldChar w:fldCharType="begin"/>
    </w:r>
    <w:r>
      <w:instrText xml:space="preserve">PAGE  </w:instrText>
    </w:r>
    <w:r>
      <w:fldChar w:fldCharType="separate"/>
    </w:r>
    <w:r>
      <w:fldChar w:fldCharType="end"/>
    </w:r>
  </w:p>
  <w:p w:rsidR="00C51C4E" w14:paraId="666710F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1C4E" w:rsidP="0055614C" w14:paraId="3988778C" w14:textId="77777777">
    <w:pPr>
      <w:pStyle w:val="Footer"/>
      <w:framePr w:wrap="around" w:vAnchor="text" w:hAnchor="margin" w:xAlign="center" w:y="1"/>
    </w:pPr>
    <w:r>
      <w:fldChar w:fldCharType="begin"/>
    </w:r>
    <w:r>
      <w:instrText xml:space="preserve">PAGE  </w:instrText>
    </w:r>
    <w:r>
      <w:fldChar w:fldCharType="separate"/>
    </w:r>
    <w:r>
      <w:rPr>
        <w:noProof/>
      </w:rPr>
      <w:t>7</w:t>
    </w:r>
    <w:r>
      <w:fldChar w:fldCharType="end"/>
    </w:r>
  </w:p>
  <w:p w:rsidR="00C51C4E" w14:paraId="435EFAF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1C4E" w14:paraId="53E88CA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44036" w14:paraId="1960BF82" w14:textId="77777777">
      <w:r>
        <w:separator/>
      </w:r>
    </w:p>
  </w:footnote>
  <w:footnote w:type="continuationSeparator" w:id="1">
    <w:p w:rsidR="00644036" w:rsidP="00C721AC" w14:paraId="1C0F253D" w14:textId="77777777">
      <w:pPr>
        <w:spacing w:before="120"/>
        <w:rPr>
          <w:sz w:val="20"/>
        </w:rPr>
      </w:pPr>
      <w:r>
        <w:rPr>
          <w:sz w:val="20"/>
        </w:rPr>
        <w:t xml:space="preserve">(Continued from previous page)  </w:t>
      </w:r>
      <w:r>
        <w:rPr>
          <w:sz w:val="20"/>
        </w:rPr>
        <w:separator/>
      </w:r>
    </w:p>
  </w:footnote>
  <w:footnote w:type="continuationNotice" w:id="2">
    <w:p w:rsidR="00644036" w:rsidP="00C721AC" w14:paraId="05A2D3CF" w14:textId="77777777">
      <w:pPr>
        <w:jc w:val="right"/>
        <w:rPr>
          <w:sz w:val="20"/>
        </w:rPr>
      </w:pPr>
    </w:p>
  </w:footnote>
  <w:footnote w:id="3">
    <w:p w:rsidR="00CD34B9" w14:paraId="1D916CA3" w14:textId="77777777">
      <w:pPr>
        <w:pStyle w:val="FootnoteText"/>
      </w:pPr>
      <w:r>
        <w:rPr>
          <w:rStyle w:val="FootnoteReference"/>
        </w:rPr>
        <w:footnoteRef/>
      </w:r>
      <w:r>
        <w:t xml:space="preserve"> </w:t>
      </w:r>
      <w:r w:rsidRPr="005372B2">
        <w:t xml:space="preserve">47 U.S.C. § 201(b).  </w:t>
      </w:r>
    </w:p>
  </w:footnote>
  <w:footnote w:id="4">
    <w:p w:rsidR="00CD34B9" w14:paraId="6F017604" w14:textId="07E8C4E3">
      <w:pPr>
        <w:pStyle w:val="FootnoteText"/>
      </w:pPr>
      <w:r>
        <w:rPr>
          <w:rStyle w:val="FootnoteReference"/>
        </w:rPr>
        <w:footnoteRef/>
      </w:r>
      <w:r>
        <w:t xml:space="preserve"> </w:t>
      </w:r>
      <w:r w:rsidRPr="00DB1B21" w:rsidR="00EE7CBD">
        <w:t>47 CFR § 61.38</w:t>
      </w:r>
      <w:r w:rsidRPr="00DB1B21">
        <w:t>.</w:t>
      </w:r>
    </w:p>
  </w:footnote>
  <w:footnote w:id="5">
    <w:p w:rsidR="00CD34B9" w:rsidP="00E91F1A" w14:paraId="26195843" w14:textId="77777777">
      <w:pPr>
        <w:pStyle w:val="FootnoteText"/>
      </w:pPr>
      <w:r>
        <w:rPr>
          <w:rStyle w:val="FootnoteReference"/>
        </w:rPr>
        <w:footnoteRef/>
      </w:r>
      <w:r>
        <w:t xml:space="preserve"> </w:t>
      </w:r>
      <w:r w:rsidRPr="005372B2">
        <w:t>47 U.S.C. §§ 204, 205.</w:t>
      </w:r>
    </w:p>
  </w:footnote>
  <w:footnote w:id="6">
    <w:p w:rsidR="00CD34B9" w:rsidP="00474831" w14:paraId="355BCFE4" w14:textId="77777777">
      <w:pPr>
        <w:pStyle w:val="FootnoteText"/>
      </w:pPr>
      <w:r w:rsidRPr="005372B2">
        <w:rPr>
          <w:rStyle w:val="FootnoteReference"/>
        </w:rPr>
        <w:footnoteRef/>
      </w:r>
      <w:r w:rsidRPr="005372B2">
        <w:t xml:space="preserve"> </w:t>
      </w:r>
      <w:r w:rsidRPr="005372B2">
        <w:rPr>
          <w:i/>
        </w:rPr>
        <w:t>See</w:t>
      </w:r>
      <w:r w:rsidRPr="005372B2">
        <w:t xml:space="preserve"> South Dakota Network, LLC Tariff F.C.C. No. 1, Transmittal No. 13 (filed Sept. 17, 2018) (Transmittal No. 13) (available via the Commission’s Electronic Tariff Filing System (ETFS)); Letter from Marlene Bennett, Consortia Consulting, Consultant for SDN, to Marlene H. Dortch, Secretary, FCC, Transmittal No. 13 (filed Sept. 17, 2018) (Transmittal Letter) (available via ETFS).</w:t>
      </w:r>
      <w:r w:rsidRPr="00FC15C7">
        <w:rPr>
          <w:szCs w:val="22"/>
        </w:rPr>
        <w:t xml:space="preserve"> </w:t>
      </w:r>
      <w:r>
        <w:rPr>
          <w:szCs w:val="22"/>
        </w:rPr>
        <w:t xml:space="preserve"> </w:t>
      </w:r>
    </w:p>
  </w:footnote>
  <w:footnote w:id="7">
    <w:p w:rsidR="00CD34B9" w14:paraId="1E433798" w14:textId="4A827106">
      <w:pPr>
        <w:pStyle w:val="FootnoteText"/>
      </w:pPr>
      <w:r>
        <w:rPr>
          <w:rStyle w:val="FootnoteReference"/>
        </w:rPr>
        <w:footnoteRef/>
      </w:r>
      <w:r>
        <w:t xml:space="preserve"> </w:t>
      </w:r>
      <w:r w:rsidR="00FD397A">
        <w:rPr>
          <w:i/>
        </w:rPr>
        <w:t>See</w:t>
      </w:r>
      <w:r w:rsidR="00FD397A">
        <w:t xml:space="preserve"> </w:t>
      </w:r>
      <w:r w:rsidRPr="00B21840" w:rsidR="006028DA">
        <w:rPr>
          <w:i/>
        </w:rPr>
        <w:t xml:space="preserve">AT&amp;T Corp. v. Iowa Network Services, Inc. d/b/a </w:t>
      </w:r>
      <w:r w:rsidRPr="00B21840" w:rsidR="006028DA">
        <w:rPr>
          <w:i/>
        </w:rPr>
        <w:t>Aureon</w:t>
      </w:r>
      <w:r w:rsidRPr="00B21840" w:rsidR="006028DA">
        <w:rPr>
          <w:i/>
        </w:rPr>
        <w:t xml:space="preserve"> Network Services</w:t>
      </w:r>
      <w:r w:rsidR="006028DA">
        <w:t xml:space="preserve">, Memorandum Opinion and Order, 32 FCC </w:t>
      </w:r>
      <w:r w:rsidR="006028DA">
        <w:t>Rcd</w:t>
      </w:r>
      <w:r w:rsidR="006028DA">
        <w:t xml:space="preserve"> 9677, 9690, para. 26 (2017) (</w:t>
      </w:r>
      <w:r w:rsidR="006028DA">
        <w:rPr>
          <w:i/>
        </w:rPr>
        <w:t>Aureon</w:t>
      </w:r>
      <w:r w:rsidR="006028DA">
        <w:rPr>
          <w:i/>
        </w:rPr>
        <w:t xml:space="preserve"> Liability Order</w:t>
      </w:r>
      <w:r w:rsidR="006028DA">
        <w:t>);</w:t>
      </w:r>
      <w:r w:rsidRPr="005372B2" w:rsidR="006028DA">
        <w:rPr>
          <w:i/>
        </w:rPr>
        <w:t xml:space="preserve"> </w:t>
      </w:r>
      <w:r w:rsidRPr="005372B2" w:rsidR="00FD397A">
        <w:rPr>
          <w:i/>
        </w:rPr>
        <w:t>Iowa Network Access Division Tariff F.C.C. No. 1</w:t>
      </w:r>
      <w:r w:rsidRPr="005372B2" w:rsidR="00FD397A">
        <w:t xml:space="preserve">, Memorandum Opinion and Order, </w:t>
      </w:r>
      <w:r w:rsidR="00FD397A">
        <w:t xml:space="preserve">33 </w:t>
      </w:r>
      <w:r w:rsidRPr="005372B2" w:rsidR="00FD397A">
        <w:t xml:space="preserve">FCC </w:t>
      </w:r>
      <w:r w:rsidR="00FD397A">
        <w:t>Rcd</w:t>
      </w:r>
      <w:r w:rsidR="00FD397A">
        <w:t xml:space="preserve"> 7517, para. 1</w:t>
      </w:r>
      <w:r w:rsidRPr="005372B2" w:rsidR="00FD397A">
        <w:t xml:space="preserve"> (2018) (</w:t>
      </w:r>
      <w:r w:rsidRPr="005372B2" w:rsidR="00FD397A">
        <w:rPr>
          <w:i/>
        </w:rPr>
        <w:t>Aureon</w:t>
      </w:r>
      <w:r w:rsidRPr="005372B2" w:rsidR="00FD397A">
        <w:rPr>
          <w:i/>
        </w:rPr>
        <w:t xml:space="preserve"> Tariff Investigation Order</w:t>
      </w:r>
      <w:r w:rsidRPr="005372B2" w:rsidR="00FD397A">
        <w:t xml:space="preserve">); </w:t>
      </w:r>
      <w:r w:rsidRPr="00144C4E" w:rsidR="00FD397A">
        <w:rPr>
          <w:i/>
          <w:iCs/>
        </w:rPr>
        <w:t>pet. for review pending</w:t>
      </w:r>
      <w:r w:rsidRPr="00144C4E" w:rsidR="00FD397A">
        <w:t xml:space="preserve">, </w:t>
      </w:r>
      <w:r w:rsidRPr="00144C4E" w:rsidR="00FD397A">
        <w:rPr>
          <w:i/>
          <w:iCs/>
        </w:rPr>
        <w:t>Iowa Network Servs., Inc. v. FCC</w:t>
      </w:r>
      <w:r w:rsidRPr="00144C4E" w:rsidR="00FD397A">
        <w:t>, No. 18-1258 (D.C. Cir. filed Sept. 19, 2018</w:t>
      </w:r>
      <w:r w:rsidR="00FD397A">
        <w:t xml:space="preserve">); </w:t>
      </w:r>
      <w:r w:rsidRPr="00144C4E" w:rsidR="00FD397A">
        <w:rPr>
          <w:i/>
        </w:rPr>
        <w:t>Iowa Network Access Division Tariff F.C.C. No. 1</w:t>
      </w:r>
      <w:r w:rsidRPr="00144C4E" w:rsidR="00FD397A">
        <w:t>, WC Docket No. 18-60, Order on Reconsideration, FCC 18-171 (Nov. 28, 2018).</w:t>
      </w:r>
      <w:r w:rsidRPr="005372B2" w:rsidR="00FD397A">
        <w:t xml:space="preserve"> </w:t>
      </w:r>
    </w:p>
  </w:footnote>
  <w:footnote w:id="8">
    <w:p w:rsidR="00CD34B9" w14:paraId="13B88CED" w14:textId="64CB2485">
      <w:pPr>
        <w:pStyle w:val="FootnoteText"/>
      </w:pPr>
      <w:r>
        <w:rPr>
          <w:rStyle w:val="FootnoteReference"/>
        </w:rPr>
        <w:footnoteRef/>
      </w:r>
      <w:r>
        <w:t xml:space="preserve"> </w:t>
      </w:r>
      <w:r w:rsidR="007C6551">
        <w:rPr>
          <w:i/>
        </w:rPr>
        <w:t>S</w:t>
      </w:r>
      <w:r w:rsidRPr="00DB1B21" w:rsidR="007C6551">
        <w:rPr>
          <w:i/>
        </w:rPr>
        <w:t xml:space="preserve">ee </w:t>
      </w:r>
      <w:r w:rsidR="007C6551">
        <w:t>47 CFR §§ 61.38, 51.911(c)</w:t>
      </w:r>
      <w:r w:rsidR="00DB1B21">
        <w:t>;</w:t>
      </w:r>
      <w:r w:rsidR="007C6551">
        <w:t xml:space="preserve"> </w:t>
      </w:r>
      <w:r w:rsidR="007C6551">
        <w:rPr>
          <w:i/>
        </w:rPr>
        <w:t>see also</w:t>
      </w:r>
      <w:r w:rsidR="007C6551">
        <w:t xml:space="preserve"> </w:t>
      </w:r>
      <w:r w:rsidRPr="00DB1B21" w:rsidR="000E3D25">
        <w:rPr>
          <w:i/>
        </w:rPr>
        <w:t>Aureon</w:t>
      </w:r>
      <w:r w:rsidRPr="00DB1B21" w:rsidR="000E3D25">
        <w:rPr>
          <w:i/>
        </w:rPr>
        <w:t xml:space="preserve"> Tariff Investigation Order</w:t>
      </w:r>
      <w:r w:rsidR="000E3D25">
        <w:t xml:space="preserve">, 33 FCC </w:t>
      </w:r>
      <w:r w:rsidR="000E3D25">
        <w:t>Rcd</w:t>
      </w:r>
      <w:r w:rsidR="000E3D25">
        <w:t xml:space="preserve"> at 7518, para. 1 (“As a result, </w:t>
      </w:r>
      <w:r w:rsidRPr="005372B2" w:rsidR="000E3D25">
        <w:t>Aureon’s</w:t>
      </w:r>
      <w:r w:rsidRPr="005372B2" w:rsidR="000E3D25">
        <w:t xml:space="preserve"> tariffed switched transport rate cannot exceed the lower of</w:t>
      </w:r>
      <w:r w:rsidR="000E3D25">
        <w:t>:</w:t>
      </w:r>
      <w:r w:rsidRPr="005372B2" w:rsidR="000E3D25">
        <w:t xml:space="preserve"> (</w:t>
      </w:r>
      <w:r w:rsidRPr="005372B2" w:rsidR="000E3D25">
        <w:t>i</w:t>
      </w:r>
      <w:r w:rsidRPr="005372B2" w:rsidR="000E3D25">
        <w:t xml:space="preserve">) </w:t>
      </w:r>
      <w:r w:rsidRPr="005372B2" w:rsidR="000E3D25">
        <w:t>Aureon’s</w:t>
      </w:r>
      <w:r w:rsidRPr="005372B2" w:rsidR="000E3D25">
        <w:t xml:space="preserve"> rate cap, (ii) its competitive LEC benchmark or (iii) its cost-based rate.”).  Pursuant to section 51.9</w:t>
      </w:r>
      <w:r w:rsidR="00F16B54">
        <w:t>11(a)</w:t>
      </w:r>
      <w:r w:rsidRPr="005372B2" w:rsidR="000E3D25">
        <w:t xml:space="preserve"> of </w:t>
      </w:r>
      <w:r w:rsidR="000E3D25">
        <w:t>our</w:t>
      </w:r>
      <w:r w:rsidRPr="005372B2" w:rsidR="000E3D25">
        <w:t xml:space="preserve"> rules, SDN was required to cap its switched access rates to those in effect on December 29, 2011.  47 CFR § 51.</w:t>
      </w:r>
      <w:r w:rsidR="00F16B54">
        <w:t>911(a)</w:t>
      </w:r>
      <w:r w:rsidR="00FE3C97">
        <w:t>.  T</w:t>
      </w:r>
      <w:r w:rsidRPr="005372B2" w:rsidR="00FE3C97">
        <w:t xml:space="preserve">he </w:t>
      </w:r>
      <w:r w:rsidR="00FE3C97">
        <w:t xml:space="preserve">switched access rate </w:t>
      </w:r>
      <w:r w:rsidRPr="005372B2" w:rsidR="00FE3C97">
        <w:t xml:space="preserve">filed in the transmittal subject to this investigation is </w:t>
      </w:r>
      <w:r w:rsidR="00FE3C97">
        <w:t>lower than</w:t>
      </w:r>
      <w:r w:rsidRPr="005372B2" w:rsidR="00FE3C97">
        <w:t xml:space="preserve"> SDN</w:t>
      </w:r>
      <w:r w:rsidR="00FE3C97">
        <w:t>’s switched access rate cap, and therefore SDN’s compliance with section 51.</w:t>
      </w:r>
      <w:r w:rsidR="00F16B54">
        <w:t>911(a)</w:t>
      </w:r>
      <w:r w:rsidR="00FE3C97">
        <w:t xml:space="preserve"> of our rules is not at issue in this matter</w:t>
      </w:r>
      <w:r w:rsidRPr="005372B2" w:rsidR="00FE3C97">
        <w:t xml:space="preserve">.  </w:t>
      </w:r>
      <w:r w:rsidRPr="005372B2" w:rsidR="00FE3C97">
        <w:rPr>
          <w:i/>
        </w:rPr>
        <w:t>See</w:t>
      </w:r>
      <w:r w:rsidRPr="005372B2" w:rsidR="00FE3C97">
        <w:t xml:space="preserve"> Transmittal Letter.</w:t>
      </w:r>
      <w:r w:rsidR="00FE3C97">
        <w:t xml:space="preserve"> </w:t>
      </w:r>
      <w:r w:rsidR="000E3D25">
        <w:t xml:space="preserve"> </w:t>
      </w:r>
    </w:p>
  </w:footnote>
  <w:footnote w:id="9">
    <w:p w:rsidR="00CD34B9" w14:paraId="2A03173F" w14:textId="77777777">
      <w:pPr>
        <w:pStyle w:val="FootnoteText"/>
      </w:pPr>
      <w:r>
        <w:rPr>
          <w:rStyle w:val="FootnoteReference"/>
        </w:rPr>
        <w:footnoteRef/>
      </w:r>
      <w:r>
        <w:t xml:space="preserve"> </w:t>
      </w:r>
      <w:r w:rsidR="00E62F26">
        <w:t>SDN Direct Case, WC Docket No. 18-100, Transmittal No. 13, at 14 (filed Dec. 11, 2018) (SDN Direct Case).</w:t>
      </w:r>
    </w:p>
  </w:footnote>
  <w:footnote w:id="10">
    <w:p w:rsidR="00CD34B9" w:rsidP="004A5CEA" w14:paraId="539F99BD" w14:textId="301D74C2">
      <w:pPr>
        <w:pStyle w:val="FootnoteText"/>
      </w:pPr>
      <w:r>
        <w:rPr>
          <w:rStyle w:val="FootnoteReference"/>
        </w:rPr>
        <w:footnoteRef/>
      </w:r>
      <w:r>
        <w:t xml:space="preserve"> 47 CFR § 61.38; </w:t>
      </w:r>
      <w:r w:rsidRPr="0003047B">
        <w:rPr>
          <w:i/>
        </w:rPr>
        <w:t>s</w:t>
      </w:r>
      <w:r>
        <w:rPr>
          <w:i/>
        </w:rPr>
        <w:t>ee</w:t>
      </w:r>
      <w:r w:rsidRPr="008F5A55">
        <w:rPr>
          <w:i/>
        </w:rPr>
        <w:t>,</w:t>
      </w:r>
      <w:r>
        <w:t xml:space="preserve"> </w:t>
      </w:r>
      <w:r>
        <w:rPr>
          <w:i/>
        </w:rPr>
        <w:t>e.g.</w:t>
      </w:r>
      <w:r>
        <w:t>,</w:t>
      </w:r>
      <w:r w:rsidRPr="008040E7">
        <w:t xml:space="preserve"> </w:t>
      </w:r>
      <w:r w:rsidR="006028DA">
        <w:rPr>
          <w:i/>
        </w:rPr>
        <w:t xml:space="preserve">Application of Iowa Network Access </w:t>
      </w:r>
      <w:r w:rsidRPr="006028DA" w:rsidR="006028DA">
        <w:rPr>
          <w:i/>
        </w:rPr>
        <w:t>Div</w:t>
      </w:r>
      <w:r w:rsidR="006028DA">
        <w:t xml:space="preserve">., Memorandum Opinion, Order and Certificate, 3 FCC </w:t>
      </w:r>
      <w:r w:rsidR="006028DA">
        <w:t>Rcd</w:t>
      </w:r>
      <w:r w:rsidR="006028DA">
        <w:t xml:space="preserve"> 1468</w:t>
      </w:r>
      <w:r w:rsidR="00C6301D">
        <w:t>,</w:t>
      </w:r>
      <w:r w:rsidR="006028DA">
        <w:t xml:space="preserve"> 1469, para. 10 (CCB 1988)</w:t>
      </w:r>
      <w:r>
        <w:t xml:space="preserve">; </w:t>
      </w:r>
      <w:r w:rsidR="006028DA">
        <w:rPr>
          <w:i/>
        </w:rPr>
        <w:t>Aureon</w:t>
      </w:r>
      <w:r w:rsidR="006028DA">
        <w:rPr>
          <w:i/>
        </w:rPr>
        <w:t xml:space="preserve"> Liability Order</w:t>
      </w:r>
      <w:r w:rsidR="006028DA">
        <w:t xml:space="preserve">, </w:t>
      </w:r>
      <w:r>
        <w:t xml:space="preserve">32 FCC </w:t>
      </w:r>
      <w:r>
        <w:t>Rcd</w:t>
      </w:r>
      <w:r w:rsidR="006028DA">
        <w:t xml:space="preserve"> at</w:t>
      </w:r>
      <w:r>
        <w:t xml:space="preserve"> 9692, para. 30.  </w:t>
      </w:r>
    </w:p>
  </w:footnote>
  <w:footnote w:id="11">
    <w:p w:rsidR="00CD34B9" w:rsidP="00E55B34" w14:paraId="2CD9B6F0" w14:textId="3E3C47EE">
      <w:pPr>
        <w:pStyle w:val="FootnoteText"/>
      </w:pPr>
      <w:r>
        <w:rPr>
          <w:rStyle w:val="FootnoteReference"/>
        </w:rPr>
        <w:footnoteRef/>
      </w:r>
      <w:r>
        <w:t xml:space="preserve"> </w:t>
      </w:r>
      <w:r w:rsidRPr="00180470">
        <w:rPr>
          <w:i/>
        </w:rPr>
        <w:t>Connect America Fund et al</w:t>
      </w:r>
      <w:r w:rsidRPr="00180470">
        <w:t xml:space="preserve">., Report and Order, Order and Order on Reconsideration and Further Notice of Proposed Rulemaking, 31 FCC </w:t>
      </w:r>
      <w:r w:rsidRPr="00180470">
        <w:t>Rcd</w:t>
      </w:r>
      <w:r w:rsidRPr="00180470">
        <w:t xml:space="preserve"> 3087, 3215</w:t>
      </w:r>
      <w:r w:rsidR="008201A2">
        <w:t>-16</w:t>
      </w:r>
      <w:r w:rsidRPr="00180470">
        <w:t>, para. 337 (2016).</w:t>
      </w:r>
    </w:p>
  </w:footnote>
  <w:footnote w:id="12">
    <w:p w:rsidR="00CD34B9" w14:paraId="374BCF68" w14:textId="77777777">
      <w:pPr>
        <w:pStyle w:val="FootnoteText"/>
      </w:pPr>
      <w:r>
        <w:rPr>
          <w:rStyle w:val="FootnoteReference"/>
        </w:rPr>
        <w:footnoteRef/>
      </w:r>
      <w:r>
        <w:t xml:space="preserve"> </w:t>
      </w:r>
      <w:r>
        <w:rPr>
          <w:rFonts w:ascii="TimesNewRoman" w:hAnsi="TimesNewRoman" w:cs="TimesNewRoman"/>
        </w:rPr>
        <w:t>47 CFR § 61.38(b).</w:t>
      </w:r>
    </w:p>
  </w:footnote>
  <w:footnote w:id="13">
    <w:p w:rsidR="00CD34B9" w14:paraId="7260A7CA" w14:textId="77777777">
      <w:pPr>
        <w:pStyle w:val="FootnoteText"/>
      </w:pPr>
      <w:r>
        <w:rPr>
          <w:rStyle w:val="FootnoteReference"/>
        </w:rPr>
        <w:footnoteRef/>
      </w:r>
      <w:r w:rsidR="006028DA">
        <w:t xml:space="preserve"> </w:t>
      </w:r>
      <w:r w:rsidR="006F792E">
        <w:rPr>
          <w:i/>
        </w:rPr>
        <w:t xml:space="preserve">See </w:t>
      </w:r>
      <w:r w:rsidR="006028DA">
        <w:t>Transmittal Letter.</w:t>
      </w:r>
    </w:p>
  </w:footnote>
  <w:footnote w:id="14">
    <w:p w:rsidR="00CD34B9" w14:paraId="0111D684" w14:textId="77777777">
      <w:pPr>
        <w:pStyle w:val="FootnoteText"/>
      </w:pPr>
      <w:r>
        <w:rPr>
          <w:rStyle w:val="FootnoteReference"/>
        </w:rPr>
        <w:footnoteRef/>
      </w:r>
      <w:r>
        <w:t xml:space="preserve"> </w:t>
      </w:r>
      <w:r w:rsidRPr="00A33F46">
        <w:rPr>
          <w:i/>
        </w:rPr>
        <w:t>See</w:t>
      </w:r>
      <w:r>
        <w:t xml:space="preserve"> </w:t>
      </w:r>
      <w:r>
        <w:rPr>
          <w:i/>
        </w:rPr>
        <w:t>Connect America Fund</w:t>
      </w:r>
      <w:r w:rsidRPr="00676268">
        <w:rPr>
          <w:i/>
        </w:rPr>
        <w:t xml:space="preserve"> et al.</w:t>
      </w:r>
      <w:r>
        <w:t>, Report and Order and Further Notice of Proposed Rulemaking</w:t>
      </w:r>
      <w:r w:rsidRPr="002B6965">
        <w:t>,</w:t>
      </w:r>
      <w:r>
        <w:t xml:space="preserve"> </w:t>
      </w:r>
      <w:r w:rsidRPr="002B6965">
        <w:t xml:space="preserve">26 FCC </w:t>
      </w:r>
      <w:r w:rsidRPr="002B6965">
        <w:t>Rcd</w:t>
      </w:r>
      <w:r w:rsidRPr="002B6965">
        <w:t xml:space="preserve"> </w:t>
      </w:r>
      <w:r>
        <w:t>17663,</w:t>
      </w:r>
      <w:r w:rsidRPr="002B6965">
        <w:t xml:space="preserve"> </w:t>
      </w:r>
      <w:r>
        <w:t>17937</w:t>
      </w:r>
      <w:r w:rsidRPr="002B6965">
        <w:t>, para. 807</w:t>
      </w:r>
      <w:r>
        <w:t xml:space="preserve"> (2011) (</w:t>
      </w:r>
      <w:r>
        <w:rPr>
          <w:i/>
        </w:rPr>
        <w:t>USF/ICC Transformation Order</w:t>
      </w:r>
      <w:r>
        <w:t>)</w:t>
      </w:r>
      <w:r w:rsidRPr="00DB5509">
        <w:t>,</w:t>
      </w:r>
      <w:r w:rsidRPr="005E1027">
        <w:t xml:space="preserve"> </w:t>
      </w:r>
      <w:r>
        <w:rPr>
          <w:i/>
        </w:rPr>
        <w:t>aff’d</w:t>
      </w:r>
      <w:r w:rsidRPr="00C31CF9">
        <w:t>,</w:t>
      </w:r>
      <w:r>
        <w:rPr>
          <w:i/>
        </w:rPr>
        <w:t xml:space="preserve"> FCC 11-161</w:t>
      </w:r>
      <w:r>
        <w:t>, 753 F.3d 1015 (10</w:t>
      </w:r>
      <w:r>
        <w:rPr>
          <w:vertAlign w:val="superscript"/>
        </w:rPr>
        <w:t>th</w:t>
      </w:r>
      <w:r>
        <w:t xml:space="preserve"> Cir. 2014)</w:t>
      </w:r>
      <w:r w:rsidRPr="002B6965">
        <w:t>.</w:t>
      </w:r>
    </w:p>
  </w:footnote>
  <w:footnote w:id="15">
    <w:p w:rsidR="00CD34B9" w14:paraId="245F293F" w14:textId="77777777">
      <w:pPr>
        <w:pStyle w:val="FootnoteText"/>
      </w:pPr>
      <w:r>
        <w:rPr>
          <w:rStyle w:val="FootnoteReference"/>
        </w:rPr>
        <w:footnoteRef/>
      </w:r>
      <w:r>
        <w:t xml:space="preserve"> </w:t>
      </w:r>
      <w:r w:rsidR="00180470">
        <w:rPr>
          <w:i/>
          <w:iCs/>
        </w:rPr>
        <w:t>Id</w:t>
      </w:r>
      <w:r w:rsidR="00180470">
        <w:rPr>
          <w:iCs/>
        </w:rPr>
        <w:t>.</w:t>
      </w:r>
      <w:r w:rsidRPr="00ED31D3">
        <w:t xml:space="preserve"> at 17932-34, paras. 798, 800-01</w:t>
      </w:r>
      <w:r>
        <w:t>.</w:t>
      </w:r>
    </w:p>
  </w:footnote>
  <w:footnote w:id="16">
    <w:p w:rsidR="00CD34B9" w:rsidP="004A5CEA" w14:paraId="71BE1E91" w14:textId="0AC523E6">
      <w:pPr>
        <w:pStyle w:val="FootnoteText"/>
      </w:pPr>
      <w:r w:rsidRPr="002B6965">
        <w:rPr>
          <w:rStyle w:val="FootnoteReference"/>
        </w:rPr>
        <w:footnoteRef/>
      </w:r>
      <w:r w:rsidRPr="002B6965">
        <w:t xml:space="preserve"> </w:t>
      </w:r>
      <w:r w:rsidRPr="00A33F46">
        <w:rPr>
          <w:i/>
        </w:rPr>
        <w:t>See</w:t>
      </w:r>
      <w:r>
        <w:rPr>
          <w:i/>
        </w:rPr>
        <w:t xml:space="preserve"> </w:t>
      </w:r>
      <w:r w:rsidR="00180470">
        <w:rPr>
          <w:i/>
          <w:iCs/>
        </w:rPr>
        <w:t>id</w:t>
      </w:r>
      <w:r w:rsidR="00180470">
        <w:rPr>
          <w:iCs/>
        </w:rPr>
        <w:t>. at</w:t>
      </w:r>
      <w:r w:rsidRPr="002B6965">
        <w:t xml:space="preserve"> </w:t>
      </w:r>
      <w:r>
        <w:t>17937</w:t>
      </w:r>
      <w:r w:rsidRPr="002B6965">
        <w:t>, para. 807.</w:t>
      </w:r>
      <w:r>
        <w:t xml:space="preserve">  </w:t>
      </w:r>
      <w:r w:rsidRPr="00CF7F1E">
        <w:rPr>
          <w:szCs w:val="22"/>
        </w:rPr>
        <w:t xml:space="preserve">This </w:t>
      </w:r>
      <w:r>
        <w:rPr>
          <w:szCs w:val="22"/>
        </w:rPr>
        <w:t>obligation, adopted in its initial form in 2001,</w:t>
      </w:r>
      <w:r w:rsidRPr="00CF7F1E">
        <w:rPr>
          <w:szCs w:val="22"/>
        </w:rPr>
        <w:t xml:space="preserve"> provides that a competitive LEC may not tariff interstate access charges above those of the competing incumbent LEC for similar services</w:t>
      </w:r>
      <w:r>
        <w:rPr>
          <w:szCs w:val="22"/>
        </w:rPr>
        <w:t xml:space="preserve">.  </w:t>
      </w:r>
      <w:r w:rsidRPr="003A7680">
        <w:rPr>
          <w:i/>
        </w:rPr>
        <w:t>See</w:t>
      </w:r>
      <w:r w:rsidRPr="003A7680">
        <w:t xml:space="preserve"> </w:t>
      </w:r>
      <w:r w:rsidRPr="00412C63">
        <w:t>47 CFR § 61.26</w:t>
      </w:r>
      <w:r>
        <w:t xml:space="preserve">; </w:t>
      </w:r>
      <w:r w:rsidR="008201A2">
        <w:rPr>
          <w:i/>
        </w:rPr>
        <w:t>see also</w:t>
      </w:r>
      <w:r w:rsidRPr="00E960A9" w:rsidR="008201A2">
        <w:rPr>
          <w:i/>
        </w:rPr>
        <w:t xml:space="preserve"> </w:t>
      </w:r>
      <w:r w:rsidRPr="003E28FA">
        <w:rPr>
          <w:i/>
        </w:rPr>
        <w:t>Access Charge Reform; Reform of Access Charges Imposed by Competitive Local Exchange Carriers</w:t>
      </w:r>
      <w:r>
        <w:t xml:space="preserve">, Seventh Report and Order and Further Notice of Proposed Rulemaking, 16 FCC </w:t>
      </w:r>
      <w:r>
        <w:t>Rcd</w:t>
      </w:r>
      <w:r>
        <w:t xml:space="preserve"> 9923 (2001)</w:t>
      </w:r>
      <w:r w:rsidRPr="00412C63">
        <w:t>.</w:t>
      </w:r>
    </w:p>
  </w:footnote>
  <w:footnote w:id="17">
    <w:p w:rsidR="00CD34B9" w:rsidP="00610EF7" w14:paraId="25A78D5C" w14:textId="61F724BD">
      <w:pPr>
        <w:pStyle w:val="FootnoteText"/>
      </w:pPr>
      <w:r w:rsidRPr="005372B2">
        <w:rPr>
          <w:rStyle w:val="FootnoteReference"/>
        </w:rPr>
        <w:footnoteRef/>
      </w:r>
      <w:r w:rsidRPr="005372B2">
        <w:t xml:space="preserve"> </w:t>
      </w:r>
      <w:r w:rsidR="006028DA">
        <w:rPr>
          <w:i/>
        </w:rPr>
        <w:t>Aureon</w:t>
      </w:r>
      <w:r w:rsidR="006028DA">
        <w:rPr>
          <w:i/>
        </w:rPr>
        <w:t xml:space="preserve"> Liability Order</w:t>
      </w:r>
      <w:r w:rsidR="000B3B5A">
        <w:t xml:space="preserve">, 32 FCC </w:t>
      </w:r>
      <w:r w:rsidR="000B3B5A">
        <w:t>Rcd</w:t>
      </w:r>
      <w:r w:rsidR="000B3B5A">
        <w:t xml:space="preserve"> </w:t>
      </w:r>
      <w:r w:rsidR="006028DA">
        <w:t>at</w:t>
      </w:r>
      <w:r w:rsidR="000B3B5A">
        <w:t xml:space="preserve"> 96</w:t>
      </w:r>
      <w:r w:rsidR="00AD65E7">
        <w:t>89</w:t>
      </w:r>
      <w:r w:rsidR="000B3B5A">
        <w:t>, para. 24</w:t>
      </w:r>
      <w:r w:rsidR="006517EB">
        <w:t>;</w:t>
      </w:r>
      <w:r>
        <w:t xml:space="preserve"> </w:t>
      </w:r>
      <w:r w:rsidRPr="00151B3F" w:rsidR="006517EB">
        <w:rPr>
          <w:i/>
        </w:rPr>
        <w:t>s</w:t>
      </w:r>
      <w:r w:rsidRPr="00151B3F">
        <w:rPr>
          <w:i/>
        </w:rPr>
        <w:t>ee also</w:t>
      </w:r>
      <w:r>
        <w:t xml:space="preserve"> </w:t>
      </w:r>
      <w:bookmarkStart w:id="1" w:name="_Hlk171727"/>
      <w:r w:rsidRPr="00151B3F" w:rsidR="006517EB">
        <w:rPr>
          <w:i/>
        </w:rPr>
        <w:t>A</w:t>
      </w:r>
      <w:r w:rsidRPr="00151B3F">
        <w:rPr>
          <w:i/>
        </w:rPr>
        <w:t>ureon</w:t>
      </w:r>
      <w:r w:rsidRPr="005372B2">
        <w:rPr>
          <w:i/>
        </w:rPr>
        <w:t xml:space="preserve"> Tariff Investigation Order</w:t>
      </w:r>
      <w:r>
        <w:t>,</w:t>
      </w:r>
      <w:r w:rsidRPr="005372B2">
        <w:t xml:space="preserve"> </w:t>
      </w:r>
      <w:r>
        <w:t xml:space="preserve">33 FCC </w:t>
      </w:r>
      <w:r>
        <w:t>Rcd</w:t>
      </w:r>
      <w:r>
        <w:t xml:space="preserve"> </w:t>
      </w:r>
      <w:r w:rsidRPr="005372B2">
        <w:t xml:space="preserve">at </w:t>
      </w:r>
      <w:r>
        <w:t>7518</w:t>
      </w:r>
      <w:r w:rsidRPr="005372B2">
        <w:t>, para.</w:t>
      </w:r>
      <w:r>
        <w:t xml:space="preserve"> </w:t>
      </w:r>
      <w:r w:rsidRPr="005372B2">
        <w:t>1.</w:t>
      </w:r>
      <w:bookmarkEnd w:id="1"/>
      <w:r w:rsidRPr="005372B2">
        <w:t xml:space="preserve">  </w:t>
      </w:r>
    </w:p>
  </w:footnote>
  <w:footnote w:id="18">
    <w:p w:rsidR="00F04AC5" w:rsidRPr="003B7C7F" w:rsidP="00F04AC5" w14:paraId="2AF8186D" w14:textId="0936BFC3">
      <w:pPr>
        <w:pStyle w:val="FootnoteText"/>
      </w:pPr>
      <w:r w:rsidRPr="003B7C7F">
        <w:rPr>
          <w:rStyle w:val="FootnoteReference"/>
        </w:rPr>
        <w:footnoteRef/>
      </w:r>
      <w:r w:rsidRPr="003B7C7F">
        <w:t xml:space="preserve"> </w:t>
      </w:r>
      <w:r w:rsidRPr="003B7C7F">
        <w:rPr>
          <w:i/>
        </w:rPr>
        <w:t>Aureon</w:t>
      </w:r>
      <w:r w:rsidRPr="003B7C7F">
        <w:rPr>
          <w:i/>
        </w:rPr>
        <w:t xml:space="preserve"> Liability Order</w:t>
      </w:r>
      <w:r w:rsidRPr="003B7C7F">
        <w:t xml:space="preserve">, 32 FCC </w:t>
      </w:r>
      <w:r w:rsidRPr="003B7C7F">
        <w:t>Rcd</w:t>
      </w:r>
      <w:r w:rsidRPr="003B7C7F">
        <w:t xml:space="preserve"> at 9689-</w:t>
      </w:r>
      <w:r w:rsidR="008201A2">
        <w:t>9</w:t>
      </w:r>
      <w:r w:rsidRPr="003B7C7F">
        <w:t>0, para. 25.</w:t>
      </w:r>
    </w:p>
  </w:footnote>
  <w:footnote w:id="19">
    <w:p w:rsidR="00F04AC5" w:rsidRPr="003B7C7F" w:rsidP="00F04AC5" w14:paraId="0ACDD036" w14:textId="77777777">
      <w:pPr>
        <w:pStyle w:val="FootnoteText"/>
      </w:pPr>
      <w:r w:rsidRPr="003B7C7F">
        <w:rPr>
          <w:rStyle w:val="FootnoteReference"/>
        </w:rPr>
        <w:footnoteRef/>
      </w:r>
      <w:r w:rsidRPr="003B7C7F">
        <w:t xml:space="preserve"> </w:t>
      </w:r>
      <w:r w:rsidRPr="003B7C7F">
        <w:rPr>
          <w:i/>
        </w:rPr>
        <w:t>Id</w:t>
      </w:r>
      <w:r w:rsidRPr="003B7C7F">
        <w:t>.</w:t>
      </w:r>
    </w:p>
  </w:footnote>
  <w:footnote w:id="20">
    <w:p w:rsidR="00F04AC5" w:rsidRPr="00A869A2" w:rsidP="00F04AC5" w14:paraId="14B96D74" w14:textId="38992AEB">
      <w:pPr>
        <w:pStyle w:val="FootnoteText"/>
        <w:rPr>
          <w:color w:val="FF0000"/>
        </w:rPr>
      </w:pPr>
      <w:r w:rsidRPr="003B7C7F">
        <w:rPr>
          <w:rStyle w:val="FootnoteReference"/>
        </w:rPr>
        <w:footnoteRef/>
      </w:r>
      <w:r w:rsidRPr="003B7C7F">
        <w:t xml:space="preserve"> </w:t>
      </w:r>
      <w:r w:rsidRPr="003B7C7F">
        <w:rPr>
          <w:i/>
        </w:rPr>
        <w:t>Id</w:t>
      </w:r>
      <w:r w:rsidRPr="003B7C7F">
        <w:t>. (citing 47 CFR § 51.903(a)</w:t>
      </w:r>
      <w:r w:rsidRPr="003B7C7F" w:rsidR="007A669B">
        <w:t>)</w:t>
      </w:r>
      <w:r w:rsidRPr="003B7C7F">
        <w:t>.</w:t>
      </w:r>
    </w:p>
  </w:footnote>
  <w:footnote w:id="21">
    <w:p w:rsidR="00CD34B9" w14:paraId="27E6DB37" w14:textId="77777777">
      <w:pPr>
        <w:pStyle w:val="FootnoteText"/>
      </w:pPr>
      <w:r>
        <w:rPr>
          <w:rStyle w:val="FootnoteReference"/>
        </w:rPr>
        <w:footnoteRef/>
      </w:r>
      <w:r>
        <w:t xml:space="preserve"> </w:t>
      </w:r>
      <w:r w:rsidRPr="00F8747C" w:rsidR="002E5FC3">
        <w:rPr>
          <w:i/>
        </w:rPr>
        <w:t>Aureon</w:t>
      </w:r>
      <w:r w:rsidRPr="005372B2" w:rsidR="002E5FC3">
        <w:rPr>
          <w:i/>
        </w:rPr>
        <w:t xml:space="preserve"> Tariff Investigation Order</w:t>
      </w:r>
      <w:r w:rsidR="002E5FC3">
        <w:t>,</w:t>
      </w:r>
      <w:r w:rsidRPr="005372B2" w:rsidR="002E5FC3">
        <w:t xml:space="preserve"> </w:t>
      </w:r>
      <w:r w:rsidR="002E5FC3">
        <w:t xml:space="preserve">33 FCC </w:t>
      </w:r>
      <w:r w:rsidR="002E5FC3">
        <w:t>Rcd</w:t>
      </w:r>
      <w:r w:rsidR="002E5FC3">
        <w:t xml:space="preserve"> </w:t>
      </w:r>
      <w:r w:rsidRPr="005372B2" w:rsidR="002E5FC3">
        <w:t xml:space="preserve">at </w:t>
      </w:r>
      <w:r w:rsidR="002E5FC3">
        <w:t>7518</w:t>
      </w:r>
      <w:r w:rsidRPr="005372B2" w:rsidR="002E5FC3">
        <w:t>, para.</w:t>
      </w:r>
      <w:r w:rsidR="002E5FC3">
        <w:t xml:space="preserve"> </w:t>
      </w:r>
      <w:r w:rsidRPr="005372B2" w:rsidR="002E5FC3">
        <w:t>1.</w:t>
      </w:r>
    </w:p>
  </w:footnote>
  <w:footnote w:id="22">
    <w:p w:rsidR="00CD34B9" w:rsidP="004A5CEA" w14:paraId="5E7489D2" w14:textId="77777777">
      <w:pPr>
        <w:pStyle w:val="FootnoteText"/>
      </w:pPr>
      <w:r>
        <w:rPr>
          <w:rStyle w:val="FootnoteReference"/>
        </w:rPr>
        <w:footnoteRef/>
      </w:r>
      <w:r>
        <w:t xml:space="preserve"> </w:t>
      </w:r>
      <w:r w:rsidRPr="00151B3F" w:rsidR="002E5FC3">
        <w:rPr>
          <w:i/>
        </w:rPr>
        <w:t>Id</w:t>
      </w:r>
      <w:r w:rsidR="002E5FC3">
        <w:t>. at 7525, para. 21;</w:t>
      </w:r>
      <w:r>
        <w:t xml:space="preserve"> 47 CFR § 61.26(f</w:t>
      </w:r>
      <w:r w:rsidRPr="002B6965">
        <w:t>).</w:t>
      </w:r>
    </w:p>
  </w:footnote>
  <w:footnote w:id="23">
    <w:p w:rsidR="00CD34B9" w:rsidP="004A5CEA" w14:paraId="37D82A03" w14:textId="77777777">
      <w:pPr>
        <w:pStyle w:val="FootnoteText"/>
      </w:pPr>
      <w:r>
        <w:rPr>
          <w:rStyle w:val="FootnoteReference"/>
        </w:rPr>
        <w:footnoteRef/>
      </w:r>
      <w:r>
        <w:t xml:space="preserve"> </w:t>
      </w:r>
      <w:r w:rsidR="002E5FC3">
        <w:t>47 CFR § 61.26(f</w:t>
      </w:r>
      <w:r w:rsidRPr="002B6965" w:rsidR="002E5FC3">
        <w:t>)</w:t>
      </w:r>
      <w:r w:rsidRPr="002B6965">
        <w:t>.</w:t>
      </w:r>
    </w:p>
  </w:footnote>
  <w:footnote w:id="24">
    <w:p w:rsidR="00CD34B9" w14:paraId="7AD07E11" w14:textId="77777777">
      <w:pPr>
        <w:pStyle w:val="FootnoteText"/>
      </w:pPr>
      <w:r>
        <w:rPr>
          <w:rStyle w:val="FootnoteReference"/>
        </w:rPr>
        <w:footnoteRef/>
      </w:r>
      <w:r>
        <w:t xml:space="preserve"> </w:t>
      </w:r>
      <w:r w:rsidRPr="005C3A44">
        <w:t>47 CFR § 61.26(a)(2).</w:t>
      </w:r>
    </w:p>
  </w:footnote>
  <w:footnote w:id="25">
    <w:p w:rsidR="00CD34B9" w14:paraId="2B814F3C" w14:textId="77777777">
      <w:pPr>
        <w:pStyle w:val="FootnoteText"/>
      </w:pPr>
      <w:r>
        <w:rPr>
          <w:rStyle w:val="FootnoteReference"/>
        </w:rPr>
        <w:footnoteRef/>
      </w:r>
      <w:r>
        <w:t xml:space="preserve"> </w:t>
      </w:r>
      <w:r w:rsidRPr="00F8747C" w:rsidR="002E5FC3">
        <w:rPr>
          <w:i/>
        </w:rPr>
        <w:t>Aureon</w:t>
      </w:r>
      <w:r w:rsidRPr="005372B2" w:rsidR="002E5FC3">
        <w:rPr>
          <w:i/>
        </w:rPr>
        <w:t xml:space="preserve"> Tariff Investigation Order</w:t>
      </w:r>
      <w:r w:rsidR="002E5FC3">
        <w:t>,</w:t>
      </w:r>
      <w:r w:rsidRPr="005372B2" w:rsidR="002E5FC3">
        <w:t xml:space="preserve"> </w:t>
      </w:r>
      <w:r w:rsidR="002E5FC3">
        <w:t xml:space="preserve">33 FCC </w:t>
      </w:r>
      <w:r w:rsidR="002E5FC3">
        <w:t>Rcd</w:t>
      </w:r>
      <w:r w:rsidR="002E5FC3">
        <w:t xml:space="preserve"> </w:t>
      </w:r>
      <w:r w:rsidRPr="005372B2" w:rsidR="002E5FC3">
        <w:t xml:space="preserve">at </w:t>
      </w:r>
      <w:r w:rsidR="002E5FC3">
        <w:t>7526</w:t>
      </w:r>
      <w:r w:rsidRPr="005372B2" w:rsidR="002E5FC3">
        <w:t>, para</w:t>
      </w:r>
      <w:r w:rsidR="002E5FC3">
        <w:t>s</w:t>
      </w:r>
      <w:r w:rsidRPr="005372B2" w:rsidR="002E5FC3">
        <w:t>.</w:t>
      </w:r>
      <w:r w:rsidR="002E5FC3">
        <w:t xml:space="preserve"> 23-24</w:t>
      </w:r>
      <w:r>
        <w:t>.</w:t>
      </w:r>
    </w:p>
  </w:footnote>
  <w:footnote w:id="26">
    <w:p w:rsidR="00CD34B9" w14:paraId="1AC96A6B" w14:textId="77777777">
      <w:pPr>
        <w:pStyle w:val="FootnoteText"/>
      </w:pPr>
      <w:r>
        <w:rPr>
          <w:rStyle w:val="FootnoteReference"/>
        </w:rPr>
        <w:footnoteRef/>
      </w:r>
      <w:r>
        <w:t xml:space="preserve"> </w:t>
      </w:r>
      <w:r w:rsidR="002E5FC3">
        <w:rPr>
          <w:i/>
        </w:rPr>
        <w:t>Id</w:t>
      </w:r>
      <w:r w:rsidR="002E5FC3">
        <w:t>.</w:t>
      </w:r>
    </w:p>
  </w:footnote>
  <w:footnote w:id="27">
    <w:p w:rsidR="00CD34B9" w14:paraId="3C04587F" w14:textId="77777777">
      <w:pPr>
        <w:pStyle w:val="FootnoteText"/>
      </w:pPr>
      <w:r>
        <w:rPr>
          <w:rStyle w:val="FootnoteReference"/>
        </w:rPr>
        <w:footnoteRef/>
      </w:r>
      <w:r>
        <w:t xml:space="preserve"> </w:t>
      </w:r>
      <w:r w:rsidR="002C6C04">
        <w:rPr>
          <w:i/>
        </w:rPr>
        <w:t>I</w:t>
      </w:r>
      <w:r w:rsidR="002E5FC3">
        <w:rPr>
          <w:i/>
        </w:rPr>
        <w:t>d</w:t>
      </w:r>
      <w:r w:rsidR="002E5FC3">
        <w:t xml:space="preserve">. at 7526, para. </w:t>
      </w:r>
      <w:r w:rsidR="001D5DA5">
        <w:t>23.</w:t>
      </w:r>
    </w:p>
  </w:footnote>
  <w:footnote w:id="28">
    <w:p w:rsidR="00CD34B9" w14:paraId="0DC3E0DF" w14:textId="14674162">
      <w:pPr>
        <w:pStyle w:val="FootnoteText"/>
      </w:pPr>
      <w:r>
        <w:rPr>
          <w:rStyle w:val="FootnoteReference"/>
        </w:rPr>
        <w:footnoteRef/>
      </w:r>
      <w:r>
        <w:t xml:space="preserve"> </w:t>
      </w:r>
      <w:r w:rsidRPr="00151B3F" w:rsidR="001D5DA5">
        <w:rPr>
          <w:i/>
        </w:rPr>
        <w:t>Id</w:t>
      </w:r>
      <w:r w:rsidR="001D5DA5">
        <w:t>. at 75</w:t>
      </w:r>
      <w:r w:rsidR="008201A2">
        <w:t>27-</w:t>
      </w:r>
      <w:r w:rsidR="001D5DA5">
        <w:t>28,</w:t>
      </w:r>
      <w:r>
        <w:t xml:space="preserve"> para. 27</w:t>
      </w:r>
      <w:r w:rsidR="001D5DA5">
        <w:t xml:space="preserve"> (footnote omitted)</w:t>
      </w:r>
      <w:r>
        <w:t>.</w:t>
      </w:r>
    </w:p>
  </w:footnote>
  <w:footnote w:id="29">
    <w:p w:rsidR="00CD34B9" w:rsidP="00B957E4" w14:paraId="2E969198" w14:textId="53A5CACB">
      <w:pPr>
        <w:pStyle w:val="FootnoteText"/>
      </w:pPr>
      <w:r w:rsidRPr="005372B2">
        <w:rPr>
          <w:rStyle w:val="FootnoteReference"/>
        </w:rPr>
        <w:footnoteRef/>
      </w:r>
      <w:r w:rsidRPr="005372B2">
        <w:t xml:space="preserve"> </w:t>
      </w:r>
      <w:bookmarkStart w:id="3" w:name="_Hlk507425084"/>
      <w:r w:rsidRPr="005372B2">
        <w:rPr>
          <w:i/>
        </w:rPr>
        <w:t xml:space="preserve">See </w:t>
      </w:r>
      <w:r w:rsidRPr="005372B2">
        <w:t>Transmittal Letter at 1.</w:t>
      </w:r>
      <w:bookmarkEnd w:id="3"/>
    </w:p>
  </w:footnote>
  <w:footnote w:id="30">
    <w:p w:rsidR="00CD34B9" w:rsidP="00B957E4" w14:paraId="615C521A" w14:textId="77777777">
      <w:pPr>
        <w:pStyle w:val="FootnoteText"/>
      </w:pPr>
      <w:bookmarkStart w:id="4" w:name="_Hlk525832568"/>
      <w:bookmarkEnd w:id="4"/>
      <w:r w:rsidRPr="005372B2">
        <w:rPr>
          <w:rStyle w:val="FootnoteReference"/>
        </w:rPr>
        <w:footnoteRef/>
      </w:r>
      <w:r w:rsidRPr="005372B2">
        <w:t xml:space="preserve"> South Dakota Network, LLC Tariff F.C.C. No. 1, Centralized Equal Access Service, 2018 Annual Access Tariff Filing, Description and Justification at 2 (filed Sept. 17, 2018) (SDN Description and Justification)</w:t>
      </w:r>
      <w:r w:rsidRPr="0084202C">
        <w:t xml:space="preserve"> </w:t>
      </w:r>
      <w:r w:rsidRPr="005372B2">
        <w:t>(available via ETFS).</w:t>
      </w:r>
    </w:p>
  </w:footnote>
  <w:footnote w:id="31">
    <w:p w:rsidR="00CD34B9" w14:paraId="2DC6A024" w14:textId="77777777">
      <w:pPr>
        <w:pStyle w:val="FootnoteText"/>
      </w:pPr>
      <w:r>
        <w:rPr>
          <w:rStyle w:val="FootnoteReference"/>
        </w:rPr>
        <w:footnoteRef/>
      </w:r>
      <w:r>
        <w:t xml:space="preserve"> </w:t>
      </w:r>
      <w:r w:rsidR="001D5DA5">
        <w:rPr>
          <w:i/>
        </w:rPr>
        <w:t>Id</w:t>
      </w:r>
      <w:r>
        <w:t>.</w:t>
      </w:r>
    </w:p>
  </w:footnote>
  <w:footnote w:id="32">
    <w:p w:rsidR="00CD34B9" w:rsidP="00B957E4" w14:paraId="37FA3FBF" w14:textId="77777777">
      <w:pPr>
        <w:pStyle w:val="FootnoteText"/>
      </w:pPr>
      <w:r w:rsidRPr="005372B2">
        <w:rPr>
          <w:rStyle w:val="FootnoteReference"/>
        </w:rPr>
        <w:footnoteRef/>
      </w:r>
      <w:r w:rsidRPr="005372B2">
        <w:t xml:space="preserve"> </w:t>
      </w:r>
      <w:r w:rsidRPr="005372B2">
        <w:rPr>
          <w:i/>
        </w:rPr>
        <w:t>Id</w:t>
      </w:r>
      <w:r w:rsidRPr="005372B2">
        <w:t xml:space="preserve">. at 2-3.  </w:t>
      </w:r>
    </w:p>
  </w:footnote>
  <w:footnote w:id="33">
    <w:p w:rsidR="00CD34B9" w14:paraId="166C64D8" w14:textId="77777777">
      <w:pPr>
        <w:pStyle w:val="FootnoteText"/>
      </w:pPr>
      <w:r>
        <w:rPr>
          <w:rStyle w:val="FootnoteReference"/>
        </w:rPr>
        <w:footnoteRef/>
      </w:r>
      <w:r>
        <w:t xml:space="preserve"> </w:t>
      </w:r>
      <w:r w:rsidR="00321A7C">
        <w:t>SDN Direct Case at 5</w:t>
      </w:r>
      <w:r w:rsidR="00FE460E">
        <w:t>.</w:t>
      </w:r>
    </w:p>
  </w:footnote>
  <w:footnote w:id="34">
    <w:p w:rsidR="00CD34B9" w14:paraId="57657FDE" w14:textId="77777777">
      <w:pPr>
        <w:pStyle w:val="FootnoteText"/>
      </w:pPr>
      <w:r>
        <w:rPr>
          <w:rStyle w:val="FootnoteReference"/>
        </w:rPr>
        <w:footnoteRef/>
      </w:r>
      <w:r>
        <w:t xml:space="preserve"> </w:t>
      </w:r>
      <w:r w:rsidR="00321A7C">
        <w:rPr>
          <w:i/>
        </w:rPr>
        <w:t>Id</w:t>
      </w:r>
      <w:r w:rsidR="00321A7C">
        <w:t>.</w:t>
      </w:r>
    </w:p>
  </w:footnote>
  <w:footnote w:id="35">
    <w:p w:rsidR="00CD34B9" w14:paraId="6BE759D6" w14:textId="0BCB73DE">
      <w:pPr>
        <w:pStyle w:val="FootnoteText"/>
      </w:pPr>
      <w:r>
        <w:rPr>
          <w:rStyle w:val="FootnoteReference"/>
        </w:rPr>
        <w:footnoteRef/>
      </w:r>
      <w:r>
        <w:t xml:space="preserve"> </w:t>
      </w:r>
      <w:r w:rsidR="00490FF3">
        <w:rPr>
          <w:i/>
        </w:rPr>
        <w:t>Id</w:t>
      </w:r>
      <w:r w:rsidR="00490FF3">
        <w:t>. at 1</w:t>
      </w:r>
      <w:r w:rsidR="007C6551">
        <w:t>4 (</w:t>
      </w:r>
      <w:r w:rsidR="00444B54">
        <w:t xml:space="preserve">noting that </w:t>
      </w:r>
      <w:r w:rsidR="007C6551">
        <w:t>four of SDN’s subtending competitive LECs mirror the NECA rates in their own tariffs)</w:t>
      </w:r>
      <w:r>
        <w:t>.</w:t>
      </w:r>
    </w:p>
  </w:footnote>
  <w:footnote w:id="36">
    <w:p w:rsidR="00CD34B9" w14:paraId="256E600E" w14:textId="77777777">
      <w:pPr>
        <w:pStyle w:val="FootnoteText"/>
      </w:pPr>
      <w:r>
        <w:rPr>
          <w:rStyle w:val="FootnoteReference"/>
        </w:rPr>
        <w:footnoteRef/>
      </w:r>
      <w:r>
        <w:t xml:space="preserve"> </w:t>
      </w:r>
      <w:r w:rsidR="00490FF3">
        <w:rPr>
          <w:i/>
        </w:rPr>
        <w:t>Id</w:t>
      </w:r>
      <w:r w:rsidR="00490FF3">
        <w:t>. at 13, n.39 (</w:t>
      </w:r>
      <w:r w:rsidRPr="00DB1B21" w:rsidR="00490FF3">
        <w:t>citing</w:t>
      </w:r>
      <w:r w:rsidR="00490FF3">
        <w:t xml:space="preserve"> NECA Tariff F.C.C. No. 5, pp. 6.32, 6.32.1).</w:t>
      </w:r>
    </w:p>
  </w:footnote>
  <w:footnote w:id="37">
    <w:p w:rsidR="00CD34B9" w14:paraId="1667AF90" w14:textId="77777777">
      <w:pPr>
        <w:pStyle w:val="FootnoteText"/>
      </w:pPr>
      <w:r>
        <w:rPr>
          <w:rStyle w:val="FootnoteReference"/>
        </w:rPr>
        <w:footnoteRef/>
      </w:r>
      <w:r>
        <w:t xml:space="preserve"> </w:t>
      </w:r>
      <w:r w:rsidR="0062099B">
        <w:rPr>
          <w:i/>
        </w:rPr>
        <w:t>Id</w:t>
      </w:r>
      <w:r w:rsidR="0062099B">
        <w:t>.</w:t>
      </w:r>
      <w:r w:rsidR="00490FF3">
        <w:t xml:space="preserve"> at 13.</w:t>
      </w:r>
    </w:p>
  </w:footnote>
  <w:footnote w:id="38">
    <w:p w:rsidR="00CD34B9" w:rsidP="00B957E4" w14:paraId="22C6DCD0" w14:textId="77777777">
      <w:pPr>
        <w:pStyle w:val="FootnoteText"/>
      </w:pPr>
      <w:r w:rsidRPr="005372B2">
        <w:rPr>
          <w:rStyle w:val="FootnoteReference"/>
        </w:rPr>
        <w:footnoteRef/>
      </w:r>
      <w:r w:rsidRPr="005372B2">
        <w:t xml:space="preserve"> </w:t>
      </w:r>
      <w:r w:rsidRPr="00151B3F" w:rsidR="00490FF3">
        <w:t>SDN Description and Justification at 2-3</w:t>
      </w:r>
      <w:r w:rsidRPr="005372B2">
        <w:t>.</w:t>
      </w:r>
    </w:p>
  </w:footnote>
  <w:footnote w:id="39">
    <w:p w:rsidR="00CD34B9" w:rsidP="00B957E4" w14:paraId="4211E590" w14:textId="77777777">
      <w:pPr>
        <w:pStyle w:val="FootnoteText"/>
      </w:pPr>
      <w:r w:rsidRPr="005372B2">
        <w:rPr>
          <w:rStyle w:val="FootnoteReference"/>
        </w:rPr>
        <w:footnoteRef/>
      </w:r>
      <w:r w:rsidRPr="005372B2">
        <w:t xml:space="preserve"> </w:t>
      </w:r>
      <w:r w:rsidRPr="005372B2">
        <w:rPr>
          <w:i/>
        </w:rPr>
        <w:t xml:space="preserve">See </w:t>
      </w:r>
      <w:bookmarkStart w:id="5" w:name="_Hlk526154045"/>
      <w:r w:rsidRPr="005372B2">
        <w:t>Petition of James Valley Cooperative Telephone Company and Northern Valley Communications, LLC to Reject or to Suspend and Investigate South Dakota Network, LLC’s Tariff, Transmittal No. 13 (filed Sept. 24, 2018) (Petition) (available via ETFS).</w:t>
      </w:r>
      <w:bookmarkEnd w:id="5"/>
    </w:p>
  </w:footnote>
  <w:footnote w:id="40">
    <w:p w:rsidR="00CD34B9" w14:paraId="43A0A286" w14:textId="77777777">
      <w:pPr>
        <w:pStyle w:val="FootnoteText"/>
      </w:pPr>
      <w:r w:rsidRPr="005372B2">
        <w:rPr>
          <w:rStyle w:val="FootnoteReference"/>
        </w:rPr>
        <w:footnoteRef/>
      </w:r>
      <w:r w:rsidRPr="005372B2">
        <w:t xml:space="preserve"> </w:t>
      </w:r>
      <w:r w:rsidRPr="005372B2">
        <w:rPr>
          <w:i/>
        </w:rPr>
        <w:t>Id</w:t>
      </w:r>
      <w:r w:rsidRPr="005372B2">
        <w:t>. at 2-3.</w:t>
      </w:r>
    </w:p>
  </w:footnote>
  <w:footnote w:id="41">
    <w:p w:rsidR="00CD34B9" w:rsidP="00B957E4" w14:paraId="0487C706" w14:textId="00133130">
      <w:pPr>
        <w:pStyle w:val="FootnoteText"/>
      </w:pPr>
      <w:r w:rsidRPr="005372B2">
        <w:rPr>
          <w:rStyle w:val="FootnoteReference"/>
        </w:rPr>
        <w:footnoteRef/>
      </w:r>
      <w:r w:rsidRPr="005372B2">
        <w:t xml:space="preserve"> </w:t>
      </w:r>
      <w:r w:rsidRPr="005372B2">
        <w:rPr>
          <w:i/>
        </w:rPr>
        <w:t>See</w:t>
      </w:r>
      <w:r w:rsidRPr="005372B2">
        <w:t xml:space="preserve"> Reply to Petition to Reject or to Suspend and Investigate South Dakota Network, LLC’s Tariff, WC Docket No. 18-100, Transmittal No. 13 (originally filed Sept. 28, 2018, refiled Nov. 26, 2018) (SDN Reply).</w:t>
      </w:r>
    </w:p>
  </w:footnote>
  <w:footnote w:id="42">
    <w:p w:rsidR="00CD34B9" w:rsidP="0051773F" w14:paraId="67EAEA93" w14:textId="77777777">
      <w:pPr>
        <w:pStyle w:val="FootnoteText"/>
      </w:pPr>
      <w:r w:rsidRPr="005372B2">
        <w:rPr>
          <w:rStyle w:val="FootnoteReference"/>
        </w:rPr>
        <w:footnoteRef/>
      </w:r>
      <w:r w:rsidRPr="005372B2">
        <w:t xml:space="preserve"> </w:t>
      </w:r>
      <w:r w:rsidRPr="005372B2">
        <w:rPr>
          <w:i/>
        </w:rPr>
        <w:t>See</w:t>
      </w:r>
      <w:r w:rsidRPr="005372B2">
        <w:t xml:space="preserve"> Letter from G. David Carter, Counsel to James Valley Cooperative Telephone Company and Northern Valley Communications, LLC, to Marlene H. Dortch, Secretary, FCC, Transmittal No. 13 (filed Oct. 1, 2018) (available via ETFS).</w:t>
      </w:r>
    </w:p>
  </w:footnote>
  <w:footnote w:id="43">
    <w:p w:rsidR="00CD34B9" w:rsidP="00C83116" w14:paraId="3A35E87D" w14:textId="77777777">
      <w:pPr>
        <w:pStyle w:val="FootnoteText"/>
      </w:pPr>
      <w:r w:rsidRPr="005372B2">
        <w:rPr>
          <w:rStyle w:val="FootnoteReference"/>
        </w:rPr>
        <w:footnoteRef/>
      </w:r>
      <w:r w:rsidRPr="005372B2">
        <w:t xml:space="preserve"> </w:t>
      </w:r>
      <w:bookmarkStart w:id="6" w:name="_Hlk531336475"/>
      <w:r w:rsidRPr="005372B2">
        <w:rPr>
          <w:i/>
        </w:rPr>
        <w:t>July 1, 2018 Annual Access Charge Tariff Filings; South Dakota Network, LLC Tariff F.C.C. No. 1</w:t>
      </w:r>
      <w:r w:rsidRPr="005372B2">
        <w:t xml:space="preserve">, WC Docket No. 18-100, Transmittal No. 13, Order, DA 18-1004 at </w:t>
      </w:r>
      <w:r>
        <w:t>2-</w:t>
      </w:r>
      <w:r w:rsidRPr="005372B2">
        <w:t xml:space="preserve">3, para. </w:t>
      </w:r>
      <w:r>
        <w:t>6</w:t>
      </w:r>
      <w:r w:rsidRPr="005372B2">
        <w:t xml:space="preserve"> (WCB Oct. 1, 2018) (</w:t>
      </w:r>
      <w:r w:rsidRPr="005372B2">
        <w:rPr>
          <w:i/>
        </w:rPr>
        <w:t>SDN Suspension Order</w:t>
      </w:r>
      <w:r>
        <w:t>)</w:t>
      </w:r>
      <w:bookmarkEnd w:id="6"/>
      <w:r>
        <w:t>.</w:t>
      </w:r>
    </w:p>
  </w:footnote>
  <w:footnote w:id="44">
    <w:p w:rsidR="00CD34B9" w:rsidP="00E91F1A" w14:paraId="4124CA25" w14:textId="1A432F16">
      <w:pPr>
        <w:pStyle w:val="FootnoteText"/>
      </w:pPr>
      <w:r w:rsidRPr="005372B2">
        <w:rPr>
          <w:rStyle w:val="FootnoteReference"/>
        </w:rPr>
        <w:footnoteRef/>
      </w:r>
      <w:r>
        <w:t xml:space="preserve"> </w:t>
      </w:r>
      <w:r>
        <w:rPr>
          <w:i/>
        </w:rPr>
        <w:t>Id</w:t>
      </w:r>
      <w:r>
        <w:t>.</w:t>
      </w:r>
      <w:r w:rsidRPr="005372B2">
        <w:t xml:space="preserve"> at 3, para. </w:t>
      </w:r>
      <w:r>
        <w:t xml:space="preserve">7 </w:t>
      </w:r>
      <w:r w:rsidRPr="005372B2">
        <w:t>(</w:t>
      </w:r>
      <w:r w:rsidRPr="00DB1B21">
        <w:t>citing</w:t>
      </w:r>
      <w:r w:rsidRPr="005372B2">
        <w:t xml:space="preserve"> 47 U.S.C. § 204).  In response to the </w:t>
      </w:r>
      <w:r w:rsidRPr="005372B2">
        <w:rPr>
          <w:i/>
        </w:rPr>
        <w:t>SDN Suspension Order</w:t>
      </w:r>
      <w:r w:rsidRPr="005372B2">
        <w:t xml:space="preserve">, SDN submitted Transmittal No. 15 to suspend the revisions made in its Transmittal No. 13.  </w:t>
      </w:r>
      <w:r w:rsidRPr="005372B2">
        <w:rPr>
          <w:i/>
        </w:rPr>
        <w:t xml:space="preserve">See </w:t>
      </w:r>
      <w:r w:rsidRPr="005372B2">
        <w:t xml:space="preserve">Letter from Marlene Bennett, Consortia Consulting, Consultant for SDN, to Marlene H. Dortch, Secretary, FCC, Transmittal No. 15 (filed Oct. 5, 2018) (Transmittal No. 15) (available via ETFS).  </w:t>
      </w:r>
      <w:r w:rsidR="00A05F5C">
        <w:t xml:space="preserve">In its tariff </w:t>
      </w:r>
      <w:r w:rsidR="00141BD3">
        <w:t>SDN refers to</w:t>
      </w:r>
      <w:r w:rsidR="00A05F5C">
        <w:t xml:space="preserve"> its interstate tandem-switched access service as “centralized equal access service.”  SDN Description and Justification.</w:t>
      </w:r>
    </w:p>
  </w:footnote>
  <w:footnote w:id="45">
    <w:p w:rsidR="00CD34B9" w14:paraId="3B6BB2E7" w14:textId="77777777">
      <w:pPr>
        <w:pStyle w:val="FootnoteText"/>
      </w:pPr>
      <w:r>
        <w:rPr>
          <w:rStyle w:val="FootnoteReference"/>
        </w:rPr>
        <w:footnoteRef/>
      </w:r>
      <w:r>
        <w:t xml:space="preserve"> </w:t>
      </w:r>
      <w:r w:rsidRPr="005372B2">
        <w:rPr>
          <w:i/>
        </w:rPr>
        <w:t>July 1, 2018 Annual Access Charge Tariff Filings; South Dakota Network, LLC Tariff F.C.C. No. 1</w:t>
      </w:r>
      <w:r w:rsidRPr="005372B2">
        <w:t>, WC Docket No. 18-100, Transmittal No. 13, Order</w:t>
      </w:r>
      <w:r>
        <w:t xml:space="preserve"> Designating Issues for Investigation</w:t>
      </w:r>
      <w:r w:rsidRPr="005372B2">
        <w:t>, DA 18-</w:t>
      </w:r>
      <w:r>
        <w:t>1214, at 1, 5, paras. 1, 10</w:t>
      </w:r>
      <w:r w:rsidRPr="005372B2">
        <w:t xml:space="preserve"> (WCB </w:t>
      </w:r>
      <w:r>
        <w:t>Nov. 29</w:t>
      </w:r>
      <w:r w:rsidRPr="005372B2">
        <w:t>, 2018) (</w:t>
      </w:r>
      <w:r w:rsidRPr="005372B2">
        <w:rPr>
          <w:i/>
        </w:rPr>
        <w:t xml:space="preserve">SDN </w:t>
      </w:r>
      <w:r>
        <w:rPr>
          <w:i/>
        </w:rPr>
        <w:t>Designat</w:t>
      </w:r>
      <w:r w:rsidRPr="005372B2">
        <w:rPr>
          <w:i/>
        </w:rPr>
        <w:t>ion Order</w:t>
      </w:r>
      <w:r w:rsidRPr="005372B2">
        <w:t>)</w:t>
      </w:r>
      <w:r>
        <w:t>.</w:t>
      </w:r>
    </w:p>
  </w:footnote>
  <w:footnote w:id="46">
    <w:p w:rsidR="00CD34B9" w14:paraId="2DBB0A02" w14:textId="77777777">
      <w:pPr>
        <w:pStyle w:val="FootnoteText"/>
      </w:pPr>
      <w:r>
        <w:rPr>
          <w:rStyle w:val="FootnoteReference"/>
        </w:rPr>
        <w:footnoteRef/>
      </w:r>
      <w:r>
        <w:t xml:space="preserve"> SDN Direct Case at 3-6, 9-12. </w:t>
      </w:r>
    </w:p>
  </w:footnote>
  <w:footnote w:id="47">
    <w:p w:rsidR="00CD34B9" w14:paraId="7B7BAA24" w14:textId="77777777">
      <w:pPr>
        <w:pStyle w:val="FootnoteText"/>
      </w:pPr>
      <w:r>
        <w:rPr>
          <w:rStyle w:val="FootnoteReference"/>
        </w:rPr>
        <w:footnoteRef/>
      </w:r>
      <w:r w:rsidR="00C05918">
        <w:t xml:space="preserve"> </w:t>
      </w:r>
      <w:r>
        <w:t xml:space="preserve">CenturyLink’s Opposition to Direct Case, WC Docket 18-100, Transmittal No. 13 (filed Dec. 18, 2018) (CenturyLink Opposition).  </w:t>
      </w:r>
      <w:r w:rsidRPr="005372B2">
        <w:t>James Valley Cooperative Telephone Company</w:t>
      </w:r>
      <w:r>
        <w:t>’s</w:t>
      </w:r>
      <w:r w:rsidRPr="005372B2">
        <w:t xml:space="preserve"> and Northern Valley Communications, LLC</w:t>
      </w:r>
      <w:r>
        <w:t xml:space="preserve">’s </w:t>
      </w:r>
      <w:bookmarkStart w:id="7" w:name="_Hlk531339470"/>
      <w:r>
        <w:t>Opposition to the Direct Case of South Dakota Network, LLC, WC Docket 18-100, Transmittal No. 13 (filed Dec. 18, 2018) (JVCTC and NVC Opposition).</w:t>
      </w:r>
      <w:bookmarkEnd w:id="7"/>
    </w:p>
  </w:footnote>
  <w:footnote w:id="48">
    <w:p w:rsidR="00CD34B9" w14:paraId="523B28DA" w14:textId="77777777">
      <w:pPr>
        <w:pStyle w:val="FootnoteText"/>
      </w:pPr>
      <w:r>
        <w:rPr>
          <w:rStyle w:val="FootnoteReference"/>
        </w:rPr>
        <w:footnoteRef/>
      </w:r>
      <w:r>
        <w:t xml:space="preserve"> CenturyLink Opposition at 4-5.</w:t>
      </w:r>
    </w:p>
  </w:footnote>
  <w:footnote w:id="49">
    <w:p w:rsidR="00CD34B9" w14:paraId="429B241D" w14:textId="77777777">
      <w:pPr>
        <w:pStyle w:val="FootnoteText"/>
      </w:pPr>
      <w:r>
        <w:rPr>
          <w:rStyle w:val="FootnoteReference"/>
        </w:rPr>
        <w:footnoteRef/>
      </w:r>
      <w:r>
        <w:t xml:space="preserve"> </w:t>
      </w:r>
      <w:r w:rsidRPr="002C6C04">
        <w:rPr>
          <w:i/>
        </w:rPr>
        <w:t>Id</w:t>
      </w:r>
      <w:r w:rsidR="002C6C04">
        <w:t>.</w:t>
      </w:r>
      <w:r>
        <w:t xml:space="preserve"> at 4.</w:t>
      </w:r>
    </w:p>
  </w:footnote>
  <w:footnote w:id="50">
    <w:p w:rsidR="0000706E" w:rsidP="0000706E" w14:paraId="4D5EC9C8" w14:textId="77777777">
      <w:pPr>
        <w:pStyle w:val="FootnoteText"/>
      </w:pPr>
      <w:r>
        <w:rPr>
          <w:rStyle w:val="FootnoteReference"/>
        </w:rPr>
        <w:footnoteRef/>
      </w:r>
      <w:r>
        <w:t xml:space="preserve"> JVCTC and NVC Opposition at ii, 2, 15. </w:t>
      </w:r>
    </w:p>
  </w:footnote>
  <w:footnote w:id="51">
    <w:p w:rsidR="00CD34B9" w14:paraId="2D9FD444" w14:textId="3082CDDB">
      <w:pPr>
        <w:pStyle w:val="FootnoteText"/>
      </w:pPr>
      <w:r>
        <w:rPr>
          <w:rStyle w:val="FootnoteReference"/>
        </w:rPr>
        <w:footnoteRef/>
      </w:r>
      <w:r>
        <w:t xml:space="preserve"> </w:t>
      </w:r>
      <w:bookmarkStart w:id="8" w:name="_Hlk437867"/>
      <w:r w:rsidRPr="00444B54" w:rsidR="00444B54">
        <w:t xml:space="preserve">Letter from Benjamin H. Dickens, Jr., Mary J. Sisak, and Salvatore </w:t>
      </w:r>
      <w:r w:rsidRPr="00444B54" w:rsidR="00444B54">
        <w:t>Taillefer</w:t>
      </w:r>
      <w:r w:rsidRPr="00444B54" w:rsidR="00444B54">
        <w:t xml:space="preserve">, Jr., Counsel to SDN, to Marlene H. Dortch, Secretary, FCC, WC Docket No. 18-100, Transmittal No. 13 (filed </w:t>
      </w:r>
      <w:r w:rsidR="00444B54">
        <w:t>Jan</w:t>
      </w:r>
      <w:r w:rsidRPr="00444B54" w:rsidR="00444B54">
        <w:t xml:space="preserve">. </w:t>
      </w:r>
      <w:r w:rsidR="00444B54">
        <w:t>3</w:t>
      </w:r>
      <w:r w:rsidRPr="00444B54" w:rsidR="00444B54">
        <w:t xml:space="preserve">, 2019) (SDN </w:t>
      </w:r>
      <w:r w:rsidRPr="00444B54" w:rsidR="00444B54">
        <w:rPr>
          <w:i/>
        </w:rPr>
        <w:t>Ex Parte</w:t>
      </w:r>
      <w:r w:rsidR="00444B54">
        <w:t>)</w:t>
      </w:r>
      <w:bookmarkEnd w:id="8"/>
      <w:r>
        <w:t>.</w:t>
      </w:r>
    </w:p>
  </w:footnote>
  <w:footnote w:id="52">
    <w:p w:rsidR="00CD34B9" w14:paraId="679F033A" w14:textId="77777777">
      <w:pPr>
        <w:pStyle w:val="FootnoteText"/>
      </w:pPr>
      <w:r>
        <w:rPr>
          <w:rStyle w:val="FootnoteReference"/>
        </w:rPr>
        <w:footnoteRef/>
      </w:r>
      <w:r>
        <w:t xml:space="preserve"> Letter from Benjamin H. Dickens, Jr., Mary J. Sisak, and Salvatore </w:t>
      </w:r>
      <w:r>
        <w:t>Taillefer</w:t>
      </w:r>
      <w:r>
        <w:t xml:space="preserve">, Jr., Counsel to SDN, to Marlene H. Dortch, Secretary, FCC, </w:t>
      </w:r>
      <w:r w:rsidR="0062099B">
        <w:t xml:space="preserve">WC Docket No. 18-100, </w:t>
      </w:r>
      <w:r>
        <w:t>Transmittal No. 13 (filed Jan. 30, 2019).</w:t>
      </w:r>
    </w:p>
  </w:footnote>
  <w:footnote w:id="53">
    <w:p w:rsidR="00CD34B9" w14:paraId="5A4BAFB2" w14:textId="77777777">
      <w:pPr>
        <w:pStyle w:val="FootnoteText"/>
      </w:pPr>
      <w:r>
        <w:rPr>
          <w:rStyle w:val="FootnoteReference"/>
        </w:rPr>
        <w:footnoteRef/>
      </w:r>
      <w:r>
        <w:t xml:space="preserve"> </w:t>
      </w:r>
      <w:r w:rsidRPr="00EF2026">
        <w:rPr>
          <w:i/>
        </w:rPr>
        <w:t>Id</w:t>
      </w:r>
      <w:r>
        <w:t>. at 2.</w:t>
      </w:r>
    </w:p>
  </w:footnote>
  <w:footnote w:id="54">
    <w:p w:rsidR="00CD34B9" w14:paraId="24A02186" w14:textId="6E3BFA73">
      <w:pPr>
        <w:pStyle w:val="FootnoteText"/>
      </w:pPr>
      <w:r>
        <w:rPr>
          <w:rStyle w:val="FootnoteReference"/>
        </w:rPr>
        <w:footnoteRef/>
      </w:r>
      <w:r>
        <w:t xml:space="preserve"> </w:t>
      </w:r>
      <w:r w:rsidRPr="00444B54" w:rsidR="002330F4">
        <w:t xml:space="preserve">Letter from Benjamin H. Dickens, Jr., Mary J. Sisak, and Salvatore </w:t>
      </w:r>
      <w:r w:rsidRPr="00444B54" w:rsidR="002330F4">
        <w:t>Taillefer</w:t>
      </w:r>
      <w:r w:rsidRPr="00444B54" w:rsidR="002330F4">
        <w:t>, Jr., Counsel to SDN, to Marlene H. Dortch, Secretary, FCC, WC Docket No. 18-100, Transmittal No. 13</w:t>
      </w:r>
      <w:r w:rsidRPr="00444B54" w:rsidR="004D204D">
        <w:t xml:space="preserve"> at 1</w:t>
      </w:r>
      <w:r w:rsidRPr="00444B54" w:rsidR="002330F4">
        <w:t xml:space="preserve"> (filed Feb. 6, 2019)</w:t>
      </w:r>
      <w:r w:rsidRPr="00444B54" w:rsidR="001143BE">
        <w:t xml:space="preserve"> (SDN Feb. 6 </w:t>
      </w:r>
      <w:r w:rsidRPr="00444B54" w:rsidR="001143BE">
        <w:rPr>
          <w:i/>
        </w:rPr>
        <w:t>Ex Parte</w:t>
      </w:r>
      <w:r w:rsidRPr="00444B54" w:rsidR="001143BE">
        <w:t>)</w:t>
      </w:r>
      <w:r w:rsidRPr="00444B54" w:rsidR="002330F4">
        <w:t>.</w:t>
      </w:r>
    </w:p>
  </w:footnote>
  <w:footnote w:id="55">
    <w:p w:rsidR="00D02571" w14:paraId="06F3CABD" w14:textId="43C6B0CF">
      <w:pPr>
        <w:pStyle w:val="FootnoteText"/>
      </w:pPr>
      <w:r>
        <w:rPr>
          <w:rStyle w:val="FootnoteReference"/>
        </w:rPr>
        <w:footnoteRef/>
      </w:r>
      <w:r>
        <w:t xml:space="preserve"> </w:t>
      </w:r>
      <w:bookmarkStart w:id="9" w:name="_Hlk2142260"/>
      <w:r w:rsidRPr="00444B54" w:rsidR="000042CB">
        <w:t xml:space="preserve">Letter from Benjamin H. Dickens, Jr., Mary J. Sisak, and Salvatore </w:t>
      </w:r>
      <w:r w:rsidRPr="00444B54" w:rsidR="000042CB">
        <w:t>Taillefer</w:t>
      </w:r>
      <w:r w:rsidRPr="00444B54" w:rsidR="000042CB">
        <w:t xml:space="preserve">, Jr., Counsel to SDN, to Marlene H. Dortch, Secretary, FCC, WC Docket No. 18-100, Transmittal No. 13 at 1 (filed Feb. </w:t>
      </w:r>
      <w:r w:rsidR="000042CB">
        <w:t>13</w:t>
      </w:r>
      <w:r w:rsidRPr="00444B54" w:rsidR="000042CB">
        <w:t xml:space="preserve">, 2019) (SDN Feb. </w:t>
      </w:r>
      <w:r w:rsidR="000042CB">
        <w:t>13</w:t>
      </w:r>
      <w:r w:rsidRPr="00444B54" w:rsidR="000042CB">
        <w:t xml:space="preserve"> </w:t>
      </w:r>
      <w:r w:rsidRPr="00444B54" w:rsidR="000042CB">
        <w:rPr>
          <w:i/>
        </w:rPr>
        <w:t>Ex Parte</w:t>
      </w:r>
      <w:r w:rsidRPr="00444B54" w:rsidR="000042CB">
        <w:t>).</w:t>
      </w:r>
      <w:bookmarkEnd w:id="9"/>
    </w:p>
  </w:footnote>
  <w:footnote w:id="56">
    <w:p w:rsidR="00CD34B9" w:rsidP="00E91F1A" w14:paraId="2E32CDB3" w14:textId="77777777">
      <w:pPr>
        <w:pStyle w:val="FootnoteText"/>
      </w:pPr>
      <w:r w:rsidRPr="005372B2">
        <w:rPr>
          <w:rStyle w:val="FootnoteReference"/>
        </w:rPr>
        <w:footnoteRef/>
      </w:r>
      <w:r w:rsidRPr="005372B2">
        <w:t xml:space="preserve"> </w:t>
      </w:r>
      <w:r w:rsidR="00BC5180">
        <w:t>47 U.S.C.</w:t>
      </w:r>
      <w:r w:rsidRPr="005372B2">
        <w:t xml:space="preserve"> § 204(a)(1).</w:t>
      </w:r>
    </w:p>
  </w:footnote>
  <w:footnote w:id="57">
    <w:p w:rsidR="00CD34B9" w:rsidP="00E91F1A" w14:paraId="6E0A1275" w14:textId="77777777">
      <w:pPr>
        <w:pStyle w:val="FootnoteText"/>
      </w:pPr>
      <w:r w:rsidRPr="005372B2">
        <w:rPr>
          <w:rStyle w:val="FootnoteReference"/>
        </w:rPr>
        <w:footnoteRef/>
      </w:r>
      <w:r w:rsidRPr="005372B2">
        <w:t xml:space="preserve"> </w:t>
      </w:r>
      <w:r w:rsidRPr="005372B2">
        <w:rPr>
          <w:i/>
        </w:rPr>
        <w:t>Id</w:t>
      </w:r>
      <w:r w:rsidRPr="005372B2">
        <w:t>. § 205(a).</w:t>
      </w:r>
    </w:p>
  </w:footnote>
  <w:footnote w:id="58">
    <w:p w:rsidR="00CD34B9" w14:paraId="137308D2" w14:textId="77777777">
      <w:pPr>
        <w:pStyle w:val="FootnoteText"/>
      </w:pPr>
      <w:r>
        <w:rPr>
          <w:rStyle w:val="FootnoteReference"/>
        </w:rPr>
        <w:footnoteRef/>
      </w:r>
      <w:r>
        <w:t xml:space="preserve"> </w:t>
      </w:r>
      <w:r w:rsidR="002C6C04">
        <w:t>4</w:t>
      </w:r>
      <w:r w:rsidR="002721D3">
        <w:t xml:space="preserve">7 CFR § 61.26(f); </w:t>
      </w:r>
      <w:r w:rsidRPr="00F8747C" w:rsidR="002721D3">
        <w:rPr>
          <w:i/>
        </w:rPr>
        <w:t>Aureon</w:t>
      </w:r>
      <w:r w:rsidRPr="005372B2" w:rsidR="002721D3">
        <w:rPr>
          <w:i/>
        </w:rPr>
        <w:t xml:space="preserve"> Tariff Investigation Order</w:t>
      </w:r>
      <w:r w:rsidR="002721D3">
        <w:t>,</w:t>
      </w:r>
      <w:r w:rsidRPr="005372B2" w:rsidR="002721D3">
        <w:t xml:space="preserve"> </w:t>
      </w:r>
      <w:r w:rsidR="002721D3">
        <w:t xml:space="preserve">33 FCC </w:t>
      </w:r>
      <w:r w:rsidR="002721D3">
        <w:t>Rcd</w:t>
      </w:r>
      <w:r w:rsidR="002721D3">
        <w:t xml:space="preserve"> </w:t>
      </w:r>
      <w:r w:rsidRPr="005372B2" w:rsidR="002721D3">
        <w:t xml:space="preserve">at </w:t>
      </w:r>
      <w:r w:rsidR="002721D3">
        <w:t>7525</w:t>
      </w:r>
      <w:r w:rsidRPr="005372B2" w:rsidR="002721D3">
        <w:t>, para.</w:t>
      </w:r>
      <w:r w:rsidR="002721D3">
        <w:t xml:space="preserve"> 2</w:t>
      </w:r>
      <w:r w:rsidRPr="005372B2" w:rsidR="002721D3">
        <w:t>1</w:t>
      </w:r>
      <w:r>
        <w:t>.</w:t>
      </w:r>
    </w:p>
  </w:footnote>
  <w:footnote w:id="59">
    <w:p w:rsidR="00CD34B9" w14:paraId="3F260C92" w14:textId="3879CA78">
      <w:pPr>
        <w:pStyle w:val="FootnoteText"/>
      </w:pPr>
      <w:r>
        <w:rPr>
          <w:rStyle w:val="FootnoteReference"/>
        </w:rPr>
        <w:footnoteRef/>
      </w:r>
      <w:r>
        <w:t xml:space="preserve"> </w:t>
      </w:r>
      <w:r w:rsidRPr="00151B3F">
        <w:rPr>
          <w:i/>
        </w:rPr>
        <w:t>Aureon</w:t>
      </w:r>
      <w:r w:rsidRPr="00151B3F">
        <w:rPr>
          <w:i/>
        </w:rPr>
        <w:t xml:space="preserve"> Tariff Investigation Order</w:t>
      </w:r>
      <w:r w:rsidR="002721D3">
        <w:t xml:space="preserve">, 33 FCC </w:t>
      </w:r>
      <w:r w:rsidR="002721D3">
        <w:t>Rcd</w:t>
      </w:r>
      <w:r w:rsidR="002721D3">
        <w:t xml:space="preserve"> at 75</w:t>
      </w:r>
      <w:r w:rsidR="008201A2">
        <w:t>26-</w:t>
      </w:r>
      <w:r w:rsidR="002721D3">
        <w:t>27,</w:t>
      </w:r>
      <w:r>
        <w:t xml:space="preserve"> para. 25.</w:t>
      </w:r>
    </w:p>
  </w:footnote>
  <w:footnote w:id="60">
    <w:p w:rsidR="00CD34B9" w14:paraId="31BD244B" w14:textId="77777777">
      <w:pPr>
        <w:pStyle w:val="FootnoteText"/>
      </w:pPr>
      <w:r>
        <w:rPr>
          <w:rStyle w:val="FootnoteReference"/>
        </w:rPr>
        <w:footnoteRef/>
      </w:r>
      <w:r>
        <w:t xml:space="preserve"> CenturyLink Opposition at 5.</w:t>
      </w:r>
    </w:p>
  </w:footnote>
  <w:footnote w:id="61">
    <w:p w:rsidR="00CD34B9" w14:paraId="40261043" w14:textId="77777777">
      <w:pPr>
        <w:pStyle w:val="FootnoteText"/>
      </w:pPr>
      <w:r>
        <w:rPr>
          <w:rStyle w:val="FootnoteReference"/>
        </w:rPr>
        <w:footnoteRef/>
      </w:r>
      <w:r>
        <w:t xml:space="preserve"> </w:t>
      </w:r>
      <w:r w:rsidR="00FE460E">
        <w:t>SDN Direct Case at 5</w:t>
      </w:r>
      <w:r>
        <w:t>.</w:t>
      </w:r>
    </w:p>
  </w:footnote>
  <w:footnote w:id="62">
    <w:p w:rsidR="00CD34B9" w14:paraId="0F4AAAF7" w14:textId="7F014264">
      <w:pPr>
        <w:pStyle w:val="FootnoteText"/>
      </w:pPr>
      <w:r>
        <w:rPr>
          <w:rStyle w:val="FootnoteReference"/>
        </w:rPr>
        <w:footnoteRef/>
      </w:r>
      <w:r>
        <w:t xml:space="preserve"> </w:t>
      </w:r>
      <w:r w:rsidR="0062099B">
        <w:rPr>
          <w:i/>
        </w:rPr>
        <w:t>Id</w:t>
      </w:r>
      <w:r w:rsidR="0062099B">
        <w:t>.</w:t>
      </w:r>
      <w:r w:rsidR="002C6C04">
        <w:t xml:space="preserve"> at </w:t>
      </w:r>
      <w:r w:rsidR="008201A2">
        <w:t>6-8</w:t>
      </w:r>
      <w:r w:rsidR="006B4A8D">
        <w:t xml:space="preserve">; SDN Feb. 6 </w:t>
      </w:r>
      <w:r w:rsidRPr="00DB1B21" w:rsidR="006B4A8D">
        <w:rPr>
          <w:i/>
        </w:rPr>
        <w:t>Ex Parte</w:t>
      </w:r>
      <w:r w:rsidR="006B4A8D">
        <w:t xml:space="preserve"> at 1-2</w:t>
      </w:r>
      <w:r w:rsidR="00BC3714">
        <w:t xml:space="preserve">; SDN Feb. 13 </w:t>
      </w:r>
      <w:r w:rsidRPr="00932522" w:rsidR="00BC3714">
        <w:rPr>
          <w:i/>
        </w:rPr>
        <w:t>Ex Parte</w:t>
      </w:r>
      <w:r w:rsidR="00BC3714">
        <w:t xml:space="preserve"> at 1</w:t>
      </w:r>
      <w:r w:rsidR="002C6C04">
        <w:t>.</w:t>
      </w:r>
      <w:r w:rsidR="00D66FF2">
        <w:t xml:space="preserve">  </w:t>
      </w:r>
      <w:bookmarkStart w:id="11" w:name="_Hlk2000379"/>
    </w:p>
    <w:bookmarkEnd w:id="11"/>
  </w:footnote>
  <w:footnote w:id="63">
    <w:p w:rsidR="00CD34B9" w14:paraId="3E8D8A4A" w14:textId="40FEE6BD">
      <w:pPr>
        <w:pStyle w:val="FootnoteText"/>
      </w:pPr>
      <w:r>
        <w:rPr>
          <w:rStyle w:val="FootnoteReference"/>
        </w:rPr>
        <w:footnoteRef/>
      </w:r>
      <w:r>
        <w:t xml:space="preserve"> </w:t>
      </w:r>
      <w:r w:rsidR="002C6C04">
        <w:t>CenturyLink Opposition at 5.</w:t>
      </w:r>
      <w:r w:rsidR="002D6603">
        <w:t xml:space="preserve">  </w:t>
      </w:r>
    </w:p>
  </w:footnote>
  <w:footnote w:id="64">
    <w:p w:rsidR="00CD34B9" w:rsidP="00D326E5" w14:paraId="56FF1A70" w14:textId="067C0A04">
      <w:pPr>
        <w:pStyle w:val="FootnoteText"/>
      </w:pPr>
      <w:r>
        <w:rPr>
          <w:rStyle w:val="FootnoteReference"/>
        </w:rPr>
        <w:footnoteRef/>
      </w:r>
      <w:r>
        <w:t xml:space="preserve"> SDN </w:t>
      </w:r>
      <w:r w:rsidRPr="00A82566">
        <w:rPr>
          <w:i/>
        </w:rPr>
        <w:t>Ex Parte</w:t>
      </w:r>
      <w:r>
        <w:t xml:space="preserve"> at 6</w:t>
      </w:r>
      <w:r w:rsidR="006B4A8D">
        <w:t xml:space="preserve">; SDN Feb. 6 </w:t>
      </w:r>
      <w:r w:rsidRPr="00DB1B21" w:rsidR="006B4A8D">
        <w:rPr>
          <w:i/>
        </w:rPr>
        <w:t>Ex Parte</w:t>
      </w:r>
      <w:r w:rsidR="006B4A8D">
        <w:t xml:space="preserve"> at 2.</w:t>
      </w:r>
      <w:r>
        <w:t xml:space="preserve">  </w:t>
      </w:r>
    </w:p>
  </w:footnote>
  <w:footnote w:id="65">
    <w:p w:rsidR="00CD34B9" w14:paraId="13A62790" w14:textId="77777777">
      <w:pPr>
        <w:pStyle w:val="FootnoteText"/>
      </w:pPr>
      <w:r>
        <w:rPr>
          <w:rStyle w:val="FootnoteReference"/>
        </w:rPr>
        <w:footnoteRef/>
      </w:r>
      <w:r>
        <w:t xml:space="preserve"> CenturyLink Opposition at 5, nn.13, 15 (“Nor is there any record suggesting that CenturyLink would not charge these same rates for performing these [equal access] functions itself in SDN’s stead, for traffic originati</w:t>
      </w:r>
      <w:r w:rsidR="00507670">
        <w:t>ng</w:t>
      </w:r>
      <w:r>
        <w:t xml:space="preserve"> from the ILECs currently subtending SDN.”).</w:t>
      </w:r>
    </w:p>
  </w:footnote>
  <w:footnote w:id="66">
    <w:p w:rsidR="00543696" w:rsidRPr="000042CB" w:rsidP="00543696" w14:paraId="7795AC1A" w14:textId="6E5CFA6D">
      <w:pPr>
        <w:pStyle w:val="FootnoteText"/>
      </w:pPr>
      <w:r>
        <w:rPr>
          <w:rStyle w:val="FootnoteReference"/>
          <w:rFonts w:eastAsiaTheme="minorEastAsia"/>
        </w:rPr>
        <w:footnoteRef/>
      </w:r>
      <w:r>
        <w:t xml:space="preserve"> </w:t>
      </w:r>
      <w:bookmarkStart w:id="12" w:name="_Hlk1992848"/>
      <w:r>
        <w:rPr>
          <w:i/>
        </w:rPr>
        <w:t>Aureon</w:t>
      </w:r>
      <w:r>
        <w:rPr>
          <w:i/>
        </w:rPr>
        <w:t xml:space="preserve"> Tariff Investigation Order</w:t>
      </w:r>
      <w:r>
        <w:t xml:space="preserve">, 33 FCC </w:t>
      </w:r>
      <w:r>
        <w:t>Rcd</w:t>
      </w:r>
      <w:r>
        <w:t xml:space="preserve"> at </w:t>
      </w:r>
      <w:r w:rsidR="005534AC">
        <w:t>7528,</w:t>
      </w:r>
      <w:r>
        <w:t xml:space="preserve"> para. 28.</w:t>
      </w:r>
      <w:bookmarkEnd w:id="12"/>
      <w:r w:rsidR="000042CB">
        <w:t xml:space="preserve">  </w:t>
      </w:r>
      <w:r w:rsidRPr="001037B9" w:rsidR="000042CB">
        <w:rPr>
          <w:iCs/>
        </w:rPr>
        <w:t>For the same reason, we find unavailing the two declarations that SDN recently filed in support of its claim that CenturyLink would not provide centralized equal access to SDN’s subtending LECs.  </w:t>
      </w:r>
      <w:r w:rsidRPr="00644036" w:rsidR="000042CB">
        <w:rPr>
          <w:i/>
          <w:iCs/>
        </w:rPr>
        <w:t>See</w:t>
      </w:r>
      <w:r w:rsidRPr="001037B9" w:rsidR="000042CB">
        <w:rPr>
          <w:iCs/>
        </w:rPr>
        <w:t xml:space="preserve"> SDN Feb. 13 </w:t>
      </w:r>
      <w:r w:rsidRPr="00644036" w:rsidR="000042CB">
        <w:rPr>
          <w:i/>
          <w:iCs/>
        </w:rPr>
        <w:t>Ex Parte</w:t>
      </w:r>
      <w:r w:rsidRPr="001037B9" w:rsidR="000042CB">
        <w:rPr>
          <w:iCs/>
        </w:rPr>
        <w:t>, Declaration of Larry Thompson; Declaration of Joseph Neubauer.</w:t>
      </w:r>
    </w:p>
  </w:footnote>
  <w:footnote w:id="67">
    <w:p w:rsidR="00CD34B9" w14:paraId="68486FDD" w14:textId="77777777">
      <w:pPr>
        <w:pStyle w:val="FootnoteText"/>
      </w:pPr>
      <w:r>
        <w:rPr>
          <w:rStyle w:val="FootnoteReference"/>
        </w:rPr>
        <w:footnoteRef/>
      </w:r>
      <w:r>
        <w:t xml:space="preserve"> The question of whether SDN’s subtending LECs are charging for equal access services is beyond the scope of this proceeding.</w:t>
      </w:r>
    </w:p>
  </w:footnote>
  <w:footnote w:id="68">
    <w:p w:rsidR="00CD34B9" w14:paraId="3DF86619" w14:textId="56AB3F2A">
      <w:pPr>
        <w:pStyle w:val="FootnoteText"/>
      </w:pPr>
      <w:r>
        <w:rPr>
          <w:rStyle w:val="FootnoteReference"/>
        </w:rPr>
        <w:footnoteRef/>
      </w:r>
      <w:r>
        <w:t xml:space="preserve"> </w:t>
      </w:r>
      <w:r w:rsidRPr="00C65F50">
        <w:t xml:space="preserve">SDN </w:t>
      </w:r>
      <w:r w:rsidRPr="00C65F50" w:rsidR="00C65F50">
        <w:t>Direct Case</w:t>
      </w:r>
      <w:r w:rsidRPr="00C65F50">
        <w:t xml:space="preserve"> at 6</w:t>
      </w:r>
      <w:r w:rsidRPr="00C65F50" w:rsidR="00C65F50">
        <w:t xml:space="preserve"> (emphasis in original)</w:t>
      </w:r>
      <w:r w:rsidRPr="00C65F50">
        <w:t>.</w:t>
      </w:r>
    </w:p>
  </w:footnote>
  <w:footnote w:id="69">
    <w:p w:rsidR="00CD34B9" w14:paraId="7D71ADBC" w14:textId="77777777">
      <w:pPr>
        <w:pStyle w:val="FootnoteText"/>
      </w:pPr>
      <w:r w:rsidRPr="00C65F50">
        <w:rPr>
          <w:rStyle w:val="FootnoteReference"/>
        </w:rPr>
        <w:footnoteRef/>
      </w:r>
      <w:r w:rsidRPr="00C65F50">
        <w:t xml:space="preserve"> </w:t>
      </w:r>
      <w:r w:rsidR="0062099B">
        <w:rPr>
          <w:i/>
        </w:rPr>
        <w:t>Id</w:t>
      </w:r>
      <w:r w:rsidRPr="00C65F50">
        <w:t>.</w:t>
      </w:r>
    </w:p>
  </w:footnote>
  <w:footnote w:id="70">
    <w:p w:rsidR="00CD34B9" w14:paraId="0D2311A4" w14:textId="77777777">
      <w:pPr>
        <w:pStyle w:val="FootnoteText"/>
      </w:pPr>
      <w:r>
        <w:rPr>
          <w:rStyle w:val="FootnoteReference"/>
        </w:rPr>
        <w:footnoteRef/>
      </w:r>
      <w:r>
        <w:t xml:space="preserve"> </w:t>
      </w:r>
      <w:r w:rsidR="00781CB1">
        <w:rPr>
          <w:i/>
        </w:rPr>
        <w:t>Id</w:t>
      </w:r>
      <w:r w:rsidR="00781CB1">
        <w:t>. at 7.</w:t>
      </w:r>
    </w:p>
  </w:footnote>
  <w:footnote w:id="71">
    <w:p w:rsidR="00CD34B9" w14:paraId="15687C4D" w14:textId="77777777">
      <w:pPr>
        <w:pStyle w:val="FootnoteText"/>
      </w:pPr>
      <w:r>
        <w:rPr>
          <w:rStyle w:val="FootnoteReference"/>
        </w:rPr>
        <w:footnoteRef/>
      </w:r>
      <w:r>
        <w:t xml:space="preserve"> </w:t>
      </w:r>
      <w:r w:rsidR="0062099B">
        <w:rPr>
          <w:i/>
        </w:rPr>
        <w:t>Id</w:t>
      </w:r>
      <w:r w:rsidR="0062099B">
        <w:t>.</w:t>
      </w:r>
      <w:r w:rsidR="006212DB">
        <w:t xml:space="preserve"> at 12-13.</w:t>
      </w:r>
    </w:p>
  </w:footnote>
  <w:footnote w:id="72">
    <w:p w:rsidR="00CD34B9" w:rsidP="00F574DA" w14:paraId="64754088" w14:textId="706A766A">
      <w:pPr>
        <w:pStyle w:val="FootnoteText"/>
      </w:pPr>
      <w:r>
        <w:rPr>
          <w:rStyle w:val="FootnoteReference"/>
        </w:rPr>
        <w:footnoteRef/>
      </w:r>
      <w:r>
        <w:t xml:space="preserve"> </w:t>
      </w:r>
      <w:bookmarkStart w:id="13" w:name="_Hlk173476"/>
      <w:r w:rsidR="006212DB">
        <w:rPr>
          <w:i/>
        </w:rPr>
        <w:t>Id</w:t>
      </w:r>
      <w:r w:rsidR="006212DB">
        <w:t>.</w:t>
      </w:r>
      <w:r>
        <w:t xml:space="preserve"> at 13, n.39 (</w:t>
      </w:r>
      <w:r w:rsidRPr="00DB1B21">
        <w:t>citing</w:t>
      </w:r>
      <w:r>
        <w:t xml:space="preserve"> NECA Tariff F.C.C. No. 5, </w:t>
      </w:r>
      <w:r w:rsidR="008201A2">
        <w:t xml:space="preserve">pp. </w:t>
      </w:r>
      <w:r>
        <w:t>6.32, 6.32.1).</w:t>
      </w:r>
      <w:bookmarkEnd w:id="13"/>
    </w:p>
  </w:footnote>
  <w:footnote w:id="73">
    <w:p w:rsidR="00CD34B9" w:rsidP="00F574DA" w14:paraId="013981D8" w14:textId="77777777">
      <w:pPr>
        <w:pStyle w:val="FootnoteText"/>
      </w:pPr>
      <w:r>
        <w:rPr>
          <w:rStyle w:val="FootnoteReference"/>
        </w:rPr>
        <w:footnoteRef/>
      </w:r>
      <w:r>
        <w:t xml:space="preserve"> </w:t>
      </w:r>
      <w:r w:rsidR="006212DB">
        <w:rPr>
          <w:i/>
        </w:rPr>
        <w:t>Id</w:t>
      </w:r>
      <w:r w:rsidR="006212DB">
        <w:t>.</w:t>
      </w:r>
      <w:r>
        <w:t xml:space="preserve"> at 12-13.</w:t>
      </w:r>
    </w:p>
  </w:footnote>
  <w:footnote w:id="74">
    <w:p w:rsidR="00CD34B9" w:rsidP="00F574DA" w14:paraId="1636E62E" w14:textId="77777777">
      <w:pPr>
        <w:pStyle w:val="FootnoteText"/>
      </w:pPr>
      <w:r w:rsidRPr="005372B2">
        <w:rPr>
          <w:rStyle w:val="FootnoteReference"/>
        </w:rPr>
        <w:footnoteRef/>
      </w:r>
      <w:r w:rsidRPr="005372B2">
        <w:t xml:space="preserve"> SDN Reply at 4</w:t>
      </w:r>
      <w:r>
        <w:t>; SDN Direct Case at 12-13</w:t>
      </w:r>
      <w:r w:rsidRPr="005372B2">
        <w:t>.</w:t>
      </w:r>
    </w:p>
  </w:footnote>
  <w:footnote w:id="75">
    <w:p w:rsidR="00CD34B9" w14:paraId="53293AB8" w14:textId="77777777">
      <w:pPr>
        <w:pStyle w:val="FootnoteText"/>
      </w:pPr>
      <w:r>
        <w:rPr>
          <w:rStyle w:val="FootnoteReference"/>
        </w:rPr>
        <w:footnoteRef/>
      </w:r>
      <w:r>
        <w:t xml:space="preserve"> </w:t>
      </w:r>
      <w:r w:rsidR="00D52E34">
        <w:t xml:space="preserve">SDN </w:t>
      </w:r>
      <w:r>
        <w:t xml:space="preserve">Direct </w:t>
      </w:r>
      <w:r w:rsidR="00D52E34">
        <w:t>C</w:t>
      </w:r>
      <w:r>
        <w:t>ase at 1</w:t>
      </w:r>
      <w:r w:rsidR="00D52E34">
        <w:t>4.</w:t>
      </w:r>
    </w:p>
  </w:footnote>
  <w:footnote w:id="76">
    <w:p w:rsidR="00CD34B9" w:rsidP="00D4038B" w14:paraId="6FBE792C" w14:textId="77777777">
      <w:pPr>
        <w:pStyle w:val="FootnoteText"/>
      </w:pPr>
      <w:r>
        <w:rPr>
          <w:rStyle w:val="FootnoteReference"/>
        </w:rPr>
        <w:footnoteRef/>
      </w:r>
      <w:r>
        <w:t xml:space="preserve"> </w:t>
      </w:r>
      <w:r w:rsidRPr="00673FFD">
        <w:rPr>
          <w:i/>
        </w:rPr>
        <w:t>SDN Designation Order</w:t>
      </w:r>
      <w:r>
        <w:t xml:space="preserve"> at 7, para. 15.</w:t>
      </w:r>
    </w:p>
  </w:footnote>
  <w:footnote w:id="77">
    <w:p w:rsidR="00CD34B9" w:rsidP="00D4038B" w14:paraId="793B8AB6" w14:textId="3F4DBE4E">
      <w:pPr>
        <w:pStyle w:val="FootnoteText"/>
      </w:pPr>
      <w:r>
        <w:rPr>
          <w:rStyle w:val="FootnoteReference"/>
        </w:rPr>
        <w:footnoteRef/>
      </w:r>
      <w:r>
        <w:t xml:space="preserve"> SDN Direct Case at 1</w:t>
      </w:r>
      <w:r w:rsidR="008201A2">
        <w:t>1</w:t>
      </w:r>
      <w:r>
        <w:t>.</w:t>
      </w:r>
    </w:p>
  </w:footnote>
  <w:footnote w:id="78">
    <w:p w:rsidR="00CD34B9" w14:paraId="7C456086" w14:textId="77777777">
      <w:pPr>
        <w:pStyle w:val="FootnoteText"/>
      </w:pPr>
      <w:r>
        <w:rPr>
          <w:rStyle w:val="FootnoteReference"/>
        </w:rPr>
        <w:footnoteRef/>
      </w:r>
      <w:r>
        <w:t xml:space="preserve"> JVCTC and NVC Opposition at 5-7.  </w:t>
      </w:r>
    </w:p>
  </w:footnote>
  <w:footnote w:id="79">
    <w:p w:rsidR="00CD34B9" w:rsidP="00D4038B" w14:paraId="0C94F0FD" w14:textId="2042A25E">
      <w:pPr>
        <w:pStyle w:val="FootnoteText"/>
      </w:pPr>
      <w:r w:rsidRPr="005372B2">
        <w:rPr>
          <w:rStyle w:val="FootnoteReference"/>
        </w:rPr>
        <w:footnoteRef/>
      </w:r>
      <w:r w:rsidRPr="005372B2">
        <w:t xml:space="preserve"> </w:t>
      </w:r>
      <w:bookmarkStart w:id="14" w:name="_Hlk532818450"/>
      <w:r w:rsidR="001D6212">
        <w:rPr>
          <w:i/>
        </w:rPr>
        <w:t>Id</w:t>
      </w:r>
      <w:r w:rsidR="001D6212">
        <w:t>.</w:t>
      </w:r>
      <w:r w:rsidR="0062099B">
        <w:t xml:space="preserve"> at 5; </w:t>
      </w:r>
      <w:r w:rsidR="0062099B">
        <w:rPr>
          <w:i/>
        </w:rPr>
        <w:t xml:space="preserve">see also </w:t>
      </w:r>
      <w:r w:rsidRPr="005372B2">
        <w:t>SDN Description and Justification at 3</w:t>
      </w:r>
      <w:bookmarkEnd w:id="14"/>
      <w:r w:rsidRPr="005372B2">
        <w:t>.</w:t>
      </w:r>
    </w:p>
  </w:footnote>
  <w:footnote w:id="80">
    <w:p w:rsidR="00CD34B9" w:rsidP="00D4038B" w14:paraId="48EDDA93" w14:textId="77777777">
      <w:pPr>
        <w:pStyle w:val="FootnoteText"/>
      </w:pPr>
      <w:r>
        <w:rPr>
          <w:rStyle w:val="FootnoteReference"/>
        </w:rPr>
        <w:footnoteRef/>
      </w:r>
      <w:r>
        <w:t xml:space="preserve"> </w:t>
      </w:r>
      <w:r w:rsidR="0062099B">
        <w:t xml:space="preserve">JVCTC and NVC Opposition at 6; </w:t>
      </w:r>
      <w:r w:rsidR="0062099B">
        <w:rPr>
          <w:i/>
        </w:rPr>
        <w:t xml:space="preserve">see also </w:t>
      </w:r>
      <w:r>
        <w:t xml:space="preserve">NECA Tariff F.C.C. No. 5, pp. 17-11, 17-11.1.    </w:t>
      </w:r>
    </w:p>
  </w:footnote>
  <w:footnote w:id="81">
    <w:p w:rsidR="00CD34B9" w:rsidP="00D4038B" w14:paraId="67E709E0" w14:textId="705CFBF4">
      <w:pPr>
        <w:pStyle w:val="FootnoteText"/>
      </w:pPr>
      <w:r>
        <w:rPr>
          <w:rStyle w:val="FootnoteReference"/>
        </w:rPr>
        <w:footnoteRef/>
      </w:r>
      <w:r>
        <w:t xml:space="preserve"> SDN Direct Case at 18.  SDN suggests that because its traffic is balanced, its rate is reasonable because ratemaking “’is not an exact science’” and “courts evaluate whether the ‘</w:t>
      </w:r>
      <w:r>
        <w:t>end result</w:t>
      </w:r>
      <w:r>
        <w:t>’ of a particular regulatory scheme results in rates that are within a ‘zone of reasonableness.’” (</w:t>
      </w:r>
      <w:r w:rsidRPr="00DB1B21">
        <w:t>citing</w:t>
      </w:r>
      <w:r>
        <w:t xml:space="preserve"> </w:t>
      </w:r>
      <w:r w:rsidRPr="00ED5861">
        <w:rPr>
          <w:i/>
        </w:rPr>
        <w:t>In</w:t>
      </w:r>
      <w:r w:rsidRPr="00ED5861">
        <w:rPr>
          <w:i/>
        </w:rPr>
        <w:t xml:space="preserve"> re: Implementation of Sections of the Cable Television Consumer Protection and Competition Act of 1992</w:t>
      </w:r>
      <w:r>
        <w:t xml:space="preserve">, 9 FCC </w:t>
      </w:r>
      <w:r>
        <w:t>Rcd</w:t>
      </w:r>
      <w:r>
        <w:t xml:space="preserve"> 4119 </w:t>
      </w:r>
      <w:r w:rsidR="00BC5180">
        <w:t xml:space="preserve">at </w:t>
      </w:r>
      <w:r>
        <w:t>4193 (1994) (</w:t>
      </w:r>
      <w:r w:rsidRPr="00ED5861">
        <w:rPr>
          <w:i/>
        </w:rPr>
        <w:t>Cable Competition Order</w:t>
      </w:r>
      <w:r>
        <w:t xml:space="preserve">).  </w:t>
      </w:r>
      <w:r w:rsidR="0025122B">
        <w:t>SDN does not</w:t>
      </w:r>
      <w:r>
        <w:t xml:space="preserve">, however, include an explanation of how </w:t>
      </w:r>
      <w:r w:rsidR="0025122B">
        <w:t xml:space="preserve">its </w:t>
      </w:r>
      <w:r>
        <w:t xml:space="preserve">tariffed rate fits into a zone of reasonableness, nor does it suggest what such a reasonable zone might be. </w:t>
      </w:r>
      <w:r w:rsidR="00DB34B5">
        <w:t xml:space="preserve"> </w:t>
      </w:r>
      <w:r w:rsidR="0025122B">
        <w:t xml:space="preserve">Moreover, SDN’s </w:t>
      </w:r>
      <w:r w:rsidRPr="00D44F30" w:rsidR="00DB34B5">
        <w:t xml:space="preserve">suggestion also is inconsistent </w:t>
      </w:r>
      <w:r w:rsidRPr="00B10C24" w:rsidR="00DB34B5">
        <w:t>with the Commission’</w:t>
      </w:r>
      <w:r w:rsidRPr="00D44F30" w:rsidR="00DB34B5">
        <w:t>s purpose in using a benchmark rate here.</w:t>
      </w:r>
      <w:r w:rsidR="00DB34B5">
        <w:t xml:space="preserve"> </w:t>
      </w:r>
      <w:r>
        <w:t xml:space="preserve"> </w:t>
      </w:r>
      <w:r w:rsidR="0025122B">
        <w:t>A</w:t>
      </w:r>
      <w:r>
        <w:t xml:space="preserve">s JVCTC and NVC observe, “the </w:t>
      </w:r>
      <w:r w:rsidRPr="00ED5861">
        <w:rPr>
          <w:i/>
        </w:rPr>
        <w:t>Cable Competition Order</w:t>
      </w:r>
      <w:r>
        <w:t xml:space="preserve"> does not support the notion that a carrier, like SDN, can take a ‘close enough’ approach to justifying its proposed tariff rates.</w:t>
      </w:r>
      <w:r w:rsidR="00DB34B5">
        <w:t>”</w:t>
      </w:r>
      <w:r>
        <w:t xml:space="preserve">  Contrary to SDN’s argument, the </w:t>
      </w:r>
      <w:r w:rsidRPr="00910B8F">
        <w:rPr>
          <w:i/>
        </w:rPr>
        <w:t>Cable Competition Order</w:t>
      </w:r>
      <w:r>
        <w:t xml:space="preserve"> addresses the Commission’s authority</w:t>
      </w:r>
      <w:r w:rsidR="008201A2">
        <w:t xml:space="preserve"> </w:t>
      </w:r>
      <w:r w:rsidR="008201A2">
        <w:rPr>
          <w:sz w:val="22"/>
          <w:szCs w:val="22"/>
        </w:rPr>
        <w:t xml:space="preserve">– </w:t>
      </w:r>
      <w:r w:rsidRPr="00ED5861">
        <w:rPr>
          <w:i/>
        </w:rPr>
        <w:t>not</w:t>
      </w:r>
      <w:r>
        <w:t xml:space="preserve"> a commercial carrier’s authority</w:t>
      </w:r>
      <w:r w:rsidR="008201A2">
        <w:t xml:space="preserve"> </w:t>
      </w:r>
      <w:r w:rsidR="008201A2">
        <w:rPr>
          <w:sz w:val="22"/>
          <w:szCs w:val="22"/>
        </w:rPr>
        <w:t xml:space="preserve">– </w:t>
      </w:r>
      <w:r>
        <w:t xml:space="preserve">to set rates.  According to the Commission, the ‘zone of reasonableness’ standard is one applied to </w:t>
      </w:r>
      <w:r w:rsidRPr="00910B8F">
        <w:rPr>
          <w:i/>
        </w:rPr>
        <w:t>regulatory agencies</w:t>
      </w:r>
      <w:r>
        <w:t xml:space="preserve">, </w:t>
      </w:r>
      <w:r w:rsidRPr="00910B8F">
        <w:rPr>
          <w:i/>
        </w:rPr>
        <w:t>not regulated parties</w:t>
      </w:r>
      <w:r>
        <w:t xml:space="preserve">, as they propose future rates </w:t>
      </w:r>
      <w:r>
        <w:t>. . . .</w:t>
      </w:r>
      <w:r>
        <w:t>”  JVCTC and NVC Opposition at 9 (emphasis in original).  SDN’s suggestion does not support its inclusion of an end office equal access component in its terminating tandem switching access rates.</w:t>
      </w:r>
    </w:p>
  </w:footnote>
  <w:footnote w:id="82">
    <w:p w:rsidR="00CD34B9" w:rsidP="00D4038B" w14:paraId="2572B35D" w14:textId="77777777">
      <w:pPr>
        <w:pStyle w:val="FootnoteText"/>
      </w:pPr>
      <w:r>
        <w:rPr>
          <w:rStyle w:val="FootnoteReference"/>
        </w:rPr>
        <w:footnoteRef/>
      </w:r>
      <w:r>
        <w:t xml:space="preserve"> SDN Direct Case at 19.  </w:t>
      </w:r>
    </w:p>
  </w:footnote>
  <w:footnote w:id="83">
    <w:p w:rsidR="00CD34B9" w:rsidP="00D4038B" w14:paraId="3C57BA39" w14:textId="763888C1">
      <w:pPr>
        <w:pStyle w:val="FootnoteText"/>
      </w:pPr>
      <w:r>
        <w:rPr>
          <w:rStyle w:val="FootnoteReference"/>
        </w:rPr>
        <w:footnoteRef/>
      </w:r>
      <w:r>
        <w:t xml:space="preserve"> SDN Description and Justification at 3.  JVCTC and NVC also claim that “SDN’s switching and billing equipment already distinguishes between originating and terminating traffic because the subtending LECs</w:t>
      </w:r>
      <w:r w:rsidR="008201A2">
        <w:t xml:space="preserve"> </w:t>
      </w:r>
      <w:r w:rsidR="008201A2">
        <w:rPr>
          <w:sz w:val="22"/>
          <w:szCs w:val="22"/>
        </w:rPr>
        <w:t xml:space="preserve">– </w:t>
      </w:r>
      <w:r>
        <w:t>each of which rely on SDN’s records to render their access bills</w:t>
      </w:r>
      <w:r w:rsidR="008201A2">
        <w:t xml:space="preserve"> </w:t>
      </w:r>
      <w:r w:rsidR="008201A2">
        <w:rPr>
          <w:sz w:val="22"/>
          <w:szCs w:val="22"/>
        </w:rPr>
        <w:t xml:space="preserve">– </w:t>
      </w:r>
      <w:r>
        <w:t>had to begin billing different rates for originating and terminating traffic many years ago.  This perhaps explains why SDN offers nothing to substantiate its representation that billing two distinct rates would result in any material cost increases for SDN.”  JVCTC and NVC Opposition at 8.</w:t>
      </w:r>
    </w:p>
  </w:footnote>
  <w:footnote w:id="84">
    <w:p w:rsidR="00CD34B9" w14:paraId="0C8FE278" w14:textId="77777777">
      <w:pPr>
        <w:pStyle w:val="FootnoteText"/>
      </w:pPr>
      <w:r>
        <w:rPr>
          <w:rStyle w:val="FootnoteReference"/>
        </w:rPr>
        <w:footnoteRef/>
      </w:r>
      <w:r>
        <w:t xml:space="preserve"> </w:t>
      </w:r>
      <w:r>
        <w:rPr>
          <w:i/>
        </w:rPr>
        <w:t>See</w:t>
      </w:r>
      <w:r>
        <w:t xml:space="preserve"> SDN Description and Justification at 2.</w:t>
      </w:r>
      <w:r w:rsidR="00953B41">
        <w:t xml:space="preserve">  SDN </w:t>
      </w:r>
      <w:r w:rsidR="009D2233">
        <w:t xml:space="preserve">claims that “arguments regarding tandem transport” that were raised in the </w:t>
      </w:r>
      <w:r w:rsidRPr="00151B3F" w:rsidR="009D2233">
        <w:rPr>
          <w:i/>
        </w:rPr>
        <w:t>Aureon</w:t>
      </w:r>
      <w:r w:rsidRPr="00151B3F" w:rsidR="009D2233">
        <w:rPr>
          <w:i/>
        </w:rPr>
        <w:t xml:space="preserve"> Tariff Investigation Order</w:t>
      </w:r>
      <w:r w:rsidR="009D2233">
        <w:t xml:space="preserve"> do not apply here because SDN does not provide transport.  SDN Direct Case at 10-11 (</w:t>
      </w:r>
      <w:r w:rsidRPr="00DB1B21" w:rsidR="009D2233">
        <w:t>citing</w:t>
      </w:r>
      <w:r w:rsidR="009D2233">
        <w:t xml:space="preserve"> </w:t>
      </w:r>
      <w:r w:rsidRPr="00151B3F" w:rsidR="009D2233">
        <w:rPr>
          <w:i/>
        </w:rPr>
        <w:t>Aureon</w:t>
      </w:r>
      <w:r w:rsidRPr="00151B3F" w:rsidR="009D2233">
        <w:rPr>
          <w:i/>
        </w:rPr>
        <w:t xml:space="preserve"> Tariff Investigation Order</w:t>
      </w:r>
      <w:r w:rsidR="009D2233">
        <w:t xml:space="preserve">, 33 FCC </w:t>
      </w:r>
      <w:r w:rsidR="009D2233">
        <w:t>Rcd</w:t>
      </w:r>
      <w:r w:rsidR="009D2233">
        <w:t xml:space="preserve"> at 7527, para. 26</w:t>
      </w:r>
      <w:r w:rsidR="00711F32">
        <w:t>)</w:t>
      </w:r>
      <w:r w:rsidR="009D2233">
        <w:t>.  Although it is not clear what transport arguments SDN is referring to, we not</w:t>
      </w:r>
      <w:r w:rsidR="007550C7">
        <w:t>e</w:t>
      </w:r>
      <w:r w:rsidR="009D2233">
        <w:t xml:space="preserve"> that the benchmark we adopt does not include transport.</w:t>
      </w:r>
    </w:p>
  </w:footnote>
  <w:footnote w:id="85">
    <w:p w:rsidR="00CD34B9" w14:paraId="06EFCD32" w14:textId="77777777">
      <w:pPr>
        <w:pStyle w:val="FootnoteText"/>
      </w:pPr>
      <w:r>
        <w:rPr>
          <w:rStyle w:val="FootnoteReference"/>
        </w:rPr>
        <w:footnoteRef/>
      </w:r>
      <w:r>
        <w:t xml:space="preserve"> CenturyLink Opposition at 5 (emphasis in original, footnote omitted).</w:t>
      </w:r>
    </w:p>
  </w:footnote>
  <w:footnote w:id="86">
    <w:p w:rsidR="00CD34B9" w:rsidP="00DD2D0D" w14:paraId="389FA219" w14:textId="77777777">
      <w:pPr>
        <w:pStyle w:val="FootnoteText"/>
      </w:pPr>
      <w:r>
        <w:rPr>
          <w:rStyle w:val="FootnoteReference"/>
        </w:rPr>
        <w:footnoteRef/>
      </w:r>
      <w:r>
        <w:t xml:space="preserve"> </w:t>
      </w:r>
      <w:r w:rsidRPr="005A5A55">
        <w:t>47 CFR § 51.911(c).</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1C4E" w:rsidP="00A90E69" w14:paraId="0F2492C6" w14:textId="20E5D94E">
    <w:pPr>
      <w:pStyle w:val="Heade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tab/>
      <w:t>Federal Communications Commission</w:t>
    </w:r>
    <w:r>
      <w:tab/>
    </w:r>
    <w:r>
      <w:rPr>
        <w:spacing w:val="-2"/>
      </w:rPr>
      <w:t>FCC 19-</w:t>
    </w:r>
    <w:r w:rsidR="009D0CC7">
      <w:rPr>
        <w:spacing w:val="-2"/>
      </w:rPr>
      <w:t>15</w:t>
    </w:r>
  </w:p>
  <w:p w:rsidR="00C51C4E" w14:paraId="091F7AF1" w14:textId="402A47AF">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C51C4E" w14:paraId="17BC2E3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1C4E" w:rsidP="00A90E69" w14:paraId="2E4299EE" w14:textId="3C7283E8">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19-</w:t>
    </w:r>
    <w:r w:rsidR="009D0CC7">
      <w:rPr>
        <w:spacing w:val="-2"/>
      </w:rPr>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6434B18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CD66F07"/>
    <w:multiLevelType w:val="multilevel"/>
    <w:tmpl w:val="3D148E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D3F1376"/>
    <w:multiLevelType w:val="hybridMultilevel"/>
    <w:tmpl w:val="926A72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444132BF"/>
    <w:multiLevelType w:val="multilevel"/>
    <w:tmpl w:val="00D43E4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7B4F25"/>
    <w:multiLevelType w:val="multilevel"/>
    <w:tmpl w:val="2312C4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11"/>
  </w:num>
  <w:num w:numId="3">
    <w:abstractNumId w:val="5"/>
  </w:num>
  <w:num w:numId="4">
    <w:abstractNumId w:val="10"/>
  </w:num>
  <w:num w:numId="5">
    <w:abstractNumId w:val="4"/>
  </w:num>
  <w:num w:numId="6">
    <w:abstractNumId w:val="1"/>
  </w:num>
  <w:num w:numId="7">
    <w:abstractNumId w:val="0"/>
  </w:num>
  <w:num w:numId="8">
    <w:abstractNumId w:val="7"/>
  </w:num>
  <w:num w:numId="9">
    <w:abstractNumId w:val="2"/>
  </w:num>
  <w:num w:numId="10">
    <w:abstractNumId w:val="8"/>
  </w:num>
  <w:num w:numId="11">
    <w:abstractNumId w:val="9"/>
  </w:num>
  <w:num w:numId="12">
    <w:abstractNumId w:val="6"/>
  </w:num>
  <w:num w:numId="13">
    <w:abstractNumId w:val="11"/>
    <w:lvlOverride w:ilvl="0">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F1A"/>
    <w:rsid w:val="000008C3"/>
    <w:rsid w:val="00001B82"/>
    <w:rsid w:val="000042CB"/>
    <w:rsid w:val="00005A68"/>
    <w:rsid w:val="0000677F"/>
    <w:rsid w:val="00006A3A"/>
    <w:rsid w:val="0000706E"/>
    <w:rsid w:val="000113A5"/>
    <w:rsid w:val="00011579"/>
    <w:rsid w:val="000166D5"/>
    <w:rsid w:val="00017269"/>
    <w:rsid w:val="00017E96"/>
    <w:rsid w:val="000210D4"/>
    <w:rsid w:val="00023C44"/>
    <w:rsid w:val="0003047B"/>
    <w:rsid w:val="0003079F"/>
    <w:rsid w:val="00032464"/>
    <w:rsid w:val="0003342A"/>
    <w:rsid w:val="000335C9"/>
    <w:rsid w:val="00036039"/>
    <w:rsid w:val="00037465"/>
    <w:rsid w:val="00037F90"/>
    <w:rsid w:val="0004737A"/>
    <w:rsid w:val="000627CD"/>
    <w:rsid w:val="000729DB"/>
    <w:rsid w:val="000737DF"/>
    <w:rsid w:val="00073A7F"/>
    <w:rsid w:val="0007502F"/>
    <w:rsid w:val="000764BE"/>
    <w:rsid w:val="00077090"/>
    <w:rsid w:val="000812B9"/>
    <w:rsid w:val="00081B02"/>
    <w:rsid w:val="000875BF"/>
    <w:rsid w:val="00087AAA"/>
    <w:rsid w:val="00096D8C"/>
    <w:rsid w:val="000A1592"/>
    <w:rsid w:val="000B3B5A"/>
    <w:rsid w:val="000B43DF"/>
    <w:rsid w:val="000B4F9A"/>
    <w:rsid w:val="000C0123"/>
    <w:rsid w:val="000C0B65"/>
    <w:rsid w:val="000C46CF"/>
    <w:rsid w:val="000C4C6E"/>
    <w:rsid w:val="000C4D3C"/>
    <w:rsid w:val="000C4E62"/>
    <w:rsid w:val="000C5C0C"/>
    <w:rsid w:val="000D0561"/>
    <w:rsid w:val="000D4304"/>
    <w:rsid w:val="000D4779"/>
    <w:rsid w:val="000D5585"/>
    <w:rsid w:val="000E05FE"/>
    <w:rsid w:val="000E19FD"/>
    <w:rsid w:val="000E3D25"/>
    <w:rsid w:val="000E3D42"/>
    <w:rsid w:val="000E4C40"/>
    <w:rsid w:val="000F13BF"/>
    <w:rsid w:val="000F1B39"/>
    <w:rsid w:val="00100E30"/>
    <w:rsid w:val="001037B9"/>
    <w:rsid w:val="00104469"/>
    <w:rsid w:val="001143BE"/>
    <w:rsid w:val="00115857"/>
    <w:rsid w:val="00116AC7"/>
    <w:rsid w:val="00117B4B"/>
    <w:rsid w:val="001221D6"/>
    <w:rsid w:val="00122BD5"/>
    <w:rsid w:val="00123286"/>
    <w:rsid w:val="00126DD1"/>
    <w:rsid w:val="00133F79"/>
    <w:rsid w:val="0013495A"/>
    <w:rsid w:val="00135EF6"/>
    <w:rsid w:val="00140582"/>
    <w:rsid w:val="00140AB3"/>
    <w:rsid w:val="00141BD3"/>
    <w:rsid w:val="00144C4E"/>
    <w:rsid w:val="0015002A"/>
    <w:rsid w:val="00150920"/>
    <w:rsid w:val="00150A21"/>
    <w:rsid w:val="00151B3F"/>
    <w:rsid w:val="001535AB"/>
    <w:rsid w:val="001605B6"/>
    <w:rsid w:val="001630AC"/>
    <w:rsid w:val="00171678"/>
    <w:rsid w:val="0017296B"/>
    <w:rsid w:val="00174AB5"/>
    <w:rsid w:val="00180470"/>
    <w:rsid w:val="001814FD"/>
    <w:rsid w:val="0018201B"/>
    <w:rsid w:val="00191A69"/>
    <w:rsid w:val="0019238A"/>
    <w:rsid w:val="00194904"/>
    <w:rsid w:val="00194A66"/>
    <w:rsid w:val="001A3CA3"/>
    <w:rsid w:val="001B494A"/>
    <w:rsid w:val="001B5174"/>
    <w:rsid w:val="001B6AB0"/>
    <w:rsid w:val="001B6DF4"/>
    <w:rsid w:val="001B7B10"/>
    <w:rsid w:val="001C1619"/>
    <w:rsid w:val="001C51FE"/>
    <w:rsid w:val="001C797C"/>
    <w:rsid w:val="001D20D1"/>
    <w:rsid w:val="001D32B5"/>
    <w:rsid w:val="001D4D79"/>
    <w:rsid w:val="001D5DA5"/>
    <w:rsid w:val="001D6212"/>
    <w:rsid w:val="001D6BCF"/>
    <w:rsid w:val="001E01CA"/>
    <w:rsid w:val="001E66C3"/>
    <w:rsid w:val="001F1A3E"/>
    <w:rsid w:val="001F1B4B"/>
    <w:rsid w:val="001F3C06"/>
    <w:rsid w:val="001F3FA2"/>
    <w:rsid w:val="001F515B"/>
    <w:rsid w:val="001F55BB"/>
    <w:rsid w:val="001F55D3"/>
    <w:rsid w:val="001F712B"/>
    <w:rsid w:val="00200ACB"/>
    <w:rsid w:val="00201EDC"/>
    <w:rsid w:val="00204C91"/>
    <w:rsid w:val="00211D37"/>
    <w:rsid w:val="00214A67"/>
    <w:rsid w:val="00223A23"/>
    <w:rsid w:val="00225747"/>
    <w:rsid w:val="002268E0"/>
    <w:rsid w:val="00232057"/>
    <w:rsid w:val="0023264B"/>
    <w:rsid w:val="002330F4"/>
    <w:rsid w:val="0024003D"/>
    <w:rsid w:val="002458B1"/>
    <w:rsid w:val="0025122B"/>
    <w:rsid w:val="00251FA6"/>
    <w:rsid w:val="00253FF9"/>
    <w:rsid w:val="002648AD"/>
    <w:rsid w:val="00265F4F"/>
    <w:rsid w:val="0027177B"/>
    <w:rsid w:val="002721D3"/>
    <w:rsid w:val="002728BC"/>
    <w:rsid w:val="00275CF5"/>
    <w:rsid w:val="002800BD"/>
    <w:rsid w:val="0028301F"/>
    <w:rsid w:val="00285017"/>
    <w:rsid w:val="00290DA0"/>
    <w:rsid w:val="00293E81"/>
    <w:rsid w:val="002A2D2E"/>
    <w:rsid w:val="002A6796"/>
    <w:rsid w:val="002A6A29"/>
    <w:rsid w:val="002A7515"/>
    <w:rsid w:val="002B3674"/>
    <w:rsid w:val="002B4E8A"/>
    <w:rsid w:val="002B6965"/>
    <w:rsid w:val="002B7449"/>
    <w:rsid w:val="002C00E8"/>
    <w:rsid w:val="002C4B10"/>
    <w:rsid w:val="002C605D"/>
    <w:rsid w:val="002C6C04"/>
    <w:rsid w:val="002D6603"/>
    <w:rsid w:val="002E3195"/>
    <w:rsid w:val="002E4908"/>
    <w:rsid w:val="002E5177"/>
    <w:rsid w:val="002E5FC3"/>
    <w:rsid w:val="002F608D"/>
    <w:rsid w:val="002F7EAB"/>
    <w:rsid w:val="003001A3"/>
    <w:rsid w:val="0030174D"/>
    <w:rsid w:val="003024BD"/>
    <w:rsid w:val="00303316"/>
    <w:rsid w:val="003037D7"/>
    <w:rsid w:val="00307B81"/>
    <w:rsid w:val="0031063A"/>
    <w:rsid w:val="00311C55"/>
    <w:rsid w:val="00317D8E"/>
    <w:rsid w:val="00321A7C"/>
    <w:rsid w:val="00330515"/>
    <w:rsid w:val="003336EC"/>
    <w:rsid w:val="003352E6"/>
    <w:rsid w:val="00336B2D"/>
    <w:rsid w:val="00343749"/>
    <w:rsid w:val="00344173"/>
    <w:rsid w:val="00344B80"/>
    <w:rsid w:val="00345CF2"/>
    <w:rsid w:val="0036478B"/>
    <w:rsid w:val="003660ED"/>
    <w:rsid w:val="00367080"/>
    <w:rsid w:val="00370277"/>
    <w:rsid w:val="00374B5E"/>
    <w:rsid w:val="003819D2"/>
    <w:rsid w:val="00381FAE"/>
    <w:rsid w:val="003838B6"/>
    <w:rsid w:val="003851E8"/>
    <w:rsid w:val="003911F0"/>
    <w:rsid w:val="00391BB3"/>
    <w:rsid w:val="00396279"/>
    <w:rsid w:val="003A7680"/>
    <w:rsid w:val="003B0550"/>
    <w:rsid w:val="003B694F"/>
    <w:rsid w:val="003B7C7F"/>
    <w:rsid w:val="003C0340"/>
    <w:rsid w:val="003C054C"/>
    <w:rsid w:val="003C644E"/>
    <w:rsid w:val="003D1A3C"/>
    <w:rsid w:val="003D37E5"/>
    <w:rsid w:val="003D429E"/>
    <w:rsid w:val="003D6792"/>
    <w:rsid w:val="003E1E2D"/>
    <w:rsid w:val="003E1E93"/>
    <w:rsid w:val="003E28FA"/>
    <w:rsid w:val="003F0C75"/>
    <w:rsid w:val="003F1539"/>
    <w:rsid w:val="003F171C"/>
    <w:rsid w:val="003F254C"/>
    <w:rsid w:val="004052D1"/>
    <w:rsid w:val="00412C63"/>
    <w:rsid w:val="00412FC5"/>
    <w:rsid w:val="004176A7"/>
    <w:rsid w:val="0042122C"/>
    <w:rsid w:val="00422276"/>
    <w:rsid w:val="004242F1"/>
    <w:rsid w:val="0042588D"/>
    <w:rsid w:val="004317A7"/>
    <w:rsid w:val="00431856"/>
    <w:rsid w:val="00432308"/>
    <w:rsid w:val="00433B4A"/>
    <w:rsid w:val="00435050"/>
    <w:rsid w:val="0043536A"/>
    <w:rsid w:val="00437392"/>
    <w:rsid w:val="004441F6"/>
    <w:rsid w:val="00444B54"/>
    <w:rsid w:val="00445A00"/>
    <w:rsid w:val="00445E6D"/>
    <w:rsid w:val="00446F11"/>
    <w:rsid w:val="004519AF"/>
    <w:rsid w:val="00451B0F"/>
    <w:rsid w:val="00453800"/>
    <w:rsid w:val="00453815"/>
    <w:rsid w:val="00454388"/>
    <w:rsid w:val="004571CE"/>
    <w:rsid w:val="00474831"/>
    <w:rsid w:val="004756DE"/>
    <w:rsid w:val="004852C6"/>
    <w:rsid w:val="00486A5E"/>
    <w:rsid w:val="00487080"/>
    <w:rsid w:val="00487EAA"/>
    <w:rsid w:val="0049088F"/>
    <w:rsid w:val="00490FF3"/>
    <w:rsid w:val="004916F7"/>
    <w:rsid w:val="00491A9E"/>
    <w:rsid w:val="004931D0"/>
    <w:rsid w:val="00493AFF"/>
    <w:rsid w:val="0049568E"/>
    <w:rsid w:val="004A5624"/>
    <w:rsid w:val="004A5CEA"/>
    <w:rsid w:val="004A6420"/>
    <w:rsid w:val="004A6A43"/>
    <w:rsid w:val="004B4C4F"/>
    <w:rsid w:val="004C0B3F"/>
    <w:rsid w:val="004C2EE3"/>
    <w:rsid w:val="004C71EB"/>
    <w:rsid w:val="004C7653"/>
    <w:rsid w:val="004D0CDB"/>
    <w:rsid w:val="004D204D"/>
    <w:rsid w:val="004D3F1C"/>
    <w:rsid w:val="004D46F8"/>
    <w:rsid w:val="004D7BA7"/>
    <w:rsid w:val="004E03CA"/>
    <w:rsid w:val="004E4A22"/>
    <w:rsid w:val="004F2BE7"/>
    <w:rsid w:val="004F4BE8"/>
    <w:rsid w:val="004F4C87"/>
    <w:rsid w:val="004F710A"/>
    <w:rsid w:val="005030CE"/>
    <w:rsid w:val="005068E4"/>
    <w:rsid w:val="005075D2"/>
    <w:rsid w:val="00507670"/>
    <w:rsid w:val="00511968"/>
    <w:rsid w:val="00513733"/>
    <w:rsid w:val="0051773F"/>
    <w:rsid w:val="0051790C"/>
    <w:rsid w:val="00521397"/>
    <w:rsid w:val="005222D0"/>
    <w:rsid w:val="00522329"/>
    <w:rsid w:val="00522FEE"/>
    <w:rsid w:val="00526E66"/>
    <w:rsid w:val="005308A6"/>
    <w:rsid w:val="00531D6C"/>
    <w:rsid w:val="00532218"/>
    <w:rsid w:val="00533F64"/>
    <w:rsid w:val="00534515"/>
    <w:rsid w:val="00535126"/>
    <w:rsid w:val="005361BC"/>
    <w:rsid w:val="005372B2"/>
    <w:rsid w:val="00537925"/>
    <w:rsid w:val="00541BA8"/>
    <w:rsid w:val="00543696"/>
    <w:rsid w:val="005464DF"/>
    <w:rsid w:val="00550117"/>
    <w:rsid w:val="005534AC"/>
    <w:rsid w:val="00553A49"/>
    <w:rsid w:val="0055614C"/>
    <w:rsid w:val="00560296"/>
    <w:rsid w:val="0056573B"/>
    <w:rsid w:val="00567F2C"/>
    <w:rsid w:val="0057055B"/>
    <w:rsid w:val="00574996"/>
    <w:rsid w:val="005755FA"/>
    <w:rsid w:val="00575E35"/>
    <w:rsid w:val="00587FA4"/>
    <w:rsid w:val="005908E6"/>
    <w:rsid w:val="00590F49"/>
    <w:rsid w:val="005916DB"/>
    <w:rsid w:val="0059194E"/>
    <w:rsid w:val="00592BD0"/>
    <w:rsid w:val="00593184"/>
    <w:rsid w:val="00593194"/>
    <w:rsid w:val="00596FF1"/>
    <w:rsid w:val="005975B4"/>
    <w:rsid w:val="005A1176"/>
    <w:rsid w:val="005A22DC"/>
    <w:rsid w:val="005A5A55"/>
    <w:rsid w:val="005B2E00"/>
    <w:rsid w:val="005B5B3D"/>
    <w:rsid w:val="005B5BE7"/>
    <w:rsid w:val="005B6C76"/>
    <w:rsid w:val="005C157C"/>
    <w:rsid w:val="005C3407"/>
    <w:rsid w:val="005C3A44"/>
    <w:rsid w:val="005C4441"/>
    <w:rsid w:val="005C7C28"/>
    <w:rsid w:val="005D1F96"/>
    <w:rsid w:val="005D21DD"/>
    <w:rsid w:val="005D6FFF"/>
    <w:rsid w:val="005E07B6"/>
    <w:rsid w:val="005E0B56"/>
    <w:rsid w:val="005E1027"/>
    <w:rsid w:val="005E14C2"/>
    <w:rsid w:val="005E1FA4"/>
    <w:rsid w:val="005E7225"/>
    <w:rsid w:val="005F0212"/>
    <w:rsid w:val="005F2448"/>
    <w:rsid w:val="005F2656"/>
    <w:rsid w:val="005F2FF7"/>
    <w:rsid w:val="005F6C85"/>
    <w:rsid w:val="005F71EB"/>
    <w:rsid w:val="006028DA"/>
    <w:rsid w:val="00603756"/>
    <w:rsid w:val="00604850"/>
    <w:rsid w:val="00607B9A"/>
    <w:rsid w:val="00607BA5"/>
    <w:rsid w:val="00610EF7"/>
    <w:rsid w:val="0061180A"/>
    <w:rsid w:val="006206D2"/>
    <w:rsid w:val="0062099B"/>
    <w:rsid w:val="006212DB"/>
    <w:rsid w:val="00625E7A"/>
    <w:rsid w:val="00626EB6"/>
    <w:rsid w:val="00632BB1"/>
    <w:rsid w:val="006340A5"/>
    <w:rsid w:val="006359E1"/>
    <w:rsid w:val="0063659E"/>
    <w:rsid w:val="006369E6"/>
    <w:rsid w:val="0063707C"/>
    <w:rsid w:val="00642377"/>
    <w:rsid w:val="00642C89"/>
    <w:rsid w:val="00644036"/>
    <w:rsid w:val="00647334"/>
    <w:rsid w:val="006517EB"/>
    <w:rsid w:val="006548A0"/>
    <w:rsid w:val="00655D03"/>
    <w:rsid w:val="006572CD"/>
    <w:rsid w:val="00667610"/>
    <w:rsid w:val="00673FFD"/>
    <w:rsid w:val="00674C5C"/>
    <w:rsid w:val="00675264"/>
    <w:rsid w:val="00676268"/>
    <w:rsid w:val="006774D7"/>
    <w:rsid w:val="00680722"/>
    <w:rsid w:val="00683388"/>
    <w:rsid w:val="00683F84"/>
    <w:rsid w:val="006854E1"/>
    <w:rsid w:val="0068646E"/>
    <w:rsid w:val="0068759D"/>
    <w:rsid w:val="0069273B"/>
    <w:rsid w:val="0069537E"/>
    <w:rsid w:val="00696185"/>
    <w:rsid w:val="006973D3"/>
    <w:rsid w:val="006978CD"/>
    <w:rsid w:val="006A2DB7"/>
    <w:rsid w:val="006A415F"/>
    <w:rsid w:val="006A6A81"/>
    <w:rsid w:val="006B3C1E"/>
    <w:rsid w:val="006B4777"/>
    <w:rsid w:val="006B4A8D"/>
    <w:rsid w:val="006B5AA8"/>
    <w:rsid w:val="006D35C7"/>
    <w:rsid w:val="006D5CEC"/>
    <w:rsid w:val="006E3AF0"/>
    <w:rsid w:val="006E7F85"/>
    <w:rsid w:val="006F1780"/>
    <w:rsid w:val="006F7393"/>
    <w:rsid w:val="006F792E"/>
    <w:rsid w:val="0070224F"/>
    <w:rsid w:val="0070381F"/>
    <w:rsid w:val="007053EA"/>
    <w:rsid w:val="00707A65"/>
    <w:rsid w:val="007115F7"/>
    <w:rsid w:val="00711B4C"/>
    <w:rsid w:val="00711F32"/>
    <w:rsid w:val="00713596"/>
    <w:rsid w:val="007135E3"/>
    <w:rsid w:val="007152B8"/>
    <w:rsid w:val="00716B98"/>
    <w:rsid w:val="007171DF"/>
    <w:rsid w:val="00717FCE"/>
    <w:rsid w:val="00726225"/>
    <w:rsid w:val="00727DA3"/>
    <w:rsid w:val="00737F85"/>
    <w:rsid w:val="00742C7F"/>
    <w:rsid w:val="00744D5F"/>
    <w:rsid w:val="00745982"/>
    <w:rsid w:val="007503E4"/>
    <w:rsid w:val="00751A3B"/>
    <w:rsid w:val="00752FD5"/>
    <w:rsid w:val="007550C7"/>
    <w:rsid w:val="0075573D"/>
    <w:rsid w:val="00756C4E"/>
    <w:rsid w:val="007574A6"/>
    <w:rsid w:val="007613B6"/>
    <w:rsid w:val="00763792"/>
    <w:rsid w:val="0076391E"/>
    <w:rsid w:val="007662B4"/>
    <w:rsid w:val="00766447"/>
    <w:rsid w:val="00774341"/>
    <w:rsid w:val="00781CB1"/>
    <w:rsid w:val="0078380E"/>
    <w:rsid w:val="00784BB4"/>
    <w:rsid w:val="00785689"/>
    <w:rsid w:val="00787830"/>
    <w:rsid w:val="0079383A"/>
    <w:rsid w:val="007945B9"/>
    <w:rsid w:val="00795392"/>
    <w:rsid w:val="007960E2"/>
    <w:rsid w:val="0079754B"/>
    <w:rsid w:val="00797C95"/>
    <w:rsid w:val="007A1E6D"/>
    <w:rsid w:val="007A4D5C"/>
    <w:rsid w:val="007A669B"/>
    <w:rsid w:val="007B0EB2"/>
    <w:rsid w:val="007B123E"/>
    <w:rsid w:val="007B2461"/>
    <w:rsid w:val="007B3AB7"/>
    <w:rsid w:val="007C6551"/>
    <w:rsid w:val="007C6B41"/>
    <w:rsid w:val="007E17EF"/>
    <w:rsid w:val="007E2E8D"/>
    <w:rsid w:val="007E5D23"/>
    <w:rsid w:val="007E665B"/>
    <w:rsid w:val="007E7064"/>
    <w:rsid w:val="007E7F0A"/>
    <w:rsid w:val="007F44C5"/>
    <w:rsid w:val="007F67CE"/>
    <w:rsid w:val="008040E7"/>
    <w:rsid w:val="00804560"/>
    <w:rsid w:val="008046EA"/>
    <w:rsid w:val="00805DC4"/>
    <w:rsid w:val="00810B6F"/>
    <w:rsid w:val="00811653"/>
    <w:rsid w:val="00816400"/>
    <w:rsid w:val="00817046"/>
    <w:rsid w:val="008201A2"/>
    <w:rsid w:val="008220D3"/>
    <w:rsid w:val="00822CE0"/>
    <w:rsid w:val="00826076"/>
    <w:rsid w:val="008271CB"/>
    <w:rsid w:val="008347A9"/>
    <w:rsid w:val="008353AE"/>
    <w:rsid w:val="00841AB1"/>
    <w:rsid w:val="0084202C"/>
    <w:rsid w:val="00842CD9"/>
    <w:rsid w:val="00846106"/>
    <w:rsid w:val="008469AD"/>
    <w:rsid w:val="00860974"/>
    <w:rsid w:val="00860DB4"/>
    <w:rsid w:val="008627FF"/>
    <w:rsid w:val="00866A04"/>
    <w:rsid w:val="00871A50"/>
    <w:rsid w:val="0089466C"/>
    <w:rsid w:val="008A142C"/>
    <w:rsid w:val="008A641C"/>
    <w:rsid w:val="008B4385"/>
    <w:rsid w:val="008B5868"/>
    <w:rsid w:val="008C6296"/>
    <w:rsid w:val="008C68F1"/>
    <w:rsid w:val="008C7A90"/>
    <w:rsid w:val="008D4AE4"/>
    <w:rsid w:val="008D72EA"/>
    <w:rsid w:val="008E054F"/>
    <w:rsid w:val="008E1003"/>
    <w:rsid w:val="008F1900"/>
    <w:rsid w:val="008F3F2C"/>
    <w:rsid w:val="008F5A55"/>
    <w:rsid w:val="00910B8F"/>
    <w:rsid w:val="00915A8C"/>
    <w:rsid w:val="00921803"/>
    <w:rsid w:val="009246B4"/>
    <w:rsid w:val="00926503"/>
    <w:rsid w:val="009274E6"/>
    <w:rsid w:val="0093013C"/>
    <w:rsid w:val="00931077"/>
    <w:rsid w:val="009319A5"/>
    <w:rsid w:val="00932522"/>
    <w:rsid w:val="00934E16"/>
    <w:rsid w:val="00936D39"/>
    <w:rsid w:val="0093752E"/>
    <w:rsid w:val="00941A67"/>
    <w:rsid w:val="00942476"/>
    <w:rsid w:val="00942E71"/>
    <w:rsid w:val="00943555"/>
    <w:rsid w:val="009516EF"/>
    <w:rsid w:val="00953B41"/>
    <w:rsid w:val="00960D75"/>
    <w:rsid w:val="00961ACC"/>
    <w:rsid w:val="00970BF4"/>
    <w:rsid w:val="009726D8"/>
    <w:rsid w:val="00972D57"/>
    <w:rsid w:val="00976F6A"/>
    <w:rsid w:val="0098028D"/>
    <w:rsid w:val="009848CA"/>
    <w:rsid w:val="009877D2"/>
    <w:rsid w:val="00990513"/>
    <w:rsid w:val="00992C3F"/>
    <w:rsid w:val="00994229"/>
    <w:rsid w:val="009A0DCC"/>
    <w:rsid w:val="009A4CD5"/>
    <w:rsid w:val="009A5165"/>
    <w:rsid w:val="009D0CC7"/>
    <w:rsid w:val="009D1492"/>
    <w:rsid w:val="009D2233"/>
    <w:rsid w:val="009D4837"/>
    <w:rsid w:val="009D5536"/>
    <w:rsid w:val="009D5A83"/>
    <w:rsid w:val="009D7137"/>
    <w:rsid w:val="009E3E51"/>
    <w:rsid w:val="009E4BAC"/>
    <w:rsid w:val="009E5B58"/>
    <w:rsid w:val="009F0ADA"/>
    <w:rsid w:val="009F36A2"/>
    <w:rsid w:val="009F76DB"/>
    <w:rsid w:val="00A0066F"/>
    <w:rsid w:val="00A00E16"/>
    <w:rsid w:val="00A04EDC"/>
    <w:rsid w:val="00A05DA3"/>
    <w:rsid w:val="00A05F5C"/>
    <w:rsid w:val="00A07ECD"/>
    <w:rsid w:val="00A1159A"/>
    <w:rsid w:val="00A14B5F"/>
    <w:rsid w:val="00A15493"/>
    <w:rsid w:val="00A15D9C"/>
    <w:rsid w:val="00A1777E"/>
    <w:rsid w:val="00A26354"/>
    <w:rsid w:val="00A32C3B"/>
    <w:rsid w:val="00A33F46"/>
    <w:rsid w:val="00A37030"/>
    <w:rsid w:val="00A43855"/>
    <w:rsid w:val="00A44827"/>
    <w:rsid w:val="00A45F4F"/>
    <w:rsid w:val="00A50B92"/>
    <w:rsid w:val="00A600A9"/>
    <w:rsid w:val="00A608BE"/>
    <w:rsid w:val="00A60F06"/>
    <w:rsid w:val="00A65BF1"/>
    <w:rsid w:val="00A65CB5"/>
    <w:rsid w:val="00A73AF9"/>
    <w:rsid w:val="00A77C06"/>
    <w:rsid w:val="00A82288"/>
    <w:rsid w:val="00A82566"/>
    <w:rsid w:val="00A869A2"/>
    <w:rsid w:val="00A9095B"/>
    <w:rsid w:val="00A90E69"/>
    <w:rsid w:val="00A94343"/>
    <w:rsid w:val="00AA0802"/>
    <w:rsid w:val="00AA3973"/>
    <w:rsid w:val="00AA39E4"/>
    <w:rsid w:val="00AA434F"/>
    <w:rsid w:val="00AA55B7"/>
    <w:rsid w:val="00AA5B9E"/>
    <w:rsid w:val="00AB2407"/>
    <w:rsid w:val="00AB53DF"/>
    <w:rsid w:val="00AB5439"/>
    <w:rsid w:val="00AB7F5B"/>
    <w:rsid w:val="00AC1EE6"/>
    <w:rsid w:val="00AC3CB6"/>
    <w:rsid w:val="00AC7A79"/>
    <w:rsid w:val="00AD128F"/>
    <w:rsid w:val="00AD33F5"/>
    <w:rsid w:val="00AD65E7"/>
    <w:rsid w:val="00AD7615"/>
    <w:rsid w:val="00AE0C78"/>
    <w:rsid w:val="00AE0CCE"/>
    <w:rsid w:val="00AE7ADD"/>
    <w:rsid w:val="00AF6A52"/>
    <w:rsid w:val="00B00319"/>
    <w:rsid w:val="00B00373"/>
    <w:rsid w:val="00B06974"/>
    <w:rsid w:val="00B0761E"/>
    <w:rsid w:val="00B0784E"/>
    <w:rsid w:val="00B07E5C"/>
    <w:rsid w:val="00B102CA"/>
    <w:rsid w:val="00B10C24"/>
    <w:rsid w:val="00B10E16"/>
    <w:rsid w:val="00B12A41"/>
    <w:rsid w:val="00B15125"/>
    <w:rsid w:val="00B21840"/>
    <w:rsid w:val="00B22EBA"/>
    <w:rsid w:val="00B237B0"/>
    <w:rsid w:val="00B37811"/>
    <w:rsid w:val="00B37C51"/>
    <w:rsid w:val="00B4248D"/>
    <w:rsid w:val="00B45638"/>
    <w:rsid w:val="00B47B14"/>
    <w:rsid w:val="00B50CC8"/>
    <w:rsid w:val="00B518BB"/>
    <w:rsid w:val="00B52FA9"/>
    <w:rsid w:val="00B63C4B"/>
    <w:rsid w:val="00B63E33"/>
    <w:rsid w:val="00B63E41"/>
    <w:rsid w:val="00B6740D"/>
    <w:rsid w:val="00B811F7"/>
    <w:rsid w:val="00B82FDF"/>
    <w:rsid w:val="00B8337E"/>
    <w:rsid w:val="00B870AF"/>
    <w:rsid w:val="00B9038E"/>
    <w:rsid w:val="00B957E4"/>
    <w:rsid w:val="00B97361"/>
    <w:rsid w:val="00BA052B"/>
    <w:rsid w:val="00BA2C47"/>
    <w:rsid w:val="00BA45DE"/>
    <w:rsid w:val="00BA5DC6"/>
    <w:rsid w:val="00BA6196"/>
    <w:rsid w:val="00BA6C1E"/>
    <w:rsid w:val="00BB2476"/>
    <w:rsid w:val="00BB291C"/>
    <w:rsid w:val="00BB351D"/>
    <w:rsid w:val="00BC0AB1"/>
    <w:rsid w:val="00BC3714"/>
    <w:rsid w:val="00BC43C9"/>
    <w:rsid w:val="00BC5180"/>
    <w:rsid w:val="00BC6D8C"/>
    <w:rsid w:val="00BD0CE0"/>
    <w:rsid w:val="00BD1D39"/>
    <w:rsid w:val="00BD4E13"/>
    <w:rsid w:val="00BD5A5A"/>
    <w:rsid w:val="00BE0F7D"/>
    <w:rsid w:val="00BE7B2D"/>
    <w:rsid w:val="00BF17F5"/>
    <w:rsid w:val="00BF508D"/>
    <w:rsid w:val="00C05918"/>
    <w:rsid w:val="00C05B8F"/>
    <w:rsid w:val="00C05BD4"/>
    <w:rsid w:val="00C06A3E"/>
    <w:rsid w:val="00C06C24"/>
    <w:rsid w:val="00C0775A"/>
    <w:rsid w:val="00C11BB1"/>
    <w:rsid w:val="00C14945"/>
    <w:rsid w:val="00C149DD"/>
    <w:rsid w:val="00C20AFB"/>
    <w:rsid w:val="00C20BFC"/>
    <w:rsid w:val="00C24066"/>
    <w:rsid w:val="00C24BEF"/>
    <w:rsid w:val="00C31CF9"/>
    <w:rsid w:val="00C31F94"/>
    <w:rsid w:val="00C33E46"/>
    <w:rsid w:val="00C34006"/>
    <w:rsid w:val="00C426B1"/>
    <w:rsid w:val="00C4711A"/>
    <w:rsid w:val="00C50F01"/>
    <w:rsid w:val="00C519CC"/>
    <w:rsid w:val="00C51A54"/>
    <w:rsid w:val="00C51C4E"/>
    <w:rsid w:val="00C548E1"/>
    <w:rsid w:val="00C6301D"/>
    <w:rsid w:val="00C63A27"/>
    <w:rsid w:val="00C65703"/>
    <w:rsid w:val="00C65F50"/>
    <w:rsid w:val="00C66160"/>
    <w:rsid w:val="00C705D3"/>
    <w:rsid w:val="00C71253"/>
    <w:rsid w:val="00C721AC"/>
    <w:rsid w:val="00C73E5F"/>
    <w:rsid w:val="00C77185"/>
    <w:rsid w:val="00C80773"/>
    <w:rsid w:val="00C8212D"/>
    <w:rsid w:val="00C82614"/>
    <w:rsid w:val="00C83116"/>
    <w:rsid w:val="00C90D6A"/>
    <w:rsid w:val="00C923B1"/>
    <w:rsid w:val="00C93D6E"/>
    <w:rsid w:val="00C94D28"/>
    <w:rsid w:val="00CA040B"/>
    <w:rsid w:val="00CA247E"/>
    <w:rsid w:val="00CC4720"/>
    <w:rsid w:val="00CC72B6"/>
    <w:rsid w:val="00CD1E28"/>
    <w:rsid w:val="00CD2342"/>
    <w:rsid w:val="00CD3423"/>
    <w:rsid w:val="00CD34B9"/>
    <w:rsid w:val="00CD6FA4"/>
    <w:rsid w:val="00CD7CD9"/>
    <w:rsid w:val="00CE3AA5"/>
    <w:rsid w:val="00CE4D04"/>
    <w:rsid w:val="00CE554F"/>
    <w:rsid w:val="00CE7D61"/>
    <w:rsid w:val="00CF6BFD"/>
    <w:rsid w:val="00CF7F1E"/>
    <w:rsid w:val="00D00F11"/>
    <w:rsid w:val="00D014A6"/>
    <w:rsid w:val="00D0218D"/>
    <w:rsid w:val="00D02571"/>
    <w:rsid w:val="00D06FD3"/>
    <w:rsid w:val="00D20229"/>
    <w:rsid w:val="00D22148"/>
    <w:rsid w:val="00D227EB"/>
    <w:rsid w:val="00D2293D"/>
    <w:rsid w:val="00D2347E"/>
    <w:rsid w:val="00D23914"/>
    <w:rsid w:val="00D25C82"/>
    <w:rsid w:val="00D25FB5"/>
    <w:rsid w:val="00D30D29"/>
    <w:rsid w:val="00D326E5"/>
    <w:rsid w:val="00D4038B"/>
    <w:rsid w:val="00D40D6A"/>
    <w:rsid w:val="00D42A08"/>
    <w:rsid w:val="00D44102"/>
    <w:rsid w:val="00D44223"/>
    <w:rsid w:val="00D44A0D"/>
    <w:rsid w:val="00D44F30"/>
    <w:rsid w:val="00D47EC2"/>
    <w:rsid w:val="00D51126"/>
    <w:rsid w:val="00D52A1B"/>
    <w:rsid w:val="00D52E34"/>
    <w:rsid w:val="00D62A20"/>
    <w:rsid w:val="00D66FF2"/>
    <w:rsid w:val="00D67157"/>
    <w:rsid w:val="00D70A51"/>
    <w:rsid w:val="00D718FF"/>
    <w:rsid w:val="00D74BA5"/>
    <w:rsid w:val="00D82E9A"/>
    <w:rsid w:val="00D87644"/>
    <w:rsid w:val="00DA1D9C"/>
    <w:rsid w:val="00DA1F36"/>
    <w:rsid w:val="00DA1FB4"/>
    <w:rsid w:val="00DA2529"/>
    <w:rsid w:val="00DA33A6"/>
    <w:rsid w:val="00DA5127"/>
    <w:rsid w:val="00DB130A"/>
    <w:rsid w:val="00DB1A33"/>
    <w:rsid w:val="00DB1B21"/>
    <w:rsid w:val="00DB2EBB"/>
    <w:rsid w:val="00DB34B5"/>
    <w:rsid w:val="00DB51C9"/>
    <w:rsid w:val="00DB5509"/>
    <w:rsid w:val="00DB63EB"/>
    <w:rsid w:val="00DB78C7"/>
    <w:rsid w:val="00DC10A1"/>
    <w:rsid w:val="00DC3BBF"/>
    <w:rsid w:val="00DC52D5"/>
    <w:rsid w:val="00DC655F"/>
    <w:rsid w:val="00DD0B59"/>
    <w:rsid w:val="00DD1132"/>
    <w:rsid w:val="00DD1A90"/>
    <w:rsid w:val="00DD2D0D"/>
    <w:rsid w:val="00DD34B5"/>
    <w:rsid w:val="00DD6D48"/>
    <w:rsid w:val="00DD7EBD"/>
    <w:rsid w:val="00DE1D40"/>
    <w:rsid w:val="00DF15E7"/>
    <w:rsid w:val="00DF62B6"/>
    <w:rsid w:val="00DF764E"/>
    <w:rsid w:val="00E02408"/>
    <w:rsid w:val="00E0278D"/>
    <w:rsid w:val="00E04D7C"/>
    <w:rsid w:val="00E04E37"/>
    <w:rsid w:val="00E05A40"/>
    <w:rsid w:val="00E07039"/>
    <w:rsid w:val="00E07225"/>
    <w:rsid w:val="00E07F60"/>
    <w:rsid w:val="00E11693"/>
    <w:rsid w:val="00E145A2"/>
    <w:rsid w:val="00E14963"/>
    <w:rsid w:val="00E16304"/>
    <w:rsid w:val="00E176A9"/>
    <w:rsid w:val="00E17DE5"/>
    <w:rsid w:val="00E21378"/>
    <w:rsid w:val="00E26828"/>
    <w:rsid w:val="00E30C63"/>
    <w:rsid w:val="00E30F2D"/>
    <w:rsid w:val="00E31EB5"/>
    <w:rsid w:val="00E325F3"/>
    <w:rsid w:val="00E4088D"/>
    <w:rsid w:val="00E4297E"/>
    <w:rsid w:val="00E45892"/>
    <w:rsid w:val="00E5409F"/>
    <w:rsid w:val="00E55B34"/>
    <w:rsid w:val="00E57DDB"/>
    <w:rsid w:val="00E621DF"/>
    <w:rsid w:val="00E62F26"/>
    <w:rsid w:val="00E7204F"/>
    <w:rsid w:val="00E762B8"/>
    <w:rsid w:val="00E76484"/>
    <w:rsid w:val="00E76D74"/>
    <w:rsid w:val="00E80A17"/>
    <w:rsid w:val="00E861D0"/>
    <w:rsid w:val="00E91F1A"/>
    <w:rsid w:val="00E960A9"/>
    <w:rsid w:val="00EA2101"/>
    <w:rsid w:val="00EA5B14"/>
    <w:rsid w:val="00EB386D"/>
    <w:rsid w:val="00EB760E"/>
    <w:rsid w:val="00EC17C8"/>
    <w:rsid w:val="00EC2441"/>
    <w:rsid w:val="00ED0BD3"/>
    <w:rsid w:val="00ED1D22"/>
    <w:rsid w:val="00ED31D3"/>
    <w:rsid w:val="00ED5861"/>
    <w:rsid w:val="00EE0D0F"/>
    <w:rsid w:val="00EE6488"/>
    <w:rsid w:val="00EE7CBD"/>
    <w:rsid w:val="00EF2026"/>
    <w:rsid w:val="00EF3027"/>
    <w:rsid w:val="00EF7D6F"/>
    <w:rsid w:val="00F021FA"/>
    <w:rsid w:val="00F02846"/>
    <w:rsid w:val="00F0333D"/>
    <w:rsid w:val="00F04AC5"/>
    <w:rsid w:val="00F05C44"/>
    <w:rsid w:val="00F16B54"/>
    <w:rsid w:val="00F203CD"/>
    <w:rsid w:val="00F20F4E"/>
    <w:rsid w:val="00F226E9"/>
    <w:rsid w:val="00F243C3"/>
    <w:rsid w:val="00F2578A"/>
    <w:rsid w:val="00F339F0"/>
    <w:rsid w:val="00F33C2C"/>
    <w:rsid w:val="00F40BF5"/>
    <w:rsid w:val="00F42676"/>
    <w:rsid w:val="00F478A0"/>
    <w:rsid w:val="00F5309E"/>
    <w:rsid w:val="00F544E5"/>
    <w:rsid w:val="00F551CD"/>
    <w:rsid w:val="00F553A0"/>
    <w:rsid w:val="00F55A8A"/>
    <w:rsid w:val="00F56BF8"/>
    <w:rsid w:val="00F574DA"/>
    <w:rsid w:val="00F6157F"/>
    <w:rsid w:val="00F616E9"/>
    <w:rsid w:val="00F627D2"/>
    <w:rsid w:val="00F62E97"/>
    <w:rsid w:val="00F64209"/>
    <w:rsid w:val="00F6721A"/>
    <w:rsid w:val="00F75218"/>
    <w:rsid w:val="00F76F48"/>
    <w:rsid w:val="00F80C8E"/>
    <w:rsid w:val="00F8191D"/>
    <w:rsid w:val="00F84C54"/>
    <w:rsid w:val="00F8747C"/>
    <w:rsid w:val="00F9301E"/>
    <w:rsid w:val="00F93BF5"/>
    <w:rsid w:val="00F95944"/>
    <w:rsid w:val="00F97C4D"/>
    <w:rsid w:val="00FA21EB"/>
    <w:rsid w:val="00FA7B42"/>
    <w:rsid w:val="00FB2F90"/>
    <w:rsid w:val="00FB5B48"/>
    <w:rsid w:val="00FB6F74"/>
    <w:rsid w:val="00FC023B"/>
    <w:rsid w:val="00FC154E"/>
    <w:rsid w:val="00FC15C7"/>
    <w:rsid w:val="00FC24A8"/>
    <w:rsid w:val="00FC3CDB"/>
    <w:rsid w:val="00FC62DC"/>
    <w:rsid w:val="00FC6487"/>
    <w:rsid w:val="00FD397A"/>
    <w:rsid w:val="00FD3D91"/>
    <w:rsid w:val="00FD5483"/>
    <w:rsid w:val="00FE0816"/>
    <w:rsid w:val="00FE289C"/>
    <w:rsid w:val="00FE2CF5"/>
    <w:rsid w:val="00FE3C97"/>
    <w:rsid w:val="00FE460E"/>
    <w:rsid w:val="00FE5071"/>
    <w:rsid w:val="00FE5DF7"/>
    <w:rsid w:val="00FE7C0F"/>
    <w:rsid w:val="00FF4A6D"/>
    <w:rsid w:val="00FF5F29"/>
    <w:rsid w:val="00FF67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efaultImageDpi w14:val="96"/>
  <w15:docId w15:val="{86183699-18E3-4961-9412-C64A3A3B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8B6"/>
    <w:pPr>
      <w:widowControl w:val="0"/>
    </w:pPr>
    <w:rPr>
      <w:snapToGrid w:val="0"/>
      <w:kern w:val="28"/>
      <w:sz w:val="22"/>
    </w:rPr>
  </w:style>
  <w:style w:type="paragraph" w:styleId="Heading1">
    <w:name w:val="heading 1"/>
    <w:basedOn w:val="Normal"/>
    <w:next w:val="ParaNum"/>
    <w:link w:val="Heading1Char"/>
    <w:qFormat/>
    <w:rsid w:val="003838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838B6"/>
    <w:pPr>
      <w:keepNext/>
      <w:numPr>
        <w:ilvl w:val="1"/>
        <w:numId w:val="3"/>
      </w:numPr>
      <w:spacing w:after="120"/>
      <w:outlineLvl w:val="1"/>
    </w:pPr>
    <w:rPr>
      <w:b/>
    </w:rPr>
  </w:style>
  <w:style w:type="paragraph" w:styleId="Heading3">
    <w:name w:val="heading 3"/>
    <w:basedOn w:val="Normal"/>
    <w:next w:val="ParaNum"/>
    <w:link w:val="Heading3Char"/>
    <w:qFormat/>
    <w:rsid w:val="003838B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3838B6"/>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3838B6"/>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3838B6"/>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3838B6"/>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3838B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838B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838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38B6"/>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2Char">
    <w:name w:val="Heading 2 Char"/>
    <w:basedOn w:val="DefaultParagraphFont"/>
    <w:link w:val="Heading2"/>
    <w:rPr>
      <w:b/>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paragraph" w:customStyle="1" w:styleId="ParaNum">
    <w:name w:val="ParaNum"/>
    <w:basedOn w:val="Normal"/>
    <w:link w:val="ParaNumCharChar1"/>
    <w:rsid w:val="003838B6"/>
    <w:pPr>
      <w:numPr>
        <w:numId w:val="2"/>
      </w:numPr>
      <w:tabs>
        <w:tab w:val="clear" w:pos="1080"/>
        <w:tab w:val="num" w:pos="1440"/>
      </w:tabs>
      <w:spacing w:after="120"/>
    </w:pPr>
  </w:style>
  <w:style w:type="paragraph" w:styleId="EndnoteText">
    <w:name w:val="endnote text"/>
    <w:basedOn w:val="Normal"/>
    <w:link w:val="EndnoteTextChar"/>
    <w:semiHidden/>
    <w:rsid w:val="003838B6"/>
    <w:rPr>
      <w:sz w:val="20"/>
    </w:rPr>
  </w:style>
  <w:style w:type="character" w:customStyle="1" w:styleId="EndnoteTextChar">
    <w:name w:val="Endnote Text Char"/>
    <w:basedOn w:val="DefaultParagraphFont"/>
    <w:link w:val="EndnoteText"/>
    <w:semiHidden/>
    <w:rPr>
      <w:snapToGrid w:val="0"/>
      <w:kern w:val="28"/>
    </w:rPr>
  </w:style>
  <w:style w:type="character" w:styleId="EndnoteReference">
    <w:name w:val="endnote reference"/>
    <w:semiHidden/>
    <w:rsid w:val="003838B6"/>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rsid w:val="003838B6"/>
    <w:pPr>
      <w:spacing w:after="120"/>
    </w:pPr>
  </w:style>
  <w:style w:type="character" w:customStyle="1" w:styleId="FootnoteTextChar2">
    <w:name w:val="Footnote Text Char2"/>
    <w:aliases w:val="ALTS FOOTNOTE Char Char Char,ALTS FOOTNOTE Char Char Char Char Char,Footnote Text Char Char Char,Footnote Text Char Char Char Char Char,Footnote Text Char1 Char,Footnote Text Char1 Char Char Char,fn Char Char Char,fn Char1 Char"/>
    <w:basedOn w:val="DefaultParagraphFont"/>
    <w:link w:val="FootnoteText"/>
    <w:locked/>
    <w:rsid w:val="00E91F1A"/>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3838B6"/>
    <w:rPr>
      <w:rFonts w:ascii="Times New Roman" w:hAnsi="Times New Roman"/>
      <w:dstrike w:val="0"/>
      <w:color w:val="auto"/>
      <w:sz w:val="20"/>
      <w:vertAlign w:val="superscript"/>
    </w:rPr>
  </w:style>
  <w:style w:type="paragraph" w:styleId="TOC1">
    <w:name w:val="toc 1"/>
    <w:basedOn w:val="Normal"/>
    <w:next w:val="Normal"/>
    <w:semiHidden/>
    <w:rsid w:val="003838B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838B6"/>
    <w:pPr>
      <w:tabs>
        <w:tab w:val="left" w:pos="720"/>
        <w:tab w:val="right" w:leader="dot" w:pos="9360"/>
      </w:tabs>
      <w:suppressAutoHyphens/>
      <w:ind w:left="720" w:right="720" w:hanging="360"/>
    </w:pPr>
    <w:rPr>
      <w:noProof/>
    </w:rPr>
  </w:style>
  <w:style w:type="paragraph" w:styleId="TOC3">
    <w:name w:val="toc 3"/>
    <w:basedOn w:val="Normal"/>
    <w:next w:val="Normal"/>
    <w:semiHidden/>
    <w:rsid w:val="003838B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838B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838B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838B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838B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838B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838B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838B6"/>
    <w:pPr>
      <w:tabs>
        <w:tab w:val="right" w:pos="9360"/>
      </w:tabs>
      <w:suppressAutoHyphens/>
    </w:pPr>
  </w:style>
  <w:style w:type="character" w:customStyle="1" w:styleId="EquationCaption">
    <w:name w:val="_Equation Caption"/>
    <w:rsid w:val="003838B6"/>
  </w:style>
  <w:style w:type="paragraph" w:styleId="Header">
    <w:name w:val="header"/>
    <w:basedOn w:val="Normal"/>
    <w:link w:val="HeaderChar"/>
    <w:autoRedefine/>
    <w:rsid w:val="003838B6"/>
    <w:pPr>
      <w:tabs>
        <w:tab w:val="center" w:pos="4680"/>
        <w:tab w:val="right" w:pos="9360"/>
      </w:tabs>
    </w:pPr>
    <w:rPr>
      <w:b/>
    </w:rPr>
  </w:style>
  <w:style w:type="character" w:customStyle="1" w:styleId="HeaderChar">
    <w:name w:val="Header Char"/>
    <w:basedOn w:val="DefaultParagraphFont"/>
    <w:link w:val="Header"/>
    <w:rPr>
      <w:b/>
      <w:snapToGrid w:val="0"/>
      <w:kern w:val="28"/>
      <w:sz w:val="22"/>
    </w:rPr>
  </w:style>
  <w:style w:type="paragraph" w:styleId="Footer">
    <w:name w:val="footer"/>
    <w:basedOn w:val="Normal"/>
    <w:link w:val="FooterChar"/>
    <w:uiPriority w:val="99"/>
    <w:rsid w:val="003838B6"/>
    <w:pPr>
      <w:tabs>
        <w:tab w:val="center" w:pos="4320"/>
        <w:tab w:val="right" w:pos="8640"/>
      </w:tabs>
    </w:pPr>
  </w:style>
  <w:style w:type="character" w:customStyle="1" w:styleId="FooterChar">
    <w:name w:val="Footer Char"/>
    <w:link w:val="Footer"/>
    <w:uiPriority w:val="99"/>
    <w:locked/>
    <w:rsid w:val="003838B6"/>
    <w:rPr>
      <w:snapToGrid w:val="0"/>
      <w:kern w:val="28"/>
      <w:sz w:val="22"/>
    </w:rPr>
  </w:style>
  <w:style w:type="character" w:styleId="PageNumber">
    <w:name w:val="page number"/>
    <w:basedOn w:val="DefaultParagraphFont"/>
    <w:rsid w:val="003838B6"/>
  </w:style>
  <w:style w:type="paragraph" w:styleId="BlockText">
    <w:name w:val="Block Text"/>
    <w:basedOn w:val="Normal"/>
    <w:rsid w:val="003838B6"/>
    <w:pPr>
      <w:spacing w:after="240"/>
      <w:ind w:left="1440" w:right="1440"/>
    </w:pPr>
  </w:style>
  <w:style w:type="paragraph" w:customStyle="1" w:styleId="Paratitle">
    <w:name w:val="Para title"/>
    <w:basedOn w:val="Normal"/>
    <w:rsid w:val="003838B6"/>
    <w:pPr>
      <w:tabs>
        <w:tab w:val="center" w:pos="9270"/>
      </w:tabs>
      <w:spacing w:after="240"/>
    </w:pPr>
    <w:rPr>
      <w:spacing w:val="-2"/>
    </w:rPr>
  </w:style>
  <w:style w:type="paragraph" w:customStyle="1" w:styleId="Bullet">
    <w:name w:val="Bullet"/>
    <w:basedOn w:val="Normal"/>
    <w:rsid w:val="003838B6"/>
    <w:pPr>
      <w:tabs>
        <w:tab w:val="left" w:pos="2160"/>
      </w:tabs>
      <w:spacing w:after="220"/>
      <w:ind w:left="2160" w:hanging="720"/>
    </w:pPr>
  </w:style>
  <w:style w:type="paragraph" w:customStyle="1" w:styleId="TableFormat">
    <w:name w:val="TableFormat"/>
    <w:basedOn w:val="Bullet"/>
    <w:rsid w:val="003838B6"/>
    <w:pPr>
      <w:tabs>
        <w:tab w:val="clear" w:pos="2160"/>
        <w:tab w:val="left" w:pos="5040"/>
      </w:tabs>
      <w:ind w:left="5040" w:hanging="3600"/>
    </w:pPr>
  </w:style>
  <w:style w:type="paragraph" w:customStyle="1" w:styleId="TOCTitle">
    <w:name w:val="TOC Title"/>
    <w:basedOn w:val="Normal"/>
    <w:rsid w:val="003838B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838B6"/>
    <w:pPr>
      <w:jc w:val="center"/>
    </w:pPr>
    <w:rPr>
      <w:rFonts w:ascii="Times New Roman Bold" w:hAnsi="Times New Roman Bold"/>
      <w:b/>
      <w:bCs/>
      <w:caps/>
      <w:szCs w:val="22"/>
    </w:rPr>
  </w:style>
  <w:style w:type="character" w:styleId="Hyperlink">
    <w:name w:val="Hyperlink"/>
    <w:rsid w:val="003838B6"/>
    <w:rPr>
      <w:color w:val="0000FF"/>
      <w:u w:val="single"/>
    </w:rPr>
  </w:style>
  <w:style w:type="character" w:customStyle="1" w:styleId="ParaNumCharChar1">
    <w:name w:val="ParaNum Char Char1"/>
    <w:link w:val="ParaNum"/>
    <w:locked/>
    <w:rsid w:val="00E91F1A"/>
    <w:rPr>
      <w:snapToGrid w:val="0"/>
      <w:kern w:val="28"/>
      <w:sz w:val="22"/>
    </w:rPr>
  </w:style>
  <w:style w:type="character" w:customStyle="1" w:styleId="UnresolvedMention1">
    <w:name w:val="Unresolved Mention1"/>
    <w:basedOn w:val="DefaultParagraphFont"/>
    <w:uiPriority w:val="99"/>
    <w:semiHidden/>
    <w:unhideWhenUsed/>
    <w:rsid w:val="00B957E4"/>
    <w:rPr>
      <w:rFonts w:cs="Times New Roman"/>
      <w:color w:val="808080"/>
      <w:shd w:val="clear" w:color="auto" w:fill="E6E6E6"/>
    </w:rPr>
  </w:style>
  <w:style w:type="paragraph" w:styleId="BalloonText">
    <w:name w:val="Balloon Text"/>
    <w:basedOn w:val="Normal"/>
    <w:link w:val="BalloonTextChar"/>
    <w:uiPriority w:val="99"/>
    <w:rsid w:val="005075D2"/>
    <w:rPr>
      <w:rFonts w:ascii="Segoe UI" w:hAnsi="Segoe UI" w:cs="Segoe UI"/>
      <w:sz w:val="18"/>
      <w:szCs w:val="18"/>
    </w:rPr>
  </w:style>
  <w:style w:type="character" w:customStyle="1" w:styleId="BalloonTextChar">
    <w:name w:val="Balloon Text Char"/>
    <w:basedOn w:val="DefaultParagraphFont"/>
    <w:link w:val="BalloonText"/>
    <w:uiPriority w:val="99"/>
    <w:locked/>
    <w:rsid w:val="005075D2"/>
    <w:rPr>
      <w:rFonts w:ascii="Segoe UI" w:hAnsi="Segoe UI" w:cs="Segoe UI"/>
      <w:kern w:val="28"/>
      <w:sz w:val="18"/>
      <w:szCs w:val="18"/>
    </w:rPr>
  </w:style>
  <w:style w:type="character" w:styleId="CommentReference">
    <w:name w:val="annotation reference"/>
    <w:basedOn w:val="DefaultParagraphFont"/>
    <w:uiPriority w:val="99"/>
    <w:rsid w:val="003352E6"/>
    <w:rPr>
      <w:rFonts w:cs="Times New Roman"/>
      <w:sz w:val="16"/>
      <w:szCs w:val="16"/>
    </w:rPr>
  </w:style>
  <w:style w:type="paragraph" w:styleId="CommentText">
    <w:name w:val="annotation text"/>
    <w:basedOn w:val="Normal"/>
    <w:link w:val="CommentTextChar"/>
    <w:uiPriority w:val="99"/>
    <w:rsid w:val="003352E6"/>
    <w:rPr>
      <w:sz w:val="20"/>
    </w:rPr>
  </w:style>
  <w:style w:type="character" w:customStyle="1" w:styleId="CommentTextChar">
    <w:name w:val="Comment Text Char"/>
    <w:basedOn w:val="DefaultParagraphFont"/>
    <w:link w:val="CommentText"/>
    <w:uiPriority w:val="99"/>
    <w:locked/>
    <w:rsid w:val="003352E6"/>
    <w:rPr>
      <w:rFonts w:cs="Times New Roman"/>
      <w:kern w:val="28"/>
    </w:rPr>
  </w:style>
  <w:style w:type="paragraph" w:styleId="CommentSubject">
    <w:name w:val="annotation subject"/>
    <w:basedOn w:val="CommentText"/>
    <w:next w:val="CommentText"/>
    <w:link w:val="CommentSubjectChar"/>
    <w:uiPriority w:val="99"/>
    <w:rsid w:val="003352E6"/>
    <w:rPr>
      <w:b/>
      <w:bCs/>
    </w:rPr>
  </w:style>
  <w:style w:type="character" w:customStyle="1" w:styleId="CommentSubjectChar">
    <w:name w:val="Comment Subject Char"/>
    <w:basedOn w:val="CommentTextChar"/>
    <w:link w:val="CommentSubject"/>
    <w:uiPriority w:val="99"/>
    <w:locked/>
    <w:rsid w:val="003352E6"/>
    <w:rPr>
      <w:rFonts w:cs="Times New Roman"/>
      <w:b/>
      <w:bCs/>
      <w:kern w:val="28"/>
    </w:rPr>
  </w:style>
  <w:style w:type="paragraph" w:styleId="Revision">
    <w:name w:val="Revision"/>
    <w:hidden/>
    <w:uiPriority w:val="99"/>
    <w:semiHidden/>
    <w:rsid w:val="00E7204F"/>
    <w:rPr>
      <w:kern w:val="28"/>
      <w:sz w:val="22"/>
    </w:rPr>
  </w:style>
  <w:style w:type="character" w:customStyle="1" w:styleId="FootnoteTextChar2Char">
    <w:name w:val="Footnote Text Char2 Char"/>
    <w:aliases w:val="Footnote Text Char2 Char1 Char1 Char Char,Footnote Text Char2 Char1 Char1 Char Char Char Char,Footnote Text Char2 Char4 Char Char,Footnote Text Char3 Char1 Char2 Char,Footnote Text Char5 Char Char,f Char,fn Char2"/>
    <w:rsid w:val="004A5CEA"/>
  </w:style>
  <w:style w:type="character" w:customStyle="1" w:styleId="ParaNumChar">
    <w:name w:val="ParaNum Char"/>
    <w:locked/>
    <w:rsid w:val="004A5CEA"/>
    <w:rPr>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