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714A" w:rsidRPr="003D114D" w:rsidP="00BB714A">
      <w:pPr>
        <w:widowControl/>
        <w:jc w:val="center"/>
        <w:rPr>
          <w:b/>
          <w:szCs w:val="22"/>
        </w:rPr>
      </w:pPr>
      <w:bookmarkStart w:id="0" w:name="_GoBack"/>
      <w:bookmarkEnd w:id="0"/>
      <w:r w:rsidRPr="003D114D">
        <w:rPr>
          <w:b/>
          <w:szCs w:val="22"/>
        </w:rPr>
        <w:t>Before the</w:t>
      </w:r>
    </w:p>
    <w:p w:rsidR="00BB714A" w:rsidRPr="003D114D" w:rsidP="00BB714A">
      <w:pPr>
        <w:widowControl/>
        <w:jc w:val="center"/>
        <w:rPr>
          <w:b/>
          <w:szCs w:val="22"/>
        </w:rPr>
      </w:pPr>
      <w:r w:rsidRPr="003D114D">
        <w:rPr>
          <w:b/>
          <w:szCs w:val="22"/>
        </w:rPr>
        <w:t>Federal Communications Commission</w:t>
      </w:r>
    </w:p>
    <w:p w:rsidR="00BB714A" w:rsidRPr="003D114D" w:rsidP="00BB714A">
      <w:pPr>
        <w:widowControl/>
        <w:jc w:val="center"/>
        <w:rPr>
          <w:b/>
          <w:szCs w:val="22"/>
        </w:rPr>
      </w:pPr>
      <w:r w:rsidRPr="003D114D">
        <w:rPr>
          <w:b/>
          <w:szCs w:val="22"/>
        </w:rPr>
        <w:t>Washington, D.C. 20554</w:t>
      </w:r>
    </w:p>
    <w:p w:rsidR="00BB714A" w:rsidRPr="003D114D" w:rsidP="00BB714A">
      <w:pPr>
        <w:widowControl/>
        <w:rPr>
          <w:szCs w:val="22"/>
        </w:rPr>
      </w:pPr>
    </w:p>
    <w:tbl>
      <w:tblPr>
        <w:tblW w:w="0" w:type="auto"/>
        <w:tblLayout w:type="fixed"/>
        <w:tblLook w:val="0000"/>
      </w:tblPr>
      <w:tblGrid>
        <w:gridCol w:w="4698"/>
        <w:gridCol w:w="720"/>
        <w:gridCol w:w="4230"/>
      </w:tblGrid>
      <w:tr w:rsidTr="0057785F">
        <w:tblPrEx>
          <w:tblW w:w="0" w:type="auto"/>
          <w:tblLayout w:type="fixed"/>
          <w:tblLook w:val="0000"/>
        </w:tblPrEx>
        <w:tc>
          <w:tcPr>
            <w:tcW w:w="4698" w:type="dxa"/>
          </w:tcPr>
          <w:p w:rsidR="00BB714A" w:rsidRPr="003D114D" w:rsidP="0057785F">
            <w:pPr>
              <w:widowControl/>
              <w:ind w:right="-18"/>
              <w:rPr>
                <w:szCs w:val="22"/>
              </w:rPr>
            </w:pPr>
            <w:r w:rsidRPr="003D114D">
              <w:rPr>
                <w:szCs w:val="22"/>
              </w:rPr>
              <w:t>In the Matter of</w:t>
            </w:r>
          </w:p>
          <w:p w:rsidR="00BB714A" w:rsidRPr="003D114D" w:rsidP="0057785F">
            <w:pPr>
              <w:widowControl/>
              <w:ind w:right="-18"/>
              <w:rPr>
                <w:szCs w:val="22"/>
              </w:rPr>
            </w:pPr>
          </w:p>
          <w:p w:rsidR="00BB714A" w:rsidRPr="003D114D" w:rsidP="0057785F">
            <w:pPr>
              <w:widowControl/>
              <w:ind w:right="-18"/>
              <w:rPr>
                <w:szCs w:val="22"/>
              </w:rPr>
            </w:pPr>
            <w:r>
              <w:rPr>
                <w:szCs w:val="22"/>
              </w:rPr>
              <w:t>James Chelmowski</w:t>
            </w:r>
          </w:p>
          <w:p w:rsidR="00BB714A" w:rsidRPr="003D114D" w:rsidP="0057785F">
            <w:pPr>
              <w:widowControl/>
              <w:ind w:right="-18"/>
              <w:rPr>
                <w:szCs w:val="22"/>
              </w:rPr>
            </w:pPr>
          </w:p>
          <w:p w:rsidR="00BB714A" w:rsidRPr="003D114D" w:rsidP="0057785F">
            <w:pPr>
              <w:widowControl/>
              <w:rPr>
                <w:szCs w:val="22"/>
              </w:rPr>
            </w:pPr>
            <w:r w:rsidRPr="003D114D">
              <w:rPr>
                <w:szCs w:val="22"/>
              </w:rPr>
              <w:t>On Request for Inspection of Records</w:t>
            </w:r>
          </w:p>
          <w:p w:rsidR="00BB714A" w:rsidRPr="003D114D" w:rsidP="0057785F">
            <w:pPr>
              <w:widowControl/>
              <w:ind w:right="-18"/>
              <w:rPr>
                <w:szCs w:val="22"/>
              </w:rPr>
            </w:pPr>
          </w:p>
        </w:tc>
        <w:tc>
          <w:tcPr>
            <w:tcW w:w="720" w:type="dxa"/>
          </w:tcPr>
          <w:p w:rsidR="00BB714A" w:rsidRPr="003D114D" w:rsidP="0057785F">
            <w:pPr>
              <w:widowControl/>
              <w:rPr>
                <w:b/>
                <w:szCs w:val="22"/>
              </w:rPr>
            </w:pPr>
            <w:r w:rsidRPr="003D114D">
              <w:rPr>
                <w:b/>
                <w:szCs w:val="22"/>
              </w:rPr>
              <w:t>)</w:t>
            </w:r>
          </w:p>
          <w:p w:rsidR="00BB714A" w:rsidRPr="003D114D" w:rsidP="0057785F">
            <w:pPr>
              <w:widowControl/>
              <w:rPr>
                <w:b/>
                <w:szCs w:val="22"/>
              </w:rPr>
            </w:pPr>
            <w:r w:rsidRPr="003D114D">
              <w:rPr>
                <w:b/>
                <w:szCs w:val="22"/>
              </w:rPr>
              <w:t>)</w:t>
            </w:r>
          </w:p>
          <w:p w:rsidR="00BB714A" w:rsidRPr="003D114D" w:rsidP="0057785F">
            <w:pPr>
              <w:widowControl/>
              <w:rPr>
                <w:b/>
                <w:szCs w:val="22"/>
              </w:rPr>
            </w:pPr>
            <w:r w:rsidRPr="003D114D">
              <w:rPr>
                <w:b/>
                <w:szCs w:val="22"/>
              </w:rPr>
              <w:t>)</w:t>
            </w:r>
          </w:p>
          <w:p w:rsidR="00BB714A" w:rsidRPr="003D114D" w:rsidP="0057785F">
            <w:pPr>
              <w:widowControl/>
              <w:rPr>
                <w:b/>
                <w:szCs w:val="22"/>
              </w:rPr>
            </w:pPr>
            <w:r w:rsidRPr="003D114D">
              <w:rPr>
                <w:b/>
                <w:szCs w:val="22"/>
              </w:rPr>
              <w:t>)</w:t>
            </w:r>
          </w:p>
          <w:p w:rsidR="00BB714A" w:rsidRPr="003D114D" w:rsidP="0057785F">
            <w:pPr>
              <w:widowControl/>
              <w:rPr>
                <w:b/>
                <w:szCs w:val="22"/>
              </w:rPr>
            </w:pPr>
            <w:r w:rsidRPr="003D114D">
              <w:rPr>
                <w:b/>
                <w:szCs w:val="22"/>
              </w:rPr>
              <w:t>)</w:t>
            </w:r>
          </w:p>
          <w:p w:rsidR="00BB714A" w:rsidRPr="003D114D" w:rsidP="0057785F">
            <w:pPr>
              <w:widowControl/>
              <w:rPr>
                <w:b/>
                <w:szCs w:val="22"/>
              </w:rPr>
            </w:pPr>
          </w:p>
        </w:tc>
        <w:tc>
          <w:tcPr>
            <w:tcW w:w="4230" w:type="dxa"/>
          </w:tcPr>
          <w:p w:rsidR="00BB714A" w:rsidRPr="003D114D" w:rsidP="0057785F">
            <w:pPr>
              <w:widowControl/>
              <w:rPr>
                <w:szCs w:val="22"/>
              </w:rPr>
            </w:pPr>
          </w:p>
          <w:p w:rsidR="00BB714A" w:rsidRPr="003D114D" w:rsidP="0057785F">
            <w:pPr>
              <w:widowControl/>
              <w:rPr>
                <w:szCs w:val="22"/>
              </w:rPr>
            </w:pPr>
          </w:p>
          <w:p w:rsidR="00BB714A" w:rsidRPr="003D114D" w:rsidP="0057785F">
            <w:pPr>
              <w:widowControl/>
              <w:rPr>
                <w:szCs w:val="22"/>
              </w:rPr>
            </w:pPr>
            <w:r w:rsidRPr="003D114D">
              <w:rPr>
                <w:szCs w:val="22"/>
              </w:rPr>
              <w:t xml:space="preserve">FOIA Control No. </w:t>
            </w:r>
            <w:r w:rsidR="00C12CD2">
              <w:rPr>
                <w:szCs w:val="22"/>
              </w:rPr>
              <w:t>2019</w:t>
            </w:r>
            <w:r>
              <w:rPr>
                <w:szCs w:val="22"/>
              </w:rPr>
              <w:t>-</w:t>
            </w:r>
            <w:r w:rsidR="00C12CD2">
              <w:rPr>
                <w:szCs w:val="22"/>
              </w:rPr>
              <w:t>086</w:t>
            </w:r>
            <w:r w:rsidRPr="003D114D">
              <w:rPr>
                <w:szCs w:val="22"/>
              </w:rPr>
              <w:t xml:space="preserve"> </w:t>
            </w:r>
          </w:p>
          <w:p w:rsidR="00BB714A" w:rsidRPr="003D114D" w:rsidP="0057785F">
            <w:pPr>
              <w:widowControl/>
              <w:rPr>
                <w:szCs w:val="22"/>
              </w:rPr>
            </w:pPr>
          </w:p>
        </w:tc>
      </w:tr>
    </w:tbl>
    <w:p w:rsidR="00BB714A" w:rsidRPr="003D114D" w:rsidP="00BB714A">
      <w:pPr>
        <w:widowControl/>
        <w:rPr>
          <w:szCs w:val="22"/>
        </w:rPr>
      </w:pPr>
    </w:p>
    <w:p w:rsidR="00BB714A" w:rsidRPr="003D114D" w:rsidP="00BB714A">
      <w:pPr>
        <w:widowControl/>
        <w:jc w:val="center"/>
        <w:rPr>
          <w:b/>
          <w:szCs w:val="22"/>
        </w:rPr>
      </w:pPr>
      <w:r w:rsidRPr="003D114D">
        <w:rPr>
          <w:b/>
          <w:spacing w:val="-2"/>
          <w:szCs w:val="22"/>
        </w:rPr>
        <w:t>MEMORANDUM OPINION AND ORDER</w:t>
      </w:r>
    </w:p>
    <w:p w:rsidR="00BB714A" w:rsidRPr="003D114D" w:rsidP="00BB714A">
      <w:pPr>
        <w:widowControl/>
        <w:rPr>
          <w:szCs w:val="22"/>
        </w:rPr>
      </w:pPr>
    </w:p>
    <w:p w:rsidR="00BB714A" w:rsidRPr="003D114D" w:rsidP="00BB714A">
      <w:pPr>
        <w:widowControl/>
        <w:tabs>
          <w:tab w:val="right" w:pos="9360"/>
        </w:tabs>
        <w:rPr>
          <w:b/>
          <w:szCs w:val="22"/>
        </w:rPr>
      </w:pPr>
      <w:r w:rsidRPr="003D114D">
        <w:rPr>
          <w:b/>
          <w:szCs w:val="22"/>
        </w:rPr>
        <w:t xml:space="preserve">Adopted:  </w:t>
      </w:r>
      <w:r w:rsidR="00562AF1">
        <w:rPr>
          <w:b/>
          <w:szCs w:val="22"/>
        </w:rPr>
        <w:t>April 4, 2019</w:t>
      </w:r>
      <w:r w:rsidRPr="003D114D">
        <w:rPr>
          <w:b/>
          <w:szCs w:val="22"/>
        </w:rPr>
        <w:tab/>
        <w:t xml:space="preserve">Released:  </w:t>
      </w:r>
      <w:r w:rsidR="00562AF1">
        <w:rPr>
          <w:b/>
          <w:szCs w:val="22"/>
        </w:rPr>
        <w:t>April 5, 2019</w:t>
      </w:r>
    </w:p>
    <w:p w:rsidR="00BB714A" w:rsidRPr="003D114D" w:rsidP="00BB714A">
      <w:pPr>
        <w:widowControl/>
        <w:tabs>
          <w:tab w:val="left" w:pos="5760"/>
        </w:tabs>
        <w:rPr>
          <w:b/>
          <w:szCs w:val="22"/>
        </w:rPr>
      </w:pPr>
    </w:p>
    <w:p w:rsidR="00BB714A" w:rsidRPr="003D114D" w:rsidP="00BB714A">
      <w:pPr>
        <w:widowControl/>
        <w:rPr>
          <w:szCs w:val="22"/>
        </w:rPr>
      </w:pPr>
      <w:r w:rsidRPr="003D114D">
        <w:rPr>
          <w:szCs w:val="22"/>
        </w:rPr>
        <w:t>By the Commission:</w:t>
      </w:r>
    </w:p>
    <w:p w:rsidR="00BB714A" w:rsidRPr="003D114D" w:rsidP="00BB714A">
      <w:pPr>
        <w:widowControl/>
        <w:tabs>
          <w:tab w:val="left" w:pos="5760"/>
        </w:tabs>
        <w:rPr>
          <w:szCs w:val="22"/>
        </w:rPr>
      </w:pPr>
    </w:p>
    <w:p w:rsidR="00BB714A" w:rsidP="003B4F70">
      <w:pPr>
        <w:pStyle w:val="ParaNum"/>
        <w:tabs>
          <w:tab w:val="clear" w:pos="1080"/>
          <w:tab w:val="num" w:pos="1440"/>
        </w:tabs>
        <w:rPr>
          <w:szCs w:val="22"/>
        </w:rPr>
      </w:pPr>
      <w:r w:rsidRPr="003D114D">
        <w:rPr>
          <w:szCs w:val="22"/>
        </w:rPr>
        <w:t>By this Order</w:t>
      </w:r>
      <w:r w:rsidR="00AF7C89">
        <w:rPr>
          <w:szCs w:val="22"/>
        </w:rPr>
        <w:t>,</w:t>
      </w:r>
      <w:r w:rsidRPr="003D114D">
        <w:rPr>
          <w:szCs w:val="22"/>
        </w:rPr>
        <w:t xml:space="preserve"> we deny an Application for Review by </w:t>
      </w:r>
      <w:r w:rsidR="00C12CD2">
        <w:rPr>
          <w:szCs w:val="22"/>
        </w:rPr>
        <w:t>James Chelmowski</w:t>
      </w:r>
      <w:r>
        <w:rPr>
          <w:szCs w:val="22"/>
          <w:vertAlign w:val="superscript"/>
        </w:rPr>
        <w:footnoteReference w:id="3"/>
      </w:r>
      <w:r w:rsidRPr="003D114D">
        <w:rPr>
          <w:szCs w:val="22"/>
        </w:rPr>
        <w:t xml:space="preserve"> seeking review of the </w:t>
      </w:r>
      <w:r w:rsidR="00C12CD2">
        <w:rPr>
          <w:szCs w:val="22"/>
        </w:rPr>
        <w:t>Office of General Counsel’s (OGC)</w:t>
      </w:r>
      <w:r>
        <w:rPr>
          <w:szCs w:val="22"/>
        </w:rPr>
        <w:t xml:space="preserve"> response to </w:t>
      </w:r>
      <w:r w:rsidR="00C12CD2">
        <w:rPr>
          <w:szCs w:val="22"/>
        </w:rPr>
        <w:t>his</w:t>
      </w:r>
      <w:r w:rsidRPr="003D114D" w:rsidR="00F4607A">
        <w:rPr>
          <w:szCs w:val="22"/>
        </w:rPr>
        <w:t xml:space="preserve"> </w:t>
      </w:r>
      <w:r w:rsidRPr="003D114D">
        <w:rPr>
          <w:szCs w:val="22"/>
        </w:rPr>
        <w:t>Freedom of Information Act (FOIA) request.</w:t>
      </w:r>
      <w:r w:rsidRPr="003D114D">
        <w:rPr>
          <w:rStyle w:val="FootnoteReference"/>
          <w:szCs w:val="22"/>
        </w:rPr>
        <w:t xml:space="preserve"> </w:t>
      </w:r>
      <w:r>
        <w:rPr>
          <w:rStyle w:val="FootnoteReference"/>
          <w:szCs w:val="22"/>
        </w:rPr>
        <w:footnoteReference w:id="4"/>
      </w:r>
      <w:r w:rsidRPr="003D114D">
        <w:rPr>
          <w:szCs w:val="22"/>
        </w:rPr>
        <w:t xml:space="preserve">  </w:t>
      </w:r>
      <w:r>
        <w:rPr>
          <w:szCs w:val="22"/>
        </w:rPr>
        <w:t xml:space="preserve">We conclude </w:t>
      </w:r>
      <w:r w:rsidR="00AF7C89">
        <w:rPr>
          <w:szCs w:val="22"/>
        </w:rPr>
        <w:t xml:space="preserve">that </w:t>
      </w:r>
      <w:r w:rsidR="00C12CD2">
        <w:rPr>
          <w:szCs w:val="22"/>
        </w:rPr>
        <w:t>OGC</w:t>
      </w:r>
      <w:r>
        <w:rPr>
          <w:szCs w:val="22"/>
        </w:rPr>
        <w:t xml:space="preserve"> properly </w:t>
      </w:r>
      <w:r w:rsidR="00C12CD2">
        <w:rPr>
          <w:szCs w:val="22"/>
        </w:rPr>
        <w:t>responded to the request</w:t>
      </w:r>
      <w:r>
        <w:rPr>
          <w:szCs w:val="22"/>
        </w:rPr>
        <w:t>.</w:t>
      </w:r>
    </w:p>
    <w:p w:rsidR="00C12CD2" w:rsidP="003B4F70">
      <w:pPr>
        <w:pStyle w:val="ParaNum"/>
        <w:tabs>
          <w:tab w:val="clear" w:pos="1080"/>
          <w:tab w:val="num" w:pos="1440"/>
        </w:tabs>
        <w:rPr>
          <w:szCs w:val="22"/>
        </w:rPr>
      </w:pPr>
      <w:r>
        <w:t>The FOIA and Commission regulations give the public the right to request that an agency produce records that are not routinely available for public inspection.</w:t>
      </w:r>
      <w:r>
        <w:rPr>
          <w:rStyle w:val="FootnoteReference"/>
        </w:rPr>
        <w:footnoteReference w:id="5"/>
      </w:r>
      <w:r>
        <w:t xml:space="preserve">  Generally, the agency must </w:t>
      </w:r>
      <w:r w:rsidR="00304E9A">
        <w:t xml:space="preserve">conduct a search for the requested records and </w:t>
      </w:r>
      <w:r>
        <w:t xml:space="preserve">produce </w:t>
      </w:r>
      <w:r w:rsidR="00304E9A">
        <w:t>them</w:t>
      </w:r>
      <w:r>
        <w:t xml:space="preserve"> unless the agency determines that one or more of the FOIA’s nine statutory exemptions apply.</w:t>
      </w:r>
      <w:r>
        <w:rPr>
          <w:rStyle w:val="FootnoteReference"/>
        </w:rPr>
        <w:footnoteReference w:id="6"/>
      </w:r>
      <w:r>
        <w:t xml:space="preserve">  </w:t>
      </w:r>
    </w:p>
    <w:p w:rsidR="00C12CD2" w:rsidP="003B4F70">
      <w:pPr>
        <w:pStyle w:val="ParaNum"/>
        <w:widowControl/>
        <w:tabs>
          <w:tab w:val="clear" w:pos="1080"/>
          <w:tab w:val="num" w:pos="1440"/>
        </w:tabs>
        <w:rPr>
          <w:szCs w:val="22"/>
        </w:rPr>
      </w:pPr>
      <w:r>
        <w:rPr>
          <w:szCs w:val="22"/>
        </w:rPr>
        <w:t xml:space="preserve">Mr. Chelmowski’s FOIA request </w:t>
      </w:r>
      <w:r w:rsidR="00E83BED">
        <w:rPr>
          <w:szCs w:val="22"/>
        </w:rPr>
        <w:t>sought</w:t>
      </w:r>
      <w:r>
        <w:rPr>
          <w:szCs w:val="22"/>
        </w:rPr>
        <w:t xml:space="preserve"> “</w:t>
      </w:r>
      <w:r w:rsidRPr="00C12CD2">
        <w:rPr>
          <w:szCs w:val="22"/>
        </w:rPr>
        <w:t>all the FCC</w:t>
      </w:r>
      <w:r>
        <w:rPr>
          <w:szCs w:val="22"/>
        </w:rPr>
        <w:t xml:space="preserve"> </w:t>
      </w:r>
      <w:r w:rsidRPr="00C12CD2">
        <w:rPr>
          <w:szCs w:val="22"/>
        </w:rPr>
        <w:t>directives, procedures, policies and written instructions for the FOIA Application for</w:t>
      </w:r>
      <w:r>
        <w:rPr>
          <w:szCs w:val="22"/>
        </w:rPr>
        <w:t xml:space="preserve"> </w:t>
      </w:r>
      <w:r w:rsidRPr="00C12CD2">
        <w:rPr>
          <w:szCs w:val="22"/>
        </w:rPr>
        <w:t>Review process . . . from submission, reviewing, drafting documents, presentation to the</w:t>
      </w:r>
      <w:r>
        <w:rPr>
          <w:szCs w:val="22"/>
        </w:rPr>
        <w:t xml:space="preserve"> </w:t>
      </w:r>
      <w:r w:rsidRPr="00C12CD2">
        <w:rPr>
          <w:szCs w:val="22"/>
        </w:rPr>
        <w:t>Commission, Commission votes, FCC Commission voting on the Decision, send</w:t>
      </w:r>
      <w:r w:rsidR="00983DA0">
        <w:rPr>
          <w:szCs w:val="22"/>
        </w:rPr>
        <w:t>ing</w:t>
      </w:r>
      <w:r>
        <w:rPr>
          <w:szCs w:val="22"/>
        </w:rPr>
        <w:t xml:space="preserve"> </w:t>
      </w:r>
      <w:r w:rsidRPr="00C12CD2">
        <w:rPr>
          <w:szCs w:val="22"/>
        </w:rPr>
        <w:t>communications to parties involved, etc.</w:t>
      </w:r>
      <w:r>
        <w:rPr>
          <w:szCs w:val="22"/>
        </w:rPr>
        <w:t>”</w:t>
      </w:r>
      <w:r>
        <w:rPr>
          <w:rStyle w:val="FootnoteReference"/>
          <w:szCs w:val="22"/>
        </w:rPr>
        <w:footnoteReference w:id="7"/>
      </w:r>
      <w:r w:rsidR="00E83BED">
        <w:rPr>
          <w:szCs w:val="22"/>
        </w:rPr>
        <w:t xml:space="preserve">  OGC staff searched for responsive records and responded that the search “located no records other than those that are publicly available or have already been provided to [Mr. Chelmowski] in prior FOIA requests.”</w:t>
      </w:r>
      <w:r>
        <w:rPr>
          <w:rStyle w:val="FootnoteReference"/>
          <w:szCs w:val="22"/>
        </w:rPr>
        <w:footnoteReference w:id="8"/>
      </w:r>
      <w:r w:rsidR="00533803">
        <w:rPr>
          <w:szCs w:val="22"/>
        </w:rPr>
        <w:t xml:space="preserve">  </w:t>
      </w:r>
      <w:r w:rsidR="00533803">
        <w:t>Prior records provided to Mr. Chelmowski included cop</w:t>
      </w:r>
      <w:r w:rsidR="00FE3620">
        <w:t>ies</w:t>
      </w:r>
      <w:r w:rsidR="00533803">
        <w:t xml:space="preserve"> of the Commission’s FOIA directive, FOIA guide, FOIA handbook, and FOIA regulations.</w:t>
      </w:r>
      <w:r>
        <w:rPr>
          <w:rStyle w:val="FootnoteReference"/>
        </w:rPr>
        <w:footnoteReference w:id="9"/>
      </w:r>
      <w:r w:rsidR="00533803">
        <w:t xml:space="preserve">  </w:t>
      </w:r>
      <w:r w:rsidR="00533803">
        <w:rPr>
          <w:szCs w:val="22"/>
        </w:rPr>
        <w:t xml:space="preserve">OGC’s response also </w:t>
      </w:r>
      <w:r w:rsidR="00FE3620">
        <w:rPr>
          <w:szCs w:val="22"/>
        </w:rPr>
        <w:t>explained that</w:t>
      </w:r>
      <w:r w:rsidR="00533803">
        <w:rPr>
          <w:szCs w:val="22"/>
        </w:rPr>
        <w:t xml:space="preserve"> staff familiar with the Commission’s FOIA </w:t>
      </w:r>
      <w:r w:rsidR="00533803">
        <w:rPr>
          <w:szCs w:val="22"/>
        </w:rPr>
        <w:t>procedures had confirmed that these were the only records that were responsive to Mr. Chelmowski’s request.</w:t>
      </w:r>
      <w:r>
        <w:rPr>
          <w:rStyle w:val="FootnoteReference"/>
          <w:szCs w:val="22"/>
        </w:rPr>
        <w:footnoteReference w:id="10"/>
      </w:r>
    </w:p>
    <w:p w:rsidR="001377C0" w:rsidP="003B4F70">
      <w:pPr>
        <w:pStyle w:val="ParaNum"/>
        <w:tabs>
          <w:tab w:val="clear" w:pos="1080"/>
          <w:tab w:val="num" w:pos="1440"/>
        </w:tabs>
        <w:rPr>
          <w:szCs w:val="22"/>
        </w:rPr>
      </w:pPr>
      <w:r>
        <w:rPr>
          <w:szCs w:val="22"/>
        </w:rPr>
        <w:t xml:space="preserve">Mr. Chelmowski appeals OGC’s response by arguing that </w:t>
      </w:r>
      <w:r w:rsidR="00FE3620">
        <w:rPr>
          <w:szCs w:val="22"/>
        </w:rPr>
        <w:t>OGC</w:t>
      </w:r>
      <w:r>
        <w:rPr>
          <w:szCs w:val="22"/>
        </w:rPr>
        <w:t xml:space="preserve"> did not conduct an adequate search for responsive records.  He contends that “the FCC did not conduct any search and only asked a few FCC staff members.”</w:t>
      </w:r>
      <w:r>
        <w:rPr>
          <w:rStyle w:val="FootnoteReference"/>
          <w:szCs w:val="22"/>
        </w:rPr>
        <w:footnoteReference w:id="11"/>
      </w:r>
      <w:r>
        <w:rPr>
          <w:szCs w:val="22"/>
        </w:rPr>
        <w:t xml:space="preserve">  </w:t>
      </w:r>
      <w:r w:rsidR="00656CC1">
        <w:rPr>
          <w:szCs w:val="22"/>
        </w:rPr>
        <w:t>This argument misconstrues OGC’s response.  Staff conduct</w:t>
      </w:r>
      <w:r w:rsidR="009803C0">
        <w:rPr>
          <w:szCs w:val="22"/>
        </w:rPr>
        <w:t>ed</w:t>
      </w:r>
      <w:r w:rsidR="00656CC1">
        <w:rPr>
          <w:szCs w:val="22"/>
        </w:rPr>
        <w:t xml:space="preserve"> a search for responsive records, and in doing so found the same records that had been previously provided to Mr. Chelmowski.  </w:t>
      </w:r>
      <w:r w:rsidR="00983DA0">
        <w:rPr>
          <w:szCs w:val="22"/>
        </w:rPr>
        <w:t>As part of this search,</w:t>
      </w:r>
      <w:r w:rsidR="00656CC1">
        <w:rPr>
          <w:szCs w:val="22"/>
        </w:rPr>
        <w:t xml:space="preserve"> relevant subject matter experts</w:t>
      </w:r>
      <w:r w:rsidR="00983DA0">
        <w:rPr>
          <w:szCs w:val="22"/>
        </w:rPr>
        <w:t xml:space="preserve"> on </w:t>
      </w:r>
      <w:r w:rsidR="009803C0">
        <w:rPr>
          <w:szCs w:val="22"/>
        </w:rPr>
        <w:t xml:space="preserve">OGC’s </w:t>
      </w:r>
      <w:r w:rsidR="00983DA0">
        <w:rPr>
          <w:szCs w:val="22"/>
        </w:rPr>
        <w:t>staff confirmed</w:t>
      </w:r>
      <w:r w:rsidR="00656CC1">
        <w:rPr>
          <w:szCs w:val="22"/>
        </w:rPr>
        <w:t xml:space="preserve"> that there were no </w:t>
      </w:r>
      <w:r w:rsidR="00FE3620">
        <w:rPr>
          <w:szCs w:val="22"/>
        </w:rPr>
        <w:t>other</w:t>
      </w:r>
      <w:r w:rsidR="00656CC1">
        <w:rPr>
          <w:szCs w:val="22"/>
        </w:rPr>
        <w:t xml:space="preserve"> records</w:t>
      </w:r>
      <w:r w:rsidR="00FE3620">
        <w:rPr>
          <w:szCs w:val="22"/>
        </w:rPr>
        <w:t xml:space="preserve"> that might be responsive</w:t>
      </w:r>
      <w:r w:rsidR="00656CC1">
        <w:rPr>
          <w:szCs w:val="22"/>
        </w:rPr>
        <w:t>.  Even if</w:t>
      </w:r>
      <w:r w:rsidR="00983DA0">
        <w:rPr>
          <w:szCs w:val="22"/>
        </w:rPr>
        <w:t xml:space="preserve"> processing</w:t>
      </w:r>
      <w:r w:rsidR="00656CC1">
        <w:rPr>
          <w:szCs w:val="22"/>
        </w:rPr>
        <w:t xml:space="preserve"> staff had merely discussed the issue with the relevant subject matter experts, such a search is acceptable under the FOIA.  Courts have repeatedly held that an agency need not conduct a physical search if staff familiar with the records in question can attest that there are no records responsive to the request.</w:t>
      </w:r>
      <w:r>
        <w:rPr>
          <w:rStyle w:val="FootnoteReference"/>
          <w:szCs w:val="22"/>
        </w:rPr>
        <w:footnoteReference w:id="12"/>
      </w:r>
      <w:r>
        <w:rPr>
          <w:szCs w:val="22"/>
        </w:rPr>
        <w:t xml:space="preserve">  </w:t>
      </w:r>
    </w:p>
    <w:p w:rsidR="00304E9A" w:rsidP="003B4F70">
      <w:pPr>
        <w:pStyle w:val="ParaNum"/>
        <w:tabs>
          <w:tab w:val="clear" w:pos="1080"/>
          <w:tab w:val="num" w:pos="1440"/>
        </w:tabs>
        <w:rPr>
          <w:szCs w:val="22"/>
        </w:rPr>
      </w:pPr>
      <w:r>
        <w:rPr>
          <w:szCs w:val="22"/>
        </w:rPr>
        <w:t>Mr. Chelmowski also asserts that</w:t>
      </w:r>
      <w:r w:rsidR="00FE3620">
        <w:rPr>
          <w:szCs w:val="22"/>
        </w:rPr>
        <w:t xml:space="preserve"> the search could not have been adequate because</w:t>
      </w:r>
      <w:r w:rsidR="00DC3BCB">
        <w:rPr>
          <w:szCs w:val="22"/>
        </w:rPr>
        <w:t xml:space="preserve"> he believes</w:t>
      </w:r>
      <w:r>
        <w:rPr>
          <w:szCs w:val="22"/>
        </w:rPr>
        <w:t xml:space="preserve"> there must exist some </w:t>
      </w:r>
      <w:r w:rsidR="00DC3BCB">
        <w:rPr>
          <w:szCs w:val="22"/>
        </w:rPr>
        <w:t xml:space="preserve">specific </w:t>
      </w:r>
      <w:r>
        <w:rPr>
          <w:szCs w:val="22"/>
        </w:rPr>
        <w:t xml:space="preserve">document that </w:t>
      </w:r>
      <w:r w:rsidR="00DC3BCB">
        <w:rPr>
          <w:szCs w:val="22"/>
        </w:rPr>
        <w:t>precisely</w:t>
      </w:r>
      <w:r w:rsidR="00FE3620">
        <w:rPr>
          <w:szCs w:val="22"/>
        </w:rPr>
        <w:t xml:space="preserve"> </w:t>
      </w:r>
      <w:r>
        <w:rPr>
          <w:szCs w:val="22"/>
        </w:rPr>
        <w:t>governs how the Commission’s FOIA appeal process operates</w:t>
      </w:r>
      <w:r w:rsidR="00DC3BCB">
        <w:rPr>
          <w:szCs w:val="22"/>
        </w:rPr>
        <w:t>, and that it is inconceivable that an adequate search did not reveal such a document</w:t>
      </w:r>
      <w:r>
        <w:rPr>
          <w:szCs w:val="22"/>
        </w:rPr>
        <w:t>.</w:t>
      </w:r>
      <w:r>
        <w:rPr>
          <w:rStyle w:val="FootnoteReference"/>
          <w:szCs w:val="22"/>
        </w:rPr>
        <w:footnoteReference w:id="13"/>
      </w:r>
      <w:r>
        <w:rPr>
          <w:szCs w:val="22"/>
        </w:rPr>
        <w:t xml:space="preserve">  </w:t>
      </w:r>
      <w:r w:rsidR="00ED5FB0">
        <w:rPr>
          <w:szCs w:val="22"/>
        </w:rPr>
        <w:t>However, this ignores</w:t>
      </w:r>
      <w:r>
        <w:rPr>
          <w:szCs w:val="22"/>
        </w:rPr>
        <w:t xml:space="preserve"> that Commission staff have </w:t>
      </w:r>
      <w:r w:rsidR="00ED5FB0">
        <w:rPr>
          <w:szCs w:val="22"/>
        </w:rPr>
        <w:t xml:space="preserve">already </w:t>
      </w:r>
      <w:r>
        <w:rPr>
          <w:szCs w:val="22"/>
        </w:rPr>
        <w:t xml:space="preserve">provided </w:t>
      </w:r>
      <w:r w:rsidR="008D6475">
        <w:rPr>
          <w:szCs w:val="22"/>
        </w:rPr>
        <w:t>Mr. Chelmowski</w:t>
      </w:r>
      <w:r>
        <w:rPr>
          <w:szCs w:val="22"/>
        </w:rPr>
        <w:t xml:space="preserve"> with hundreds of pages of </w:t>
      </w:r>
      <w:r w:rsidR="00ED5FB0">
        <w:rPr>
          <w:szCs w:val="22"/>
        </w:rPr>
        <w:t>records related to the Commission’s handling of FOIA requests and appeals; the fact that an additional search of those records returned nothing new is unsurprising.  Furthermore,</w:t>
      </w:r>
      <w:r>
        <w:rPr>
          <w:szCs w:val="22"/>
        </w:rPr>
        <w:t xml:space="preserve"> courts have consistently held that “a search is not inadequate simply because it failed to turn up a document that [a requester] believes must exist.”</w:t>
      </w:r>
      <w:r>
        <w:rPr>
          <w:rStyle w:val="FootnoteReference"/>
          <w:szCs w:val="22"/>
        </w:rPr>
        <w:footnoteReference w:id="14"/>
      </w:r>
      <w:r>
        <w:rPr>
          <w:szCs w:val="22"/>
        </w:rPr>
        <w:t xml:space="preserve">  </w:t>
      </w:r>
      <w:r w:rsidR="00134216">
        <w:rPr>
          <w:szCs w:val="22"/>
        </w:rPr>
        <w:t>For these reasons</w:t>
      </w:r>
      <w:r>
        <w:rPr>
          <w:szCs w:val="22"/>
        </w:rPr>
        <w:t>, we conclude that OGC</w:t>
      </w:r>
      <w:r w:rsidR="009803C0">
        <w:rPr>
          <w:szCs w:val="22"/>
        </w:rPr>
        <w:t xml:space="preserve">’s </w:t>
      </w:r>
      <w:r>
        <w:rPr>
          <w:szCs w:val="22"/>
        </w:rPr>
        <w:t>search for responsive records</w:t>
      </w:r>
      <w:r w:rsidR="009803C0">
        <w:rPr>
          <w:szCs w:val="22"/>
        </w:rPr>
        <w:t xml:space="preserve"> was adequate</w:t>
      </w:r>
      <w:r>
        <w:rPr>
          <w:szCs w:val="22"/>
        </w:rPr>
        <w:t>.</w:t>
      </w:r>
    </w:p>
    <w:p w:rsidR="00BC400D" w:rsidP="003B4F70">
      <w:pPr>
        <w:pStyle w:val="ParaNum"/>
        <w:tabs>
          <w:tab w:val="clear" w:pos="1080"/>
          <w:tab w:val="num" w:pos="1440"/>
        </w:tabs>
        <w:rPr>
          <w:szCs w:val="22"/>
        </w:rPr>
      </w:pPr>
      <w:r>
        <w:rPr>
          <w:szCs w:val="22"/>
        </w:rPr>
        <w:t>Mr. Chelmowski also challenges OGC’s decision to consolidate several of his requests for the purpose of calculating fees.</w:t>
      </w:r>
      <w:r>
        <w:rPr>
          <w:rStyle w:val="FootnoteReference"/>
          <w:szCs w:val="22"/>
        </w:rPr>
        <w:footnoteReference w:id="15"/>
      </w:r>
      <w:r>
        <w:rPr>
          <w:szCs w:val="22"/>
        </w:rPr>
        <w:t xml:space="preserve">  </w:t>
      </w:r>
      <w:r w:rsidR="00732AA6">
        <w:rPr>
          <w:szCs w:val="22"/>
        </w:rPr>
        <w:t xml:space="preserve">We do not need to </w:t>
      </w:r>
      <w:r w:rsidR="008D21A6">
        <w:rPr>
          <w:szCs w:val="22"/>
        </w:rPr>
        <w:t>decide</w:t>
      </w:r>
      <w:r w:rsidR="00732AA6">
        <w:rPr>
          <w:szCs w:val="22"/>
        </w:rPr>
        <w:t xml:space="preserve"> this issue.  </w:t>
      </w:r>
      <w:r w:rsidR="00E9735B">
        <w:rPr>
          <w:szCs w:val="22"/>
        </w:rPr>
        <w:t>T</w:t>
      </w:r>
      <w:r w:rsidR="00EC2DB7">
        <w:rPr>
          <w:szCs w:val="22"/>
        </w:rPr>
        <w:t>he FOIA provides that requesters like Mr. Chelmowski may receive up to two hours of free search time on their requests.</w:t>
      </w:r>
      <w:r>
        <w:rPr>
          <w:rStyle w:val="FootnoteReference"/>
          <w:szCs w:val="22"/>
        </w:rPr>
        <w:footnoteReference w:id="16"/>
      </w:r>
      <w:r w:rsidR="00EC2DB7">
        <w:rPr>
          <w:szCs w:val="22"/>
        </w:rPr>
        <w:t xml:space="preserve"> </w:t>
      </w:r>
      <w:r>
        <w:rPr>
          <w:szCs w:val="22"/>
        </w:rPr>
        <w:t xml:space="preserve"> E</w:t>
      </w:r>
      <w:r w:rsidR="00EC2DB7">
        <w:rPr>
          <w:szCs w:val="22"/>
        </w:rPr>
        <w:t xml:space="preserve">ven after </w:t>
      </w:r>
      <w:r>
        <w:rPr>
          <w:szCs w:val="22"/>
        </w:rPr>
        <w:t>Mr. Chelmowski’s</w:t>
      </w:r>
      <w:r w:rsidR="00EC2DB7">
        <w:rPr>
          <w:szCs w:val="22"/>
        </w:rPr>
        <w:t xml:space="preserve"> requests were consolidated, </w:t>
      </w:r>
      <w:r>
        <w:rPr>
          <w:szCs w:val="22"/>
        </w:rPr>
        <w:t xml:space="preserve">he did not exceed this two-hour threshold and </w:t>
      </w:r>
      <w:r w:rsidR="00EC2DB7">
        <w:rPr>
          <w:szCs w:val="22"/>
        </w:rPr>
        <w:t>he was not charged any fees for responding to this request</w:t>
      </w:r>
      <w:r>
        <w:rPr>
          <w:szCs w:val="22"/>
        </w:rPr>
        <w:t>.  Thus, his</w:t>
      </w:r>
      <w:r w:rsidR="00EC2DB7">
        <w:rPr>
          <w:szCs w:val="22"/>
        </w:rPr>
        <w:t xml:space="preserve"> argument </w:t>
      </w:r>
      <w:r>
        <w:rPr>
          <w:szCs w:val="22"/>
        </w:rPr>
        <w:t>regarding the consolidation of his requests is</w:t>
      </w:r>
      <w:r w:rsidR="00EC2DB7">
        <w:rPr>
          <w:szCs w:val="22"/>
        </w:rPr>
        <w:t xml:space="preserve"> moot.</w:t>
      </w:r>
      <w:r>
        <w:rPr>
          <w:rStyle w:val="FootnoteReference"/>
          <w:szCs w:val="22"/>
        </w:rPr>
        <w:footnoteReference w:id="17"/>
      </w:r>
      <w:r w:rsidR="00EC2DB7">
        <w:rPr>
          <w:szCs w:val="22"/>
        </w:rPr>
        <w:t xml:space="preserve">  </w:t>
      </w:r>
    </w:p>
    <w:p w:rsidR="00BB714A" w:rsidP="003B4F70">
      <w:pPr>
        <w:pStyle w:val="ParaNum"/>
        <w:tabs>
          <w:tab w:val="clear" w:pos="1080"/>
          <w:tab w:val="num" w:pos="1440"/>
        </w:tabs>
        <w:rPr>
          <w:szCs w:val="22"/>
        </w:rPr>
      </w:pPr>
      <w:r w:rsidRPr="003D114D">
        <w:rPr>
          <w:szCs w:val="22"/>
        </w:rPr>
        <w:t xml:space="preserve">ACCORDINGLY, IT IS ORDERED that the Application for Review filed by </w:t>
      </w:r>
      <w:r w:rsidR="00FE3620">
        <w:rPr>
          <w:szCs w:val="22"/>
        </w:rPr>
        <w:t>James Chelmowski</w:t>
      </w:r>
      <w:r w:rsidRPr="003D114D">
        <w:rPr>
          <w:szCs w:val="22"/>
        </w:rPr>
        <w:t xml:space="preserve"> IS DENIED.  </w:t>
      </w:r>
      <w:r w:rsidR="00FE3620">
        <w:rPr>
          <w:szCs w:val="22"/>
        </w:rPr>
        <w:t>Mr. Chelmowski</w:t>
      </w:r>
      <w:r w:rsidRPr="003D114D">
        <w:rPr>
          <w:szCs w:val="22"/>
        </w:rPr>
        <w:t xml:space="preserve"> may seek judicial review of this action pursuant to 5 U.S.C. § 552(a)(4)(B).</w:t>
      </w:r>
      <w:r w:rsidRPr="003D114D" w:rsidR="000028AF">
        <w:rPr>
          <w:szCs w:val="22"/>
        </w:rPr>
        <w:t xml:space="preserve">  </w:t>
      </w:r>
    </w:p>
    <w:p w:rsidR="00BB714A" w:rsidRPr="003D114D" w:rsidP="003B4F70">
      <w:pPr>
        <w:pStyle w:val="ParaNum"/>
        <w:keepNext/>
        <w:widowControl/>
        <w:tabs>
          <w:tab w:val="clear" w:pos="1080"/>
          <w:tab w:val="num" w:pos="1440"/>
        </w:tabs>
        <w:rPr>
          <w:szCs w:val="22"/>
        </w:rPr>
      </w:pPr>
      <w:r w:rsidRPr="003D114D">
        <w:rPr>
          <w:szCs w:val="22"/>
        </w:rPr>
        <w:t xml:space="preserve">The officials responsible for this action are the following:  Chairman </w:t>
      </w:r>
      <w:r w:rsidR="00F26AE1">
        <w:rPr>
          <w:szCs w:val="22"/>
        </w:rPr>
        <w:t>Pai</w:t>
      </w:r>
      <w:r w:rsidRPr="003D114D">
        <w:rPr>
          <w:szCs w:val="22"/>
        </w:rPr>
        <w:t xml:space="preserve">, and Commissioners </w:t>
      </w:r>
      <w:r w:rsidRPr="003D114D">
        <w:rPr>
          <w:szCs w:val="22"/>
        </w:rPr>
        <w:t>Rosenworcel</w:t>
      </w:r>
      <w:r w:rsidRPr="003D114D">
        <w:rPr>
          <w:szCs w:val="22"/>
        </w:rPr>
        <w:t xml:space="preserve">, </w:t>
      </w:r>
      <w:r w:rsidRPr="003D114D">
        <w:rPr>
          <w:szCs w:val="22"/>
        </w:rPr>
        <w:t>O’Rielly</w:t>
      </w:r>
      <w:r w:rsidR="00F26AE1">
        <w:rPr>
          <w:szCs w:val="22"/>
        </w:rPr>
        <w:t>, Carr, and Starks</w:t>
      </w:r>
      <w:r w:rsidRPr="003D114D">
        <w:rPr>
          <w:szCs w:val="22"/>
        </w:rPr>
        <w:t>.</w:t>
      </w:r>
      <w:r w:rsidRPr="007C7B8D" w:rsidR="007C7B8D">
        <w:rPr>
          <w:rStyle w:val="FootnoteReference"/>
          <w:szCs w:val="22"/>
        </w:rPr>
        <w:t xml:space="preserve"> </w:t>
      </w:r>
      <w:r>
        <w:rPr>
          <w:rStyle w:val="FootnoteReference"/>
          <w:szCs w:val="22"/>
        </w:rPr>
        <w:footnoteReference w:id="18"/>
      </w:r>
      <w:r w:rsidRPr="003D114D">
        <w:rPr>
          <w:szCs w:val="22"/>
        </w:rPr>
        <w:t xml:space="preserve">  </w:t>
      </w:r>
    </w:p>
    <w:p w:rsidR="00033A02" w:rsidRPr="003D114D" w:rsidP="003B4F70">
      <w:pPr>
        <w:keepNext/>
        <w:widowControl/>
        <w:rPr>
          <w:szCs w:val="22"/>
        </w:rPr>
      </w:pPr>
    </w:p>
    <w:p w:rsidR="00BB714A" w:rsidRPr="003D114D" w:rsidP="003B4F70">
      <w:pPr>
        <w:keepNext/>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FEDERAL COMMUNICATIONS COMMISSION</w:t>
      </w:r>
    </w:p>
    <w:p w:rsidR="00BB714A" w:rsidRPr="003D114D" w:rsidP="003B4F70">
      <w:pPr>
        <w:keepNext/>
        <w:widowControl/>
        <w:rPr>
          <w:szCs w:val="22"/>
        </w:rPr>
      </w:pPr>
    </w:p>
    <w:p w:rsidR="00BB714A" w:rsidRPr="003D114D" w:rsidP="003B4F70">
      <w:pPr>
        <w:keepNext/>
        <w:widowControl/>
        <w:rPr>
          <w:szCs w:val="22"/>
        </w:rPr>
      </w:pPr>
    </w:p>
    <w:p w:rsidR="00BB714A" w:rsidRPr="003D114D" w:rsidP="003B4F70">
      <w:pPr>
        <w:keepNext/>
        <w:widowControl/>
        <w:rPr>
          <w:szCs w:val="22"/>
        </w:rPr>
      </w:pPr>
    </w:p>
    <w:p w:rsidR="00BB714A" w:rsidRPr="003D114D" w:rsidP="003B4F70">
      <w:pPr>
        <w:keepNext/>
        <w:widowControl/>
        <w:rPr>
          <w:szCs w:val="22"/>
        </w:rPr>
      </w:pPr>
    </w:p>
    <w:p w:rsidR="00BB714A" w:rsidRPr="003D114D" w:rsidP="003B4F70">
      <w:pPr>
        <w:keepNext/>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Marlene H. Dortch</w:t>
      </w:r>
    </w:p>
    <w:p w:rsidR="002C00E8" w:rsidRPr="00BB714A" w:rsidP="00A22A36">
      <w:pPr>
        <w:widowControl/>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4F7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85F">
      <w:r>
        <w:separator/>
      </w:r>
    </w:p>
  </w:footnote>
  <w:footnote w:type="continuationSeparator" w:id="1">
    <w:p w:rsidR="0057785F" w:rsidRPr="00F61D62" w:rsidP="00F61D62">
      <w:pPr>
        <w:pStyle w:val="Footer"/>
      </w:pPr>
    </w:p>
  </w:footnote>
  <w:footnote w:type="continuationNotice" w:id="2">
    <w:p w:rsidR="0057785F" w:rsidRPr="00F61D62" w:rsidP="00F61D62">
      <w:pPr>
        <w:pStyle w:val="Footer"/>
      </w:pPr>
    </w:p>
  </w:footnote>
  <w:footnote w:id="3">
    <w:p w:rsidR="00BB714A" w:rsidP="00BB714A">
      <w:pPr>
        <w:pStyle w:val="FootnoteText"/>
      </w:pPr>
      <w:r>
        <w:rPr>
          <w:rStyle w:val="FootnoteReference"/>
        </w:rPr>
        <w:footnoteRef/>
      </w:r>
      <w:r>
        <w:t xml:space="preserve"> </w:t>
      </w:r>
      <w:r w:rsidR="00C12CD2">
        <w:t>E-mail</w:t>
      </w:r>
      <w:r>
        <w:t xml:space="preserve"> from </w:t>
      </w:r>
      <w:r w:rsidR="00C12CD2">
        <w:t>James</w:t>
      </w:r>
      <w:r>
        <w:t xml:space="preserve"> </w:t>
      </w:r>
      <w:r w:rsidR="00C12CD2">
        <w:t xml:space="preserve">Chelmowski </w:t>
      </w:r>
      <w:r>
        <w:t xml:space="preserve">to Office of General Counsel, Federal Communications Commission (filed </w:t>
      </w:r>
      <w:r w:rsidR="00C12CD2">
        <w:t>Mar</w:t>
      </w:r>
      <w:r w:rsidR="00875B60">
        <w:t>.</w:t>
      </w:r>
      <w:r w:rsidR="00C12CD2">
        <w:t xml:space="preserve"> 8, 2019</w:t>
      </w:r>
      <w:r>
        <w:t>)</w:t>
      </w:r>
      <w:r w:rsidR="00304E9A">
        <w:t xml:space="preserve"> (Appeal)</w:t>
      </w:r>
      <w:r>
        <w:t xml:space="preserve">. </w:t>
      </w:r>
    </w:p>
  </w:footnote>
  <w:footnote w:id="4">
    <w:p w:rsidR="00BB714A" w:rsidP="00BB714A">
      <w:pPr>
        <w:pStyle w:val="FootnoteText"/>
      </w:pPr>
      <w:r>
        <w:rPr>
          <w:rStyle w:val="FootnoteReference"/>
        </w:rPr>
        <w:footnoteRef/>
      </w:r>
      <w:r>
        <w:t xml:space="preserve"> Letter from </w:t>
      </w:r>
      <w:r w:rsidR="00C12CD2">
        <w:t>Elizabeth Lyle</w:t>
      </w:r>
      <w:r>
        <w:t>, Federal Communications Commission</w:t>
      </w:r>
      <w:r w:rsidR="00095783">
        <w:t xml:space="preserve">, to </w:t>
      </w:r>
      <w:r w:rsidR="00304E9A">
        <w:t>James Chelmowski (Dec. 10, 2018) (Response Letter).</w:t>
      </w:r>
    </w:p>
  </w:footnote>
  <w:footnote w:id="5">
    <w:p w:rsidR="00C12CD2" w:rsidP="00C12CD2">
      <w:pPr>
        <w:pStyle w:val="FootnoteText"/>
      </w:pPr>
      <w:r>
        <w:rPr>
          <w:rStyle w:val="FootnoteReference"/>
        </w:rPr>
        <w:footnoteRef/>
      </w:r>
      <w:r>
        <w:t xml:space="preserve"> 5 U.S.C. § 552(a)(3); 47 C.F.R. § 0.461.</w:t>
      </w:r>
    </w:p>
  </w:footnote>
  <w:footnote w:id="6">
    <w:p w:rsidR="00C12CD2" w:rsidP="00C12CD2">
      <w:pPr>
        <w:pStyle w:val="FootnoteText"/>
      </w:pPr>
      <w:r>
        <w:rPr>
          <w:rStyle w:val="FootnoteReference"/>
        </w:rPr>
        <w:footnoteRef/>
      </w:r>
      <w:r>
        <w:t xml:space="preserve"> 5 U.S.C. § 552(a)(3</w:t>
      </w:r>
      <w:r>
        <w:t>),(</w:t>
      </w:r>
      <w:r>
        <w:t>b); 47 C.F.R. §§ 0.457, 0.461(f).</w:t>
      </w:r>
    </w:p>
  </w:footnote>
  <w:footnote w:id="7">
    <w:p w:rsidR="00C12CD2" w:rsidRPr="00C12CD2">
      <w:pPr>
        <w:pStyle w:val="FootnoteText"/>
      </w:pPr>
      <w:r>
        <w:rPr>
          <w:rStyle w:val="FootnoteReference"/>
        </w:rPr>
        <w:footnoteRef/>
      </w:r>
      <w:r>
        <w:t xml:space="preserve"> FOIAonline Request 2019-086 (filed Nov. 14, 2018) </w:t>
      </w:r>
      <w:r>
        <w:rPr>
          <w:i/>
        </w:rPr>
        <w:t xml:space="preserve">as modified by </w:t>
      </w:r>
      <w:r>
        <w:t>Letter from James Chelmowski to Ryan Yates, Federal Communications Commission (Nov. 15, 2018).</w:t>
      </w:r>
      <w:r w:rsidR="00533803">
        <w:t xml:space="preserve">  FOIA 2019-086 is Mr. Chelmowski’s 33</w:t>
      </w:r>
      <w:r w:rsidRPr="00E83BED" w:rsidR="00533803">
        <w:rPr>
          <w:vertAlign w:val="superscript"/>
        </w:rPr>
        <w:t>rd</w:t>
      </w:r>
      <w:r w:rsidR="00533803">
        <w:t xml:space="preserve"> FOIA request</w:t>
      </w:r>
      <w:r w:rsidR="00EC2DB7">
        <w:t xml:space="preserve"> since September 2015</w:t>
      </w:r>
      <w:r w:rsidR="00875B60">
        <w:t>.  Many of these requests</w:t>
      </w:r>
      <w:r w:rsidR="00533803">
        <w:t xml:space="preserve"> seek records </w:t>
      </w:r>
      <w:r w:rsidR="00983DA0">
        <w:t>related to</w:t>
      </w:r>
      <w:r w:rsidR="00533803">
        <w:t xml:space="preserve"> the Commission’s FOIA processes and his own prior FOIA requests.  </w:t>
      </w:r>
    </w:p>
  </w:footnote>
  <w:footnote w:id="8">
    <w:p w:rsidR="00E83BED">
      <w:pPr>
        <w:pStyle w:val="FootnoteText"/>
      </w:pPr>
      <w:r>
        <w:rPr>
          <w:rStyle w:val="FootnoteReference"/>
        </w:rPr>
        <w:footnoteRef/>
      </w:r>
      <w:r>
        <w:t xml:space="preserve"> </w:t>
      </w:r>
      <w:r w:rsidR="00304E9A">
        <w:t>Response Letter at 1.</w:t>
      </w:r>
      <w:r w:rsidR="00533803">
        <w:t xml:space="preserve">  </w:t>
      </w:r>
    </w:p>
  </w:footnote>
  <w:footnote w:id="9">
    <w:p w:rsidR="00533803" w:rsidRPr="00533803">
      <w:pPr>
        <w:pStyle w:val="FootnoteText"/>
      </w:pPr>
      <w:r>
        <w:rPr>
          <w:rStyle w:val="FootnoteReference"/>
        </w:rPr>
        <w:footnoteRef/>
      </w:r>
      <w:r>
        <w:t xml:space="preserve"> Commission staff offered to produce</w:t>
      </w:r>
      <w:r w:rsidR="00304E9A">
        <w:t xml:space="preserve"> additional cop</w:t>
      </w:r>
      <w:r w:rsidR="00983DA0">
        <w:t>ies</w:t>
      </w:r>
      <w:r w:rsidR="00304E9A">
        <w:t xml:space="preserve"> of</w:t>
      </w:r>
      <w:r>
        <w:t xml:space="preserve"> these records to Mr. Chelmowski, but he did not respond to that offer.  </w:t>
      </w:r>
      <w:r>
        <w:rPr>
          <w:i/>
        </w:rPr>
        <w:t>Id.</w:t>
      </w:r>
    </w:p>
  </w:footnote>
  <w:footnote w:id="10">
    <w:p w:rsidR="00533803" w:rsidRPr="00533803">
      <w:pPr>
        <w:pStyle w:val="FootnoteText"/>
      </w:pPr>
      <w:r>
        <w:rPr>
          <w:rStyle w:val="FootnoteReference"/>
        </w:rPr>
        <w:footnoteRef/>
      </w:r>
      <w:r>
        <w:t xml:space="preserve"> </w:t>
      </w:r>
      <w:r>
        <w:rPr>
          <w:i/>
        </w:rPr>
        <w:t>Id.</w:t>
      </w:r>
    </w:p>
  </w:footnote>
  <w:footnote w:id="11">
    <w:p w:rsidR="00304E9A">
      <w:pPr>
        <w:pStyle w:val="FootnoteText"/>
      </w:pPr>
      <w:r>
        <w:rPr>
          <w:rStyle w:val="FootnoteReference"/>
        </w:rPr>
        <w:footnoteRef/>
      </w:r>
      <w:r>
        <w:t xml:space="preserve"> Appeal at 3.</w:t>
      </w:r>
    </w:p>
  </w:footnote>
  <w:footnote w:id="12">
    <w:p w:rsidR="00656CC1" w:rsidRPr="00656CC1">
      <w:pPr>
        <w:pStyle w:val="FootnoteText"/>
      </w:pPr>
      <w:r>
        <w:rPr>
          <w:rStyle w:val="FootnoteReference"/>
        </w:rPr>
        <w:footnoteRef/>
      </w:r>
      <w:r>
        <w:t xml:space="preserve"> </w:t>
      </w:r>
      <w:r>
        <w:rPr>
          <w:i/>
        </w:rPr>
        <w:t>See, e.g.</w:t>
      </w:r>
      <w:r>
        <w:t>,</w:t>
      </w:r>
      <w:r>
        <w:rPr>
          <w:i/>
        </w:rPr>
        <w:t xml:space="preserve"> Espino v. Dep’t of Justice</w:t>
      </w:r>
      <w:r>
        <w:t xml:space="preserve">, 869 F. Supp. 2d 25, 28 (D.D.C. 2012); </w:t>
      </w:r>
      <w:r>
        <w:rPr>
          <w:i/>
        </w:rPr>
        <w:t>Thomas v. Comptroller of the Currency</w:t>
      </w:r>
      <w:r>
        <w:t xml:space="preserve">, 684 F. Supp. 2d 29, 33 (D.D.C. 2010); </w:t>
      </w:r>
      <w:r>
        <w:rPr>
          <w:i/>
        </w:rPr>
        <w:t>American-Arab Anti-Discrimination Comm. v. Dep’t of Homeland Sec.</w:t>
      </w:r>
      <w:r>
        <w:t>, 516 F. Supp. 2d 83, 87-88 (D.D.C. 2007).</w:t>
      </w:r>
    </w:p>
  </w:footnote>
  <w:footnote w:id="13">
    <w:p w:rsidR="00134216">
      <w:pPr>
        <w:pStyle w:val="FootnoteText"/>
      </w:pPr>
      <w:r>
        <w:rPr>
          <w:rStyle w:val="FootnoteReference"/>
        </w:rPr>
        <w:footnoteRef/>
      </w:r>
      <w:r>
        <w:t xml:space="preserve"> Appeal at 4.</w:t>
      </w:r>
    </w:p>
  </w:footnote>
  <w:footnote w:id="14">
    <w:p w:rsidR="001377C0" w:rsidRPr="001377C0">
      <w:pPr>
        <w:pStyle w:val="FootnoteText"/>
      </w:pPr>
      <w:r>
        <w:rPr>
          <w:rStyle w:val="FootnoteReference"/>
        </w:rPr>
        <w:footnoteRef/>
      </w:r>
      <w:r>
        <w:t xml:space="preserve"> </w:t>
      </w:r>
      <w:r>
        <w:rPr>
          <w:i/>
        </w:rPr>
        <w:t>Espino</w:t>
      </w:r>
      <w:r>
        <w:t xml:space="preserve">, 869 F. </w:t>
      </w:r>
      <w:r w:rsidR="00F61D62">
        <w:t xml:space="preserve">Supp. </w:t>
      </w:r>
      <w:r>
        <w:t>2d at 28.</w:t>
      </w:r>
    </w:p>
  </w:footnote>
  <w:footnote w:id="15">
    <w:p w:rsidR="00ED5FB0">
      <w:pPr>
        <w:pStyle w:val="FootnoteText"/>
      </w:pPr>
      <w:r>
        <w:rPr>
          <w:rStyle w:val="FootnoteReference"/>
        </w:rPr>
        <w:footnoteRef/>
      </w:r>
      <w:r>
        <w:t xml:space="preserve"> Appeal at 5.</w:t>
      </w:r>
    </w:p>
  </w:footnote>
  <w:footnote w:id="16">
    <w:p w:rsidR="00BC400D">
      <w:pPr>
        <w:pStyle w:val="FootnoteText"/>
      </w:pPr>
      <w:r>
        <w:rPr>
          <w:rStyle w:val="FootnoteReference"/>
        </w:rPr>
        <w:footnoteRef/>
      </w:r>
      <w:r>
        <w:t xml:space="preserve"> 5 U.S.C. § 552(a)(4)(A)(iv)(II); 47 CFR § 0.470(a)(3).</w:t>
      </w:r>
    </w:p>
  </w:footnote>
  <w:footnote w:id="17">
    <w:p w:rsidR="00396DBF">
      <w:pPr>
        <w:pStyle w:val="FootnoteText"/>
      </w:pPr>
      <w:r>
        <w:rPr>
          <w:rStyle w:val="FootnoteReference"/>
        </w:rPr>
        <w:footnoteRef/>
      </w:r>
      <w:r>
        <w:t xml:space="preserve"> Mr. Chelmowski further contends that the “concealed responsive records” for this request would “include instructions based on Federal law, regulations, [and] policy . . . on how to combine FOIA requests for fee aggregations.”  Appeal at 5.  As explained above, the Commission already searched for and provided Mr. Chelmowski with the records responsive to his request.  His assertion that such instructions must exist, and that the Commission is surreptitiously withholding such instructions from him, is nothing more than unsupported speculation.  </w:t>
      </w:r>
    </w:p>
  </w:footnote>
  <w:footnote w:id="18">
    <w:p w:rsidR="007C7B8D" w:rsidP="003B4F70">
      <w:pPr>
        <w:pStyle w:val="FootnoteText"/>
      </w:pPr>
      <w:r w:rsidRPr="00F10F9A">
        <w:rPr>
          <w:rStyle w:val="FootnoteReference"/>
        </w:rPr>
        <w:footnoteRef/>
      </w:r>
      <w:r w:rsidRPr="00F10F9A">
        <w:t xml:space="preserve"> </w:t>
      </w:r>
      <w: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Mr. Chelmowski’s right to pursue litigation.  Mr. Chelmowski may contact OGIS in any of the following ways: </w:t>
      </w:r>
    </w:p>
    <w:p w:rsidR="007C7B8D" w:rsidP="007C7B8D">
      <w:pPr>
        <w:pStyle w:val="NormalWeb"/>
        <w:ind w:left="1440"/>
      </w:pPr>
      <w:r w:rsidRPr="00BB714A">
        <w:rPr>
          <w:sz w:val="20"/>
          <w:szCs w:val="20"/>
        </w:rPr>
        <w:t xml:space="preserve">Office of Government Information Services </w:t>
      </w:r>
      <w:r w:rsidRPr="00BB714A">
        <w:rPr>
          <w:sz w:val="20"/>
          <w:szCs w:val="20"/>
        </w:rPr>
        <w:br/>
        <w:t xml:space="preserve">National Archives and Records Administration </w:t>
      </w:r>
      <w:r w:rsidRPr="00BB714A">
        <w:rPr>
          <w:sz w:val="20"/>
          <w:szCs w:val="20"/>
        </w:rPr>
        <w:br/>
        <w:t xml:space="preserve">Room 2510 </w:t>
      </w:r>
      <w:r w:rsidRPr="00BB714A">
        <w:rPr>
          <w:sz w:val="20"/>
          <w:szCs w:val="20"/>
        </w:rPr>
        <w:br/>
        <w:t xml:space="preserve">8601 Adelphi Road </w:t>
      </w:r>
      <w:r w:rsidRPr="00BB714A">
        <w:rPr>
          <w:sz w:val="20"/>
          <w:szCs w:val="20"/>
        </w:rPr>
        <w:br/>
        <w:t xml:space="preserve">College Park, MD 20740-6001 </w:t>
      </w:r>
      <w:r w:rsidRPr="00BB714A">
        <w:rPr>
          <w:sz w:val="20"/>
          <w:szCs w:val="20"/>
        </w:rPr>
        <w:br/>
        <w:t xml:space="preserve">E-mail: ogis@nara.gov </w:t>
      </w:r>
      <w:r w:rsidRPr="00BB714A">
        <w:rPr>
          <w:sz w:val="20"/>
          <w:szCs w:val="20"/>
        </w:rPr>
        <w:br/>
        <w:t xml:space="preserve">Telephone: 301-837-1996 </w:t>
      </w:r>
      <w:r w:rsidRPr="00BB714A">
        <w:rPr>
          <w:sz w:val="20"/>
          <w:szCs w:val="20"/>
        </w:rPr>
        <w:br/>
        <w:t xml:space="preserve">Facsimile: 301-837-0348 </w:t>
      </w:r>
      <w:r w:rsidRPr="00BB714A">
        <w:rPr>
          <w:sz w:val="20"/>
          <w:szCs w:val="20"/>
        </w:rPr>
        <w:br/>
        <w:t>Toll-free: 1-877-684-644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62AF1">
      <w:t>FCC 19-28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62AF1">
      <w:rPr>
        <w:spacing w:val="-2"/>
      </w:rPr>
      <w:t>FCC 19-28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4A"/>
    <w:rsid w:val="000028AF"/>
    <w:rsid w:val="00033A02"/>
    <w:rsid w:val="00036039"/>
    <w:rsid w:val="00037F90"/>
    <w:rsid w:val="000875BF"/>
    <w:rsid w:val="00095783"/>
    <w:rsid w:val="00096D8C"/>
    <w:rsid w:val="000C0B65"/>
    <w:rsid w:val="000E05FE"/>
    <w:rsid w:val="000E3D42"/>
    <w:rsid w:val="00122BD5"/>
    <w:rsid w:val="00133F79"/>
    <w:rsid w:val="00134216"/>
    <w:rsid w:val="001377C0"/>
    <w:rsid w:val="0014508F"/>
    <w:rsid w:val="0017662B"/>
    <w:rsid w:val="00194A66"/>
    <w:rsid w:val="001D6BCF"/>
    <w:rsid w:val="001E01CA"/>
    <w:rsid w:val="001E1754"/>
    <w:rsid w:val="001F401F"/>
    <w:rsid w:val="00275CF5"/>
    <w:rsid w:val="0028301F"/>
    <w:rsid w:val="00285017"/>
    <w:rsid w:val="002A2D2E"/>
    <w:rsid w:val="002C00E8"/>
    <w:rsid w:val="002F2100"/>
    <w:rsid w:val="00304570"/>
    <w:rsid w:val="00304E9A"/>
    <w:rsid w:val="00343749"/>
    <w:rsid w:val="003660ED"/>
    <w:rsid w:val="003819E1"/>
    <w:rsid w:val="00396DBF"/>
    <w:rsid w:val="003B0550"/>
    <w:rsid w:val="003B4F70"/>
    <w:rsid w:val="003B694F"/>
    <w:rsid w:val="003C5247"/>
    <w:rsid w:val="003D114D"/>
    <w:rsid w:val="003F171C"/>
    <w:rsid w:val="003F546F"/>
    <w:rsid w:val="00412BCA"/>
    <w:rsid w:val="00412FC5"/>
    <w:rsid w:val="00422276"/>
    <w:rsid w:val="004242F1"/>
    <w:rsid w:val="00445A00"/>
    <w:rsid w:val="00451B0F"/>
    <w:rsid w:val="004C2EE3"/>
    <w:rsid w:val="004E4A22"/>
    <w:rsid w:val="00511968"/>
    <w:rsid w:val="00533803"/>
    <w:rsid w:val="00534DA3"/>
    <w:rsid w:val="0055614C"/>
    <w:rsid w:val="00562AF1"/>
    <w:rsid w:val="0057785F"/>
    <w:rsid w:val="005E14C2"/>
    <w:rsid w:val="005E5C74"/>
    <w:rsid w:val="00607BA5"/>
    <w:rsid w:val="0061180A"/>
    <w:rsid w:val="00626EB6"/>
    <w:rsid w:val="00655D03"/>
    <w:rsid w:val="00656CC1"/>
    <w:rsid w:val="006572FB"/>
    <w:rsid w:val="00683388"/>
    <w:rsid w:val="00683F84"/>
    <w:rsid w:val="006A6A81"/>
    <w:rsid w:val="006F7393"/>
    <w:rsid w:val="0070224F"/>
    <w:rsid w:val="007115F7"/>
    <w:rsid w:val="00732AA6"/>
    <w:rsid w:val="00764B42"/>
    <w:rsid w:val="00785689"/>
    <w:rsid w:val="0079754B"/>
    <w:rsid w:val="007A1E6D"/>
    <w:rsid w:val="007B0EB2"/>
    <w:rsid w:val="007C7B8D"/>
    <w:rsid w:val="00810B6F"/>
    <w:rsid w:val="00822CE0"/>
    <w:rsid w:val="00841AB1"/>
    <w:rsid w:val="00875B60"/>
    <w:rsid w:val="008C68F1"/>
    <w:rsid w:val="008D21A6"/>
    <w:rsid w:val="008D6475"/>
    <w:rsid w:val="00912B3F"/>
    <w:rsid w:val="00921803"/>
    <w:rsid w:val="00926503"/>
    <w:rsid w:val="009726D8"/>
    <w:rsid w:val="009803C0"/>
    <w:rsid w:val="00983DA0"/>
    <w:rsid w:val="009A1D74"/>
    <w:rsid w:val="009B2DAE"/>
    <w:rsid w:val="009F76DB"/>
    <w:rsid w:val="00A22A36"/>
    <w:rsid w:val="00A32C3B"/>
    <w:rsid w:val="00A45F4F"/>
    <w:rsid w:val="00A600A9"/>
    <w:rsid w:val="00A921D6"/>
    <w:rsid w:val="00AA55B7"/>
    <w:rsid w:val="00AA5B9E"/>
    <w:rsid w:val="00AB215A"/>
    <w:rsid w:val="00AB2407"/>
    <w:rsid w:val="00AB53DF"/>
    <w:rsid w:val="00AF7C89"/>
    <w:rsid w:val="00B07E5C"/>
    <w:rsid w:val="00B811F7"/>
    <w:rsid w:val="00B942DE"/>
    <w:rsid w:val="00BA0A02"/>
    <w:rsid w:val="00BA5DC6"/>
    <w:rsid w:val="00BA6196"/>
    <w:rsid w:val="00BB714A"/>
    <w:rsid w:val="00BC400D"/>
    <w:rsid w:val="00BC6D8C"/>
    <w:rsid w:val="00C12CD2"/>
    <w:rsid w:val="00C34006"/>
    <w:rsid w:val="00C426B1"/>
    <w:rsid w:val="00C66160"/>
    <w:rsid w:val="00C721AC"/>
    <w:rsid w:val="00C90D6A"/>
    <w:rsid w:val="00CA131A"/>
    <w:rsid w:val="00CA247E"/>
    <w:rsid w:val="00CC72B6"/>
    <w:rsid w:val="00CF45C6"/>
    <w:rsid w:val="00D0218D"/>
    <w:rsid w:val="00D06528"/>
    <w:rsid w:val="00D25FB5"/>
    <w:rsid w:val="00D44223"/>
    <w:rsid w:val="00DA2529"/>
    <w:rsid w:val="00DB130A"/>
    <w:rsid w:val="00DB2EBB"/>
    <w:rsid w:val="00DC10A1"/>
    <w:rsid w:val="00DC3BCB"/>
    <w:rsid w:val="00DC655F"/>
    <w:rsid w:val="00DD0B59"/>
    <w:rsid w:val="00DD1EC8"/>
    <w:rsid w:val="00DD7EBD"/>
    <w:rsid w:val="00DF62B6"/>
    <w:rsid w:val="00E07225"/>
    <w:rsid w:val="00E208E4"/>
    <w:rsid w:val="00E4160F"/>
    <w:rsid w:val="00E5409F"/>
    <w:rsid w:val="00E83BED"/>
    <w:rsid w:val="00E9735B"/>
    <w:rsid w:val="00EC2DB7"/>
    <w:rsid w:val="00ED5FB0"/>
    <w:rsid w:val="00EE6488"/>
    <w:rsid w:val="00F021FA"/>
    <w:rsid w:val="00F067BD"/>
    <w:rsid w:val="00F10F9A"/>
    <w:rsid w:val="00F26AE1"/>
    <w:rsid w:val="00F45205"/>
    <w:rsid w:val="00F4607A"/>
    <w:rsid w:val="00F61D62"/>
    <w:rsid w:val="00F62E97"/>
    <w:rsid w:val="00F64209"/>
    <w:rsid w:val="00F747F6"/>
    <w:rsid w:val="00F93BF5"/>
    <w:rsid w:val="00FE36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A03A5A9-45E5-4879-BCE9-14B94B96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link w:val="BalloonText"/>
    <w:rsid w:val="00A921D6"/>
    <w:rPr>
      <w:rFonts w:ascii="Segoe UI" w:hAnsi="Segoe UI" w:cs="Segoe UI"/>
      <w:snapToGrid w:val="0"/>
      <w:kern w:val="28"/>
      <w:sz w:val="18"/>
      <w:szCs w:val="18"/>
    </w:rPr>
  </w:style>
  <w:style w:type="character" w:customStyle="1" w:styleId="FooterChar">
    <w:name w:val="Footer Char"/>
    <w:link w:val="Footer"/>
    <w:uiPriority w:val="99"/>
    <w:rsid w:val="001F401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