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F7AD6" w:rsidRPr="003C560E" w:rsidP="006F7AD6" w14:paraId="4BA510E4" w14:textId="77777777">
      <w:pPr>
        <w:pStyle w:val="Heading6"/>
        <w:numPr>
          <w:ilvl w:val="0"/>
          <w:numId w:val="0"/>
        </w:numPr>
        <w:spacing w:after="0"/>
        <w:ind w:left="4320"/>
        <w:rPr>
          <w:szCs w:val="22"/>
        </w:rPr>
      </w:pPr>
      <w:bookmarkStart w:id="0" w:name="_GoBack"/>
      <w:bookmarkEnd w:id="0"/>
      <w:r w:rsidRPr="003C560E">
        <w:rPr>
          <w:szCs w:val="22"/>
        </w:rPr>
        <w:t>Before the</w:t>
      </w:r>
    </w:p>
    <w:p w:rsidR="006F7AD6" w:rsidRPr="003C560E" w:rsidP="006F7AD6" w14:paraId="1685E3E1" w14:textId="77777777">
      <w:pPr>
        <w:pStyle w:val="StyleBoldCentered"/>
        <w:rPr>
          <w:rFonts w:ascii="Times New Roman" w:hAnsi="Times New Roman"/>
        </w:rPr>
      </w:pPr>
      <w:r w:rsidRPr="003C560E">
        <w:rPr>
          <w:rFonts w:ascii="Times New Roman" w:hAnsi="Times New Roman"/>
        </w:rPr>
        <w:t>F</w:t>
      </w:r>
      <w:r w:rsidRPr="003C560E">
        <w:rPr>
          <w:rFonts w:ascii="Times New Roman" w:hAnsi="Times New Roman"/>
          <w:caps w:val="0"/>
        </w:rPr>
        <w:t>ederal Communications Commission</w:t>
      </w:r>
    </w:p>
    <w:p w:rsidR="006F7AD6" w:rsidRPr="003C560E" w:rsidP="006F7AD6" w14:paraId="2983FB8B" w14:textId="77777777">
      <w:pPr>
        <w:pStyle w:val="StyleBoldCentered"/>
        <w:rPr>
          <w:rFonts w:ascii="Times New Roman" w:hAnsi="Times New Roman"/>
        </w:rPr>
      </w:pPr>
      <w:r w:rsidRPr="003C560E">
        <w:rPr>
          <w:rFonts w:ascii="Times New Roman" w:hAnsi="Times New Roman"/>
          <w:caps w:val="0"/>
        </w:rPr>
        <w:t>Washington, DC 20554</w:t>
      </w:r>
    </w:p>
    <w:p w:rsidR="006F7AD6" w:rsidRPr="003C560E" w:rsidP="006F7AD6" w14:paraId="4755BDF1" w14:textId="77777777">
      <w:pPr>
        <w:rPr>
          <w:szCs w:val="22"/>
        </w:rPr>
      </w:pPr>
    </w:p>
    <w:p w:rsidR="006F7AD6" w:rsidRPr="003C560E" w:rsidP="006F7AD6" w14:paraId="3F64941A" w14:textId="77777777">
      <w:pPr>
        <w:rPr>
          <w:szCs w:val="22"/>
        </w:rPr>
      </w:pPr>
    </w:p>
    <w:tbl>
      <w:tblPr>
        <w:tblW w:w="0" w:type="auto"/>
        <w:tblLayout w:type="fixed"/>
        <w:tblLook w:val="0000"/>
      </w:tblPr>
      <w:tblGrid>
        <w:gridCol w:w="4698"/>
        <w:gridCol w:w="630"/>
        <w:gridCol w:w="4248"/>
      </w:tblGrid>
      <w:tr w14:paraId="623FF77B" w14:textId="77777777" w:rsidTr="00886011">
        <w:tblPrEx>
          <w:tblW w:w="0" w:type="auto"/>
          <w:tblLayout w:type="fixed"/>
          <w:tblLook w:val="0000"/>
        </w:tblPrEx>
        <w:tc>
          <w:tcPr>
            <w:tcW w:w="4698" w:type="dxa"/>
          </w:tcPr>
          <w:p w:rsidR="006F7AD6" w:rsidP="00886011" w14:paraId="10928336" w14:textId="77777777">
            <w:pPr>
              <w:tabs>
                <w:tab w:val="center" w:pos="4680"/>
              </w:tabs>
              <w:suppressAutoHyphens/>
              <w:rPr>
                <w:spacing w:val="-2"/>
                <w:szCs w:val="22"/>
              </w:rPr>
            </w:pPr>
            <w:r>
              <w:rPr>
                <w:spacing w:val="-2"/>
                <w:szCs w:val="22"/>
              </w:rPr>
              <w:t xml:space="preserve">In the Matter of </w:t>
            </w:r>
          </w:p>
          <w:p w:rsidR="006F7AD6" w:rsidRPr="00804676" w:rsidP="00886011" w14:paraId="5FC07952" w14:textId="77777777">
            <w:pPr>
              <w:tabs>
                <w:tab w:val="center" w:pos="4680"/>
              </w:tabs>
              <w:suppressAutoHyphens/>
              <w:rPr>
                <w:spacing w:val="-2"/>
                <w:szCs w:val="22"/>
              </w:rPr>
            </w:pPr>
          </w:p>
          <w:p w:rsidR="006F7AD6" w:rsidRPr="003C560E" w:rsidP="00886011" w14:paraId="75FB1C4C" w14:textId="77777777">
            <w:pPr>
              <w:tabs>
                <w:tab w:val="center" w:pos="4680"/>
              </w:tabs>
              <w:suppressAutoHyphens/>
              <w:rPr>
                <w:spacing w:val="-2"/>
                <w:szCs w:val="22"/>
              </w:rPr>
            </w:pPr>
            <w:r w:rsidRPr="00804676">
              <w:rPr>
                <w:spacing w:val="-2"/>
                <w:szCs w:val="22"/>
              </w:rPr>
              <w:t>Assessment and Collection of Regulatory Fees for Fiscal Year 201</w:t>
            </w:r>
            <w:r>
              <w:rPr>
                <w:spacing w:val="-2"/>
                <w:szCs w:val="22"/>
              </w:rPr>
              <w:t>9</w:t>
            </w:r>
          </w:p>
        </w:tc>
        <w:tc>
          <w:tcPr>
            <w:tcW w:w="630" w:type="dxa"/>
          </w:tcPr>
          <w:p w:rsidR="006F7AD6" w:rsidRPr="003C560E" w:rsidP="00886011" w14:paraId="3D7983D3" w14:textId="77777777">
            <w:pPr>
              <w:tabs>
                <w:tab w:val="center" w:pos="4680"/>
              </w:tabs>
              <w:suppressAutoHyphens/>
              <w:rPr>
                <w:b/>
                <w:spacing w:val="-2"/>
                <w:szCs w:val="22"/>
              </w:rPr>
            </w:pPr>
            <w:r w:rsidRPr="003C560E">
              <w:rPr>
                <w:b/>
                <w:spacing w:val="-2"/>
                <w:szCs w:val="22"/>
              </w:rPr>
              <w:t>)</w:t>
            </w:r>
          </w:p>
          <w:p w:rsidR="006F7AD6" w:rsidRPr="003C560E" w:rsidP="00886011" w14:paraId="79C30500" w14:textId="77777777">
            <w:pPr>
              <w:tabs>
                <w:tab w:val="center" w:pos="4680"/>
              </w:tabs>
              <w:suppressAutoHyphens/>
              <w:rPr>
                <w:b/>
                <w:spacing w:val="-2"/>
                <w:szCs w:val="22"/>
              </w:rPr>
            </w:pPr>
            <w:r w:rsidRPr="003C560E">
              <w:rPr>
                <w:b/>
                <w:spacing w:val="-2"/>
                <w:szCs w:val="22"/>
              </w:rPr>
              <w:t>)</w:t>
            </w:r>
          </w:p>
          <w:p w:rsidR="006F7AD6" w:rsidRPr="003C560E" w:rsidP="00886011" w14:paraId="49A3B88D" w14:textId="77777777">
            <w:pPr>
              <w:tabs>
                <w:tab w:val="center" w:pos="4680"/>
              </w:tabs>
              <w:suppressAutoHyphens/>
              <w:rPr>
                <w:b/>
                <w:spacing w:val="-2"/>
                <w:szCs w:val="22"/>
              </w:rPr>
            </w:pPr>
            <w:r w:rsidRPr="003C560E">
              <w:rPr>
                <w:b/>
                <w:spacing w:val="-2"/>
                <w:szCs w:val="22"/>
              </w:rPr>
              <w:t>)</w:t>
            </w:r>
          </w:p>
          <w:p w:rsidR="006F7AD6" w:rsidRPr="003C560E" w:rsidP="00886011" w14:paraId="28EBD443" w14:textId="77777777">
            <w:pPr>
              <w:tabs>
                <w:tab w:val="center" w:pos="4680"/>
              </w:tabs>
              <w:suppressAutoHyphens/>
              <w:rPr>
                <w:b/>
                <w:spacing w:val="-2"/>
                <w:szCs w:val="22"/>
              </w:rPr>
            </w:pPr>
            <w:r w:rsidRPr="003C560E">
              <w:rPr>
                <w:b/>
                <w:spacing w:val="-2"/>
                <w:szCs w:val="22"/>
              </w:rPr>
              <w:t>)</w:t>
            </w:r>
          </w:p>
          <w:p w:rsidR="006F7AD6" w:rsidRPr="003C560E" w:rsidP="00886011" w14:paraId="7A3ADC69" w14:textId="77777777">
            <w:pPr>
              <w:tabs>
                <w:tab w:val="center" w:pos="4680"/>
              </w:tabs>
              <w:suppressAutoHyphens/>
              <w:rPr>
                <w:b/>
                <w:spacing w:val="-2"/>
                <w:szCs w:val="22"/>
              </w:rPr>
            </w:pPr>
            <w:r w:rsidRPr="003C560E">
              <w:rPr>
                <w:b/>
                <w:spacing w:val="-2"/>
                <w:szCs w:val="22"/>
              </w:rPr>
              <w:t>)</w:t>
            </w:r>
          </w:p>
          <w:p w:rsidR="006F7AD6" w:rsidRPr="003C560E" w:rsidP="00886011" w14:paraId="3F26B2B0" w14:textId="77777777">
            <w:pPr>
              <w:tabs>
                <w:tab w:val="center" w:pos="4680"/>
              </w:tabs>
              <w:suppressAutoHyphens/>
              <w:rPr>
                <w:spacing w:val="-2"/>
                <w:szCs w:val="22"/>
              </w:rPr>
            </w:pPr>
          </w:p>
        </w:tc>
        <w:tc>
          <w:tcPr>
            <w:tcW w:w="4248" w:type="dxa"/>
          </w:tcPr>
          <w:p w:rsidR="006F7AD6" w:rsidRPr="003C560E" w:rsidP="00886011" w14:paraId="4AA1DE3B" w14:textId="77777777">
            <w:pPr>
              <w:tabs>
                <w:tab w:val="center" w:pos="4680"/>
              </w:tabs>
              <w:suppressAutoHyphens/>
              <w:rPr>
                <w:spacing w:val="-2"/>
                <w:szCs w:val="22"/>
              </w:rPr>
            </w:pPr>
          </w:p>
          <w:p w:rsidR="006F7AD6" w:rsidRPr="003C560E" w:rsidP="00886011" w14:paraId="3ED76489" w14:textId="77777777">
            <w:pPr>
              <w:pStyle w:val="TOAHeading"/>
              <w:tabs>
                <w:tab w:val="center" w:pos="4680"/>
                <w:tab w:val="clear" w:pos="9360"/>
              </w:tabs>
              <w:rPr>
                <w:spacing w:val="-2"/>
                <w:szCs w:val="22"/>
              </w:rPr>
            </w:pPr>
          </w:p>
          <w:p w:rsidR="006F7AD6" w:rsidRPr="003C560E" w:rsidP="00886011" w14:paraId="6838B335" w14:textId="77777777">
            <w:pPr>
              <w:tabs>
                <w:tab w:val="left" w:pos="2592"/>
              </w:tabs>
              <w:suppressAutoHyphens/>
              <w:rPr>
                <w:spacing w:val="-2"/>
                <w:szCs w:val="22"/>
              </w:rPr>
            </w:pPr>
            <w:r w:rsidRPr="003C560E">
              <w:rPr>
                <w:spacing w:val="-2"/>
                <w:szCs w:val="22"/>
              </w:rPr>
              <w:t>MD Docket No. 19-</w:t>
            </w:r>
            <w:r>
              <w:rPr>
                <w:spacing w:val="-2"/>
                <w:szCs w:val="22"/>
              </w:rPr>
              <w:t>105</w:t>
            </w:r>
            <w:r w:rsidRPr="003C560E">
              <w:rPr>
                <w:spacing w:val="-2"/>
                <w:szCs w:val="22"/>
              </w:rPr>
              <w:tab/>
            </w:r>
          </w:p>
        </w:tc>
      </w:tr>
    </w:tbl>
    <w:p w:rsidR="006F7AD6" w:rsidRPr="003C560E" w:rsidP="006F7AD6" w14:paraId="4B0613DB" w14:textId="77777777">
      <w:pPr>
        <w:rPr>
          <w:szCs w:val="22"/>
        </w:rPr>
      </w:pPr>
    </w:p>
    <w:p w:rsidR="006F7AD6" w:rsidRPr="003C560E" w:rsidP="006F7AD6" w14:paraId="4334A129" w14:textId="77777777">
      <w:pPr>
        <w:pStyle w:val="StyleBoldCentered"/>
        <w:rPr>
          <w:rFonts w:ascii="Times New Roman" w:hAnsi="Times New Roman"/>
        </w:rPr>
      </w:pPr>
      <w:r w:rsidRPr="003C560E">
        <w:rPr>
          <w:rFonts w:ascii="Times New Roman" w:hAnsi="Times New Roman"/>
        </w:rPr>
        <w:t xml:space="preserve">notice of proposed rulemaking </w:t>
      </w:r>
    </w:p>
    <w:p w:rsidR="006F7AD6" w:rsidRPr="003C560E" w:rsidP="006F7AD6" w14:paraId="55176B40" w14:textId="77777777">
      <w:pPr>
        <w:tabs>
          <w:tab w:val="left" w:pos="-720"/>
        </w:tabs>
        <w:suppressAutoHyphens/>
        <w:spacing w:line="227" w:lineRule="auto"/>
        <w:rPr>
          <w:spacing w:val="-2"/>
          <w:szCs w:val="22"/>
        </w:rPr>
      </w:pPr>
    </w:p>
    <w:p w:rsidR="006F7AD6" w:rsidRPr="003C560E" w:rsidP="006F7AD6" w14:paraId="7E7A496B" w14:textId="24435A1A">
      <w:pPr>
        <w:tabs>
          <w:tab w:val="left" w:pos="720"/>
          <w:tab w:val="right" w:pos="9360"/>
        </w:tabs>
        <w:suppressAutoHyphens/>
        <w:spacing w:line="227" w:lineRule="auto"/>
        <w:rPr>
          <w:spacing w:val="-2"/>
          <w:szCs w:val="22"/>
        </w:rPr>
      </w:pPr>
      <w:r w:rsidRPr="003C560E">
        <w:rPr>
          <w:b/>
          <w:spacing w:val="-2"/>
          <w:szCs w:val="22"/>
        </w:rPr>
        <w:t xml:space="preserve">Adopted: </w:t>
      </w:r>
      <w:r w:rsidR="00032A65">
        <w:rPr>
          <w:b/>
          <w:spacing w:val="-2"/>
          <w:szCs w:val="22"/>
        </w:rPr>
        <w:t>May 7, 2019</w:t>
      </w:r>
      <w:r w:rsidRPr="003C560E">
        <w:rPr>
          <w:b/>
          <w:spacing w:val="-2"/>
          <w:szCs w:val="22"/>
        </w:rPr>
        <w:tab/>
        <w:t xml:space="preserve">Released:  </w:t>
      </w:r>
      <w:r w:rsidR="00032A65">
        <w:rPr>
          <w:b/>
          <w:spacing w:val="-2"/>
          <w:szCs w:val="22"/>
        </w:rPr>
        <w:t>May 8, 2019</w:t>
      </w:r>
    </w:p>
    <w:p w:rsidR="006F7AD6" w:rsidRPr="003C560E" w:rsidP="006F7AD6" w14:paraId="345F7F8A" w14:textId="77777777">
      <w:pPr>
        <w:rPr>
          <w:szCs w:val="22"/>
        </w:rPr>
      </w:pPr>
    </w:p>
    <w:p w:rsidR="006F7AD6" w:rsidRPr="003C560E" w:rsidP="006F7AD6" w14:paraId="4EAC99BD" w14:textId="77777777">
      <w:pPr>
        <w:rPr>
          <w:spacing w:val="-2"/>
          <w:szCs w:val="22"/>
        </w:rPr>
      </w:pPr>
      <w:r w:rsidRPr="003C560E">
        <w:rPr>
          <w:szCs w:val="22"/>
        </w:rPr>
        <w:t>By the Commission</w:t>
      </w:r>
      <w:r w:rsidRPr="003C560E">
        <w:rPr>
          <w:spacing w:val="-2"/>
          <w:szCs w:val="22"/>
        </w:rPr>
        <w:t>:</w:t>
      </w:r>
    </w:p>
    <w:p w:rsidR="006F7AD6" w:rsidRPr="003C560E" w:rsidP="006F7AD6" w14:paraId="4E92C1E0" w14:textId="77777777">
      <w:pPr>
        <w:rPr>
          <w:spacing w:val="-2"/>
          <w:szCs w:val="22"/>
        </w:rPr>
      </w:pPr>
    </w:p>
    <w:p w:rsidR="006F7AD6" w:rsidRPr="003C560E" w:rsidP="006F7AD6" w14:paraId="6F247C86" w14:textId="2537D74D">
      <w:pPr>
        <w:tabs>
          <w:tab w:val="left" w:pos="7688"/>
        </w:tabs>
        <w:rPr>
          <w:b/>
          <w:spacing w:val="-2"/>
          <w:szCs w:val="22"/>
        </w:rPr>
      </w:pPr>
      <w:r w:rsidRPr="003C560E">
        <w:rPr>
          <w:b/>
          <w:spacing w:val="-2"/>
          <w:szCs w:val="22"/>
        </w:rPr>
        <w:t xml:space="preserve">Comment Date: </w:t>
      </w:r>
      <w:r w:rsidR="00113891">
        <w:rPr>
          <w:b/>
          <w:spacing w:val="-2"/>
          <w:szCs w:val="22"/>
        </w:rPr>
        <w:t>June 7, 2019</w:t>
      </w:r>
      <w:r w:rsidRPr="003C560E">
        <w:rPr>
          <w:b/>
          <w:spacing w:val="-2"/>
          <w:szCs w:val="22"/>
        </w:rPr>
        <w:tab/>
      </w:r>
    </w:p>
    <w:p w:rsidR="006F7AD6" w:rsidP="006F7AD6" w14:paraId="65CA0BD3" w14:textId="295035A7">
      <w:pPr>
        <w:rPr>
          <w:b/>
          <w:spacing w:val="-2"/>
          <w:szCs w:val="22"/>
        </w:rPr>
      </w:pPr>
      <w:r w:rsidRPr="003C560E">
        <w:rPr>
          <w:b/>
          <w:spacing w:val="-2"/>
          <w:szCs w:val="22"/>
        </w:rPr>
        <w:t>Reply Comment Date</w:t>
      </w:r>
      <w:r w:rsidRPr="003C560E">
        <w:rPr>
          <w:spacing w:val="-2"/>
          <w:szCs w:val="22"/>
        </w:rPr>
        <w:t xml:space="preserve">: </w:t>
      </w:r>
      <w:r w:rsidR="00113891">
        <w:rPr>
          <w:b/>
          <w:spacing w:val="-2"/>
          <w:szCs w:val="22"/>
        </w:rPr>
        <w:t>June 24, 2019</w:t>
      </w:r>
    </w:p>
    <w:p w:rsidR="006F7AD6" w:rsidP="006F7AD6" w14:paraId="13349444" w14:textId="77777777">
      <w:pPr>
        <w:rPr>
          <w:spacing w:val="-2"/>
          <w:szCs w:val="22"/>
        </w:rPr>
      </w:pPr>
    </w:p>
    <w:p w:rsidR="006F7AD6" w:rsidP="006F7AD6" w14:paraId="6328BCC8" w14:textId="77777777">
      <w:pPr>
        <w:pStyle w:val="TOCTitle"/>
      </w:pPr>
      <w:bookmarkStart w:id="1" w:name="TOChere"/>
      <w:r>
        <w:t>Table of Contents</w:t>
      </w:r>
    </w:p>
    <w:p w:rsidR="006F7AD6" w:rsidP="006F7AD6" w14:paraId="2CDF3AD2" w14:textId="77777777">
      <w:pPr>
        <w:pStyle w:val="Paratitle"/>
      </w:pPr>
      <w:r>
        <w:t>Heading</w:t>
      </w:r>
      <w:r>
        <w:tab/>
        <w:t>Paragraph #</w:t>
      </w:r>
      <w:bookmarkStart w:id="2" w:name="start_here"/>
      <w:bookmarkEnd w:id="2"/>
    </w:p>
    <w:p w:rsidR="006F7AD6" w:rsidRPr="006D6945" w:rsidP="006F7AD6" w14:paraId="0AE04EED" w14:textId="77777777">
      <w:pPr>
        <w:pStyle w:val="TOC1"/>
        <w:rPr>
          <w:rFonts w:ascii="Calibri" w:hAnsi="Calibri"/>
          <w:caps w:val="0"/>
          <w:snapToGrid/>
          <w:kern w:val="0"/>
          <w:szCs w:val="22"/>
        </w:rPr>
      </w:pPr>
      <w:r w:rsidRPr="0098463D">
        <w:t>I.</w:t>
      </w:r>
      <w:r w:rsidRPr="006D6945">
        <w:rPr>
          <w:rFonts w:ascii="Calibri" w:hAnsi="Calibri"/>
          <w:caps w:val="0"/>
          <w:snapToGrid/>
          <w:kern w:val="0"/>
          <w:szCs w:val="22"/>
        </w:rPr>
        <w:tab/>
      </w:r>
      <w:r w:rsidRPr="0098463D">
        <w:t>introduction</w:t>
      </w:r>
      <w:r>
        <w:tab/>
        <w:t>1</w:t>
      </w:r>
    </w:p>
    <w:p w:rsidR="006F7AD6" w:rsidRPr="006D6945" w:rsidP="006F7AD6" w14:paraId="5A409C42" w14:textId="77777777">
      <w:pPr>
        <w:pStyle w:val="TOC1"/>
        <w:rPr>
          <w:rFonts w:ascii="Calibri" w:hAnsi="Calibri"/>
          <w:caps w:val="0"/>
          <w:snapToGrid/>
          <w:kern w:val="0"/>
          <w:szCs w:val="22"/>
        </w:rPr>
      </w:pPr>
      <w:r w:rsidRPr="0098463D">
        <w:t>II.</w:t>
      </w:r>
      <w:r w:rsidRPr="006D6945">
        <w:rPr>
          <w:rFonts w:ascii="Calibri" w:hAnsi="Calibri"/>
          <w:caps w:val="0"/>
          <w:snapToGrid/>
          <w:kern w:val="0"/>
          <w:szCs w:val="22"/>
        </w:rPr>
        <w:tab/>
      </w:r>
      <w:r w:rsidRPr="0098463D">
        <w:t>background</w:t>
      </w:r>
      <w:r>
        <w:tab/>
        <w:t>2</w:t>
      </w:r>
    </w:p>
    <w:p w:rsidR="006F7AD6" w:rsidRPr="006D6945" w:rsidP="006F7AD6" w14:paraId="7BB778B9" w14:textId="77777777">
      <w:pPr>
        <w:pStyle w:val="TOC1"/>
        <w:rPr>
          <w:rFonts w:ascii="Calibri" w:hAnsi="Calibri"/>
          <w:caps w:val="0"/>
          <w:snapToGrid/>
          <w:kern w:val="0"/>
          <w:szCs w:val="22"/>
        </w:rPr>
      </w:pPr>
      <w:r w:rsidRPr="0098463D">
        <w:t>III.</w:t>
      </w:r>
      <w:r w:rsidRPr="006D6945">
        <w:rPr>
          <w:rFonts w:ascii="Calibri" w:hAnsi="Calibri"/>
          <w:caps w:val="0"/>
          <w:snapToGrid/>
          <w:kern w:val="0"/>
          <w:szCs w:val="22"/>
        </w:rPr>
        <w:tab/>
      </w:r>
      <w:r w:rsidRPr="0098463D">
        <w:t>discussion</w:t>
      </w:r>
      <w:r>
        <w:tab/>
        <w:t>5</w:t>
      </w:r>
    </w:p>
    <w:p w:rsidR="006F7AD6" w:rsidRPr="006D6945" w:rsidP="006F7AD6" w14:paraId="489F4EDD" w14:textId="77777777">
      <w:pPr>
        <w:pStyle w:val="TOC2"/>
        <w:tabs>
          <w:tab w:val="left" w:pos="360"/>
        </w:tabs>
        <w:rPr>
          <w:rFonts w:ascii="Calibri" w:hAnsi="Calibri"/>
          <w:snapToGrid/>
          <w:kern w:val="0"/>
          <w:szCs w:val="22"/>
        </w:rPr>
      </w:pPr>
      <w:r>
        <w:t>A.</w:t>
      </w:r>
      <w:r w:rsidRPr="006D6945">
        <w:rPr>
          <w:rFonts w:ascii="Calibri" w:hAnsi="Calibri"/>
          <w:snapToGrid/>
          <w:kern w:val="0"/>
          <w:szCs w:val="22"/>
        </w:rPr>
        <w:tab/>
      </w:r>
      <w:r>
        <w:t>RAY BAUM’S Act Modifications to the Commission’s Regulatory Fee Authority</w:t>
      </w:r>
      <w:r>
        <w:tab/>
        <w:t>6</w:t>
      </w:r>
    </w:p>
    <w:p w:rsidR="006F7AD6" w:rsidRPr="006D6945" w:rsidP="006F7AD6" w14:paraId="22A13F4A" w14:textId="77777777">
      <w:pPr>
        <w:pStyle w:val="TOC2"/>
        <w:tabs>
          <w:tab w:val="left" w:pos="360"/>
        </w:tabs>
        <w:rPr>
          <w:rFonts w:ascii="Calibri" w:hAnsi="Calibri"/>
          <w:snapToGrid/>
          <w:kern w:val="0"/>
          <w:szCs w:val="22"/>
        </w:rPr>
      </w:pPr>
      <w:r>
        <w:t>B.</w:t>
      </w:r>
      <w:r w:rsidRPr="006D6945">
        <w:rPr>
          <w:rFonts w:ascii="Calibri" w:hAnsi="Calibri"/>
          <w:snapToGrid/>
          <w:kern w:val="0"/>
          <w:szCs w:val="22"/>
        </w:rPr>
        <w:tab/>
      </w:r>
      <w:r>
        <w:t>Allocating FTEs Across Categories for FY 2019</w:t>
      </w:r>
      <w:r>
        <w:tab/>
        <w:t>11</w:t>
      </w:r>
    </w:p>
    <w:p w:rsidR="006F7AD6" w:rsidRPr="006D6945" w:rsidP="006F7AD6" w14:paraId="1F05CCE8" w14:textId="77777777">
      <w:pPr>
        <w:pStyle w:val="TOC2"/>
        <w:tabs>
          <w:tab w:val="left" w:pos="360"/>
        </w:tabs>
        <w:rPr>
          <w:rFonts w:ascii="Calibri" w:hAnsi="Calibri"/>
          <w:snapToGrid/>
          <w:kern w:val="0"/>
          <w:szCs w:val="22"/>
        </w:rPr>
      </w:pPr>
      <w:r>
        <w:t>C.</w:t>
      </w:r>
      <w:r w:rsidRPr="006D6945">
        <w:rPr>
          <w:rFonts w:ascii="Calibri" w:hAnsi="Calibri"/>
          <w:snapToGrid/>
          <w:kern w:val="0"/>
          <w:szCs w:val="22"/>
        </w:rPr>
        <w:tab/>
      </w:r>
      <w:r>
        <w:t>Direct Broadcast Satellite (DBS) Regulatory Fees</w:t>
      </w:r>
      <w:r>
        <w:tab/>
        <w:t>16</w:t>
      </w:r>
    </w:p>
    <w:p w:rsidR="006F7AD6" w:rsidRPr="006D6945" w:rsidP="006F7AD6" w14:paraId="3C929DA6" w14:textId="77777777">
      <w:pPr>
        <w:pStyle w:val="TOC2"/>
        <w:tabs>
          <w:tab w:val="left" w:pos="360"/>
        </w:tabs>
        <w:rPr>
          <w:rFonts w:ascii="Calibri" w:hAnsi="Calibri"/>
          <w:snapToGrid/>
          <w:kern w:val="0"/>
          <w:szCs w:val="22"/>
        </w:rPr>
      </w:pPr>
      <w:r>
        <w:t>D.</w:t>
      </w:r>
      <w:r w:rsidRPr="006D6945">
        <w:rPr>
          <w:rFonts w:ascii="Calibri" w:hAnsi="Calibri"/>
          <w:snapToGrid/>
          <w:kern w:val="0"/>
          <w:szCs w:val="22"/>
        </w:rPr>
        <w:tab/>
      </w:r>
      <w:r>
        <w:t>Broadcast Television Stations</w:t>
      </w:r>
      <w:r>
        <w:tab/>
        <w:t>20</w:t>
      </w:r>
    </w:p>
    <w:p w:rsidR="006F7AD6" w:rsidRPr="006D6945" w:rsidP="006F7AD6" w14:paraId="5FB6BA13" w14:textId="77777777">
      <w:pPr>
        <w:pStyle w:val="TOC2"/>
        <w:tabs>
          <w:tab w:val="left" w:pos="360"/>
        </w:tabs>
        <w:rPr>
          <w:rFonts w:ascii="Calibri" w:hAnsi="Calibri"/>
          <w:snapToGrid/>
          <w:kern w:val="0"/>
          <w:szCs w:val="22"/>
        </w:rPr>
      </w:pPr>
      <w:r>
        <w:t>E.</w:t>
      </w:r>
      <w:r w:rsidRPr="006D6945">
        <w:rPr>
          <w:rFonts w:ascii="Calibri" w:hAnsi="Calibri"/>
          <w:snapToGrid/>
          <w:kern w:val="0"/>
          <w:szCs w:val="22"/>
        </w:rPr>
        <w:tab/>
      </w:r>
      <w:r>
        <w:t>Terrestrial and Satellite International Bearer Circuits (IBCs)</w:t>
      </w:r>
      <w:r>
        <w:tab/>
        <w:t>22</w:t>
      </w:r>
    </w:p>
    <w:p w:rsidR="006F7AD6" w:rsidRPr="006D6945" w:rsidP="006F7AD6" w14:paraId="000D63C4" w14:textId="77777777">
      <w:pPr>
        <w:pStyle w:val="TOC2"/>
        <w:tabs>
          <w:tab w:val="left" w:pos="360"/>
        </w:tabs>
        <w:rPr>
          <w:rFonts w:ascii="Calibri" w:hAnsi="Calibri"/>
          <w:snapToGrid/>
          <w:kern w:val="0"/>
          <w:szCs w:val="22"/>
        </w:rPr>
      </w:pPr>
      <w:r w:rsidRPr="006D6945">
        <w:t>F.</w:t>
      </w:r>
      <w:r w:rsidRPr="006D6945">
        <w:rPr>
          <w:rFonts w:ascii="Calibri" w:hAnsi="Calibri"/>
          <w:snapToGrid/>
          <w:kern w:val="0"/>
          <w:szCs w:val="22"/>
        </w:rPr>
        <w:tab/>
      </w:r>
      <w:r w:rsidRPr="006D6945">
        <w:t>De Minimis Regulatory Fees</w:t>
      </w:r>
      <w:r>
        <w:tab/>
        <w:t>26</w:t>
      </w:r>
    </w:p>
    <w:p w:rsidR="006F7AD6" w:rsidRPr="006D6945" w:rsidP="006F7AD6" w14:paraId="1CB90928" w14:textId="77777777">
      <w:pPr>
        <w:pStyle w:val="TOC2"/>
        <w:tabs>
          <w:tab w:val="left" w:pos="360"/>
        </w:tabs>
        <w:rPr>
          <w:rFonts w:ascii="Calibri" w:hAnsi="Calibri"/>
          <w:snapToGrid/>
          <w:kern w:val="0"/>
          <w:szCs w:val="22"/>
        </w:rPr>
      </w:pPr>
      <w:r>
        <w:t>G.</w:t>
      </w:r>
      <w:r w:rsidRPr="006D6945">
        <w:rPr>
          <w:rFonts w:ascii="Calibri" w:hAnsi="Calibri"/>
          <w:snapToGrid/>
          <w:kern w:val="0"/>
          <w:szCs w:val="22"/>
        </w:rPr>
        <w:tab/>
      </w:r>
      <w:r>
        <w:t>Additional Regulatory Fee Reform</w:t>
      </w:r>
      <w:r>
        <w:tab/>
        <w:t>31</w:t>
      </w:r>
    </w:p>
    <w:p w:rsidR="006F7AD6" w:rsidRPr="006D6945" w:rsidP="006F7AD6" w14:paraId="01A10ACB" w14:textId="77777777">
      <w:pPr>
        <w:pStyle w:val="TOC2"/>
        <w:tabs>
          <w:tab w:val="left" w:pos="360"/>
        </w:tabs>
        <w:rPr>
          <w:rFonts w:ascii="Calibri" w:hAnsi="Calibri"/>
          <w:snapToGrid/>
          <w:kern w:val="0"/>
          <w:szCs w:val="22"/>
        </w:rPr>
      </w:pPr>
      <w:r>
        <w:t>H.</w:t>
      </w:r>
      <w:r w:rsidRPr="006D6945">
        <w:rPr>
          <w:rFonts w:ascii="Calibri" w:hAnsi="Calibri"/>
          <w:snapToGrid/>
          <w:kern w:val="0"/>
          <w:szCs w:val="22"/>
        </w:rPr>
        <w:tab/>
      </w:r>
      <w:r>
        <w:t>Restatement of Certain Rules Fundamental to Waiver, Enforcement, and Collection of Regulatory Fees</w:t>
      </w:r>
      <w:r>
        <w:tab/>
        <w:t>32</w:t>
      </w:r>
    </w:p>
    <w:p w:rsidR="006F7AD6" w:rsidRPr="006D6945" w:rsidP="006F7AD6" w14:paraId="1A27C4E5" w14:textId="77777777">
      <w:pPr>
        <w:pStyle w:val="TOC3"/>
        <w:tabs>
          <w:tab w:val="left" w:pos="360"/>
        </w:tabs>
        <w:rPr>
          <w:rFonts w:ascii="Calibri" w:hAnsi="Calibri"/>
          <w:snapToGrid/>
          <w:kern w:val="0"/>
          <w:szCs w:val="22"/>
        </w:rPr>
      </w:pPr>
      <w:r>
        <w:t>1.</w:t>
      </w:r>
      <w:r w:rsidRPr="006D6945">
        <w:rPr>
          <w:rFonts w:ascii="Calibri" w:hAnsi="Calibri"/>
          <w:snapToGrid/>
          <w:kern w:val="0"/>
          <w:szCs w:val="22"/>
        </w:rPr>
        <w:tab/>
      </w:r>
      <w:r>
        <w:t>Waiver, Reduction, and Deferral of Regulatory Fees</w:t>
      </w:r>
      <w:r>
        <w:tab/>
        <w:t>33</w:t>
      </w:r>
    </w:p>
    <w:p w:rsidR="006F7AD6" w:rsidRPr="006D6945" w:rsidP="006F7AD6" w14:paraId="02B9530C" w14:textId="77777777">
      <w:pPr>
        <w:pStyle w:val="TOC3"/>
        <w:tabs>
          <w:tab w:val="left" w:pos="360"/>
        </w:tabs>
        <w:rPr>
          <w:rFonts w:ascii="Calibri" w:hAnsi="Calibri"/>
          <w:snapToGrid/>
          <w:kern w:val="0"/>
          <w:szCs w:val="22"/>
        </w:rPr>
      </w:pPr>
      <w:r>
        <w:t>2.</w:t>
      </w:r>
      <w:r w:rsidRPr="006D6945">
        <w:rPr>
          <w:rFonts w:ascii="Calibri" w:hAnsi="Calibri"/>
          <w:snapToGrid/>
          <w:kern w:val="0"/>
          <w:szCs w:val="22"/>
        </w:rPr>
        <w:tab/>
      </w:r>
      <w:r>
        <w:t>Enforcement</w:t>
      </w:r>
      <w:r>
        <w:tab/>
        <w:t>37</w:t>
      </w:r>
    </w:p>
    <w:p w:rsidR="006F7AD6" w:rsidRPr="006D6945" w:rsidP="006F7AD6" w14:paraId="1AB3A7C6" w14:textId="77777777">
      <w:pPr>
        <w:pStyle w:val="TOC1"/>
        <w:rPr>
          <w:rFonts w:ascii="Calibri" w:hAnsi="Calibri"/>
          <w:caps w:val="0"/>
          <w:snapToGrid/>
          <w:kern w:val="0"/>
          <w:szCs w:val="22"/>
        </w:rPr>
      </w:pPr>
      <w:r w:rsidRPr="0098463D">
        <w:t>IV.</w:t>
      </w:r>
      <w:r w:rsidRPr="006D6945">
        <w:rPr>
          <w:rFonts w:ascii="Calibri" w:hAnsi="Calibri"/>
          <w:caps w:val="0"/>
          <w:snapToGrid/>
          <w:kern w:val="0"/>
          <w:szCs w:val="22"/>
        </w:rPr>
        <w:tab/>
      </w:r>
      <w:r w:rsidRPr="0098463D">
        <w:t>procedural matters</w:t>
      </w:r>
      <w:r>
        <w:tab/>
        <w:t>41</w:t>
      </w:r>
    </w:p>
    <w:p w:rsidR="006F7AD6" w:rsidRPr="006D6945" w:rsidP="006F7AD6" w14:paraId="79381FCC" w14:textId="77777777">
      <w:pPr>
        <w:pStyle w:val="TOC2"/>
        <w:tabs>
          <w:tab w:val="left" w:pos="360"/>
        </w:tabs>
        <w:rPr>
          <w:rFonts w:ascii="Calibri" w:hAnsi="Calibri"/>
          <w:snapToGrid/>
          <w:kern w:val="0"/>
          <w:szCs w:val="22"/>
        </w:rPr>
      </w:pPr>
      <w:r>
        <w:t>A.</w:t>
      </w:r>
      <w:r w:rsidRPr="006D6945">
        <w:rPr>
          <w:rFonts w:ascii="Calibri" w:hAnsi="Calibri"/>
          <w:snapToGrid/>
          <w:kern w:val="0"/>
          <w:szCs w:val="22"/>
        </w:rPr>
        <w:tab/>
      </w:r>
      <w:r>
        <w:t>Payment of Regulatory Fees</w:t>
      </w:r>
      <w:r>
        <w:tab/>
        <w:t>42</w:t>
      </w:r>
    </w:p>
    <w:p w:rsidR="006F7AD6" w:rsidRPr="006D6945" w:rsidP="006F7AD6" w14:paraId="7928CB88" w14:textId="77777777">
      <w:pPr>
        <w:pStyle w:val="TOC2"/>
        <w:tabs>
          <w:tab w:val="left" w:pos="360"/>
        </w:tabs>
        <w:rPr>
          <w:rFonts w:ascii="Calibri" w:hAnsi="Calibri"/>
          <w:snapToGrid/>
          <w:kern w:val="0"/>
          <w:szCs w:val="22"/>
        </w:rPr>
      </w:pPr>
      <w:r>
        <w:t>B.</w:t>
      </w:r>
      <w:r w:rsidRPr="006D6945">
        <w:rPr>
          <w:rFonts w:ascii="Calibri" w:hAnsi="Calibri"/>
          <w:snapToGrid/>
          <w:kern w:val="0"/>
          <w:szCs w:val="22"/>
        </w:rPr>
        <w:tab/>
      </w:r>
      <w:r>
        <w:t>Commercial Mobile Radio Service (CMRS) and Mobile Services Assessments</w:t>
      </w:r>
      <w:r>
        <w:tab/>
        <w:t>45</w:t>
      </w:r>
    </w:p>
    <w:p w:rsidR="006F7AD6" w:rsidRPr="006D6945" w:rsidP="006F7AD6" w14:paraId="2D1510BA" w14:textId="77777777">
      <w:pPr>
        <w:pStyle w:val="TOC2"/>
        <w:tabs>
          <w:tab w:val="left" w:pos="360"/>
        </w:tabs>
        <w:rPr>
          <w:rFonts w:ascii="Calibri" w:hAnsi="Calibri"/>
          <w:snapToGrid/>
          <w:kern w:val="0"/>
          <w:szCs w:val="22"/>
        </w:rPr>
      </w:pPr>
      <w:r>
        <w:t>C.</w:t>
      </w:r>
      <w:r w:rsidRPr="006D6945">
        <w:rPr>
          <w:rFonts w:ascii="Calibri" w:hAnsi="Calibri"/>
          <w:snapToGrid/>
          <w:kern w:val="0"/>
          <w:szCs w:val="22"/>
        </w:rPr>
        <w:tab/>
      </w:r>
      <w:r>
        <w:t>Initial Regulatory Flexibility Analysis</w:t>
      </w:r>
      <w:r>
        <w:tab/>
        <w:t>48</w:t>
      </w:r>
    </w:p>
    <w:p w:rsidR="006F7AD6" w:rsidRPr="006D6945" w:rsidP="006F7AD6" w14:paraId="1C2F6DD7" w14:textId="77777777">
      <w:pPr>
        <w:pStyle w:val="TOC2"/>
        <w:tabs>
          <w:tab w:val="left" w:pos="360"/>
        </w:tabs>
        <w:rPr>
          <w:rFonts w:ascii="Calibri" w:hAnsi="Calibri"/>
          <w:snapToGrid/>
          <w:kern w:val="0"/>
          <w:szCs w:val="22"/>
        </w:rPr>
      </w:pPr>
      <w:r>
        <w:t>D.</w:t>
      </w:r>
      <w:r w:rsidRPr="006D6945">
        <w:rPr>
          <w:rFonts w:ascii="Calibri" w:hAnsi="Calibri"/>
          <w:snapToGrid/>
          <w:kern w:val="0"/>
          <w:szCs w:val="22"/>
        </w:rPr>
        <w:tab/>
      </w:r>
      <w:r>
        <w:t>Initial Paperwork Reduction Act of 1995 Analysis</w:t>
      </w:r>
      <w:r>
        <w:tab/>
        <w:t>49</w:t>
      </w:r>
    </w:p>
    <w:p w:rsidR="006F7AD6" w:rsidRPr="006D6945" w:rsidP="006F7AD6" w14:paraId="62958268" w14:textId="77777777">
      <w:pPr>
        <w:pStyle w:val="TOC2"/>
        <w:tabs>
          <w:tab w:val="left" w:pos="360"/>
        </w:tabs>
        <w:rPr>
          <w:rFonts w:ascii="Calibri" w:hAnsi="Calibri"/>
          <w:snapToGrid/>
          <w:kern w:val="0"/>
          <w:szCs w:val="22"/>
        </w:rPr>
      </w:pPr>
      <w:r>
        <w:t>E.</w:t>
      </w:r>
      <w:r w:rsidRPr="006D6945">
        <w:rPr>
          <w:rFonts w:ascii="Calibri" w:hAnsi="Calibri"/>
          <w:snapToGrid/>
          <w:kern w:val="0"/>
          <w:szCs w:val="22"/>
        </w:rPr>
        <w:tab/>
      </w:r>
      <w:r>
        <w:t>Filing Instructions</w:t>
      </w:r>
      <w:r>
        <w:tab/>
        <w:t>50</w:t>
      </w:r>
    </w:p>
    <w:p w:rsidR="006F7AD6" w:rsidRPr="006D6945" w:rsidP="006F7AD6" w14:paraId="1CB8BD8E" w14:textId="77777777">
      <w:pPr>
        <w:pStyle w:val="TOC2"/>
        <w:tabs>
          <w:tab w:val="left" w:pos="360"/>
        </w:tabs>
        <w:rPr>
          <w:rFonts w:ascii="Calibri" w:hAnsi="Calibri"/>
          <w:snapToGrid/>
          <w:kern w:val="0"/>
          <w:szCs w:val="22"/>
        </w:rPr>
      </w:pPr>
      <w:r>
        <w:t>F.</w:t>
      </w:r>
      <w:r w:rsidRPr="006D6945">
        <w:rPr>
          <w:rFonts w:ascii="Calibri" w:hAnsi="Calibri"/>
          <w:snapToGrid/>
          <w:kern w:val="0"/>
          <w:szCs w:val="22"/>
        </w:rPr>
        <w:tab/>
      </w:r>
      <w:r>
        <w:t>Ex Parte Information</w:t>
      </w:r>
      <w:r>
        <w:tab/>
        <w:t>52</w:t>
      </w:r>
    </w:p>
    <w:p w:rsidR="006F7AD6" w:rsidRPr="006D6945" w:rsidP="006F7AD6" w14:paraId="764CA808" w14:textId="77777777">
      <w:pPr>
        <w:pStyle w:val="TOC1"/>
        <w:rPr>
          <w:rFonts w:ascii="Calibri" w:hAnsi="Calibri"/>
          <w:caps w:val="0"/>
          <w:snapToGrid/>
          <w:kern w:val="0"/>
          <w:szCs w:val="22"/>
        </w:rPr>
      </w:pPr>
      <w:r w:rsidRPr="0098463D">
        <w:t>V.</w:t>
      </w:r>
      <w:r w:rsidRPr="006D6945">
        <w:rPr>
          <w:rFonts w:ascii="Calibri" w:hAnsi="Calibri"/>
          <w:caps w:val="0"/>
          <w:snapToGrid/>
          <w:kern w:val="0"/>
          <w:szCs w:val="22"/>
        </w:rPr>
        <w:tab/>
      </w:r>
      <w:r w:rsidRPr="0098463D">
        <w:t>Ordering clause</w:t>
      </w:r>
      <w:r>
        <w:tab/>
        <w:t>53</w:t>
      </w:r>
    </w:p>
    <w:p w:rsidR="006F7AD6" w:rsidP="006F7AD6" w14:paraId="75D724A1" w14:textId="77777777">
      <w:pPr>
        <w:pStyle w:val="TOC2"/>
        <w:tabs>
          <w:tab w:val="left" w:pos="360"/>
        </w:tabs>
      </w:pPr>
      <w:r>
        <w:t>APPENDIX A—Calculation of FY 2019 Revenue Requirements and Pro-Rata Fees</w:t>
      </w:r>
    </w:p>
    <w:p w:rsidR="006F7AD6" w:rsidRPr="006D6945" w:rsidP="006F7AD6" w14:paraId="59A519B7" w14:textId="77777777">
      <w:r w:rsidRPr="006D6945">
        <w:t xml:space="preserve">      APPENDIX B—Proposed Regulatory Fees for FY 2019</w:t>
      </w:r>
    </w:p>
    <w:p w:rsidR="006F7AD6" w:rsidP="006F7AD6" w14:paraId="2DD86A9B" w14:textId="77777777">
      <w:r w:rsidRPr="006D6945">
        <w:t xml:space="preserve">      APPENDIX C—FY 2019 Full-Power Broadcast Television Regulatory Fees by Call Sign</w:t>
      </w:r>
      <w:r>
        <w:tab/>
      </w:r>
      <w:r>
        <w:tab/>
      </w:r>
    </w:p>
    <w:p w:rsidR="006F7AD6" w:rsidP="006F7AD6" w14:paraId="627E9014" w14:textId="77777777">
      <w:r>
        <w:t xml:space="preserve">      APPENDIX D—Sources of Payment Unit Estimates for FY 2019</w:t>
      </w:r>
    </w:p>
    <w:p w:rsidR="006F7AD6" w:rsidP="006F7AD6" w14:paraId="2C6A2BF4" w14:textId="77777777">
      <w:r>
        <w:t xml:space="preserve">      APPENDIX E—Factors, Measurements, and Calculations that Determine Station Signal Contours </w:t>
      </w:r>
    </w:p>
    <w:p w:rsidR="006F7AD6" w:rsidP="006F7AD6" w14:paraId="0024FD92" w14:textId="77777777">
      <w:r>
        <w:t xml:space="preserve">      APPENDIX F—Summary of Regulatory Fee Categories</w:t>
      </w:r>
    </w:p>
    <w:p w:rsidR="006F7AD6" w:rsidP="006F7AD6" w14:paraId="262079EC" w14:textId="77777777">
      <w:r>
        <w:t xml:space="preserve">      APPENDIX G—FY 2018 Schedule of Regulatory Fees</w:t>
      </w:r>
    </w:p>
    <w:p w:rsidR="006F7AD6" w:rsidP="006F7AD6" w14:paraId="46F208D5" w14:textId="77777777">
      <w:r>
        <w:t xml:space="preserve">      APPENDIX H—RAY BAUM’S Act and Former Section 9 of the Act</w:t>
      </w:r>
    </w:p>
    <w:p w:rsidR="006F7AD6" w:rsidP="006F7AD6" w14:paraId="4E49C126" w14:textId="77777777">
      <w:r>
        <w:t xml:space="preserve">      APPENDIX I—Initial Regulatory Flexibility Analysis</w:t>
      </w:r>
    </w:p>
    <w:p w:rsidR="006F7AD6" w:rsidRPr="00133AAB" w:rsidP="006F7AD6" w14:paraId="7E83AC9D" w14:textId="77777777">
      <w:r>
        <w:tab/>
      </w:r>
      <w:r>
        <w:tab/>
      </w:r>
      <w:r>
        <w:tab/>
      </w:r>
      <w:r>
        <w:tab/>
      </w:r>
      <w:r>
        <w:tab/>
      </w:r>
      <w:r>
        <w:tab/>
      </w:r>
    </w:p>
    <w:p w:rsidR="006F7AD6" w:rsidRPr="003C560E" w:rsidP="006F7AD6" w14:paraId="1C81ECC3" w14:textId="77777777">
      <w:pPr>
        <w:pStyle w:val="Heading1"/>
        <w:rPr>
          <w:rFonts w:ascii="Times New Roman" w:hAnsi="Times New Roman"/>
          <w:szCs w:val="22"/>
        </w:rPr>
      </w:pPr>
      <w:bookmarkStart w:id="3" w:name="_Toc6326135"/>
      <w:bookmarkEnd w:id="1"/>
      <w:r w:rsidRPr="003C560E">
        <w:rPr>
          <w:rFonts w:ascii="Times New Roman" w:hAnsi="Times New Roman"/>
          <w:szCs w:val="22"/>
        </w:rPr>
        <w:t>introduction</w:t>
      </w:r>
      <w:bookmarkEnd w:id="3"/>
    </w:p>
    <w:p w:rsidR="006F7AD6" w:rsidP="006F7AD6" w14:paraId="3F64B3B4" w14:textId="77777777">
      <w:pPr>
        <w:pStyle w:val="ParaNum"/>
        <w:rPr>
          <w:szCs w:val="22"/>
        </w:rPr>
      </w:pPr>
      <w:r w:rsidRPr="003C560E">
        <w:t xml:space="preserve">In this Notice of Proposed Rulemaking, </w:t>
      </w:r>
      <w:r>
        <w:t xml:space="preserve">we seek comment on the Commission’s proposed regulatory fees for fiscal year (FY) 2019.  Specifically, we propose to </w:t>
      </w:r>
      <w:r w:rsidRPr="003C560E">
        <w:t>collect $</w:t>
      </w:r>
      <w:r>
        <w:t>339,000,000</w:t>
      </w:r>
      <w:r w:rsidRPr="003C560E">
        <w:t xml:space="preserve"> in regulatory fees for FY 2019,</w:t>
      </w:r>
      <w:r>
        <w:rPr>
          <w:rStyle w:val="FootnoteReference"/>
          <w:szCs w:val="22"/>
        </w:rPr>
        <w:footnoteReference w:id="3"/>
      </w:r>
      <w:r>
        <w:t xml:space="preserve"> pursuant to sections 9 and 9A of the Communications Act of 1934, as amended (Act or Communications Act), and the Commission’s FY 2019 Appropriation.</w:t>
      </w:r>
      <w:r>
        <w:rPr>
          <w:rStyle w:val="FootnoteReference"/>
          <w:szCs w:val="22"/>
        </w:rPr>
        <w:footnoteReference w:id="4"/>
      </w:r>
      <w:r w:rsidRPr="003C560E">
        <w:t xml:space="preserve"> </w:t>
      </w:r>
      <w:r>
        <w:t xml:space="preserve"> </w:t>
      </w:r>
      <w:r w:rsidRPr="00F704D8">
        <w:rPr>
          <w:szCs w:val="22"/>
        </w:rPr>
        <w:t xml:space="preserve">The </w:t>
      </w:r>
      <w:r>
        <w:rPr>
          <w:szCs w:val="22"/>
        </w:rPr>
        <w:t xml:space="preserve">proposed </w:t>
      </w:r>
      <w:r w:rsidRPr="00F704D8">
        <w:rPr>
          <w:szCs w:val="22"/>
        </w:rPr>
        <w:t xml:space="preserve">regulatory fee schedule </w:t>
      </w:r>
      <w:r>
        <w:rPr>
          <w:szCs w:val="22"/>
        </w:rPr>
        <w:t xml:space="preserve">for FY 2019 </w:t>
      </w:r>
      <w:r w:rsidRPr="00F704D8">
        <w:rPr>
          <w:szCs w:val="22"/>
        </w:rPr>
        <w:t>is set forth in Appendi</w:t>
      </w:r>
      <w:r>
        <w:rPr>
          <w:szCs w:val="22"/>
        </w:rPr>
        <w:t>ces</w:t>
      </w:r>
      <w:r w:rsidRPr="00F704D8">
        <w:rPr>
          <w:szCs w:val="22"/>
        </w:rPr>
        <w:t xml:space="preserve"> B</w:t>
      </w:r>
      <w:r>
        <w:rPr>
          <w:szCs w:val="22"/>
        </w:rPr>
        <w:t xml:space="preserve"> and C.  </w:t>
      </w:r>
      <w:r w:rsidRPr="00BF4959">
        <w:t xml:space="preserve">For comparison purposes, the FY 2018 regulatory fee rates are listed in Appendix </w:t>
      </w:r>
      <w:r>
        <w:t>G.  In this Notice, we also seek comment on modifications to the Commission’s regulatory fee authority under the RAY BAUM’S Act of 2018.</w:t>
      </w:r>
    </w:p>
    <w:p w:rsidR="006F7AD6" w:rsidRPr="003C560E" w:rsidP="006F7AD6" w14:paraId="154EE971" w14:textId="77777777">
      <w:pPr>
        <w:pStyle w:val="Heading1"/>
        <w:rPr>
          <w:rFonts w:ascii="Times New Roman" w:hAnsi="Times New Roman"/>
          <w:szCs w:val="22"/>
        </w:rPr>
      </w:pPr>
      <w:bookmarkStart w:id="4" w:name="_Toc6326136"/>
      <w:r w:rsidRPr="003C560E">
        <w:rPr>
          <w:rFonts w:ascii="Times New Roman" w:hAnsi="Times New Roman"/>
          <w:szCs w:val="22"/>
        </w:rPr>
        <w:t>background</w:t>
      </w:r>
      <w:bookmarkEnd w:id="4"/>
    </w:p>
    <w:p w:rsidR="006F7AD6" w:rsidP="006F7AD6" w14:paraId="0F5E60DB" w14:textId="77777777">
      <w:pPr>
        <w:pStyle w:val="ParaNum"/>
      </w:pPr>
      <w:bookmarkStart w:id="5" w:name="_Hlk536608326"/>
      <w:r w:rsidRPr="00CF2B90">
        <w:t xml:space="preserve">In 2018, </w:t>
      </w:r>
      <w:r>
        <w:t xml:space="preserve">as part of the RAY BAUM’S Act, </w:t>
      </w:r>
      <w:r w:rsidRPr="00CF2B90">
        <w:t xml:space="preserve">Congress </w:t>
      </w:r>
      <w:r>
        <w:t xml:space="preserve">revised </w:t>
      </w:r>
      <w:r w:rsidRPr="00CF2B90">
        <w:t>the Commission’s regulatory fee authority</w:t>
      </w:r>
      <w:r>
        <w:t xml:space="preserve"> by </w:t>
      </w:r>
      <w:r w:rsidRPr="00CF2B90">
        <w:t>modif</w:t>
      </w:r>
      <w:r>
        <w:t>ying s</w:t>
      </w:r>
      <w:r w:rsidRPr="00CF2B90">
        <w:t xml:space="preserve">ection 9 </w:t>
      </w:r>
      <w:r>
        <w:t xml:space="preserve">and adding section 9A to </w:t>
      </w:r>
      <w:r w:rsidRPr="00CF2B90">
        <w:t>the Communications Act.</w:t>
      </w:r>
      <w:r>
        <w:rPr>
          <w:rStyle w:val="FootnoteReference"/>
          <w:sz w:val="22"/>
          <w:szCs w:val="22"/>
        </w:rPr>
        <w:footnoteReference w:id="5"/>
      </w:r>
      <w:r w:rsidRPr="00CF2B90">
        <w:t xml:space="preserve">  In making </w:t>
      </w:r>
      <w:r>
        <w:t xml:space="preserve">such changes, </w:t>
      </w:r>
      <w:r w:rsidRPr="00CF2B90">
        <w:t xml:space="preserve">Congress deleted outdated language from the statute, removed the </w:t>
      </w:r>
      <w:r>
        <w:t xml:space="preserve">now obsolete </w:t>
      </w:r>
      <w:r w:rsidRPr="00CF2B90">
        <w:t xml:space="preserve">statutory schedule of </w:t>
      </w:r>
      <w:r>
        <w:t xml:space="preserve">regulatory </w:t>
      </w:r>
      <w:r w:rsidRPr="00CF2B90">
        <w:t>fees</w:t>
      </w:r>
      <w:r>
        <w:t xml:space="preserve"> originally adopted in 1993</w:t>
      </w:r>
      <w:r w:rsidRPr="00CF2B90">
        <w:t>,</w:t>
      </w:r>
      <w:r>
        <w:rPr>
          <w:rStyle w:val="FootnoteReference"/>
        </w:rPr>
        <w:footnoteReference w:id="6"/>
      </w:r>
      <w:r w:rsidRPr="00CF2B90">
        <w:t xml:space="preserve"> </w:t>
      </w:r>
      <w:r>
        <w:t>redirected</w:t>
      </w:r>
      <w:r w:rsidRPr="00CF2B90">
        <w:t xml:space="preserve"> the Commission </w:t>
      </w:r>
      <w:r>
        <w:t>on how to update</w:t>
      </w:r>
      <w:r w:rsidRPr="00CF2B90">
        <w:t xml:space="preserve"> regulatory fees, and revised and reformatted </w:t>
      </w:r>
      <w:r>
        <w:t xml:space="preserve">other </w:t>
      </w:r>
      <w:r w:rsidRPr="00CF2B90">
        <w:t>provisions of the statute.</w:t>
      </w:r>
      <w:r>
        <w:rPr>
          <w:rStyle w:val="FootnoteReference"/>
          <w:szCs w:val="22"/>
        </w:rPr>
        <w:footnoteReference w:id="7"/>
      </w:r>
      <w:r>
        <w:t xml:space="preserve">  </w:t>
      </w:r>
      <w:r w:rsidRPr="00CF2B90">
        <w:t xml:space="preserve">Congress directed the Commission to complete a </w:t>
      </w:r>
      <w:r>
        <w:t xml:space="preserve">regulatory fee </w:t>
      </w:r>
      <w:r w:rsidRPr="00CF2B90">
        <w:t xml:space="preserve">rulemaking under the </w:t>
      </w:r>
      <w:r>
        <w:t>modified statute</w:t>
      </w:r>
      <w:r w:rsidRPr="00CF2B90">
        <w:t xml:space="preserve"> by October 2019.</w:t>
      </w:r>
      <w:r>
        <w:rPr>
          <w:rStyle w:val="FootnoteReference"/>
          <w:sz w:val="22"/>
          <w:szCs w:val="22"/>
        </w:rPr>
        <w:footnoteReference w:id="8"/>
      </w:r>
      <w:r w:rsidRPr="00CF2B90">
        <w:t xml:space="preserve">  </w:t>
      </w:r>
    </w:p>
    <w:p w:rsidR="006F7AD6" w:rsidRPr="007E19B2" w:rsidP="006F7AD6" w14:paraId="32B66C01" w14:textId="77777777">
      <w:pPr>
        <w:pStyle w:val="ParaNum"/>
        <w:rPr>
          <w:szCs w:val="22"/>
        </w:rPr>
      </w:pPr>
      <w:r>
        <w:t xml:space="preserve">Congress established the Commission’s regulatory fee authority in 1993 when Congress adopted a statutory schedule of regulatory fees </w:t>
      </w:r>
      <w:r w:rsidRPr="0035088B">
        <w:t>and charged the Commission with updating and amending the schedule pursuant to statutory guidance on an annual basis.</w:t>
      </w:r>
      <w:r>
        <w:rPr>
          <w:rStyle w:val="FootnoteReference"/>
        </w:rPr>
        <w:footnoteReference w:id="9"/>
      </w:r>
      <w:r>
        <w:t xml:space="preserve">  </w:t>
      </w:r>
      <w:r w:rsidRPr="00A07D6B">
        <w:t xml:space="preserve">The Commission discharged </w:t>
      </w:r>
      <w:r>
        <w:t xml:space="preserve">its statutory </w:t>
      </w:r>
      <w:r w:rsidRPr="00A07D6B">
        <w:t xml:space="preserve">obligation by </w:t>
      </w:r>
      <w:r>
        <w:t xml:space="preserve">(1) </w:t>
      </w:r>
      <w:r w:rsidRPr="00A07D6B">
        <w:t>adopting regulatory fee rules</w:t>
      </w:r>
      <w:r>
        <w:rPr>
          <w:rStyle w:val="FootnoteReference"/>
        </w:rPr>
        <w:footnoteReference w:id="10"/>
      </w:r>
      <w:r w:rsidRPr="00A07D6B">
        <w:t xml:space="preserve"> </w:t>
      </w:r>
      <w:r>
        <w:t>and descriptions of each fee category listed in the statute</w:t>
      </w:r>
      <w:r>
        <w:rPr>
          <w:rStyle w:val="FootnoteReference"/>
        </w:rPr>
        <w:footnoteReference w:id="11"/>
      </w:r>
      <w:r>
        <w:t xml:space="preserve"> and (2) </w:t>
      </w:r>
      <w:r w:rsidRPr="00A07D6B">
        <w:t xml:space="preserve">annually making adjustments to the fee schedule through a notice and comment </w:t>
      </w:r>
      <w:r>
        <w:t xml:space="preserve">rulemaking </w:t>
      </w:r>
      <w:r w:rsidRPr="00A07D6B">
        <w:t>proceeding.</w:t>
      </w:r>
      <w:r>
        <w:rPr>
          <w:rStyle w:val="FootnoteReference"/>
        </w:rPr>
        <w:footnoteReference w:id="12"/>
      </w:r>
      <w:r>
        <w:t xml:space="preserve">  Such annual reviews of the fee </w:t>
      </w:r>
      <w:r w:rsidRPr="008D79FB">
        <w:t xml:space="preserve">schedule proposed </w:t>
      </w:r>
      <w:r>
        <w:t>revisions</w:t>
      </w:r>
      <w:r w:rsidRPr="008D79FB">
        <w:t xml:space="preserve"> to the schedule to reflect changes in the amount of the Commission’s appropriation and other changes based upon the criteria included in </w:t>
      </w:r>
      <w:r>
        <w:t>s</w:t>
      </w:r>
      <w:r w:rsidRPr="008D79FB">
        <w:t xml:space="preserve">ection 9 of the Communications Act.  </w:t>
      </w:r>
    </w:p>
    <w:p w:rsidR="006F7AD6" w:rsidRPr="00020395" w:rsidP="006F7AD6" w14:paraId="1B5A2FEB" w14:textId="77777777">
      <w:pPr>
        <w:pStyle w:val="ParaNum"/>
        <w:rPr>
          <w:szCs w:val="22"/>
        </w:rPr>
      </w:pPr>
      <w:r>
        <w:t xml:space="preserve">Since 1993, the Commission has made numerous changes to the schedule.  </w:t>
      </w:r>
      <w:r>
        <w:rPr>
          <w:szCs w:val="22"/>
        </w:rPr>
        <w:t>In making such changes, the Commission used the statutory criterion that the fee reflect the benefits provided to the payor of the fee and factors reasonably related to that criterion.  For example, i</w:t>
      </w:r>
      <w:r w:rsidRPr="00940E2F">
        <w:rPr>
          <w:szCs w:val="22"/>
        </w:rPr>
        <w:t xml:space="preserve">n the </w:t>
      </w:r>
      <w:r w:rsidRPr="00940E2F">
        <w:rPr>
          <w:i/>
        </w:rPr>
        <w:t>FY 2013 Report and Order</w:t>
      </w:r>
      <w:r>
        <w:t>,</w:t>
      </w:r>
      <w:r w:rsidRPr="00940E2F">
        <w:rPr>
          <w:i/>
        </w:rPr>
        <w:t xml:space="preserve"> </w:t>
      </w:r>
      <w:r>
        <w:t>the Commission updated the full-time equivalents (FTE)</w:t>
      </w:r>
      <w:r>
        <w:rPr>
          <w:rStyle w:val="FootnoteReference"/>
        </w:rPr>
        <w:footnoteReference w:id="13"/>
      </w:r>
      <w:r>
        <w:t xml:space="preserve"> allocations to more accurately reflect the number of FTEs working on regulation and oversight of regulatees in the fee categories.</w:t>
      </w:r>
      <w:r>
        <w:rPr>
          <w:rStyle w:val="FootnoteReference"/>
          <w:sz w:val="22"/>
          <w:szCs w:val="22"/>
        </w:rPr>
        <w:footnoteReference w:id="14"/>
      </w:r>
      <w:r w:rsidRPr="00020395">
        <w:rPr>
          <w:szCs w:val="22"/>
        </w:rPr>
        <w:t xml:space="preserve">  </w:t>
      </w:r>
      <w:r>
        <w:rPr>
          <w:szCs w:val="22"/>
        </w:rPr>
        <w:t xml:space="preserve">The Commission has since updated the FTE allocations annually.  Other recent examples include the </w:t>
      </w:r>
      <w:r w:rsidRPr="00A81EEF">
        <w:rPr>
          <w:i/>
          <w:szCs w:val="22"/>
        </w:rPr>
        <w:t>FY 2015 NPRM</w:t>
      </w:r>
      <w:r>
        <w:rPr>
          <w:szCs w:val="22"/>
        </w:rPr>
        <w:t xml:space="preserve">, where </w:t>
      </w:r>
      <w:r w:rsidRPr="00020395">
        <w:rPr>
          <w:szCs w:val="22"/>
        </w:rPr>
        <w:t xml:space="preserve">the Commission adopted a regulatory fee category for </w:t>
      </w:r>
      <w:r>
        <w:rPr>
          <w:szCs w:val="22"/>
        </w:rPr>
        <w:t>Direct Broadcast Satellite (</w:t>
      </w:r>
      <w:r w:rsidRPr="00020395">
        <w:rPr>
          <w:szCs w:val="22"/>
        </w:rPr>
        <w:t>DBS</w:t>
      </w:r>
      <w:r>
        <w:rPr>
          <w:szCs w:val="22"/>
        </w:rPr>
        <w:t>)</w:t>
      </w:r>
      <w:r w:rsidRPr="00020395">
        <w:rPr>
          <w:szCs w:val="22"/>
        </w:rPr>
        <w:t>, as a subcategory of the cable television and IPTV fee category.</w:t>
      </w:r>
      <w:r>
        <w:rPr>
          <w:rStyle w:val="FootnoteReference"/>
          <w:sz w:val="22"/>
          <w:szCs w:val="22"/>
        </w:rPr>
        <w:footnoteReference w:id="15"/>
      </w:r>
      <w:r w:rsidRPr="00020395">
        <w:rPr>
          <w:szCs w:val="22"/>
        </w:rPr>
        <w:t xml:space="preserve"> </w:t>
      </w:r>
      <w:r>
        <w:rPr>
          <w:szCs w:val="22"/>
        </w:rPr>
        <w:t xml:space="preserve"> In explaining the change, the Commission described both the change in the service and the Commission’s regulation thereof in the decades since adoption of the original fee schedule and how DBS providers benefited from the </w:t>
      </w:r>
      <w:r w:rsidRPr="00020395">
        <w:rPr>
          <w:szCs w:val="22"/>
        </w:rPr>
        <w:t>work of</w:t>
      </w:r>
      <w:r>
        <w:rPr>
          <w:szCs w:val="22"/>
        </w:rPr>
        <w:t xml:space="preserve"> Media Bureau FTEs</w:t>
      </w:r>
      <w:r w:rsidRPr="00020395">
        <w:rPr>
          <w:szCs w:val="22"/>
        </w:rPr>
        <w:t xml:space="preserve"> on</w:t>
      </w:r>
      <w:r>
        <w:rPr>
          <w:szCs w:val="22"/>
        </w:rPr>
        <w:t xml:space="preserve"> </w:t>
      </w:r>
      <w:r w:rsidRPr="003C560E">
        <w:rPr>
          <w:szCs w:val="22"/>
        </w:rPr>
        <w:t>multichannel video programming distributors (MVPDs)</w:t>
      </w:r>
      <w:r>
        <w:rPr>
          <w:szCs w:val="22"/>
        </w:rPr>
        <w:t>.</w:t>
      </w:r>
      <w:r>
        <w:rPr>
          <w:rStyle w:val="FootnoteReference"/>
          <w:sz w:val="22"/>
          <w:szCs w:val="22"/>
        </w:rPr>
        <w:footnoteReference w:id="16"/>
      </w:r>
      <w:r w:rsidRPr="00020395">
        <w:rPr>
          <w:szCs w:val="22"/>
        </w:rPr>
        <w:t xml:space="preserve">  </w:t>
      </w:r>
      <w:r>
        <w:rPr>
          <w:szCs w:val="22"/>
        </w:rPr>
        <w:t>And i</w:t>
      </w:r>
      <w:r w:rsidRPr="00020395">
        <w:rPr>
          <w:szCs w:val="22"/>
        </w:rPr>
        <w:t xml:space="preserve">n the </w:t>
      </w:r>
      <w:r w:rsidRPr="00020395">
        <w:rPr>
          <w:i/>
          <w:szCs w:val="22"/>
        </w:rPr>
        <w:t>FY 2016 Report and Order</w:t>
      </w:r>
      <w:r w:rsidRPr="00020395">
        <w:rPr>
          <w:szCs w:val="22"/>
        </w:rPr>
        <w:t>, the Commission adjusted regulatory fees for radio and television broadcasters, based on the type and class of service and on the population served.</w:t>
      </w:r>
      <w:r>
        <w:rPr>
          <w:rStyle w:val="FootnoteReference"/>
          <w:sz w:val="22"/>
          <w:szCs w:val="22"/>
        </w:rPr>
        <w:footnoteReference w:id="17"/>
      </w:r>
      <w:r w:rsidRPr="00020395">
        <w:rPr>
          <w:szCs w:val="22"/>
        </w:rPr>
        <w:t xml:space="preserve"> </w:t>
      </w:r>
      <w:r>
        <w:rPr>
          <w:szCs w:val="22"/>
        </w:rPr>
        <w:t xml:space="preserve"> </w:t>
      </w:r>
      <w:bookmarkStart w:id="6" w:name="_Hlk5291500"/>
      <w:r>
        <w:rPr>
          <w:szCs w:val="22"/>
        </w:rPr>
        <w:t xml:space="preserve">The Commission has also made other improvements to its regulatory fee analysis as part of its annual review.  For example, in the </w:t>
      </w:r>
      <w:r w:rsidRPr="00137EED">
        <w:rPr>
          <w:i/>
          <w:szCs w:val="22"/>
        </w:rPr>
        <w:t>FY 2017 Report and Order</w:t>
      </w:r>
      <w:r>
        <w:rPr>
          <w:szCs w:val="22"/>
        </w:rPr>
        <w:t xml:space="preserve">, </w:t>
      </w:r>
      <w:r w:rsidRPr="008258FF">
        <w:rPr>
          <w:szCs w:val="22"/>
        </w:rPr>
        <w:t>the Commission included non-common carrier terrestrial international bearer circuits in the regulatory fee methodology and increased the de minimis threshold to $1,000 for annual regulatory fee payors</w:t>
      </w:r>
      <w:r>
        <w:rPr>
          <w:szCs w:val="22"/>
        </w:rPr>
        <w:t>.</w:t>
      </w:r>
      <w:r>
        <w:rPr>
          <w:rStyle w:val="FootnoteReference"/>
          <w:szCs w:val="22"/>
        </w:rPr>
        <w:footnoteReference w:id="18"/>
      </w:r>
    </w:p>
    <w:p w:rsidR="006F7AD6" w:rsidP="006F7AD6" w14:paraId="6DECFDC5" w14:textId="77777777">
      <w:pPr>
        <w:pStyle w:val="Heading1"/>
        <w:rPr>
          <w:rFonts w:ascii="Times New Roman" w:hAnsi="Times New Roman"/>
          <w:szCs w:val="22"/>
        </w:rPr>
      </w:pPr>
      <w:bookmarkStart w:id="7" w:name="_Toc6326137"/>
      <w:bookmarkEnd w:id="6"/>
      <w:r w:rsidRPr="003C560E">
        <w:rPr>
          <w:rFonts w:ascii="Times New Roman" w:hAnsi="Times New Roman"/>
          <w:szCs w:val="22"/>
        </w:rPr>
        <w:t>discussion</w:t>
      </w:r>
      <w:bookmarkEnd w:id="7"/>
    </w:p>
    <w:p w:rsidR="006F7AD6" w:rsidP="00886011" w14:paraId="37D05FA2" w14:textId="77777777">
      <w:pPr>
        <w:pStyle w:val="ParaNum"/>
        <w:widowControl/>
      </w:pPr>
      <w:r w:rsidRPr="00B50F08">
        <w:t xml:space="preserve">In this Notice of Proposed Rulemaking, we </w:t>
      </w:r>
      <w:r>
        <w:t xml:space="preserve">(1) </w:t>
      </w:r>
      <w:r w:rsidRPr="00B50F08">
        <w:t xml:space="preserve">explain </w:t>
      </w:r>
      <w:r>
        <w:t xml:space="preserve">and seek comment on </w:t>
      </w:r>
      <w:r w:rsidRPr="00B50F08">
        <w:t xml:space="preserve">the </w:t>
      </w:r>
      <w:r>
        <w:t>RAY BAUM’S Act</w:t>
      </w:r>
      <w:r w:rsidRPr="00B50F08">
        <w:t xml:space="preserve"> modifications to the Commission’s regulatory fee authority</w:t>
      </w:r>
      <w:r>
        <w:t xml:space="preserve">; (2) propose and seek comment on </w:t>
      </w:r>
      <w:r w:rsidRPr="00B50F08">
        <w:t>a schedule</w:t>
      </w:r>
      <w:r>
        <w:t>,</w:t>
      </w:r>
      <w:r w:rsidRPr="00B50F08">
        <w:t xml:space="preserve"> as set forth in Appendices B and C</w:t>
      </w:r>
      <w:r>
        <w:t xml:space="preserve">, of FY 2019 regulatory fees, which are due in </w:t>
      </w:r>
      <w:r>
        <w:t xml:space="preserve">September 2019; and (3) propose and seek comment on granular aspects of the regulatory fee calculation for DBS providers, full-power broadcast television, and international bearer circuits.  </w:t>
      </w:r>
      <w:r w:rsidRPr="00B50F08">
        <w:t>Finally, we reaffirm and restate certain rules that are fundamental to the enforcement and collection aspects of the Commission’s regulatory fee regime.</w:t>
      </w:r>
    </w:p>
    <w:p w:rsidR="006F7AD6" w:rsidRPr="00325DFB" w:rsidP="006F7AD6" w14:paraId="4FF1A770" w14:textId="77777777">
      <w:pPr>
        <w:pStyle w:val="Heading2"/>
      </w:pPr>
      <w:bookmarkStart w:id="8" w:name="_Toc6326138"/>
      <w:r w:rsidRPr="00325DFB">
        <w:t>RAY BAUM’S Act Modifications to the Commission’s Regulatory Fee Authority</w:t>
      </w:r>
      <w:bookmarkEnd w:id="8"/>
    </w:p>
    <w:p w:rsidR="006F7AD6" w:rsidP="006F7AD6" w14:paraId="04B14883" w14:textId="77777777">
      <w:pPr>
        <w:pStyle w:val="ParaNum"/>
      </w:pPr>
      <w:r>
        <w:t>Although aspects of section 9 of the Communications Act have been modified by the RAY BAUM’S Act, the Commission’s core responsibilities under the statute remain unchanged.  The Commission remains charged with ensuring that regulatory fees will result in collections of amounts that can reasonably be expected to equal amounts appropriated by Congress for each fiscal year.</w:t>
      </w:r>
      <w:r>
        <w:rPr>
          <w:rStyle w:val="FootnoteReference"/>
          <w:szCs w:val="22"/>
        </w:rPr>
        <w:footnoteReference w:id="19"/>
      </w:r>
      <w:r>
        <w:t xml:space="preserve">  </w:t>
      </w:r>
    </w:p>
    <w:p w:rsidR="006F7AD6" w:rsidRPr="006D6945" w:rsidP="006F7AD6" w14:paraId="20376E62" w14:textId="77777777">
      <w:pPr>
        <w:pStyle w:val="ParaNum"/>
        <w:rPr>
          <w:color w:val="000000"/>
          <w:szCs w:val="22"/>
        </w:rPr>
      </w:pPr>
      <w:r w:rsidRPr="006D6945">
        <w:rPr>
          <w:color w:val="000000"/>
        </w:rPr>
        <w:t>In the RAY BAUM’S Act modifications, Congress deleted the obsolete schedule of regulatory fees codified in the former section 9(g) of the Act</w:t>
      </w:r>
      <w:r>
        <w:rPr>
          <w:rStyle w:val="FootnoteReference"/>
          <w:color w:val="000000"/>
        </w:rPr>
        <w:footnoteReference w:id="20"/>
      </w:r>
      <w:r w:rsidRPr="006D6945">
        <w:rPr>
          <w:color w:val="000000"/>
        </w:rPr>
        <w:t xml:space="preserve"> and directed the Commission to establish a new schedule of regulatory fees and to provide annual updates thereafter.</w:t>
      </w:r>
      <w:r>
        <w:rPr>
          <w:rStyle w:val="FootnoteReference"/>
          <w:color w:val="000000"/>
        </w:rPr>
        <w:footnoteReference w:id="21"/>
      </w:r>
      <w:r w:rsidRPr="006D6945">
        <w:rPr>
          <w:color w:val="000000"/>
        </w:rPr>
        <w:t xml:space="preserve">  In plain terms, Congress directed the Commission to establish a new </w:t>
      </w:r>
      <w:r w:rsidRPr="006D6945">
        <w:rPr>
          <w:color w:val="000000"/>
          <w:szCs w:val="22"/>
        </w:rPr>
        <w:t>schedule of regulatory fees by amending “the schedule of regulatory fees established under this section if the Commission determines that the schedule requires amendment so that such fees reflect the full-time equivalent number of employees within the bureaus and offices of the Commission, adjusted to take into account factors that are reasonably related to the benefits provided to the payor of the fee by the Commission’s activities.”</w:t>
      </w:r>
      <w:r>
        <w:rPr>
          <w:rStyle w:val="FootnoteReference"/>
          <w:color w:val="000000"/>
          <w:szCs w:val="22"/>
        </w:rPr>
        <w:footnoteReference w:id="22"/>
      </w:r>
      <w:r w:rsidRPr="006D6945">
        <w:rPr>
          <w:color w:val="000000"/>
          <w:szCs w:val="22"/>
        </w:rPr>
        <w:t xml:space="preserve">  Each year thereafter, the Commission is required to adjust the schedule of regulatory fees established under this section to “(A) reflect unexpected increases or decreases in the number of units subject to the payment of such fees; and (B) result in the collection of the amount required” by the Commission’s annual appropriation.</w:t>
      </w:r>
      <w:r>
        <w:rPr>
          <w:rStyle w:val="FootnoteReference"/>
          <w:color w:val="000000"/>
          <w:szCs w:val="22"/>
        </w:rPr>
        <w:footnoteReference w:id="23"/>
      </w:r>
      <w:r w:rsidRPr="006D6945">
        <w:rPr>
          <w:color w:val="000000"/>
          <w:szCs w:val="22"/>
        </w:rPr>
        <w:t xml:space="preserve">  In such annual regulatory fee adjustments, the Commission may make further amendments to the schedule if the Commission determines that the statutory criteria are satisfied.</w:t>
      </w:r>
    </w:p>
    <w:p w:rsidR="006F7AD6" w:rsidRPr="00DE0DD0" w:rsidP="006F7AD6" w14:paraId="09926033" w14:textId="77777777">
      <w:pPr>
        <w:pStyle w:val="ParaNum"/>
      </w:pPr>
      <w:r>
        <w:t>T</w:t>
      </w:r>
      <w:r w:rsidRPr="001E07D8">
        <w:t xml:space="preserve">he scheme as articulated under </w:t>
      </w:r>
      <w:r>
        <w:t>the RAY BAUM’S Act</w:t>
      </w:r>
      <w:r w:rsidRPr="001E07D8">
        <w:t xml:space="preserve"> is closely aligned to how the Commission implemented its authority under the prior version of</w:t>
      </w:r>
      <w:r>
        <w:t xml:space="preserve"> section 9 of the Communications Act</w:t>
      </w:r>
      <w:r w:rsidRPr="001E07D8">
        <w:t>.</w:t>
      </w:r>
      <w:r>
        <w:t xml:space="preserve">  Under both old and new versions of the statute, the Commission is charged with assessing and collecting regulatory fees that will result in collections of amounts that can reasonably be expected to equal amounts appropriated by Congress for each fiscal year.</w:t>
      </w:r>
      <w:r>
        <w:rPr>
          <w:rStyle w:val="FootnoteReference"/>
        </w:rPr>
        <w:footnoteReference w:id="24"/>
      </w:r>
      <w:r>
        <w:t xml:space="preserve">  Again, under both old and new versions of the statute, regulatory fees are initially apportioned across fee categories</w:t>
      </w:r>
      <w:r w:rsidRPr="00304149">
        <w:t xml:space="preserve"> </w:t>
      </w:r>
      <w:r>
        <w:t xml:space="preserve">based on </w:t>
      </w:r>
      <w:r w:rsidRPr="001E07D8">
        <w:t>the number of FTEs</w:t>
      </w:r>
      <w:bookmarkStart w:id="9" w:name="_Hlk4664692"/>
      <w:r>
        <w:t xml:space="preserve"> and adjusted</w:t>
      </w:r>
      <w:r w:rsidRPr="00D66C2A">
        <w:t xml:space="preserve"> “to take into account factors that are reasonably related to the benefits provided to the payor of the fee by the Commission’s activities.”</w:t>
      </w:r>
      <w:r>
        <w:rPr>
          <w:rStyle w:val="FootnoteReference"/>
          <w:sz w:val="22"/>
          <w:szCs w:val="22"/>
        </w:rPr>
        <w:footnoteReference w:id="25"/>
      </w:r>
      <w:r>
        <w:t xml:space="preserve">  Not surprisingly, t</w:t>
      </w:r>
      <w:r w:rsidRPr="00D85FB4">
        <w:t>he Commission’s consideration of changes, additions</w:t>
      </w:r>
      <w:r>
        <w:t>,</w:t>
      </w:r>
      <w:r w:rsidRPr="00D85FB4">
        <w:t xml:space="preserve"> or deletions to its fee schedule since 1993 have been focused on the FTE burdens related to the regulatory </w:t>
      </w:r>
      <w:r w:rsidRPr="00D85FB4">
        <w:t>fee category at issue.</w:t>
      </w:r>
      <w:r>
        <w:t xml:space="preserve">  A</w:t>
      </w:r>
      <w:r w:rsidRPr="00D85FB4">
        <w:t xml:space="preserve">s exercised, the </w:t>
      </w:r>
      <w:r>
        <w:t>Commission</w:t>
      </w:r>
      <w:r w:rsidRPr="00D85FB4">
        <w:t>’s fee determinations have been carefully considered.</w:t>
      </w:r>
      <w:r>
        <w:rPr>
          <w:rStyle w:val="FootnoteReference"/>
        </w:rPr>
        <w:footnoteReference w:id="26"/>
      </w:r>
      <w:r>
        <w:rPr>
          <w:szCs w:val="22"/>
        </w:rPr>
        <w:t xml:space="preserve">  Thus, in this Notice we are proposing to hew closely to our prior annual process for adjusting and amending fee categories and the fee schedule.  We seek comment on this proposal.   </w:t>
      </w:r>
      <w:bookmarkEnd w:id="9"/>
    </w:p>
    <w:p w:rsidR="006F7AD6" w:rsidRPr="00277069" w:rsidP="006F7AD6" w14:paraId="4F8139A7" w14:textId="77777777">
      <w:pPr>
        <w:pStyle w:val="ParaNum"/>
        <w:rPr>
          <w:szCs w:val="22"/>
        </w:rPr>
      </w:pPr>
      <w:r w:rsidRPr="00277069">
        <w:rPr>
          <w:szCs w:val="22"/>
        </w:rPr>
        <w:t xml:space="preserve">Certain language was, however, deleted from section 9 in the RAY BAUM’S Act.  </w:t>
      </w:r>
      <w:r>
        <w:rPr>
          <w:szCs w:val="22"/>
        </w:rPr>
        <w:t>First, t</w:t>
      </w:r>
      <w:r w:rsidRPr="00277069">
        <w:rPr>
          <w:szCs w:val="22"/>
        </w:rPr>
        <w:t xml:space="preserve">he prior statute identified three bureaus that </w:t>
      </w:r>
      <w:r>
        <w:rPr>
          <w:szCs w:val="22"/>
        </w:rPr>
        <w:t>have since been renamed</w:t>
      </w:r>
      <w:r w:rsidRPr="00277069">
        <w:rPr>
          <w:szCs w:val="22"/>
        </w:rPr>
        <w:t>.</w:t>
      </w:r>
      <w:r>
        <w:rPr>
          <w:rStyle w:val="FootnoteReference"/>
          <w:sz w:val="22"/>
          <w:szCs w:val="22"/>
        </w:rPr>
        <w:footnoteReference w:id="27"/>
      </w:r>
      <w:r w:rsidRPr="00277069">
        <w:rPr>
          <w:szCs w:val="22"/>
        </w:rPr>
        <w:t xml:space="preserve">  </w:t>
      </w:r>
      <w:r>
        <w:rPr>
          <w:szCs w:val="22"/>
        </w:rPr>
        <w:t>Second, t</w:t>
      </w:r>
      <w:r w:rsidRPr="00277069">
        <w:rPr>
          <w:szCs w:val="22"/>
        </w:rPr>
        <w:t>he prior statute included a list of examples of factors relevant to the Commission’s inquiry into benefits provided the payor of the fee</w:t>
      </w:r>
      <w:r>
        <w:rPr>
          <w:szCs w:val="22"/>
        </w:rPr>
        <w:t>; those examples were “</w:t>
      </w:r>
      <w:r w:rsidRPr="001C3703">
        <w:t>service area coverage, shared use versus exclusive use, and other factors that the Commission determines are necessary in the public interest</w:t>
      </w:r>
      <w:r>
        <w:t>.”</w:t>
      </w:r>
      <w:r>
        <w:rPr>
          <w:rStyle w:val="FootnoteReference"/>
          <w:sz w:val="22"/>
          <w:szCs w:val="22"/>
        </w:rPr>
        <w:footnoteReference w:id="28"/>
      </w:r>
      <w:r w:rsidRPr="00277069">
        <w:rPr>
          <w:szCs w:val="22"/>
        </w:rPr>
        <w:t xml:space="preserve">  </w:t>
      </w:r>
      <w:r>
        <w:rPr>
          <w:szCs w:val="22"/>
        </w:rPr>
        <w:t>Third, w</w:t>
      </w:r>
      <w:r w:rsidRPr="00277069">
        <w:rPr>
          <w:szCs w:val="22"/>
        </w:rPr>
        <w:t>hile both versions of the statute require the Commission to take into consideration in its annual review unexpected increases or decreases in the “number of units” subject to the payment of regulatory fees, the prior statute specifically mentioned licensees.</w:t>
      </w:r>
      <w:r>
        <w:rPr>
          <w:rStyle w:val="FootnoteReference"/>
          <w:sz w:val="22"/>
          <w:szCs w:val="22"/>
        </w:rPr>
        <w:footnoteReference w:id="29"/>
      </w:r>
      <w:r w:rsidRPr="00277069">
        <w:rPr>
          <w:szCs w:val="22"/>
        </w:rPr>
        <w:t xml:space="preserve">  Finally, under the prior version of section 9, in amending the schedule of regulatory fees, the Commission could take into consideration “additions, deletions, or changes in the nature of its services as a consequence of Commission rulemaking proceedings or changes in law.”</w:t>
      </w:r>
      <w:r>
        <w:rPr>
          <w:rStyle w:val="FootnoteReference"/>
          <w:sz w:val="22"/>
          <w:szCs w:val="22"/>
        </w:rPr>
        <w:footnoteReference w:id="30"/>
      </w:r>
      <w:r w:rsidRPr="00277069">
        <w:rPr>
          <w:szCs w:val="22"/>
        </w:rPr>
        <w:t xml:space="preserve">  The old version of the statute described the annual changes as either mandatory amendments</w:t>
      </w:r>
      <w:r>
        <w:rPr>
          <w:rStyle w:val="FootnoteReference"/>
          <w:sz w:val="22"/>
          <w:szCs w:val="22"/>
        </w:rPr>
        <w:footnoteReference w:id="31"/>
      </w:r>
      <w:r w:rsidRPr="00277069">
        <w:rPr>
          <w:szCs w:val="22"/>
        </w:rPr>
        <w:t xml:space="preserve"> or permitted amendments</w:t>
      </w:r>
      <w:r>
        <w:rPr>
          <w:szCs w:val="22"/>
        </w:rPr>
        <w:t>;</w:t>
      </w:r>
      <w:r>
        <w:rPr>
          <w:rStyle w:val="FootnoteReference"/>
          <w:sz w:val="22"/>
          <w:szCs w:val="22"/>
        </w:rPr>
        <w:footnoteReference w:id="32"/>
      </w:r>
      <w:r w:rsidRPr="00277069">
        <w:rPr>
          <w:szCs w:val="22"/>
        </w:rPr>
        <w:t xml:space="preserve"> </w:t>
      </w:r>
      <w:r>
        <w:rPr>
          <w:szCs w:val="22"/>
        </w:rPr>
        <w:t>under the RAY BAUM’S Act, the changes are described as adjustments</w:t>
      </w:r>
      <w:r>
        <w:rPr>
          <w:rStyle w:val="FootnoteReference"/>
          <w:szCs w:val="22"/>
        </w:rPr>
        <w:footnoteReference w:id="33"/>
      </w:r>
      <w:r>
        <w:rPr>
          <w:szCs w:val="22"/>
        </w:rPr>
        <w:t xml:space="preserve"> or amendments.</w:t>
      </w:r>
      <w:r>
        <w:rPr>
          <w:rStyle w:val="FootnoteReference"/>
          <w:szCs w:val="22"/>
        </w:rPr>
        <w:footnoteReference w:id="34"/>
      </w:r>
      <w:r>
        <w:rPr>
          <w:szCs w:val="22"/>
        </w:rPr>
        <w:t xml:space="preserve">  </w:t>
      </w:r>
      <w:r w:rsidRPr="00277069">
        <w:rPr>
          <w:szCs w:val="22"/>
        </w:rPr>
        <w:t>We seek comment on how the</w:t>
      </w:r>
      <w:r>
        <w:rPr>
          <w:szCs w:val="22"/>
        </w:rPr>
        <w:t>se</w:t>
      </w:r>
      <w:r w:rsidRPr="00277069">
        <w:rPr>
          <w:szCs w:val="22"/>
        </w:rPr>
        <w:t xml:space="preserve"> deletion</w:t>
      </w:r>
      <w:r>
        <w:rPr>
          <w:szCs w:val="22"/>
        </w:rPr>
        <w:t>s</w:t>
      </w:r>
      <w:r w:rsidRPr="00277069">
        <w:rPr>
          <w:szCs w:val="22"/>
        </w:rPr>
        <w:t xml:space="preserve"> </w:t>
      </w:r>
      <w:r>
        <w:rPr>
          <w:szCs w:val="22"/>
        </w:rPr>
        <w:t>and changes</w:t>
      </w:r>
      <w:r w:rsidRPr="00277069">
        <w:rPr>
          <w:szCs w:val="22"/>
        </w:rPr>
        <w:t xml:space="preserve"> impact the Commission’s responsibilities in assessing and collecting regulatory fees.  Commenters should discuss any effect on the Commission’s proposed regulatory fee methodology due to deletion of language or the reformulation of the requirements under section 9.</w:t>
      </w:r>
      <w:r>
        <w:rPr>
          <w:rStyle w:val="FootnoteReference"/>
          <w:szCs w:val="22"/>
        </w:rPr>
        <w:footnoteReference w:id="35"/>
      </w:r>
      <w:r w:rsidRPr="00277069">
        <w:rPr>
          <w:szCs w:val="22"/>
        </w:rPr>
        <w:t xml:space="preserve">  </w:t>
      </w:r>
    </w:p>
    <w:p w:rsidR="006F7AD6" w:rsidRPr="00277069" w:rsidP="006F7AD6" w14:paraId="2B8D8D31" w14:textId="77777777">
      <w:pPr>
        <w:pStyle w:val="ParaNum"/>
        <w:rPr>
          <w:szCs w:val="22"/>
        </w:rPr>
      </w:pPr>
      <w:r>
        <w:rPr>
          <w:szCs w:val="22"/>
        </w:rPr>
        <w:t>We remind commenters of certain unvarying aspects of the Commission’s assessment and collection of regulatory fees that they should take into consideration when making comments on our proposals.  Re</w:t>
      </w:r>
      <w:r w:rsidRPr="003C560E">
        <w:rPr>
          <w:szCs w:val="22"/>
        </w:rPr>
        <w:t>gulatory fees, mandated by Congress, are collected to recover the Commission’s costs</w:t>
      </w:r>
      <w:bookmarkEnd w:id="5"/>
      <w:r w:rsidRPr="003C560E">
        <w:rPr>
          <w:szCs w:val="22"/>
        </w:rPr>
        <w:t xml:space="preserve"> “to the extent, and in the total amounts, provided for in Appropriation Acts.”</w:t>
      </w:r>
      <w:r>
        <w:rPr>
          <w:rStyle w:val="FootnoteReference"/>
          <w:sz w:val="22"/>
          <w:szCs w:val="22"/>
        </w:rPr>
        <w:footnoteReference w:id="36"/>
      </w:r>
      <w:r>
        <w:rPr>
          <w:szCs w:val="22"/>
        </w:rPr>
        <w:t xml:space="preserve">  Thus, the Commission has no discretion regarding the total amount to be collected in any given fiscal year.  </w:t>
      </w:r>
      <w:r w:rsidRPr="003C560E">
        <w:rPr>
          <w:szCs w:val="22"/>
        </w:rPr>
        <w:t xml:space="preserve">Regulatory fees are to reflect “the full-time equivalent number of employees within the bureaus and offices of the Commission, </w:t>
      </w:r>
      <w:r w:rsidRPr="003C560E">
        <w:rPr>
          <w:szCs w:val="22"/>
        </w:rPr>
        <w:t>adjusted to take into account factors that are reasonably related to the benefits provided to the payor of the fee by the Commission’s activities.”</w:t>
      </w:r>
      <w:r>
        <w:rPr>
          <w:rStyle w:val="FootnoteReference"/>
          <w:sz w:val="22"/>
          <w:szCs w:val="22"/>
        </w:rPr>
        <w:footnoteReference w:id="37"/>
      </w:r>
      <w:r w:rsidRPr="003C560E">
        <w:rPr>
          <w:szCs w:val="22"/>
        </w:rPr>
        <w:t xml:space="preserve">  </w:t>
      </w:r>
      <w:r>
        <w:rPr>
          <w:szCs w:val="22"/>
        </w:rPr>
        <w:t xml:space="preserve">Thus the </w:t>
      </w:r>
      <w:r>
        <w:t xml:space="preserve">calculation and allocation of FTEs across regulatory fee categories is, by statute, at the heart of the Commission’s methodology in calculating regulatory fees.  </w:t>
      </w:r>
      <w:r w:rsidRPr="003C560E">
        <w:rPr>
          <w:szCs w:val="22"/>
        </w:rPr>
        <w:t xml:space="preserve">Regulatory fees recover </w:t>
      </w:r>
      <w:r>
        <w:rPr>
          <w:szCs w:val="22"/>
        </w:rPr>
        <w:t xml:space="preserve">the Commission’s </w:t>
      </w:r>
      <w:r w:rsidRPr="003C560E">
        <w:rPr>
          <w:szCs w:val="22"/>
        </w:rPr>
        <w:t>direct costs</w:t>
      </w:r>
      <w:r>
        <w:rPr>
          <w:szCs w:val="22"/>
        </w:rPr>
        <w:t xml:space="preserve">—that is, costs attributable to a specific regulatory activity (e.g., the </w:t>
      </w:r>
      <w:r w:rsidRPr="003C560E">
        <w:rPr>
          <w:szCs w:val="22"/>
        </w:rPr>
        <w:t>salar</w:t>
      </w:r>
      <w:r>
        <w:rPr>
          <w:szCs w:val="22"/>
        </w:rPr>
        <w:t>ies</w:t>
      </w:r>
      <w:r w:rsidRPr="003C560E">
        <w:rPr>
          <w:szCs w:val="22"/>
        </w:rPr>
        <w:t xml:space="preserve"> and </w:t>
      </w:r>
      <w:r>
        <w:rPr>
          <w:szCs w:val="22"/>
        </w:rPr>
        <w:t xml:space="preserve">benefits of Commission employees that work on the oversight and regulation of local exchange carriers).  Regulatory fees also recover </w:t>
      </w:r>
      <w:r w:rsidRPr="003C560E">
        <w:rPr>
          <w:szCs w:val="22"/>
        </w:rPr>
        <w:t xml:space="preserve">indirect costs, </w:t>
      </w:r>
      <w:r>
        <w:rPr>
          <w:szCs w:val="22"/>
        </w:rPr>
        <w:t xml:space="preserve">i.e., common costs that are not attributable to a specific regulatory activity.  These costs are for general </w:t>
      </w:r>
      <w:r w:rsidRPr="003C560E">
        <w:rPr>
          <w:szCs w:val="22"/>
        </w:rPr>
        <w:t>overhead</w:t>
      </w:r>
      <w:r>
        <w:rPr>
          <w:szCs w:val="22"/>
        </w:rPr>
        <w:t xml:space="preserve">, administration, and </w:t>
      </w:r>
      <w:r w:rsidRPr="003C560E">
        <w:rPr>
          <w:szCs w:val="22"/>
        </w:rPr>
        <w:t xml:space="preserve">support, such as rent, utilities, </w:t>
      </w:r>
      <w:r>
        <w:rPr>
          <w:szCs w:val="22"/>
        </w:rPr>
        <w:t xml:space="preserve">salaries, and benefits of information technology and other employees whose work supports the core bureaus, </w:t>
      </w:r>
      <w:r w:rsidRPr="003C560E">
        <w:rPr>
          <w:szCs w:val="22"/>
        </w:rPr>
        <w:t xml:space="preserve">and </w:t>
      </w:r>
      <w:r>
        <w:rPr>
          <w:szCs w:val="22"/>
        </w:rPr>
        <w:t xml:space="preserve">general-purpose </w:t>
      </w:r>
      <w:r w:rsidRPr="003C560E">
        <w:rPr>
          <w:szCs w:val="22"/>
        </w:rPr>
        <w:t>equipment.</w:t>
      </w:r>
      <w:r>
        <w:rPr>
          <w:rStyle w:val="FootnoteReference"/>
          <w:sz w:val="22"/>
          <w:szCs w:val="22"/>
        </w:rPr>
        <w:footnoteReference w:id="38"/>
      </w:r>
      <w:r w:rsidRPr="003C560E">
        <w:rPr>
          <w:szCs w:val="22"/>
        </w:rPr>
        <w:t xml:space="preserve">  Regulatory fees also cover the costs incurred in regulating entities that are statutorily exempt from paying regulatory fees</w:t>
      </w:r>
      <w:r>
        <w:rPr>
          <w:rStyle w:val="FootnoteReference"/>
          <w:sz w:val="22"/>
          <w:szCs w:val="22"/>
        </w:rPr>
        <w:footnoteReference w:id="39"/>
      </w:r>
      <w:r>
        <w:rPr>
          <w:szCs w:val="22"/>
        </w:rPr>
        <w:t xml:space="preserve"> and</w:t>
      </w:r>
      <w:r w:rsidRPr="003C560E">
        <w:rPr>
          <w:szCs w:val="22"/>
        </w:rPr>
        <w:t xml:space="preserve"> entities whose regulatory fees are waived</w:t>
      </w:r>
      <w:r>
        <w:rPr>
          <w:szCs w:val="22"/>
        </w:rPr>
        <w:t>.</w:t>
      </w:r>
      <w:r>
        <w:rPr>
          <w:rStyle w:val="FootnoteReference"/>
          <w:sz w:val="22"/>
          <w:szCs w:val="22"/>
        </w:rPr>
        <w:footnoteReference w:id="40"/>
      </w:r>
      <w:r>
        <w:rPr>
          <w:szCs w:val="22"/>
        </w:rPr>
        <w:t xml:space="preserve">  We also remind commenters that </w:t>
      </w:r>
      <w:r w:rsidRPr="00277069">
        <w:rPr>
          <w:color w:val="212121"/>
          <w:szCs w:val="22"/>
        </w:rPr>
        <w:t xml:space="preserve">FTE time devoted to developing and implementing </w:t>
      </w:r>
      <w:r>
        <w:rPr>
          <w:color w:val="212121"/>
          <w:szCs w:val="22"/>
        </w:rPr>
        <w:t xml:space="preserve">the </w:t>
      </w:r>
      <w:r w:rsidRPr="00277069">
        <w:rPr>
          <w:color w:val="212121"/>
          <w:szCs w:val="22"/>
        </w:rPr>
        <w:t>Commission</w:t>
      </w:r>
      <w:r>
        <w:rPr>
          <w:color w:val="212121"/>
          <w:szCs w:val="22"/>
        </w:rPr>
        <w:t>’s</w:t>
      </w:r>
      <w:r w:rsidRPr="00277069">
        <w:rPr>
          <w:color w:val="212121"/>
          <w:szCs w:val="22"/>
        </w:rPr>
        <w:t xml:space="preserve"> </w:t>
      </w:r>
      <w:r>
        <w:rPr>
          <w:color w:val="212121"/>
          <w:szCs w:val="22"/>
        </w:rPr>
        <w:t xml:space="preserve">spectrum </w:t>
      </w:r>
      <w:r w:rsidRPr="00277069">
        <w:rPr>
          <w:color w:val="212121"/>
          <w:szCs w:val="22"/>
        </w:rPr>
        <w:t xml:space="preserve">auctions is not included in the calculation of </w:t>
      </w:r>
      <w:r>
        <w:rPr>
          <w:color w:val="212121"/>
          <w:szCs w:val="22"/>
        </w:rPr>
        <w:t xml:space="preserve">regulatory </w:t>
      </w:r>
      <w:r w:rsidRPr="00277069">
        <w:rPr>
          <w:color w:val="212121"/>
          <w:szCs w:val="22"/>
        </w:rPr>
        <w:t xml:space="preserve">fees and is not offset by the collection of regulatory fees. </w:t>
      </w:r>
      <w:r>
        <w:rPr>
          <w:color w:val="212121"/>
          <w:szCs w:val="22"/>
        </w:rPr>
        <w:t xml:space="preserve"> </w:t>
      </w:r>
      <w:r w:rsidRPr="00277069">
        <w:rPr>
          <w:color w:val="212121"/>
          <w:szCs w:val="22"/>
        </w:rPr>
        <w:t>Instead, such FTE time is offset by the auction proceeds that the Commission is permitted to retain pursuant to section 309(j)(8)</w:t>
      </w:r>
      <w:r>
        <w:rPr>
          <w:color w:val="212121"/>
          <w:szCs w:val="22"/>
        </w:rPr>
        <w:t>(B)</w:t>
      </w:r>
      <w:r>
        <w:rPr>
          <w:rStyle w:val="FootnoteReference"/>
          <w:szCs w:val="22"/>
        </w:rPr>
        <w:footnoteReference w:id="41"/>
      </w:r>
      <w:r w:rsidRPr="00277069">
        <w:rPr>
          <w:color w:val="212121"/>
          <w:szCs w:val="22"/>
        </w:rPr>
        <w:t xml:space="preserve"> of the Communications Act and the Commission</w:t>
      </w:r>
      <w:r>
        <w:rPr>
          <w:color w:val="212121"/>
          <w:szCs w:val="22"/>
        </w:rPr>
        <w:t>’</w:t>
      </w:r>
      <w:r w:rsidRPr="00277069">
        <w:rPr>
          <w:color w:val="212121"/>
          <w:szCs w:val="22"/>
        </w:rPr>
        <w:t>s annual appropriation.</w:t>
      </w:r>
      <w:r>
        <w:rPr>
          <w:rStyle w:val="FootnoteReference"/>
          <w:szCs w:val="22"/>
        </w:rPr>
        <w:footnoteReference w:id="42"/>
      </w:r>
      <w:r>
        <w:rPr>
          <w:color w:val="212121"/>
          <w:szCs w:val="22"/>
        </w:rPr>
        <w:t xml:space="preserve">   </w:t>
      </w:r>
      <w:r w:rsidRPr="00277069">
        <w:rPr>
          <w:color w:val="212121"/>
          <w:szCs w:val="22"/>
        </w:rPr>
        <w:t xml:space="preserve">  </w:t>
      </w:r>
    </w:p>
    <w:p w:rsidR="006F7AD6" w:rsidRPr="004B79DA" w:rsidP="006F7AD6" w14:paraId="706E5C40" w14:textId="77777777">
      <w:pPr>
        <w:pStyle w:val="Heading2"/>
      </w:pPr>
      <w:bookmarkStart w:id="10" w:name="_Toc6326139"/>
      <w:r>
        <w:t>Allocating FTEs Across Categories for FY 2019</w:t>
      </w:r>
      <w:bookmarkEnd w:id="10"/>
      <w:r>
        <w:t xml:space="preserve"> </w:t>
      </w:r>
      <w:r w:rsidRPr="004B79DA">
        <w:t xml:space="preserve"> </w:t>
      </w:r>
    </w:p>
    <w:p w:rsidR="006F7AD6" w:rsidRPr="00011A7E" w:rsidP="006F7AD6" w14:paraId="54D60014" w14:textId="77777777">
      <w:pPr>
        <w:pStyle w:val="ParaNum"/>
        <w:widowControl/>
      </w:pPr>
      <w:r>
        <w:t>A</w:t>
      </w:r>
      <w:r w:rsidRPr="00AF4BE8">
        <w:t xml:space="preserve">pplying the </w:t>
      </w:r>
      <w:r>
        <w:t>s</w:t>
      </w:r>
      <w:r w:rsidRPr="00AF4BE8">
        <w:t xml:space="preserve">ection 9 requirements </w:t>
      </w:r>
      <w:r>
        <w:t>t</w:t>
      </w:r>
      <w:r w:rsidRPr="00E832C4">
        <w:t xml:space="preserve">o calculate regulatory fees, </w:t>
      </w:r>
      <w:r>
        <w:t>we</w:t>
      </w:r>
      <w:r w:rsidRPr="00E832C4">
        <w:t xml:space="preserve"> </w:t>
      </w:r>
      <w:r>
        <w:t xml:space="preserve">propose to </w:t>
      </w:r>
      <w:r w:rsidRPr="00E832C4">
        <w:t xml:space="preserve">allocate the total collection target across all regulatory fee categories.  </w:t>
      </w:r>
      <w:r>
        <w:t xml:space="preserve">We propose that for FY 2019 the </w:t>
      </w:r>
      <w:r w:rsidRPr="00E832C4">
        <w:t xml:space="preserve">allocation of fees to fee categories </w:t>
      </w:r>
      <w:r>
        <w:t xml:space="preserve">will be </w:t>
      </w:r>
      <w:r w:rsidRPr="00E832C4">
        <w:t>based on the Commission’s calculation of FTEs in each regulatory fee category.</w:t>
      </w:r>
      <w:r>
        <w:t xml:space="preserve">  Our proposed methodology is generally consistent with that employed in FY 2018.  </w:t>
      </w:r>
      <w:r w:rsidRPr="00BB229F">
        <w:t xml:space="preserve">As a general matter, we reasonably expect that the work of the FTEs in the </w:t>
      </w:r>
      <w:r>
        <w:t>four “</w:t>
      </w:r>
      <w:r w:rsidRPr="00BB229F">
        <w:t>core</w:t>
      </w:r>
      <w:r>
        <w:t>”</w:t>
      </w:r>
      <w:r w:rsidRPr="00BB229F">
        <w:t xml:space="preserve"> bureaus </w:t>
      </w:r>
      <w:r>
        <w:t>(i.e., Wireline Competition Bureau, Wireless Telecommunications Bureau, International Bureau, and Media Bureau)</w:t>
      </w:r>
      <w:r>
        <w:rPr>
          <w:rStyle w:val="FootnoteReference"/>
        </w:rPr>
        <w:footnoteReference w:id="43"/>
      </w:r>
      <w:r>
        <w:t xml:space="preserve"> will</w:t>
      </w:r>
      <w:r w:rsidRPr="00BB229F">
        <w:t xml:space="preserve"> remain focused on the industry segment regulated by each of those bureaus.  The work of the FTEs in the indirect bureaus and offices benefits the Commission and the telecommunications industry and is not specifically focused on the regulatees and licensees of a core bureau.  </w:t>
      </w:r>
      <w:r w:rsidRPr="00323BFE">
        <w:rPr>
          <w:szCs w:val="22"/>
        </w:rPr>
        <w:t xml:space="preserve">The total FTEs for each fee </w:t>
      </w:r>
      <w:r w:rsidRPr="00323BFE">
        <w:rPr>
          <w:szCs w:val="22"/>
        </w:rPr>
        <w:t>category includes the direct FTEs associated with that category, plus a proportional allocation of indirect FTEs.</w:t>
      </w:r>
      <w:r>
        <w:rPr>
          <w:rStyle w:val="FootnoteReference"/>
          <w:sz w:val="22"/>
          <w:szCs w:val="22"/>
        </w:rPr>
        <w:footnoteReference w:id="44"/>
      </w:r>
      <w:r w:rsidRPr="00323BFE">
        <w:rPr>
          <w:szCs w:val="22"/>
        </w:rPr>
        <w:t xml:space="preserve">  </w:t>
      </w:r>
    </w:p>
    <w:p w:rsidR="006F7AD6" w:rsidRPr="0058075D" w:rsidP="006F7AD6" w14:paraId="30CDF0C9" w14:textId="77777777">
      <w:pPr>
        <w:pStyle w:val="ParaNum"/>
      </w:pPr>
      <w:r w:rsidRPr="00323BFE">
        <w:rPr>
          <w:szCs w:val="22"/>
        </w:rPr>
        <w:t>Historically, the Commission allocates the total amount to be collected among the various regulatory fee categories within each of the core bureaus.  Each regulatee within a fee category then pays its proportionate share based on an objective measure of size (e.g., revenues or number of subscribers).</w:t>
      </w:r>
      <w:r>
        <w:rPr>
          <w:rStyle w:val="FootnoteReference"/>
          <w:sz w:val="22"/>
          <w:szCs w:val="22"/>
        </w:rPr>
        <w:footnoteReference w:id="45"/>
      </w:r>
      <w:r w:rsidRPr="00323BFE">
        <w:rPr>
          <w:szCs w:val="22"/>
        </w:rPr>
        <w:t xml:space="preserve">  </w:t>
      </w:r>
      <w:r>
        <w:t xml:space="preserve">We propose that non-auctions </w:t>
      </w:r>
      <w:r w:rsidRPr="00E832C4">
        <w:t xml:space="preserve">FTEs </w:t>
      </w:r>
      <w:r>
        <w:t xml:space="preserve">will be </w:t>
      </w:r>
      <w:r w:rsidRPr="00E832C4">
        <w:t xml:space="preserve">classified as “direct” if the employee is in one of the four core bureaus; otherwise, </w:t>
      </w:r>
      <w:r>
        <w:t xml:space="preserve">the FTEs will be </w:t>
      </w:r>
      <w:r w:rsidRPr="0058075D">
        <w:t>classified as “indirect</w:t>
      </w:r>
      <w:r>
        <w:t>.</w:t>
      </w:r>
      <w:r w:rsidRPr="0058075D">
        <w:t>”</w:t>
      </w:r>
      <w:r>
        <w:rPr>
          <w:rStyle w:val="FootnoteReference"/>
        </w:rPr>
        <w:footnoteReference w:id="46"/>
      </w:r>
      <w:r w:rsidRPr="0058075D">
        <w:t xml:space="preserve">  We propose that each regulatee within a fee category pays its proportionate share based on an objective measure (e.g., revenues or number of subscribers).  Our proposed calculations are illustrated in Appendix A.  The sources for the unit estimates that are used in these calculations are listed in Appendix D. </w:t>
      </w:r>
      <w:r>
        <w:t xml:space="preserve"> </w:t>
      </w:r>
    </w:p>
    <w:p w:rsidR="006F7AD6" w:rsidRPr="006E149E" w:rsidP="006F7AD6" w14:paraId="679B099D" w14:textId="77777777">
      <w:pPr>
        <w:pStyle w:val="ParaNum"/>
        <w:rPr>
          <w:szCs w:val="22"/>
        </w:rPr>
      </w:pPr>
      <w:r w:rsidRPr="0058075D">
        <w:t xml:space="preserve">We </w:t>
      </w:r>
      <w:r>
        <w:t>propose to allocate the total amount to be collected among the regulatory fee categories within each of the core bureaus and base</w:t>
      </w:r>
      <w:r w:rsidRPr="0058075D">
        <w:t xml:space="preserve"> the </w:t>
      </w:r>
      <w:r>
        <w:t xml:space="preserve">FY 2019 </w:t>
      </w:r>
      <w:r w:rsidRPr="0058075D">
        <w:t xml:space="preserve">FTE allocations </w:t>
      </w:r>
      <w:r>
        <w:t>on a percentage that proportionally reflects the changes in FTEs in the core bureaus over the course of FY 2019.</w:t>
      </w:r>
      <w:r>
        <w:rPr>
          <w:rStyle w:val="FootnoteReference"/>
        </w:rPr>
        <w:footnoteReference w:id="47"/>
      </w:r>
      <w:r>
        <w:t xml:space="preserve">  W</w:t>
      </w:r>
      <w:r w:rsidRPr="0058075D">
        <w:t>e project approximately $</w:t>
      </w:r>
      <w:r>
        <w:t>2</w:t>
      </w:r>
      <w:r w:rsidRPr="0058075D">
        <w:t>5.</w:t>
      </w:r>
      <w:r>
        <w:t>39</w:t>
      </w:r>
      <w:r w:rsidRPr="0058075D">
        <w:t xml:space="preserve"> million (7.</w:t>
      </w:r>
      <w:r>
        <w:t>4</w:t>
      </w:r>
      <w:r w:rsidRPr="0058075D">
        <w:t>9</w:t>
      </w:r>
      <w:r>
        <w:t>%</w:t>
      </w:r>
      <w:r w:rsidRPr="0058075D">
        <w:t xml:space="preserve"> of the total FTE allocation) in fees from International Bureau regulatees; $8</w:t>
      </w:r>
      <w:r>
        <w:t>5</w:t>
      </w:r>
      <w:r w:rsidRPr="0058075D">
        <w:t>.</w:t>
      </w:r>
      <w:r>
        <w:t>15</w:t>
      </w:r>
      <w:r w:rsidRPr="0058075D">
        <w:t xml:space="preserve"> million (2</w:t>
      </w:r>
      <w:r>
        <w:t>5</w:t>
      </w:r>
      <w:r w:rsidRPr="0058075D">
        <w:t>.</w:t>
      </w:r>
      <w:r>
        <w:t>12%</w:t>
      </w:r>
      <w:r w:rsidRPr="0058075D">
        <w:t xml:space="preserve"> of the total FTE allocation) in fees from Wireless Telecommunications Bureau regulatees; $10</w:t>
      </w:r>
      <w:r>
        <w:t>6</w:t>
      </w:r>
      <w:r w:rsidRPr="0058075D">
        <w:t>.</w:t>
      </w:r>
      <w:r>
        <w:t>64</w:t>
      </w:r>
      <w:r w:rsidRPr="0058075D">
        <w:t xml:space="preserve"> million (31.</w:t>
      </w:r>
      <w:r>
        <w:t>46%</w:t>
      </w:r>
      <w:r w:rsidRPr="0058075D">
        <w:t xml:space="preserve"> of the total FTE allocation) from Wireline Competition Bureau regulatees; and $12</w:t>
      </w:r>
      <w:r>
        <w:t>1</w:t>
      </w:r>
      <w:r w:rsidRPr="0058075D">
        <w:t>.</w:t>
      </w:r>
      <w:r>
        <w:t>82</w:t>
      </w:r>
      <w:r w:rsidRPr="0058075D">
        <w:t xml:space="preserve"> million (3</w:t>
      </w:r>
      <w:r>
        <w:t>5</w:t>
      </w:r>
      <w:r w:rsidRPr="0058075D">
        <w:t>.</w:t>
      </w:r>
      <w:r>
        <w:t>93%</w:t>
      </w:r>
      <w:r w:rsidRPr="0058075D">
        <w:t xml:space="preserve"> of the total FTE allocation) from Media Bureau regulatees.</w:t>
      </w:r>
      <w:r>
        <w:t xml:space="preserve"> </w:t>
      </w:r>
      <w:r w:rsidRPr="0058075D">
        <w:t xml:space="preserve"> We seek comment </w:t>
      </w:r>
      <w:r>
        <w:t>on our</w:t>
      </w:r>
      <w:r w:rsidRPr="0058075D">
        <w:t xml:space="preserve"> calculation for the </w:t>
      </w:r>
      <w:r>
        <w:t xml:space="preserve">FY 2019 </w:t>
      </w:r>
      <w:r w:rsidRPr="0058075D">
        <w:t>FTEs</w:t>
      </w:r>
      <w:r>
        <w:t>.</w:t>
      </w:r>
    </w:p>
    <w:p w:rsidR="006F7AD6" w:rsidRPr="000C321D" w:rsidP="006F7AD6" w14:paraId="41CCA786" w14:textId="77777777">
      <w:pPr>
        <w:pStyle w:val="ParaNum"/>
        <w:rPr>
          <w:szCs w:val="22"/>
        </w:rPr>
      </w:pPr>
      <w:r>
        <w:t xml:space="preserve">The above allocations across the core bureaus are further allocated across the regulatory fee categories within each core bureau to reflect FTE use.  The specific fee proposals and the specific mechanism for calculating them can be viewed in Appendices A, B, C, D </w:t>
      </w:r>
      <w:r w:rsidRPr="00DC5A7D">
        <w:t xml:space="preserve">and </w:t>
      </w:r>
      <w:r w:rsidRPr="00F21039">
        <w:t>E</w:t>
      </w:r>
      <w:r w:rsidRPr="00DC5A7D">
        <w:t>.</w:t>
      </w:r>
      <w:r>
        <w:t xml:space="preserve">  Presented as a percentage of each bureau’s allocation, our FY 2019 regulatory fee proposals can be viewed as follows:  the International Bureau regulatory fees allocated across International Bureau services:  Bearer Circuits (3.76%), Submarine Cable (24.85%), GSO Space Stations (61.61%), NGSO Space Stations (4.27%), and Earth Stations (5.51%); the Wireless Telecommunications Bureau regulatory fees allocated across </w:t>
      </w:r>
      <w:r>
        <w:t xml:space="preserve">Wireless services:  CMRS (Cell and Messaging) (87.67%), BRS/LMDS (1.14%), and Multi-Year Wireless regulatory fees (11.19%); the Wireline Competition Bureau regulatory fees allocated across Wireline services: ITSP as 100% with the Toll Free Number regulatory fee subcategory as 12 cents per toll free number (which can be viewed as 3.71% of the total Wireline Competitive Bureau allocation this year); and the Media Bureau regulatory fees allocated across media services: Broadcast Radio Station fees (24.52%), Television (20.48%), and Cable TV Systems (including IPTV) and DBS (55%).  </w:t>
      </w:r>
    </w:p>
    <w:p w:rsidR="006F7AD6" w:rsidP="006F7AD6" w14:paraId="63439133" w14:textId="77777777">
      <w:pPr>
        <w:pStyle w:val="ParaNum"/>
      </w:pPr>
      <w:bookmarkStart w:id="11" w:name="_Hlk536625859"/>
      <w:r w:rsidRPr="0057411C">
        <w:t xml:space="preserve">The Commission first provided </w:t>
      </w:r>
      <w:r w:rsidRPr="00D05439">
        <w:t xml:space="preserve">full descriptions of the </w:t>
      </w:r>
      <w:r>
        <w:t xml:space="preserve">regulatory </w:t>
      </w:r>
      <w:r w:rsidRPr="00D05439">
        <w:t>fee categories</w:t>
      </w:r>
      <w:r>
        <w:t xml:space="preserve"> in the </w:t>
      </w:r>
      <w:r w:rsidRPr="00037A64">
        <w:rPr>
          <w:i/>
        </w:rPr>
        <w:t>1994 Report and Order.</w:t>
      </w:r>
      <w:r>
        <w:rPr>
          <w:rStyle w:val="FootnoteReference"/>
        </w:rPr>
        <w:footnoteReference w:id="48"/>
      </w:r>
      <w:r w:rsidRPr="00037A64">
        <w:t xml:space="preserve">  </w:t>
      </w:r>
      <w:r w:rsidRPr="0057411C">
        <w:t>These categories have change</w:t>
      </w:r>
      <w:r w:rsidRPr="00037A64">
        <w:t>d over time through rulemaking and Appendix F contains an enumeration of the regulatory fee categories the Commission used to assess regulatory fees for FY 2018.  We propose to use the same categories for FY 2019</w:t>
      </w:r>
      <w:r w:rsidRPr="0057411C">
        <w:t xml:space="preserve"> and seek comment on each fee category </w:t>
      </w:r>
      <w:r w:rsidRPr="00037A64">
        <w:t xml:space="preserve">in Appendix F.   </w:t>
      </w:r>
    </w:p>
    <w:p w:rsidR="006F7AD6" w:rsidRPr="003C560E" w:rsidP="006F7AD6" w14:paraId="32264358" w14:textId="77777777">
      <w:pPr>
        <w:pStyle w:val="Heading2"/>
      </w:pPr>
      <w:bookmarkStart w:id="12" w:name="_Toc6326140"/>
      <w:bookmarkEnd w:id="11"/>
      <w:r w:rsidRPr="003C560E">
        <w:t>Direct Broadcast Satellite (DBS) Regulatory Fees</w:t>
      </w:r>
      <w:bookmarkEnd w:id="12"/>
    </w:p>
    <w:p w:rsidR="006F7AD6" w:rsidRPr="003C560E" w:rsidP="006F7AD6" w14:paraId="00F25D71" w14:textId="77777777">
      <w:pPr>
        <w:pStyle w:val="ParaNum"/>
        <w:rPr>
          <w:szCs w:val="22"/>
        </w:rPr>
      </w:pPr>
      <w:r w:rsidRPr="003C560E">
        <w:rPr>
          <w:szCs w:val="22"/>
        </w:rPr>
        <w:t>DBS service is a nationally distributed subscription service that delivers video and audio programming via satellite to a small parabolic dish antenna at the subscriber’s location.  The two DBS providers, AT&amp;T and DISH Network, are MVPDs.</w:t>
      </w:r>
      <w:r>
        <w:rPr>
          <w:rStyle w:val="FootnoteReference"/>
          <w:sz w:val="22"/>
          <w:szCs w:val="22"/>
        </w:rPr>
        <w:footnoteReference w:id="49"/>
      </w:r>
      <w:r w:rsidRPr="003C560E">
        <w:rPr>
          <w:szCs w:val="22"/>
        </w:rPr>
        <w:t xml:space="preserve">  The Media Bureau oversees the regulation of MVPDs</w:t>
      </w:r>
      <w:r w:rsidRPr="003A6AC6">
        <w:rPr>
          <w:szCs w:val="22"/>
        </w:rPr>
        <w:t>, i.e.,</w:t>
      </w:r>
      <w:r w:rsidRPr="003C560E">
        <w:rPr>
          <w:szCs w:val="22"/>
        </w:rPr>
        <w:t xml:space="preserve"> regulated companies that make available for purchase, by subscribers or customers, multiple channels of video programming.  The Media Bureau relies on a common pool of FTEs to carry out its oversight of MVPDs and other video distribution providers.</w:t>
      </w:r>
      <w:r>
        <w:rPr>
          <w:rStyle w:val="FootnoteReference"/>
          <w:sz w:val="22"/>
          <w:szCs w:val="22"/>
        </w:rPr>
        <w:footnoteReference w:id="50"/>
      </w:r>
      <w:r w:rsidRPr="003C560E">
        <w:rPr>
          <w:szCs w:val="22"/>
        </w:rPr>
        <w:t xml:space="preserve">  These responsibilities include market modifications, local-into-local, must-carry and retransmission consent disputes, program carriage and program access complaints, over-the-air reception device declaratory rulings and waivers, media rule modernization, media ownership, and proposed transactions.</w:t>
      </w:r>
      <w:r>
        <w:rPr>
          <w:rStyle w:val="FootnoteReference"/>
          <w:sz w:val="22"/>
          <w:szCs w:val="22"/>
        </w:rPr>
        <w:footnoteReference w:id="51"/>
      </w:r>
    </w:p>
    <w:p w:rsidR="006F7AD6" w:rsidRPr="003C560E" w:rsidP="006F7AD6" w14:paraId="6CF75CB0" w14:textId="77777777">
      <w:pPr>
        <w:pStyle w:val="ParaNum"/>
        <w:widowControl/>
        <w:rPr>
          <w:szCs w:val="22"/>
        </w:rPr>
      </w:pPr>
      <w:r w:rsidRPr="003C560E">
        <w:rPr>
          <w:szCs w:val="22"/>
        </w:rPr>
        <w:t>For Media Bureau activities in FY 2019, the Commission must collect $</w:t>
      </w:r>
      <w:r>
        <w:rPr>
          <w:szCs w:val="22"/>
        </w:rPr>
        <w:t>67.02 million</w:t>
      </w:r>
      <w:r w:rsidRPr="003C560E">
        <w:rPr>
          <w:szCs w:val="22"/>
        </w:rPr>
        <w:t xml:space="preserve"> in regulatory fees from cable TV systems, IPTV providers, and DBS</w:t>
      </w:r>
      <w:r>
        <w:rPr>
          <w:szCs w:val="22"/>
        </w:rPr>
        <w:t xml:space="preserve"> operators</w:t>
      </w:r>
      <w:r w:rsidRPr="003C560E">
        <w:rPr>
          <w:szCs w:val="22"/>
        </w:rPr>
        <w:t xml:space="preserve">.  </w:t>
      </w:r>
      <w:r>
        <w:rPr>
          <w:szCs w:val="22"/>
        </w:rPr>
        <w:t xml:space="preserve">Based on our prior regulatory fee decisions, the Commission proposes to </w:t>
      </w:r>
      <w:r w:rsidRPr="003C560E">
        <w:rPr>
          <w:szCs w:val="22"/>
        </w:rPr>
        <w:t xml:space="preserve">assess cable TV systems and IPTV providers </w:t>
      </w:r>
      <w:r>
        <w:rPr>
          <w:szCs w:val="22"/>
        </w:rPr>
        <w:t xml:space="preserve">at </w:t>
      </w:r>
      <w:r w:rsidRPr="003C560E">
        <w:rPr>
          <w:szCs w:val="22"/>
        </w:rPr>
        <w:t xml:space="preserve">the same </w:t>
      </w:r>
      <w:r>
        <w:rPr>
          <w:szCs w:val="22"/>
        </w:rPr>
        <w:t xml:space="preserve">rate </w:t>
      </w:r>
      <w:r w:rsidRPr="003C560E">
        <w:rPr>
          <w:szCs w:val="22"/>
        </w:rPr>
        <w:t>for regulatory fee purposes—</w:t>
      </w:r>
      <w:r>
        <w:rPr>
          <w:szCs w:val="22"/>
        </w:rPr>
        <w:t xml:space="preserve">with the total fee due being </w:t>
      </w:r>
      <w:r w:rsidRPr="003C560E">
        <w:rPr>
          <w:szCs w:val="22"/>
        </w:rPr>
        <w:t>based on subscribership</w:t>
      </w:r>
      <w:r>
        <w:rPr>
          <w:szCs w:val="22"/>
        </w:rPr>
        <w:t>.  T</w:t>
      </w:r>
      <w:r w:rsidRPr="003C560E">
        <w:rPr>
          <w:szCs w:val="22"/>
        </w:rPr>
        <w:t xml:space="preserve">he Commission </w:t>
      </w:r>
      <w:r>
        <w:rPr>
          <w:szCs w:val="22"/>
        </w:rPr>
        <w:t>has previously taken</w:t>
      </w:r>
      <w:r w:rsidRPr="003C560E">
        <w:rPr>
          <w:szCs w:val="22"/>
        </w:rPr>
        <w:t xml:space="preserve"> a different approach when it adopted Media Bureau</w:t>
      </w:r>
      <w:r>
        <w:rPr>
          <w:szCs w:val="22"/>
        </w:rPr>
        <w:t>-</w:t>
      </w:r>
      <w:r w:rsidRPr="003C560E">
        <w:rPr>
          <w:szCs w:val="22"/>
        </w:rPr>
        <w:t>based regulatory fees on DBS operators.  Specifically,</w:t>
      </w:r>
      <w:r>
        <w:rPr>
          <w:szCs w:val="22"/>
        </w:rPr>
        <w:t xml:space="preserve"> in FY 2015, </w:t>
      </w:r>
      <w:r w:rsidRPr="003C560E">
        <w:rPr>
          <w:szCs w:val="22"/>
        </w:rPr>
        <w:t>the Commission decided to phase in the new Media Bureau-based regulatory fee for DBS, starting at 12 cents per subscriber per year, as a subcategory in the cable television and IPTV category.</w:t>
      </w:r>
      <w:r>
        <w:rPr>
          <w:rStyle w:val="FootnoteReference"/>
          <w:sz w:val="22"/>
          <w:szCs w:val="22"/>
        </w:rPr>
        <w:footnoteReference w:id="52"/>
      </w:r>
      <w:r w:rsidRPr="003C560E">
        <w:rPr>
          <w:szCs w:val="22"/>
        </w:rPr>
        <w:t xml:space="preserve">  At the same time, the Commission committed to updating the regulatory fee rate in future years “as necessary for ensuring an appropriate level of regulatory parity and considering the resources dedicated to this new regulatory fee subcategory.”</w:t>
      </w:r>
      <w:r>
        <w:rPr>
          <w:rStyle w:val="ParaNumChar1"/>
          <w:szCs w:val="22"/>
          <w:vertAlign w:val="superscript"/>
        </w:rPr>
        <w:footnoteReference w:id="53"/>
      </w:r>
      <w:r w:rsidRPr="003C560E">
        <w:rPr>
          <w:szCs w:val="22"/>
        </w:rPr>
        <w:t xml:space="preserve">  Accordingly, the Commission increased the regulatory fee for DBS operators to 24 cents and then 36 cents per subscriber per year, with the regulatory fees paid by DBS operators reducing those paid by other MVPDs.</w:t>
      </w:r>
      <w:r>
        <w:rPr>
          <w:rStyle w:val="FootnoteReference"/>
          <w:sz w:val="22"/>
          <w:szCs w:val="22"/>
        </w:rPr>
        <w:footnoteReference w:id="54"/>
      </w:r>
      <w:r w:rsidRPr="003C560E">
        <w:rPr>
          <w:szCs w:val="22"/>
        </w:rPr>
        <w:t xml:space="preserve">  For FY 2018, the Commission continued the transition by increasing the DBS regulatory fee rate to 48 cents per </w:t>
      </w:r>
      <w:r w:rsidRPr="003C560E">
        <w:rPr>
          <w:szCs w:val="22"/>
        </w:rPr>
        <w:t>subscriber per year.</w:t>
      </w:r>
      <w:r>
        <w:rPr>
          <w:rStyle w:val="FootnoteReference"/>
          <w:sz w:val="22"/>
          <w:szCs w:val="22"/>
        </w:rPr>
        <w:footnoteReference w:id="55"/>
      </w:r>
      <w:r w:rsidRPr="003C560E">
        <w:rPr>
          <w:szCs w:val="22"/>
        </w:rPr>
        <w:t xml:space="preserve">  The Commission explained that the DBS regulatory fee is based on the significant number of Media Bureau FTEs that work on MVPD issues that include DBS, “not a particular number of FTEs focused solely on DBS” or “specific recent proceedings.”</w:t>
      </w:r>
      <w:r>
        <w:rPr>
          <w:rStyle w:val="FootnoteReference"/>
          <w:sz w:val="22"/>
          <w:szCs w:val="22"/>
        </w:rPr>
        <w:footnoteReference w:id="56"/>
      </w:r>
      <w:r w:rsidRPr="003C560E">
        <w:rPr>
          <w:szCs w:val="22"/>
        </w:rPr>
        <w:t xml:space="preserve">  </w:t>
      </w:r>
    </w:p>
    <w:p w:rsidR="006F7AD6" w:rsidP="006F7AD6" w14:paraId="68ABC552" w14:textId="77777777">
      <w:pPr>
        <w:pStyle w:val="ParaNum"/>
        <w:widowControl/>
        <w:rPr>
          <w:szCs w:val="22"/>
        </w:rPr>
      </w:pPr>
      <w:r w:rsidRPr="003C560E">
        <w:rPr>
          <w:szCs w:val="22"/>
        </w:rPr>
        <w:t xml:space="preserve">The Commission </w:t>
      </w:r>
      <w:r>
        <w:rPr>
          <w:szCs w:val="22"/>
        </w:rPr>
        <w:t xml:space="preserve">previously </w:t>
      </w:r>
      <w:r w:rsidRPr="003C560E">
        <w:rPr>
          <w:szCs w:val="22"/>
        </w:rPr>
        <w:t>concluded that the continued participation of DBS operators in Commission proceedings, and the use of a pool of Media Bureau FTEs to oversee MVPD issues, justifies increasing the DBS regulatory fee rate.</w:t>
      </w:r>
      <w:r>
        <w:rPr>
          <w:rStyle w:val="FootnoteReference"/>
          <w:sz w:val="22"/>
          <w:szCs w:val="22"/>
        </w:rPr>
        <w:footnoteReference w:id="57"/>
      </w:r>
      <w:r w:rsidRPr="003C560E">
        <w:rPr>
          <w:szCs w:val="22"/>
        </w:rPr>
        <w:t xml:space="preserve">  We seek comment on whether Media Bureau resources working on MVPD proceedings, including DBS, support continuing to phase in the DBS regulatory fee rate to bring it closer to the cable television/IPTV rate, which, for FY 2019, is proposed to be </w:t>
      </w:r>
      <w:r>
        <w:rPr>
          <w:szCs w:val="22"/>
        </w:rPr>
        <w:t xml:space="preserve">86 </w:t>
      </w:r>
      <w:r w:rsidRPr="003C560E">
        <w:rPr>
          <w:szCs w:val="22"/>
        </w:rPr>
        <w:t>cents per subscriber</w:t>
      </w:r>
      <w:r>
        <w:rPr>
          <w:szCs w:val="22"/>
        </w:rPr>
        <w:t>,</w:t>
      </w:r>
      <w:r w:rsidRPr="003C560E">
        <w:rPr>
          <w:szCs w:val="22"/>
        </w:rPr>
        <w:t xml:space="preserve"> per year.  We recognize that DBS is not identical to cable television and IPTV; however, services that are not technologically identical nevertheless can warrant placement in the same regulatory fee category, e.g., the ITSP category includes a range of carriers that are not regulated identically.</w:t>
      </w:r>
      <w:r>
        <w:rPr>
          <w:rStyle w:val="FootnoteReference"/>
          <w:sz w:val="22"/>
          <w:szCs w:val="22"/>
        </w:rPr>
        <w:footnoteReference w:id="58"/>
      </w:r>
      <w:r w:rsidRPr="003C560E">
        <w:rPr>
          <w:szCs w:val="22"/>
        </w:rPr>
        <w:t xml:space="preserve"> </w:t>
      </w:r>
      <w:r>
        <w:rPr>
          <w:szCs w:val="22"/>
        </w:rPr>
        <w:t xml:space="preserve"> </w:t>
      </w:r>
      <w:r w:rsidRPr="003C560E">
        <w:rPr>
          <w:szCs w:val="22"/>
        </w:rPr>
        <w:t>Cable television, IPTV, and DBS all receive oversight and regulation by Media Bureau FTEs working on MVPD issues.</w:t>
      </w:r>
      <w:r>
        <w:rPr>
          <w:rStyle w:val="FootnoteReference"/>
          <w:sz w:val="22"/>
          <w:szCs w:val="22"/>
        </w:rPr>
        <w:footnoteReference w:id="59"/>
      </w:r>
      <w:r w:rsidRPr="003C560E">
        <w:rPr>
          <w:szCs w:val="22"/>
        </w:rPr>
        <w:t xml:space="preserve">  </w:t>
      </w:r>
    </w:p>
    <w:p w:rsidR="006F7AD6" w:rsidRPr="003C560E" w:rsidP="006F7AD6" w14:paraId="20BDCA0F" w14:textId="77777777">
      <w:pPr>
        <w:pStyle w:val="ParaNum"/>
        <w:widowControl/>
        <w:rPr>
          <w:szCs w:val="22"/>
        </w:rPr>
      </w:pPr>
      <w:r w:rsidRPr="003C560E">
        <w:rPr>
          <w:szCs w:val="22"/>
        </w:rPr>
        <w:t xml:space="preserve">We </w:t>
      </w:r>
      <w:r>
        <w:rPr>
          <w:szCs w:val="22"/>
        </w:rPr>
        <w:t>propose</w:t>
      </w:r>
      <w:r w:rsidRPr="003C560E">
        <w:rPr>
          <w:szCs w:val="22"/>
        </w:rPr>
        <w:t xml:space="preserve"> </w:t>
      </w:r>
      <w:r>
        <w:rPr>
          <w:szCs w:val="22"/>
        </w:rPr>
        <w:t xml:space="preserve">to continue the phase in and set </w:t>
      </w:r>
      <w:r w:rsidRPr="003C560E">
        <w:rPr>
          <w:szCs w:val="22"/>
        </w:rPr>
        <w:t xml:space="preserve">a DBS regulatory fee rate of 60 cents per subscriber per year, </w:t>
      </w:r>
      <w:r>
        <w:rPr>
          <w:szCs w:val="22"/>
        </w:rPr>
        <w:t>a 12-cent increase from the rate we used in FY 2018</w:t>
      </w:r>
      <w:r w:rsidRPr="003C560E">
        <w:rPr>
          <w:szCs w:val="22"/>
        </w:rPr>
        <w:t>.</w:t>
      </w:r>
      <w:r>
        <w:rPr>
          <w:szCs w:val="22"/>
        </w:rPr>
        <w:t xml:space="preserve">  In doing so, we invite comment concerning</w:t>
      </w:r>
      <w:r w:rsidRPr="003C560E">
        <w:rPr>
          <w:szCs w:val="22"/>
        </w:rPr>
        <w:t xml:space="preserve"> whether this continued </w:t>
      </w:r>
      <w:r>
        <w:rPr>
          <w:szCs w:val="22"/>
        </w:rPr>
        <w:t>“</w:t>
      </w:r>
      <w:r w:rsidRPr="003C560E">
        <w:rPr>
          <w:szCs w:val="22"/>
        </w:rPr>
        <w:t>phase in</w:t>
      </w:r>
      <w:r>
        <w:rPr>
          <w:szCs w:val="22"/>
        </w:rPr>
        <w:t xml:space="preserve">” </w:t>
      </w:r>
      <w:r w:rsidRPr="003C560E">
        <w:rPr>
          <w:szCs w:val="22"/>
        </w:rPr>
        <w:t xml:space="preserve">is </w:t>
      </w:r>
      <w:r>
        <w:rPr>
          <w:szCs w:val="22"/>
        </w:rPr>
        <w:t>still permissible under the RAY BAUM’S Act and whether</w:t>
      </w:r>
      <w:r w:rsidRPr="003C560E">
        <w:rPr>
          <w:szCs w:val="22"/>
        </w:rPr>
        <w:t xml:space="preserve"> </w:t>
      </w:r>
      <w:r>
        <w:rPr>
          <w:szCs w:val="22"/>
        </w:rPr>
        <w:t xml:space="preserve">this continued “phase in” is still good policy.  In the alternative, </w:t>
      </w:r>
      <w:r w:rsidRPr="003C560E">
        <w:rPr>
          <w:szCs w:val="22"/>
        </w:rPr>
        <w:t xml:space="preserve">we </w:t>
      </w:r>
      <w:r>
        <w:rPr>
          <w:szCs w:val="22"/>
        </w:rPr>
        <w:t>seek comment on including</w:t>
      </w:r>
      <w:r w:rsidRPr="003C560E">
        <w:rPr>
          <w:szCs w:val="22"/>
        </w:rPr>
        <w:t xml:space="preserve"> DBS fully in the cable television/IPTV rate, which would then be approximately </w:t>
      </w:r>
      <w:r>
        <w:rPr>
          <w:szCs w:val="22"/>
        </w:rPr>
        <w:t>77</w:t>
      </w:r>
      <w:r w:rsidRPr="003C560E">
        <w:rPr>
          <w:szCs w:val="22"/>
        </w:rPr>
        <w:t xml:space="preserve"> cents</w:t>
      </w:r>
      <w:r>
        <w:rPr>
          <w:szCs w:val="22"/>
        </w:rPr>
        <w:t xml:space="preserve"> per subscriber per year, or adopting</w:t>
      </w:r>
      <w:r w:rsidRPr="003C560E">
        <w:rPr>
          <w:szCs w:val="22"/>
        </w:rPr>
        <w:t xml:space="preserve"> a different rate for DBS.</w:t>
      </w:r>
    </w:p>
    <w:p w:rsidR="006F7AD6" w:rsidRPr="003C560E" w:rsidP="006F7AD6" w14:paraId="2BFD712D" w14:textId="77777777">
      <w:pPr>
        <w:pStyle w:val="Heading2"/>
      </w:pPr>
      <w:bookmarkStart w:id="13" w:name="_Toc6326141"/>
      <w:r w:rsidRPr="003C560E">
        <w:t>Broadcast Television Stations</w:t>
      </w:r>
      <w:bookmarkEnd w:id="13"/>
    </w:p>
    <w:p w:rsidR="006F7AD6" w:rsidRPr="006E2987" w:rsidP="006F7AD6" w14:paraId="34EB8904" w14:textId="77777777">
      <w:pPr>
        <w:pStyle w:val="ParaNum"/>
        <w:rPr>
          <w:szCs w:val="22"/>
        </w:rPr>
      </w:pPr>
      <w:r w:rsidRPr="003C560E">
        <w:rPr>
          <w:szCs w:val="22"/>
        </w:rPr>
        <w:t>Historically, regulatory fees for full</w:t>
      </w:r>
      <w:r>
        <w:rPr>
          <w:szCs w:val="22"/>
        </w:rPr>
        <w:t>-power</w:t>
      </w:r>
      <w:r w:rsidRPr="003C560E">
        <w:rPr>
          <w:szCs w:val="22"/>
        </w:rPr>
        <w:t xml:space="preserve"> television stations </w:t>
      </w:r>
      <w:r>
        <w:rPr>
          <w:szCs w:val="22"/>
        </w:rPr>
        <w:t>were</w:t>
      </w:r>
      <w:r w:rsidRPr="003C560E">
        <w:rPr>
          <w:szCs w:val="22"/>
        </w:rPr>
        <w:t xml:space="preserve"> based on the Nielsen Designated Market Area (DMA) groupings 1-10, 11-25, 26-50, 51-100, and remaining markets</w:t>
      </w:r>
      <w:r>
        <w:rPr>
          <w:szCs w:val="22"/>
        </w:rPr>
        <w:t xml:space="preserve"> (DMAs 101-210).  In the</w:t>
      </w:r>
      <w:r w:rsidRPr="003C560E">
        <w:rPr>
          <w:szCs w:val="22"/>
        </w:rPr>
        <w:t xml:space="preserve"> </w:t>
      </w:r>
      <w:r w:rsidRPr="003C560E">
        <w:rPr>
          <w:i/>
          <w:szCs w:val="22"/>
        </w:rPr>
        <w:t>FY 2018 NPRM</w:t>
      </w:r>
      <w:r w:rsidRPr="003C560E">
        <w:rPr>
          <w:szCs w:val="22"/>
        </w:rPr>
        <w:t xml:space="preserve">, we sought comment on whether </w:t>
      </w:r>
      <w:r>
        <w:rPr>
          <w:szCs w:val="22"/>
        </w:rPr>
        <w:t>using</w:t>
      </w:r>
      <w:r w:rsidRPr="003C560E">
        <w:rPr>
          <w:szCs w:val="22"/>
        </w:rPr>
        <w:t xml:space="preserve"> the actual population covered by the station’s contours </w:t>
      </w:r>
      <w:r>
        <w:rPr>
          <w:szCs w:val="22"/>
        </w:rPr>
        <w:t xml:space="preserve">instead of using </w:t>
      </w:r>
      <w:r w:rsidRPr="003C560E">
        <w:rPr>
          <w:szCs w:val="22"/>
        </w:rPr>
        <w:t xml:space="preserve">DMAs would more accurately </w:t>
      </w:r>
      <w:r>
        <w:rPr>
          <w:szCs w:val="22"/>
        </w:rPr>
        <w:t>reflect</w:t>
      </w:r>
      <w:r w:rsidRPr="003C560E">
        <w:rPr>
          <w:szCs w:val="22"/>
        </w:rPr>
        <w:t xml:space="preserve"> the actual market served by a </w:t>
      </w:r>
      <w:r>
        <w:rPr>
          <w:szCs w:val="22"/>
        </w:rPr>
        <w:t xml:space="preserve">full-power </w:t>
      </w:r>
      <w:r w:rsidRPr="003C560E">
        <w:rPr>
          <w:szCs w:val="22"/>
        </w:rPr>
        <w:t>broadcast television station for purposes of assessing regulatory fees.</w:t>
      </w:r>
      <w:r>
        <w:rPr>
          <w:rStyle w:val="FootnoteReference"/>
          <w:sz w:val="22"/>
          <w:szCs w:val="22"/>
        </w:rPr>
        <w:footnoteReference w:id="60"/>
      </w:r>
      <w:r w:rsidRPr="003C560E">
        <w:rPr>
          <w:szCs w:val="22"/>
        </w:rPr>
        <w:t xml:space="preserve">  </w:t>
      </w:r>
      <w:r>
        <w:rPr>
          <w:szCs w:val="22"/>
        </w:rPr>
        <w:t>We proposed this change in methodology, which was consistent with the methodology used for AM and FM broadcasters and would better “‘</w:t>
      </w:r>
      <w:r w:rsidRPr="00D66C2A">
        <w:t>take into account factors that are reasonably related to the benefits provided to the payor of the fee by the Commission’s activities</w:t>
      </w:r>
      <w:r>
        <w:t>.’”</w:t>
      </w:r>
      <w:r>
        <w:rPr>
          <w:rStyle w:val="FootnoteReference"/>
        </w:rPr>
        <w:footnoteReference w:id="61"/>
      </w:r>
      <w:r w:rsidRPr="003C560E">
        <w:rPr>
          <w:szCs w:val="22"/>
        </w:rPr>
        <w:t xml:space="preserve"> </w:t>
      </w:r>
      <w:r>
        <w:rPr>
          <w:szCs w:val="22"/>
        </w:rPr>
        <w:t xml:space="preserve"> </w:t>
      </w:r>
      <w:r w:rsidRPr="003C560E">
        <w:rPr>
          <w:szCs w:val="22"/>
        </w:rPr>
        <w:t xml:space="preserve">We sought comment on whether, for FY 2019 and going forward, regulatory fees should be assessed for full-power broadcast television stations based on </w:t>
      </w:r>
      <w:r w:rsidRPr="003C560E">
        <w:rPr>
          <w:szCs w:val="22"/>
        </w:rPr>
        <w:t>the actual population covered by the station’s contour, instead of DMAs.</w:t>
      </w:r>
      <w:r>
        <w:rPr>
          <w:rStyle w:val="FootnoteReference"/>
          <w:sz w:val="22"/>
          <w:szCs w:val="22"/>
        </w:rPr>
        <w:footnoteReference w:id="62"/>
      </w:r>
      <w:r w:rsidRPr="003C560E">
        <w:rPr>
          <w:szCs w:val="22"/>
        </w:rPr>
        <w:t xml:space="preserve">  We also sought comment on whether to </w:t>
      </w:r>
      <w:r w:rsidRPr="003C560E">
        <w:rPr>
          <w:snapToGrid/>
          <w:kern w:val="0"/>
          <w:szCs w:val="22"/>
        </w:rPr>
        <w:t>phase in the implementation of this methodology.</w:t>
      </w:r>
      <w:r>
        <w:rPr>
          <w:rStyle w:val="FootnoteReference"/>
          <w:snapToGrid/>
          <w:kern w:val="0"/>
          <w:sz w:val="22"/>
          <w:szCs w:val="22"/>
        </w:rPr>
        <w:footnoteReference w:id="63"/>
      </w:r>
      <w:r w:rsidRPr="003C560E">
        <w:rPr>
          <w:snapToGrid/>
          <w:kern w:val="0"/>
          <w:szCs w:val="22"/>
        </w:rPr>
        <w:t xml:space="preserve">  </w:t>
      </w:r>
    </w:p>
    <w:p w:rsidR="006F7AD6" w:rsidRPr="009F0EAA" w:rsidP="006F7AD6" w14:paraId="4AF424BC" w14:textId="79EDC503">
      <w:pPr>
        <w:pStyle w:val="ParaNum"/>
        <w:rPr>
          <w:szCs w:val="22"/>
        </w:rPr>
      </w:pPr>
      <w:r w:rsidRPr="00AD0819">
        <w:rPr>
          <w:snapToGrid/>
          <w:kern w:val="0"/>
          <w:szCs w:val="22"/>
        </w:rPr>
        <w:t xml:space="preserve">In the </w:t>
      </w:r>
      <w:r w:rsidRPr="00AD0819">
        <w:rPr>
          <w:i/>
          <w:snapToGrid/>
          <w:kern w:val="0"/>
          <w:szCs w:val="22"/>
        </w:rPr>
        <w:t>FY 2018 Report and Order</w:t>
      </w:r>
      <w:r w:rsidRPr="00AD0819">
        <w:rPr>
          <w:snapToGrid/>
          <w:kern w:val="0"/>
          <w:szCs w:val="22"/>
        </w:rPr>
        <w:t xml:space="preserve">, we adopted the proposed methodology and </w:t>
      </w:r>
      <w:r>
        <w:rPr>
          <w:snapToGrid/>
          <w:kern w:val="0"/>
          <w:szCs w:val="22"/>
        </w:rPr>
        <w:t>stated</w:t>
      </w:r>
      <w:r w:rsidRPr="00AD0819">
        <w:rPr>
          <w:snapToGrid/>
          <w:kern w:val="0"/>
          <w:szCs w:val="22"/>
        </w:rPr>
        <w:t xml:space="preserve"> that in order to facilitate the transition to this new fee structure, </w:t>
      </w:r>
      <w:r>
        <w:rPr>
          <w:snapToGrid/>
          <w:kern w:val="0"/>
          <w:szCs w:val="22"/>
        </w:rPr>
        <w:t xml:space="preserve">for FY 2019, </w:t>
      </w:r>
      <w:r w:rsidRPr="00AD0819">
        <w:rPr>
          <w:snapToGrid/>
          <w:kern w:val="0"/>
          <w:szCs w:val="22"/>
        </w:rPr>
        <w:t xml:space="preserve">we </w:t>
      </w:r>
      <w:r>
        <w:rPr>
          <w:snapToGrid/>
          <w:kern w:val="0"/>
          <w:szCs w:val="22"/>
        </w:rPr>
        <w:t>planned to</w:t>
      </w:r>
      <w:r w:rsidRPr="00AD0819">
        <w:rPr>
          <w:snapToGrid/>
          <w:kern w:val="0"/>
          <w:szCs w:val="22"/>
        </w:rPr>
        <w:t xml:space="preserve"> adopt a fee based on an average of the </w:t>
      </w:r>
      <w:r>
        <w:rPr>
          <w:snapToGrid/>
          <w:kern w:val="0"/>
          <w:szCs w:val="22"/>
        </w:rPr>
        <w:t xml:space="preserve">historical </w:t>
      </w:r>
      <w:r w:rsidRPr="00AD0819">
        <w:rPr>
          <w:snapToGrid/>
          <w:kern w:val="0"/>
          <w:szCs w:val="22"/>
        </w:rPr>
        <w:t>DMA methodology and the population covered by a full-power broadcast station’s contour for FY 2019.</w:t>
      </w:r>
      <w:r>
        <w:rPr>
          <w:rStyle w:val="FootnoteReference"/>
          <w:snapToGrid/>
          <w:kern w:val="0"/>
          <w:sz w:val="22"/>
          <w:szCs w:val="22"/>
        </w:rPr>
        <w:footnoteReference w:id="64"/>
      </w:r>
      <w:r w:rsidRPr="00AD0819">
        <w:rPr>
          <w:snapToGrid/>
          <w:kern w:val="0"/>
          <w:szCs w:val="22"/>
        </w:rPr>
        <w:t xml:space="preserve"> </w:t>
      </w:r>
      <w:r w:rsidRPr="00AD0819">
        <w:rPr>
          <w:szCs w:val="22"/>
        </w:rPr>
        <w:t xml:space="preserve"> </w:t>
      </w:r>
      <w:r>
        <w:t xml:space="preserve">The RAY BAUM’S Act instructs the </w:t>
      </w:r>
      <w:r w:rsidRPr="00D66C2A">
        <w:t>Commission</w:t>
      </w:r>
      <w:r>
        <w:t>,</w:t>
      </w:r>
      <w:r w:rsidRPr="00D66C2A">
        <w:t xml:space="preserve"> when considering its annual review, to </w:t>
      </w:r>
      <w:r>
        <w:t>“</w:t>
      </w:r>
      <w:r w:rsidRPr="00D66C2A">
        <w:t>take into account factors that are reasonably related to the benefits provided to the payor of the fee by the Commission’s activities</w:t>
      </w:r>
      <w:r>
        <w:t>.”</w:t>
      </w:r>
      <w:r>
        <w:rPr>
          <w:rStyle w:val="FootnoteReference"/>
          <w:sz w:val="22"/>
          <w:szCs w:val="22"/>
        </w:rPr>
        <w:footnoteReference w:id="65"/>
      </w:r>
      <w:r>
        <w:t xml:space="preserve">  Because the standard considered when adopting the proposed methodology for establishing </w:t>
      </w:r>
      <w:r w:rsidRPr="003C560E">
        <w:rPr>
          <w:szCs w:val="22"/>
        </w:rPr>
        <w:t>full</w:t>
      </w:r>
      <w:r>
        <w:rPr>
          <w:szCs w:val="22"/>
        </w:rPr>
        <w:t>-power</w:t>
      </w:r>
      <w:r w:rsidRPr="003C560E">
        <w:rPr>
          <w:szCs w:val="22"/>
        </w:rPr>
        <w:t xml:space="preserve"> television station </w:t>
      </w:r>
      <w:r>
        <w:rPr>
          <w:szCs w:val="22"/>
        </w:rPr>
        <w:t xml:space="preserve">regulatory fees </w:t>
      </w:r>
      <w:r>
        <w:t xml:space="preserve">and the related transition in the </w:t>
      </w:r>
      <w:r w:rsidRPr="004C6CF9">
        <w:rPr>
          <w:i/>
        </w:rPr>
        <w:t>FY 2018 Report and Order</w:t>
      </w:r>
      <w:r>
        <w:t xml:space="preserve"> parallels the RAY BAUM’S Act standard, we tentatively conclude that the new methodology adopted last year is consistent with the RAY BAUM’S Act.  </w:t>
      </w:r>
      <w:r>
        <w:rPr>
          <w:szCs w:val="22"/>
        </w:rPr>
        <w:t>A</w:t>
      </w:r>
      <w:r w:rsidRPr="00AD0819">
        <w:rPr>
          <w:szCs w:val="22"/>
        </w:rPr>
        <w:t>ccordingly</w:t>
      </w:r>
      <w:r>
        <w:rPr>
          <w:szCs w:val="22"/>
        </w:rPr>
        <w:t>,</w:t>
      </w:r>
      <w:r w:rsidRPr="00AD0819">
        <w:rPr>
          <w:szCs w:val="22"/>
        </w:rPr>
        <w:t xml:space="preserve"> </w:t>
      </w:r>
      <w:r>
        <w:rPr>
          <w:szCs w:val="22"/>
        </w:rPr>
        <w:t xml:space="preserve">consistent with our FY 2018 analysis, </w:t>
      </w:r>
      <w:r w:rsidRPr="00AD0819">
        <w:rPr>
          <w:szCs w:val="22"/>
        </w:rPr>
        <w:t xml:space="preserve">we propose </w:t>
      </w:r>
      <w:r>
        <w:rPr>
          <w:szCs w:val="22"/>
        </w:rPr>
        <w:t xml:space="preserve">FY 2019 </w:t>
      </w:r>
      <w:r w:rsidRPr="00AD0819">
        <w:rPr>
          <w:szCs w:val="22"/>
        </w:rPr>
        <w:t>fees for full-power broadcast television stations based</w:t>
      </w:r>
      <w:r w:rsidRPr="006C5AF9">
        <w:rPr>
          <w:snapToGrid/>
          <w:kern w:val="0"/>
          <w:szCs w:val="22"/>
        </w:rPr>
        <w:t xml:space="preserve"> </w:t>
      </w:r>
      <w:r w:rsidRPr="00AD0819">
        <w:rPr>
          <w:snapToGrid/>
          <w:kern w:val="0"/>
          <w:szCs w:val="22"/>
        </w:rPr>
        <w:t xml:space="preserve">on an average of the DMA methodology and the population covered by a full-power broadcast </w:t>
      </w:r>
      <w:r>
        <w:rPr>
          <w:snapToGrid/>
          <w:kern w:val="0"/>
          <w:szCs w:val="22"/>
        </w:rPr>
        <w:t xml:space="preserve">television </w:t>
      </w:r>
      <w:r w:rsidRPr="00AD0819">
        <w:rPr>
          <w:snapToGrid/>
          <w:kern w:val="0"/>
          <w:szCs w:val="22"/>
        </w:rPr>
        <w:t>station’s contour</w:t>
      </w:r>
      <w:r w:rsidRPr="00AD0819">
        <w:rPr>
          <w:szCs w:val="22"/>
        </w:rPr>
        <w:t xml:space="preserve">. </w:t>
      </w:r>
      <w:r>
        <w:rPr>
          <w:szCs w:val="22"/>
        </w:rPr>
        <w:t xml:space="preserve"> </w:t>
      </w:r>
      <w:r w:rsidRPr="00AD0819">
        <w:rPr>
          <w:szCs w:val="22"/>
        </w:rPr>
        <w:t xml:space="preserve">We </w:t>
      </w:r>
      <w:r>
        <w:rPr>
          <w:szCs w:val="22"/>
        </w:rPr>
        <w:t xml:space="preserve">also </w:t>
      </w:r>
      <w:r w:rsidRPr="00AD0819">
        <w:rPr>
          <w:szCs w:val="22"/>
        </w:rPr>
        <w:t xml:space="preserve">propose adopting a factor of </w:t>
      </w:r>
      <w:r w:rsidRPr="00E4629D">
        <w:rPr>
          <w:szCs w:val="22"/>
        </w:rPr>
        <w:t>.7</w:t>
      </w:r>
      <w:r>
        <w:rPr>
          <w:szCs w:val="22"/>
        </w:rPr>
        <w:t>2</w:t>
      </w:r>
      <w:r w:rsidRPr="00AD0819">
        <w:rPr>
          <w:szCs w:val="22"/>
        </w:rPr>
        <w:t xml:space="preserve"> of one cent </w:t>
      </w:r>
      <w:r w:rsidRPr="00E4629D">
        <w:rPr>
          <w:szCs w:val="22"/>
        </w:rPr>
        <w:t>($.007</w:t>
      </w:r>
      <w:r>
        <w:rPr>
          <w:szCs w:val="22"/>
        </w:rPr>
        <w:t>224</w:t>
      </w:r>
      <w:r w:rsidRPr="00E4629D">
        <w:rPr>
          <w:szCs w:val="22"/>
        </w:rPr>
        <w:t>)</w:t>
      </w:r>
      <w:r w:rsidRPr="00AD0819">
        <w:rPr>
          <w:szCs w:val="22"/>
        </w:rPr>
        <w:t xml:space="preserve"> for FY 2019 full</w:t>
      </w:r>
      <w:r>
        <w:rPr>
          <w:szCs w:val="22"/>
        </w:rPr>
        <w:t>-power broadcast</w:t>
      </w:r>
      <w:r w:rsidRPr="00AD0819">
        <w:rPr>
          <w:szCs w:val="22"/>
        </w:rPr>
        <w:t xml:space="preserve"> </w:t>
      </w:r>
      <w:r>
        <w:rPr>
          <w:szCs w:val="22"/>
        </w:rPr>
        <w:t xml:space="preserve">television </w:t>
      </w:r>
      <w:r w:rsidRPr="00AD0819">
        <w:rPr>
          <w:szCs w:val="22"/>
        </w:rPr>
        <w:t>station fees.</w:t>
      </w:r>
      <w:r>
        <w:rPr>
          <w:rStyle w:val="FootnoteReference"/>
          <w:szCs w:val="22"/>
        </w:rPr>
        <w:footnoteReference w:id="66"/>
      </w:r>
      <w:r w:rsidRPr="00AD0819">
        <w:rPr>
          <w:szCs w:val="22"/>
        </w:rPr>
        <w:t xml:space="preserve">  </w:t>
      </w:r>
      <w:r>
        <w:rPr>
          <w:szCs w:val="22"/>
        </w:rPr>
        <w:t xml:space="preserve">As in the </w:t>
      </w:r>
      <w:r w:rsidRPr="006C5AF9">
        <w:rPr>
          <w:i/>
          <w:szCs w:val="22"/>
        </w:rPr>
        <w:t>FY 2018 Report and Order</w:t>
      </w:r>
      <w:r>
        <w:rPr>
          <w:szCs w:val="22"/>
        </w:rPr>
        <w:t>, t</w:t>
      </w:r>
      <w:r w:rsidRPr="00AD0819">
        <w:rPr>
          <w:szCs w:val="22"/>
        </w:rPr>
        <w:t xml:space="preserve">he population data for broadcasters’ service areas </w:t>
      </w:r>
      <w:r>
        <w:rPr>
          <w:szCs w:val="22"/>
        </w:rPr>
        <w:t xml:space="preserve">is extracted </w:t>
      </w:r>
      <w:r w:rsidRPr="00AD0819">
        <w:rPr>
          <w:szCs w:val="22"/>
        </w:rPr>
        <w:t>from the TVStudy database</w:t>
      </w:r>
      <w:r>
        <w:rPr>
          <w:szCs w:val="22"/>
        </w:rPr>
        <w:t>,</w:t>
      </w:r>
      <w:r w:rsidRPr="00AD0819">
        <w:rPr>
          <w:szCs w:val="22"/>
        </w:rPr>
        <w:t xml:space="preserve"> based on a station’s projected noise-limited service contour.</w:t>
      </w:r>
      <w:r>
        <w:rPr>
          <w:rStyle w:val="FootnoteReference"/>
          <w:sz w:val="22"/>
          <w:szCs w:val="22"/>
        </w:rPr>
        <w:footnoteReference w:id="67"/>
      </w:r>
      <w:r w:rsidRPr="00AD0819">
        <w:rPr>
          <w:szCs w:val="22"/>
        </w:rPr>
        <w:t xml:space="preserve">  Appendix C </w:t>
      </w:r>
      <w:r>
        <w:rPr>
          <w:szCs w:val="22"/>
        </w:rPr>
        <w:t>lists</w:t>
      </w:r>
      <w:r w:rsidRPr="00AD0819">
        <w:rPr>
          <w:szCs w:val="22"/>
        </w:rPr>
        <w:t xml:space="preserve"> this </w:t>
      </w:r>
      <w:r>
        <w:rPr>
          <w:szCs w:val="22"/>
        </w:rPr>
        <w:t xml:space="preserve">population </w:t>
      </w:r>
      <w:r w:rsidRPr="00AD0819">
        <w:rPr>
          <w:szCs w:val="22"/>
        </w:rPr>
        <w:t>data for each licensee</w:t>
      </w:r>
      <w:r>
        <w:rPr>
          <w:szCs w:val="22"/>
        </w:rPr>
        <w:t xml:space="preserve">.  Appendix C also lists the DMA-based fee, the population-based fee (population multiplied by </w:t>
      </w:r>
      <w:r w:rsidRPr="00E4629D">
        <w:rPr>
          <w:szCs w:val="22"/>
        </w:rPr>
        <w:t>$.007</w:t>
      </w:r>
      <w:r>
        <w:rPr>
          <w:szCs w:val="22"/>
        </w:rPr>
        <w:t>224), and the resulting proposed regulatory fee for FY 2019</w:t>
      </w:r>
      <w:r w:rsidRPr="00AD0819">
        <w:rPr>
          <w:szCs w:val="22"/>
        </w:rPr>
        <w:t xml:space="preserve"> </w:t>
      </w:r>
      <w:r>
        <w:rPr>
          <w:szCs w:val="22"/>
        </w:rPr>
        <w:t xml:space="preserve">(i.e., the average of the DMA-based fee and population-based fee) for each full-power broadcast television station, including each satellite station.  </w:t>
      </w:r>
      <w:r w:rsidRPr="00AD0819">
        <w:rPr>
          <w:szCs w:val="22"/>
        </w:rPr>
        <w:t xml:space="preserve">We seek comment on </w:t>
      </w:r>
      <w:r>
        <w:rPr>
          <w:szCs w:val="22"/>
        </w:rPr>
        <w:t>these proposed fees.</w:t>
      </w:r>
      <w:r>
        <w:rPr>
          <w:rStyle w:val="FootnoteReference"/>
          <w:szCs w:val="22"/>
        </w:rPr>
        <w:footnoteReference w:id="68"/>
      </w:r>
      <w:r w:rsidRPr="00AD0819">
        <w:rPr>
          <w:szCs w:val="22"/>
        </w:rPr>
        <w:t xml:space="preserve">  </w:t>
      </w:r>
    </w:p>
    <w:p w:rsidR="006F7AD6" w:rsidRPr="003C560E" w:rsidP="006F7AD6" w14:paraId="133228AD" w14:textId="77777777">
      <w:pPr>
        <w:pStyle w:val="Heading2"/>
      </w:pPr>
      <w:bookmarkStart w:id="14" w:name="_Toc6326142"/>
      <w:r w:rsidRPr="003C560E">
        <w:t>Terrestrial and Satellite International Bearer Circuits (IBCs)</w:t>
      </w:r>
      <w:bookmarkEnd w:id="14"/>
    </w:p>
    <w:p w:rsidR="006F7AD6" w:rsidRPr="006D6945" w:rsidP="006F7AD6" w14:paraId="064F294D" w14:textId="77777777">
      <w:pPr>
        <w:pStyle w:val="ParaNum"/>
        <w:rPr>
          <w:szCs w:val="22"/>
        </w:rPr>
      </w:pPr>
      <w:r>
        <w:t>The Commission previously sought comment on adopting a tiered methodology for assessing terrestrial and satellite international bearer circuit regulatory fees.</w:t>
      </w:r>
      <w:r>
        <w:rPr>
          <w:rStyle w:val="FootnoteReference"/>
        </w:rPr>
        <w:footnoteReference w:id="69"/>
      </w:r>
      <w:r>
        <w:t xml:space="preserve">  For FY 2018, the Commission assessed terrestrial and satellite common carrier and non-common carrier IBC regulatory fees on a per-circuit basis, using Gbps as the measurement rather than 64 kbps and stated in the </w:t>
      </w:r>
      <w:r w:rsidRPr="00F61546">
        <w:rPr>
          <w:i/>
        </w:rPr>
        <w:t>FY</w:t>
      </w:r>
      <w:r>
        <w:t xml:space="preserve"> </w:t>
      </w:r>
      <w:r w:rsidRPr="00897A1E">
        <w:rPr>
          <w:i/>
        </w:rPr>
        <w:t xml:space="preserve">2018 </w:t>
      </w:r>
      <w:r>
        <w:rPr>
          <w:i/>
        </w:rPr>
        <w:t xml:space="preserve">NPRM </w:t>
      </w:r>
      <w:r>
        <w:t>that it expected to have sufficient circuit information from payors in September 2018 to consider a tiered rate structure for FY 2019.</w:t>
      </w:r>
      <w:r w:rsidRPr="00CF516C">
        <w:rPr>
          <w:vertAlign w:val="superscript"/>
        </w:rPr>
        <w:t xml:space="preserve"> </w:t>
      </w:r>
      <w:r>
        <w:rPr>
          <w:vertAlign w:val="superscript"/>
        </w:rPr>
        <w:footnoteReference w:id="70"/>
      </w:r>
      <w:r>
        <w:t xml:space="preserve">  </w:t>
      </w:r>
      <w:r w:rsidRPr="006D6945">
        <w:rPr>
          <w:szCs w:val="22"/>
        </w:rPr>
        <w:t xml:space="preserve">  </w:t>
      </w:r>
    </w:p>
    <w:p w:rsidR="006F7AD6" w:rsidRPr="00FD73FD" w:rsidP="006F7AD6" w14:paraId="25F02825" w14:textId="77777777">
      <w:pPr>
        <w:pStyle w:val="ParaNum"/>
        <w:widowControl/>
        <w:rPr>
          <w:szCs w:val="22"/>
        </w:rPr>
      </w:pPr>
      <w:r>
        <w:t>Now that we</w:t>
      </w:r>
      <w:r w:rsidRPr="006D6945">
        <w:rPr>
          <w:szCs w:val="22"/>
        </w:rPr>
        <w:t xml:space="preserve"> have FY 2018 circuit information for common carrier and non-common carrier terrestrial circuits, we believe that we should not move to a tiered structure for assessing IBC regulatory fees.  Due to the wide range of numbers of circuits among carriers, particularly between the satellite and the terrestrial carriers—a tiered system, such as the two-tiered system previously proposed by CenturyLink,</w:t>
      </w:r>
      <w:r>
        <w:rPr>
          <w:rStyle w:val="FootnoteReference"/>
          <w:szCs w:val="22"/>
        </w:rPr>
        <w:footnoteReference w:id="71"/>
      </w:r>
      <w:r w:rsidRPr="006D6945">
        <w:rPr>
          <w:szCs w:val="22"/>
        </w:rPr>
        <w:t xml:space="preserve"> would result in large increases in fees for the smaller carriers that do not appear to be “reasonably related to the benefits </w:t>
      </w:r>
      <w:r w:rsidRPr="003C560E">
        <w:rPr>
          <w:szCs w:val="22"/>
        </w:rPr>
        <w:t>provided to the payor of the fee</w:t>
      </w:r>
      <w:r>
        <w:rPr>
          <w:szCs w:val="22"/>
        </w:rPr>
        <w:t>[]</w:t>
      </w:r>
      <w:r w:rsidRPr="003C560E">
        <w:rPr>
          <w:szCs w:val="22"/>
        </w:rPr>
        <w:t xml:space="preserve"> by the Commission’s activities</w:t>
      </w:r>
      <w:r w:rsidRPr="006D6945">
        <w:rPr>
          <w:szCs w:val="22"/>
        </w:rPr>
        <w:t>,” as required by section 9(d) of the Act.</w:t>
      </w:r>
      <w:r>
        <w:rPr>
          <w:rStyle w:val="FootnoteReference"/>
          <w:szCs w:val="22"/>
        </w:rPr>
        <w:footnoteReference w:id="72"/>
      </w:r>
      <w:r w:rsidRPr="006D6945">
        <w:rPr>
          <w:szCs w:val="22"/>
        </w:rPr>
        <w:t xml:space="preserve">  More specifically, FY 2019 IBC fees that would be assessed on the 13 carriers currently in this fee category using the existing per-Gbps methodology would range from approximately $121 all the way to $355,000 per carrier, and condensing such a large range of fees to two tiers would require a substantial fee increase for the smaller carriers.</w:t>
      </w:r>
      <w:r w:rsidRPr="00DF3990">
        <w:rPr>
          <w:szCs w:val="22"/>
        </w:rPr>
        <w:t xml:space="preserve"> </w:t>
      </w:r>
      <w:r>
        <w:rPr>
          <w:szCs w:val="22"/>
        </w:rPr>
        <w:t xml:space="preserve"> To avoid such increases, we believe that we would need to adopt a complex tiering system of at least seven tiers, and several of these tiers would apply to only one carrier.  </w:t>
      </w:r>
      <w:r w:rsidRPr="006D6945">
        <w:rPr>
          <w:szCs w:val="22"/>
        </w:rPr>
        <w:t xml:space="preserve">We believe that such a complex tiered system would not be an improvement over the current methodology.  Accordingly, we propose to continue to base non-common carrier and common carrier satellite and terrestrial IBC fees on the </w:t>
      </w:r>
      <w:r w:rsidRPr="00D03646">
        <w:rPr>
          <w:szCs w:val="22"/>
        </w:rPr>
        <w:t>per Gbps rate in Appendix B</w:t>
      </w:r>
      <w:r w:rsidRPr="00990013">
        <w:rPr>
          <w:szCs w:val="22"/>
        </w:rPr>
        <w:t>, which would be $121 for FY 2019.  We seek comment on th</w:t>
      </w:r>
      <w:r w:rsidRPr="00FD73FD">
        <w:rPr>
          <w:szCs w:val="22"/>
        </w:rPr>
        <w:t>is proposal.</w:t>
      </w:r>
    </w:p>
    <w:p w:rsidR="006F7AD6" w:rsidP="006F7AD6" w14:paraId="0940DDA0" w14:textId="77777777">
      <w:pPr>
        <w:pStyle w:val="ParaNum"/>
        <w:rPr>
          <w:szCs w:val="22"/>
        </w:rPr>
      </w:pPr>
      <w:r>
        <w:rPr>
          <w:szCs w:val="22"/>
        </w:rPr>
        <w:t xml:space="preserve">To the extent that commenters nevertheless believe that we should adopt a tiered structure for assessing IBC regulatory fees, we seek comment on what that structure should look like.  For example, notwithstanding the concerns discussed above, should we adopt the following seven-tiered system, and if so, why?  </w:t>
      </w:r>
    </w:p>
    <w:p w:rsidR="006F7AD6" w:rsidP="006F7AD6" w14:paraId="1882EFDC" w14:textId="77777777">
      <w:pPr>
        <w:pStyle w:val="ListParagraph"/>
        <w:widowControl/>
        <w:numPr>
          <w:ilvl w:val="0"/>
          <w:numId w:val="19"/>
        </w:numPr>
        <w:snapToGrid w:val="0"/>
      </w:pPr>
      <w:r>
        <w:t xml:space="preserve">Systems with capacities less than 5 Gbps would pay a flat $150 fee.  </w:t>
      </w:r>
    </w:p>
    <w:p w:rsidR="006F7AD6" w:rsidP="006F7AD6" w14:paraId="72388F41" w14:textId="77777777">
      <w:pPr>
        <w:pStyle w:val="ListParagraph"/>
        <w:widowControl/>
        <w:numPr>
          <w:ilvl w:val="0"/>
          <w:numId w:val="19"/>
        </w:numPr>
        <w:snapToGrid w:val="0"/>
      </w:pPr>
      <w:r>
        <w:t>Systems with capacities equal to 5 Gbps or greater, but less than 50 Gbps, would pay a flat $750 fee.</w:t>
      </w:r>
    </w:p>
    <w:p w:rsidR="006F7AD6" w:rsidP="006F7AD6" w14:paraId="7EDCA3A0" w14:textId="77777777">
      <w:pPr>
        <w:pStyle w:val="ListParagraph"/>
        <w:widowControl/>
        <w:numPr>
          <w:ilvl w:val="0"/>
          <w:numId w:val="19"/>
        </w:numPr>
        <w:snapToGrid w:val="0"/>
      </w:pPr>
      <w:r>
        <w:t>Systems with capacities equal to 50 Gbps or greater, but less than 250 Gbps, would pay a flat $11,200 fee.</w:t>
      </w:r>
    </w:p>
    <w:p w:rsidR="006F7AD6" w:rsidP="006F7AD6" w14:paraId="717E2A6E" w14:textId="77777777">
      <w:pPr>
        <w:pStyle w:val="ListParagraph"/>
        <w:widowControl/>
        <w:numPr>
          <w:ilvl w:val="0"/>
          <w:numId w:val="19"/>
        </w:numPr>
        <w:snapToGrid w:val="0"/>
      </w:pPr>
      <w:r>
        <w:t>Systems with capacities equal to 250 Gbps or greater, but less than 750 Gbps, would pay a flat $45,000 fee.</w:t>
      </w:r>
    </w:p>
    <w:p w:rsidR="006F7AD6" w:rsidP="006F7AD6" w14:paraId="102EC12A" w14:textId="77777777">
      <w:pPr>
        <w:pStyle w:val="ListParagraph"/>
        <w:widowControl/>
        <w:numPr>
          <w:ilvl w:val="0"/>
          <w:numId w:val="19"/>
        </w:numPr>
        <w:snapToGrid w:val="0"/>
      </w:pPr>
      <w:r>
        <w:t>Systems with capacities equal to 750 Gbps or greater, but less than 1,200 Gbps, would pay a flat $135,000 fee.</w:t>
      </w:r>
    </w:p>
    <w:p w:rsidR="006F7AD6" w:rsidP="006F7AD6" w14:paraId="6CB51DD4" w14:textId="77777777">
      <w:pPr>
        <w:pStyle w:val="ListParagraph"/>
        <w:widowControl/>
        <w:numPr>
          <w:ilvl w:val="0"/>
          <w:numId w:val="19"/>
        </w:numPr>
        <w:snapToGrid w:val="0"/>
      </w:pPr>
      <w:r>
        <w:t xml:space="preserve">Systems with capacities equal to 1,200 Gbps or greater, but less than 2,500 Gbps, would pay a flat $270,000 fee.  </w:t>
      </w:r>
    </w:p>
    <w:p w:rsidR="006F7AD6" w:rsidP="006F7AD6" w14:paraId="7B464958" w14:textId="77777777">
      <w:pPr>
        <w:pStyle w:val="ListParagraph"/>
        <w:widowControl/>
        <w:numPr>
          <w:ilvl w:val="0"/>
          <w:numId w:val="19"/>
        </w:numPr>
        <w:snapToGrid w:val="0"/>
        <w:spacing w:after="120"/>
        <w:contextualSpacing w:val="0"/>
      </w:pPr>
      <w:r>
        <w:t>Systems with capacities equal to or greater than 2,500 Gbps would pay a flat $345,000 fee.</w:t>
      </w:r>
    </w:p>
    <w:p w:rsidR="006F7AD6" w:rsidRPr="006D6945" w:rsidP="006F7AD6" w14:paraId="5278B492" w14:textId="77777777">
      <w:pPr>
        <w:pStyle w:val="ParaNum"/>
      </w:pPr>
      <w:r>
        <w:t>For any tiered structure proposed, commenters should explain why their proposal would be an improvement over the current methodology and how the resulting fees would be “</w:t>
      </w:r>
      <w:r w:rsidRPr="006D6945">
        <w:t xml:space="preserve">reasonably related to the benefits </w:t>
      </w:r>
      <w:r w:rsidRPr="003C560E">
        <w:t>provided to the payor of the fee</w:t>
      </w:r>
      <w:r>
        <w:t>[]</w:t>
      </w:r>
      <w:r w:rsidRPr="003C560E">
        <w:t xml:space="preserve"> by the Commission’s activities</w:t>
      </w:r>
      <w:r w:rsidRPr="006D6945">
        <w:t>.”</w:t>
      </w:r>
      <w:r>
        <w:rPr>
          <w:rStyle w:val="FootnoteReference"/>
          <w:szCs w:val="22"/>
        </w:rPr>
        <w:footnoteReference w:id="73"/>
      </w:r>
    </w:p>
    <w:p w:rsidR="006F7AD6" w:rsidRPr="006D6945" w:rsidP="006F7AD6" w14:paraId="7BB42BC3" w14:textId="77777777">
      <w:pPr>
        <w:pStyle w:val="Heading2"/>
        <w:rPr>
          <w:szCs w:val="22"/>
        </w:rPr>
      </w:pPr>
      <w:bookmarkStart w:id="15" w:name="_Toc6326143"/>
      <w:r w:rsidRPr="006D6945">
        <w:rPr>
          <w:szCs w:val="22"/>
        </w:rPr>
        <w:t>De Minimis Regulatory Fees</w:t>
      </w:r>
      <w:bookmarkEnd w:id="15"/>
    </w:p>
    <w:p w:rsidR="006F7AD6" w:rsidRPr="004A209C" w:rsidP="006F7AD6" w14:paraId="49FFD92A" w14:textId="77777777">
      <w:pPr>
        <w:pStyle w:val="ParaNum"/>
        <w:rPr>
          <w:szCs w:val="22"/>
        </w:rPr>
      </w:pPr>
      <w:r>
        <w:t xml:space="preserve">Section 9(e)(2) of the RAY BAUM’S Act provides the Commission with discretion to exempt a party from paying regulatory fees when the Commission determines that the cost of collection </w:t>
      </w:r>
      <w:r>
        <w:t>exceeds the amount collected.</w:t>
      </w:r>
      <w:r>
        <w:rPr>
          <w:rStyle w:val="FootnoteReference"/>
        </w:rPr>
        <w:footnoteReference w:id="74"/>
      </w:r>
      <w:r>
        <w:t xml:space="preserve">  Specifically, section 9(e)(2) provides that the Commission may exempt a party from paying regulatory fees if “in the judgment of the Commission, the cost of collecting a regulatory fee established under this section from a party would exceed the amount collected from such party. . . .”</w:t>
      </w:r>
      <w:r>
        <w:rPr>
          <w:rStyle w:val="FootnoteReference"/>
          <w:szCs w:val="22"/>
        </w:rPr>
        <w:footnoteReference w:id="75"/>
      </w:r>
      <w:r>
        <w:t xml:space="preserve">  Below, we seek comment on how to implement section 9(e)(2).</w:t>
      </w:r>
    </w:p>
    <w:p w:rsidR="006F7AD6" w:rsidRPr="00306B15" w:rsidP="006F7AD6" w14:paraId="773B0DE0" w14:textId="77777777">
      <w:pPr>
        <w:pStyle w:val="ParaNum"/>
        <w:rPr>
          <w:szCs w:val="22"/>
        </w:rPr>
      </w:pPr>
      <w:r>
        <w:t>Since 1996, t</w:t>
      </w:r>
      <w:r w:rsidRPr="00481C66">
        <w:t xml:space="preserve">he Commission </w:t>
      </w:r>
      <w:r>
        <w:t xml:space="preserve">has </w:t>
      </w:r>
      <w:r w:rsidRPr="00481C66">
        <w:t>provide</w:t>
      </w:r>
      <w:r>
        <w:t>d</w:t>
      </w:r>
      <w:r w:rsidRPr="00481C66">
        <w:t xml:space="preserve"> a de minimis threshold for regulatory fee payments by exempting a regulatee from paying regulatory fees if the sum total of all of its annual regulatory fee liabilities </w:t>
      </w:r>
      <w:r>
        <w:t xml:space="preserve">was less than the threshold for a given </w:t>
      </w:r>
      <w:r w:rsidRPr="00481C66">
        <w:t>fiscal year.</w:t>
      </w:r>
      <w:r>
        <w:t xml:space="preserve">  In adopting the first </w:t>
      </w:r>
      <w:r w:rsidRPr="00210BE5">
        <w:t>de minimis threshold for regulatory fees</w:t>
      </w:r>
      <w:r>
        <w:t xml:space="preserve"> of $10.00, the Commission found that </w:t>
      </w:r>
      <w:r w:rsidRPr="00210BE5">
        <w:t xml:space="preserve">the cost of processing small payments resulted in a net loss to the </w:t>
      </w:r>
      <w:r>
        <w:t xml:space="preserve">U.S. Department of the </w:t>
      </w:r>
      <w:r w:rsidRPr="00210BE5">
        <w:t>Treasury.</w:t>
      </w:r>
      <w:r>
        <w:rPr>
          <w:rStyle w:val="FootnoteReference"/>
        </w:rPr>
        <w:footnoteReference w:id="76"/>
      </w:r>
      <w:r>
        <w:t xml:space="preserve">  </w:t>
      </w:r>
      <w:r w:rsidRPr="001D1C0E">
        <w:t xml:space="preserve">The Commission subsequently revised the de minimis threshold in 2014 to $500.00 based </w:t>
      </w:r>
      <w:r w:rsidRPr="0041568D">
        <w:t>in part on the costs of assessing and collecting regulatory fees from non-payers.</w:t>
      </w:r>
      <w:r>
        <w:rPr>
          <w:rStyle w:val="FootnoteReference"/>
        </w:rPr>
        <w:footnoteReference w:id="77"/>
      </w:r>
      <w:r w:rsidRPr="0041568D">
        <w:t xml:space="preserve">  </w:t>
      </w:r>
      <w:r w:rsidRPr="0041568D">
        <w:rPr>
          <w:szCs w:val="22"/>
        </w:rPr>
        <w:t xml:space="preserve">The Commission estimated that the cost of </w:t>
      </w:r>
      <w:r w:rsidRPr="00481C66">
        <w:rPr>
          <w:szCs w:val="22"/>
        </w:rPr>
        <w:t>collection of an unpaid regulatory fee was at least $350.</w:t>
      </w:r>
      <w:r>
        <w:rPr>
          <w:szCs w:val="22"/>
        </w:rPr>
        <w:t>00.</w:t>
      </w:r>
      <w:r>
        <w:rPr>
          <w:rStyle w:val="FootnoteReference"/>
          <w:szCs w:val="22"/>
        </w:rPr>
        <w:footnoteReference w:id="78"/>
      </w:r>
      <w:r w:rsidRPr="00481C66">
        <w:rPr>
          <w:szCs w:val="22"/>
        </w:rPr>
        <w:t xml:space="preserve">  </w:t>
      </w:r>
      <w:r w:rsidRPr="001D1C0E">
        <w:rPr>
          <w:szCs w:val="22"/>
        </w:rPr>
        <w:t>The Commission explained that the increase</w:t>
      </w:r>
      <w:r w:rsidRPr="0041568D">
        <w:rPr>
          <w:szCs w:val="22"/>
        </w:rPr>
        <w:t xml:space="preserve"> </w:t>
      </w:r>
      <w:r>
        <w:rPr>
          <w:szCs w:val="22"/>
        </w:rPr>
        <w:t>in</w:t>
      </w:r>
      <w:r w:rsidRPr="0041568D">
        <w:rPr>
          <w:szCs w:val="22"/>
        </w:rPr>
        <w:t xml:space="preserve"> the de minimis threshold to $500</w:t>
      </w:r>
      <w:r>
        <w:rPr>
          <w:szCs w:val="22"/>
        </w:rPr>
        <w:t>.00</w:t>
      </w:r>
      <w:r w:rsidRPr="0041568D">
        <w:rPr>
          <w:szCs w:val="22"/>
        </w:rPr>
        <w:t xml:space="preserve"> would provide financial relief to small entities and reduce the administrative burden on the Commission that would result from attempting to collect unpaid fees.</w:t>
      </w:r>
      <w:r>
        <w:rPr>
          <w:rStyle w:val="FootnoteReference"/>
          <w:szCs w:val="22"/>
        </w:rPr>
        <w:footnoteReference w:id="79"/>
      </w:r>
      <w:r w:rsidRPr="0041568D">
        <w:rPr>
          <w:szCs w:val="22"/>
        </w:rPr>
        <w:t xml:space="preserve">  The Commission noted that s</w:t>
      </w:r>
      <w:r w:rsidRPr="00F732E2">
        <w:rPr>
          <w:color w:val="212121"/>
          <w:sz w:val="21"/>
          <w:szCs w:val="21"/>
        </w:rPr>
        <w:t>maller entities are at greater risk of missing regulatory fee deadlines and that many such entities are subject to little Commission oversight and regulation</w:t>
      </w:r>
      <w:r>
        <w:rPr>
          <w:color w:val="212121"/>
          <w:sz w:val="21"/>
          <w:szCs w:val="21"/>
        </w:rPr>
        <w:t>.</w:t>
      </w:r>
      <w:r>
        <w:rPr>
          <w:rStyle w:val="FootnoteReference"/>
          <w:szCs w:val="21"/>
        </w:rPr>
        <w:footnoteReference w:id="80"/>
      </w:r>
      <w:r>
        <w:rPr>
          <w:color w:val="212121"/>
          <w:sz w:val="21"/>
          <w:szCs w:val="21"/>
        </w:rPr>
        <w:t xml:space="preserve"> </w:t>
      </w:r>
      <w:r w:rsidRPr="00F732E2">
        <w:rPr>
          <w:color w:val="212121"/>
          <w:sz w:val="21"/>
          <w:szCs w:val="21"/>
        </w:rPr>
        <w:t xml:space="preserve"> </w:t>
      </w:r>
      <w:r>
        <w:rPr>
          <w:szCs w:val="22"/>
        </w:rPr>
        <w:t xml:space="preserve">The </w:t>
      </w:r>
      <w:r w:rsidRPr="000235E4">
        <w:rPr>
          <w:szCs w:val="22"/>
        </w:rPr>
        <w:t>Commission increased the de minimis threshold to $1</w:t>
      </w:r>
      <w:r>
        <w:rPr>
          <w:szCs w:val="22"/>
        </w:rPr>
        <w:t>,</w:t>
      </w:r>
      <w:r w:rsidRPr="000235E4">
        <w:rPr>
          <w:szCs w:val="22"/>
        </w:rPr>
        <w:t>000</w:t>
      </w:r>
      <w:r>
        <w:rPr>
          <w:szCs w:val="22"/>
        </w:rPr>
        <w:t>.00 in 2017</w:t>
      </w:r>
      <w:r w:rsidRPr="000235E4">
        <w:rPr>
          <w:szCs w:val="22"/>
        </w:rPr>
        <w:t xml:space="preserve">, </w:t>
      </w:r>
      <w:r w:rsidRPr="002F328C">
        <w:rPr>
          <w:szCs w:val="22"/>
        </w:rPr>
        <w:t>observ</w:t>
      </w:r>
      <w:r>
        <w:rPr>
          <w:szCs w:val="22"/>
        </w:rPr>
        <w:t>ing</w:t>
      </w:r>
      <w:r w:rsidRPr="002F328C">
        <w:rPr>
          <w:szCs w:val="22"/>
        </w:rPr>
        <w:t xml:space="preserve"> that the cost of researching and creating a bill to send to a non-payor, and completing follow</w:t>
      </w:r>
      <w:r>
        <w:rPr>
          <w:szCs w:val="22"/>
        </w:rPr>
        <w:t>-</w:t>
      </w:r>
      <w:r w:rsidRPr="002F328C">
        <w:rPr>
          <w:szCs w:val="22"/>
        </w:rPr>
        <w:t xml:space="preserve">up discussion and correspondence, had increased since the FY 2014 </w:t>
      </w:r>
      <w:r>
        <w:rPr>
          <w:szCs w:val="22"/>
        </w:rPr>
        <w:t xml:space="preserve">regulatory fee </w:t>
      </w:r>
      <w:r w:rsidRPr="002F328C">
        <w:rPr>
          <w:szCs w:val="22"/>
        </w:rPr>
        <w:t>proceeding.</w:t>
      </w:r>
      <w:r>
        <w:rPr>
          <w:rStyle w:val="FootnoteReference"/>
          <w:szCs w:val="22"/>
        </w:rPr>
        <w:footnoteReference w:id="81"/>
      </w:r>
      <w:r w:rsidRPr="00AE792C">
        <w:rPr>
          <w:szCs w:val="22"/>
        </w:rPr>
        <w:t xml:space="preserve">  </w:t>
      </w:r>
      <w:r>
        <w:rPr>
          <w:szCs w:val="22"/>
        </w:rPr>
        <w:t>The Commission further found that</w:t>
      </w:r>
      <w:r w:rsidRPr="00AE792C">
        <w:rPr>
          <w:szCs w:val="22"/>
        </w:rPr>
        <w:t xml:space="preserve"> the $350</w:t>
      </w:r>
      <w:r>
        <w:rPr>
          <w:szCs w:val="22"/>
        </w:rPr>
        <w:t>.00</w:t>
      </w:r>
      <w:r w:rsidRPr="00AE792C">
        <w:rPr>
          <w:szCs w:val="22"/>
        </w:rPr>
        <w:t xml:space="preserve"> estimate </w:t>
      </w:r>
      <w:r w:rsidRPr="002A1E78">
        <w:rPr>
          <w:szCs w:val="22"/>
        </w:rPr>
        <w:t xml:space="preserve">of </w:t>
      </w:r>
      <w:r>
        <w:rPr>
          <w:szCs w:val="22"/>
        </w:rPr>
        <w:t xml:space="preserve">collection </w:t>
      </w:r>
      <w:r w:rsidRPr="002A1E78">
        <w:rPr>
          <w:szCs w:val="22"/>
        </w:rPr>
        <w:t xml:space="preserve">costs </w:t>
      </w:r>
      <w:r w:rsidRPr="00AE792C">
        <w:rPr>
          <w:szCs w:val="22"/>
        </w:rPr>
        <w:t xml:space="preserve">in the </w:t>
      </w:r>
      <w:r w:rsidRPr="00703602">
        <w:rPr>
          <w:i/>
          <w:szCs w:val="22"/>
        </w:rPr>
        <w:t>FY 2014 Report and Order</w:t>
      </w:r>
      <w:r w:rsidRPr="00AE792C">
        <w:rPr>
          <w:szCs w:val="22"/>
        </w:rPr>
        <w:t xml:space="preserve"> did not include the</w:t>
      </w:r>
      <w:r>
        <w:t xml:space="preserve"> Commission’s overhead costs.</w:t>
      </w:r>
      <w:r>
        <w:rPr>
          <w:rStyle w:val="FootnoteReference"/>
        </w:rPr>
        <w:footnoteReference w:id="82"/>
      </w:r>
      <w:r>
        <w:t xml:space="preserve">  </w:t>
      </w:r>
    </w:p>
    <w:p w:rsidR="006F7AD6" w:rsidP="006F7AD6" w14:paraId="2F90409D" w14:textId="77777777">
      <w:pPr>
        <w:pStyle w:val="ParaNum"/>
      </w:pPr>
      <w:bookmarkStart w:id="16" w:name="_Hlk5273907"/>
      <w:r>
        <w:t xml:space="preserve">We view new section 9(e)(2) as codifying our authority to adopt a de minimis exemption.  Section 9(e)(2) provides the Commission with discretion to exempt a “party” and to provide relief based on the cost of collection, both of which were factors considered in the existing de minimis exemption.  The adoption of a monetary threshold applied against the total amount due in a given fiscal year continues to be, in our estimation, an efficient mechanism for reducing the Commission’s costs in assessing and collecting regulatory fees.  </w:t>
      </w:r>
    </w:p>
    <w:bookmarkEnd w:id="16"/>
    <w:p w:rsidR="006F7AD6" w:rsidRPr="00F965F8" w:rsidP="006F7AD6" w14:paraId="4C0B92CA" w14:textId="1EFED5CB">
      <w:pPr>
        <w:pStyle w:val="ParaNum"/>
        <w:rPr>
          <w:szCs w:val="22"/>
        </w:rPr>
      </w:pPr>
      <w:r>
        <w:t>We have analyzed an average cost of collection of a delinquent bill today and estimate that the cost to the Commission would exceed $1,000</w:t>
      </w:r>
      <w:r w:rsidR="00074688">
        <w:t>.00</w:t>
      </w:r>
      <w:r>
        <w:t xml:space="preserve">.  For delinquent bills, the Commission’s administrative process includes various functions such as gathering data from the bureaus and external </w:t>
      </w:r>
      <w:r>
        <w:t>sources (e.g., the Universal Service Administrative Company (USAC)); validating data and preparing the data for billing; validating outstanding bills; preparing delinquency bills for transfer to collection agent for processing; discussing bills with regulatees when they call with questions; addressing bill disputes (e.g., Centralized Receivable Service (CRS), U.S. Department of the Treasury, and FCC Help Desks); and processing payments received from CRS and U.S. Department of the Treasury.  We thus seek comment on a section 9(e)(2) annual regulatory fee de minimis exemption of $1,000</w:t>
      </w:r>
      <w:r w:rsidR="00074688">
        <w:t>.00</w:t>
      </w:r>
      <w:r>
        <w:t xml:space="preserve">. </w:t>
      </w:r>
    </w:p>
    <w:p w:rsidR="006F7AD6" w:rsidP="006F7AD6" w14:paraId="730B1B5B" w14:textId="77777777">
      <w:pPr>
        <w:pStyle w:val="ParaNum"/>
      </w:pPr>
      <w:r>
        <w:rPr>
          <w:szCs w:val="22"/>
        </w:rPr>
        <w:t>We also propose to exclude multi-year regulatory fees from the proposed section 9(e)(2) exemption.  Historically, t</w:t>
      </w:r>
      <w:r w:rsidRPr="000C4C61">
        <w:rPr>
          <w:szCs w:val="22"/>
        </w:rPr>
        <w:t xml:space="preserve">he de minimis threshold </w:t>
      </w:r>
      <w:r>
        <w:rPr>
          <w:szCs w:val="22"/>
        </w:rPr>
        <w:t>has applied</w:t>
      </w:r>
      <w:r w:rsidRPr="000C4C61">
        <w:rPr>
          <w:szCs w:val="22"/>
        </w:rPr>
        <w:t xml:space="preserve"> only to annual regulatory fee</w:t>
      </w:r>
      <w:r w:rsidRPr="001F5AD5">
        <w:rPr>
          <w:szCs w:val="22"/>
        </w:rPr>
        <w:t xml:space="preserve"> </w:t>
      </w:r>
      <w:r w:rsidRPr="000C4C61">
        <w:rPr>
          <w:szCs w:val="22"/>
        </w:rPr>
        <w:t>filers</w:t>
      </w:r>
      <w:r>
        <w:rPr>
          <w:szCs w:val="22"/>
        </w:rPr>
        <w:t xml:space="preserve"> and did </w:t>
      </w:r>
      <w:r w:rsidRPr="000C4C61">
        <w:rPr>
          <w:szCs w:val="22"/>
        </w:rPr>
        <w:t xml:space="preserve">not </w:t>
      </w:r>
      <w:r>
        <w:rPr>
          <w:szCs w:val="22"/>
        </w:rPr>
        <w:t xml:space="preserve">include </w:t>
      </w:r>
      <w:r w:rsidRPr="000C4C61">
        <w:rPr>
          <w:szCs w:val="22"/>
        </w:rPr>
        <w:t xml:space="preserve">regulatory fees paid through multi-year filings.  </w:t>
      </w:r>
      <w:r>
        <w:rPr>
          <w:szCs w:val="22"/>
        </w:rPr>
        <w:t>The Commission excluded multi-year wireless fees from the de minimis exemption because the process of paying multi-year regulatory fees is a separate process from annual regulatory fee filings, and including multi-year fees in the threshold would significantly increase the Commission’s administrative costs.</w:t>
      </w:r>
      <w:r>
        <w:rPr>
          <w:rStyle w:val="FootnoteReference"/>
          <w:szCs w:val="22"/>
        </w:rPr>
        <w:footnoteReference w:id="83"/>
      </w:r>
      <w:r>
        <w:rPr>
          <w:szCs w:val="22"/>
        </w:rPr>
        <w:t xml:space="preserve">  Section 9(e)(2) provides the Commission with discretion as to whether and how to provide this exemption; specifically, it states that the Commission “may exempt” a party from paying regulatory fees.  We propose to exclude multi-year licenses from the new section 9(e)(2) exemption due to the administrative costs associated with implementing such an exemption for these fees.  We seek comment on this proposal.  </w:t>
      </w:r>
    </w:p>
    <w:p w:rsidR="006F7AD6" w:rsidRPr="003C560E" w:rsidP="006F7AD6" w14:paraId="0C25794F" w14:textId="77777777">
      <w:pPr>
        <w:pStyle w:val="Heading2"/>
      </w:pPr>
      <w:bookmarkStart w:id="17" w:name="_Toc382567922"/>
      <w:bookmarkStart w:id="18" w:name="_Toc384227055"/>
      <w:bookmarkStart w:id="19" w:name="_Toc6326144"/>
      <w:bookmarkStart w:id="20" w:name="_Hlk504125051"/>
      <w:r w:rsidRPr="003C560E">
        <w:t>Additional Regulatory Fee Reform</w:t>
      </w:r>
      <w:bookmarkEnd w:id="17"/>
      <w:bookmarkEnd w:id="18"/>
      <w:bookmarkEnd w:id="19"/>
      <w:r w:rsidRPr="003C560E">
        <w:t xml:space="preserve">   </w:t>
      </w:r>
    </w:p>
    <w:p w:rsidR="006F7AD6" w:rsidP="006F7AD6" w14:paraId="14AB79EF" w14:textId="77777777">
      <w:pPr>
        <w:pStyle w:val="ParaNum"/>
        <w:ind w:left="-90"/>
        <w:rPr>
          <w:szCs w:val="22"/>
        </w:rPr>
      </w:pPr>
      <w:r w:rsidRPr="003C560E">
        <w:rPr>
          <w:szCs w:val="22"/>
        </w:rPr>
        <w:t xml:space="preserve">We also seek comment on </w:t>
      </w:r>
      <w:r>
        <w:rPr>
          <w:szCs w:val="22"/>
        </w:rPr>
        <w:t xml:space="preserve">additional regulatory fee reform and </w:t>
      </w:r>
      <w:r w:rsidRPr="003C560E">
        <w:rPr>
          <w:szCs w:val="22"/>
        </w:rPr>
        <w:t xml:space="preserve">ways to further improve our regulatory fee process to make it less burdensome for all entities.  </w:t>
      </w:r>
      <w:bookmarkStart w:id="21" w:name="_Toc351572423"/>
      <w:bookmarkEnd w:id="21"/>
      <w:r>
        <w:rPr>
          <w:szCs w:val="22"/>
        </w:rPr>
        <w:t>In particular, we seek comment on whether our fee setting methodologies could be improved or updated to ensure that our regulatory fees are more equitable or otherwise streamlined to make the fee schedule simpler.  As part of this analysis, we seek comment on the costs and benefits of reforming our fee-setting process.</w:t>
      </w:r>
    </w:p>
    <w:p w:rsidR="006F7AD6" w:rsidP="006F7AD6" w14:paraId="11717C13" w14:textId="77777777">
      <w:pPr>
        <w:pStyle w:val="Heading2"/>
      </w:pPr>
      <w:bookmarkStart w:id="22" w:name="_Toc6326145"/>
      <w:r>
        <w:t>Restatement of Certain Rules Fundamental to Waiver, Enforcement and Collection of Regulatory Fees</w:t>
      </w:r>
      <w:bookmarkEnd w:id="22"/>
    </w:p>
    <w:p w:rsidR="006F7AD6" w:rsidRPr="0012774E" w:rsidP="006F7AD6" w14:paraId="49B1ABDC" w14:textId="77777777">
      <w:pPr>
        <w:pStyle w:val="ParaNum"/>
      </w:pPr>
      <w:r>
        <w:t>The RAY BAUM’S Act moved and reformatted certain provisions of prior section 9 relating to waiver, enforcement and collection of regulatory fees.</w:t>
      </w:r>
      <w:r>
        <w:rPr>
          <w:rStyle w:val="FootnoteReference"/>
        </w:rPr>
        <w:footnoteReference w:id="84"/>
      </w:r>
      <w:r>
        <w:t xml:space="preserve">  Because these provisions are essential to the Commission’s exercise of its statutory authority here, we take this opportunity to explain essential aspects of the statute and also note that our application of these provisions remains unchanged. </w:t>
      </w:r>
    </w:p>
    <w:p w:rsidR="006F7AD6" w:rsidRPr="00EE74FB" w:rsidP="006F7AD6" w14:paraId="401AF149" w14:textId="77777777">
      <w:pPr>
        <w:pStyle w:val="Heading3"/>
      </w:pPr>
      <w:bookmarkStart w:id="23" w:name="_Toc6326146"/>
      <w:r>
        <w:t>Waiver, Reduction and Deferral of Regulatory Fees</w:t>
      </w:r>
      <w:bookmarkEnd w:id="23"/>
    </w:p>
    <w:p w:rsidR="006F7AD6" w:rsidP="006F7AD6" w14:paraId="64A7599B" w14:textId="77777777">
      <w:pPr>
        <w:pStyle w:val="ParaNum"/>
      </w:pPr>
      <w:r>
        <w:t>Section 9A of the Communications Act, as amended by the RAY BAUM’S Act, permits the Commission to waive, reduce, or defer payment of a regulatory fee and associated interest charges and penalties for good cause if the waiver, reduction, or deferral (collectively, waiver or waive) would serve the public interest.</w:t>
      </w:r>
      <w:r>
        <w:rPr>
          <w:rStyle w:val="FootnoteReference"/>
        </w:rPr>
        <w:footnoteReference w:id="85"/>
      </w:r>
      <w:r>
        <w:t xml:space="preserve">  The Commission interprets this provision narrowly to permit only those waivers “unambiguously articulating ‘extraordinary circumstances’ outweighing the public interest in recouping the cost of the Commission’s regulatory services for a particular regulatee.”</w:t>
      </w:r>
      <w:r>
        <w:rPr>
          <w:rStyle w:val="FootnoteReference"/>
        </w:rPr>
        <w:footnoteReference w:id="86"/>
      </w:r>
      <w:r>
        <w:t xml:space="preserve">  Within this standard, the Commission recognizes that in exceptional circumstances, financial hardship may justify waiving and/or </w:t>
      </w:r>
      <w:r>
        <w:t>deferring a party’s regulatory fees.</w:t>
      </w:r>
      <w:r>
        <w:rPr>
          <w:rStyle w:val="FootnoteReference"/>
        </w:rPr>
        <w:footnoteReference w:id="87"/>
      </w:r>
      <w:r>
        <w:t xml:space="preserve">  Financial inability, however, must be conclusively proven and the  burden of proof for doing so lies solely with the regulatee seeking relief.  Mere allegations of financial loss will not support a waiver request.  Rather, as the Commission has stated, “it is incumbent upon each regulatee to fully document its financial position and show that it lacks sufficient funds to pay the regulatory fees and to maintain its service to the public.”</w:t>
      </w:r>
      <w:r>
        <w:rPr>
          <w:rStyle w:val="FootnoteReference"/>
        </w:rPr>
        <w:footnoteReference w:id="88"/>
      </w:r>
      <w:r>
        <w:t xml:space="preserve">  The Commission has suggested that documents that may be relevant to prove financial inability include balance sheets and profit and loss statements (audited if available), twelve month cash flow projections (with an explanation of how calculated), a list of officers and highest paid employees other than officers, and each individual’s compensation, or similar information.</w:t>
      </w:r>
      <w:r>
        <w:rPr>
          <w:rStyle w:val="FootnoteReference"/>
        </w:rPr>
        <w:footnoteReference w:id="89"/>
      </w:r>
      <w:r>
        <w:t xml:space="preserve">   We emphasize, however, that the foregoing list of documents is not exhaustive and it is up to each regulatee to determine the documentation required to prove financial hardship in its own case. </w:t>
      </w:r>
    </w:p>
    <w:p w:rsidR="006F7AD6" w:rsidRPr="00EB63BD" w:rsidP="006F7AD6" w14:paraId="03257238" w14:textId="77777777">
      <w:pPr>
        <w:pStyle w:val="ParaNum"/>
      </w:pPr>
      <w:r>
        <w:t>The Commission has previously stated that with respect to waiver, reduction, and deferral requests based on financial hardship, the Commission will base its decision on the information submitted with the request as well as “any additional information available in the Commission’s records.”</w:t>
      </w:r>
      <w:r>
        <w:rPr>
          <w:rStyle w:val="FootnoteReference"/>
        </w:rPr>
        <w:footnoteReference w:id="90"/>
      </w:r>
      <w:r>
        <w:t xml:space="preserve">  We are not bound, nor is it an efficient use of the Commission’s time, to search our records for information or documents that might be relevant to a request for waiver, reduction or deferral of a regulatory fee.  Therefore, we propose to eliminate consideration of information and documents available in our records and instead, require that any party seeking regulatory fee relief, regardless of the basis for its request, must include with its request all documents and information the requestor believes to be relevant to prove its case, regardless of whether or not such documentation or information exists in Commission records.</w:t>
      </w:r>
      <w:r>
        <w:rPr>
          <w:rStyle w:val="FootnoteReference"/>
        </w:rPr>
        <w:footnoteReference w:id="91"/>
      </w:r>
      <w:r>
        <w:t xml:space="preserve">     </w:t>
      </w:r>
    </w:p>
    <w:p w:rsidR="006F7AD6" w:rsidRPr="00EB63BD" w:rsidP="006F7AD6" w14:paraId="4E9B78D4" w14:textId="77777777">
      <w:pPr>
        <w:pStyle w:val="ParaNum"/>
      </w:pPr>
      <w:r>
        <w:t>The Commission frequently receives requests to waive regulatory fees owed by regulatees in bankruptcy or receivership, who cite the fact of the bankruptcy or receivership as proof of the regulatee’s financial hardship, justifying waiver.  Here we wish to emphasize the standard to which the Commission hews in determining whether to grant relief in such cases.  While the Commission recognizes that the fact of a bankruptcy or receivership filing may be sufficient evidence of financial hardship, we consider such cases individually,</w:t>
      </w:r>
      <w:r>
        <w:rPr>
          <w:rStyle w:val="FootnoteReference"/>
        </w:rPr>
        <w:footnoteReference w:id="92"/>
      </w:r>
      <w:r>
        <w:t xml:space="preserve"> taking into account a number of other factors that are relevant to the question of whether the regulatee lacks sufficient funds to pay the regulatory fees and to maintain its service to the public.  Although the factors we consider are case-specific, they might include for example, whether the regulatee intends to reorganize or liquidate in bankruptcy, the reason for the bankruptcy or receivership filing, the regulatee’s ability or plan to obtain post-petition financing, the number, type and amount of other claims asserted against the regulatee in the bankruptcy or receivership case, and the priority accorded under bankruptcy or receivership law to the Commission’s regulatory fee claim.      </w:t>
      </w:r>
    </w:p>
    <w:p w:rsidR="006F7AD6" w:rsidP="007C33EB" w14:paraId="3D77367C" w14:textId="77777777">
      <w:pPr>
        <w:pStyle w:val="ParaNum"/>
        <w:widowControl/>
      </w:pPr>
      <w:r>
        <w:t>We also remind regulatees that requests to waive their regulatory fees must be properly filed by the date on which such fees are due.</w:t>
      </w:r>
      <w:r>
        <w:rPr>
          <w:rStyle w:val="FootnoteReference"/>
        </w:rPr>
        <w:footnoteReference w:id="93"/>
      </w:r>
      <w:r>
        <w:t xml:space="preserve"> </w:t>
      </w:r>
    </w:p>
    <w:p w:rsidR="006F7AD6" w:rsidRPr="003C560E" w:rsidP="006F7AD6" w14:paraId="2171F8E2" w14:textId="77777777">
      <w:pPr>
        <w:pStyle w:val="Heading3"/>
      </w:pPr>
      <w:bookmarkStart w:id="24" w:name="_Toc6326147"/>
      <w:r w:rsidRPr="003C560E">
        <w:t>Enforcement</w:t>
      </w:r>
      <w:bookmarkEnd w:id="24"/>
    </w:p>
    <w:p w:rsidR="006F7AD6" w:rsidP="006F7AD6" w14:paraId="2C65B4AB" w14:textId="77777777">
      <w:pPr>
        <w:pStyle w:val="ParaNum"/>
        <w:widowControl/>
        <w:rPr>
          <w:szCs w:val="22"/>
        </w:rPr>
      </w:pPr>
      <w:r w:rsidRPr="003C560E">
        <w:rPr>
          <w:i/>
          <w:szCs w:val="22"/>
        </w:rPr>
        <w:t>Late payment penalty</w:t>
      </w:r>
      <w:r>
        <w:rPr>
          <w:i/>
          <w:szCs w:val="22"/>
        </w:rPr>
        <w:t xml:space="preserve"> and interest</w:t>
      </w:r>
      <w:r w:rsidRPr="003C560E">
        <w:rPr>
          <w:szCs w:val="22"/>
        </w:rPr>
        <w:t xml:space="preserve">.  </w:t>
      </w:r>
      <w:r>
        <w:rPr>
          <w:szCs w:val="22"/>
        </w:rPr>
        <w:t>R</w:t>
      </w:r>
      <w:r w:rsidRPr="003C560E">
        <w:rPr>
          <w:szCs w:val="22"/>
        </w:rPr>
        <w:t xml:space="preserve">egulatory fee payments must be </w:t>
      </w:r>
      <w:r>
        <w:rPr>
          <w:szCs w:val="22"/>
        </w:rPr>
        <w:t>paid</w:t>
      </w:r>
      <w:r w:rsidRPr="003C560E">
        <w:rPr>
          <w:szCs w:val="22"/>
        </w:rPr>
        <w:t xml:space="preserve"> by the</w:t>
      </w:r>
      <w:r>
        <w:rPr>
          <w:szCs w:val="22"/>
        </w:rPr>
        <w:t>ir</w:t>
      </w:r>
      <w:r w:rsidRPr="003C560E">
        <w:rPr>
          <w:szCs w:val="22"/>
        </w:rPr>
        <w:t xml:space="preserve"> due date.  Section 9A(c)(1) of the Act require</w:t>
      </w:r>
      <w:r>
        <w:rPr>
          <w:szCs w:val="22"/>
        </w:rPr>
        <w:t>s</w:t>
      </w:r>
      <w:r w:rsidRPr="003C560E">
        <w:rPr>
          <w:szCs w:val="22"/>
        </w:rPr>
        <w:t xml:space="preserve"> </w:t>
      </w:r>
      <w:r>
        <w:rPr>
          <w:szCs w:val="22"/>
        </w:rPr>
        <w:t xml:space="preserve">the Commission </w:t>
      </w:r>
      <w:r w:rsidRPr="003C560E">
        <w:rPr>
          <w:szCs w:val="22"/>
        </w:rPr>
        <w:t xml:space="preserve">to impose a </w:t>
      </w:r>
      <w:r>
        <w:rPr>
          <w:szCs w:val="22"/>
        </w:rPr>
        <w:t xml:space="preserve">late payment </w:t>
      </w:r>
      <w:r w:rsidRPr="003C560E">
        <w:rPr>
          <w:szCs w:val="22"/>
        </w:rPr>
        <w:t xml:space="preserve">penalty of 25 </w:t>
      </w:r>
      <w:r>
        <w:rPr>
          <w:szCs w:val="22"/>
        </w:rPr>
        <w:t>percent of unpaid regulatory fee debt, to be assessed on the first day following the deadline for payment of the fees.  Section 9A(c)(2) of the Act requires the Commission to assess interest at the rate set forth in 31 U.S.C. § 3717 on all unpaid regulatory fees, including the 25 percent penalty, until the debt is paid in full.</w:t>
      </w:r>
      <w:r>
        <w:rPr>
          <w:rStyle w:val="FootnoteReference"/>
          <w:szCs w:val="22"/>
        </w:rPr>
        <w:footnoteReference w:id="94"/>
      </w:r>
      <w:r w:rsidRPr="003C560E">
        <w:rPr>
          <w:szCs w:val="22"/>
        </w:rPr>
        <w:t xml:space="preserve">  </w:t>
      </w:r>
      <w:r>
        <w:rPr>
          <w:szCs w:val="22"/>
        </w:rPr>
        <w:t>The RAY BAUM’S Act, however, prohibits the Commission from assessing the administrative costs of collecting delinquent regulatory fee debt.</w:t>
      </w:r>
      <w:r>
        <w:rPr>
          <w:rStyle w:val="FootnoteReference"/>
          <w:szCs w:val="22"/>
        </w:rPr>
        <w:footnoteReference w:id="95"/>
      </w:r>
      <w:r w:rsidRPr="003C560E">
        <w:rPr>
          <w:szCs w:val="22"/>
        </w:rPr>
        <w:t xml:space="preserve">  Thus, while section 9A(c) of the Act leaves intact those parts of section 1.1940 of the Commission’s rules pertaining to </w:t>
      </w:r>
      <w:r>
        <w:rPr>
          <w:szCs w:val="22"/>
        </w:rPr>
        <w:t xml:space="preserve">penalty and </w:t>
      </w:r>
      <w:r w:rsidRPr="003C560E">
        <w:rPr>
          <w:szCs w:val="22"/>
        </w:rPr>
        <w:t>interest charges, the Commission will no longer assess administrative costs on delinquent</w:t>
      </w:r>
      <w:r>
        <w:rPr>
          <w:szCs w:val="22"/>
        </w:rPr>
        <w:t xml:space="preserve"> regulatory fee</w:t>
      </w:r>
      <w:r w:rsidRPr="003C560E">
        <w:rPr>
          <w:szCs w:val="22"/>
        </w:rPr>
        <w:t xml:space="preserve"> debts.</w:t>
      </w:r>
      <w:r>
        <w:rPr>
          <w:rStyle w:val="FootnoteReference"/>
          <w:szCs w:val="22"/>
        </w:rPr>
        <w:footnoteReference w:id="96"/>
      </w:r>
      <w:r w:rsidRPr="003C560E">
        <w:rPr>
          <w:szCs w:val="22"/>
        </w:rPr>
        <w:t xml:space="preserve"> </w:t>
      </w:r>
      <w:r>
        <w:rPr>
          <w:szCs w:val="22"/>
        </w:rPr>
        <w:t xml:space="preserve"> </w:t>
      </w:r>
      <w:r w:rsidRPr="003C560E">
        <w:rPr>
          <w:szCs w:val="22"/>
        </w:rPr>
        <w:t xml:space="preserve">  </w:t>
      </w:r>
      <w:r>
        <w:rPr>
          <w:szCs w:val="22"/>
        </w:rPr>
        <w:t xml:space="preserve"> </w:t>
      </w:r>
      <w:r w:rsidRPr="003C560E">
        <w:rPr>
          <w:szCs w:val="22"/>
        </w:rPr>
        <w:t xml:space="preserve"> </w:t>
      </w:r>
    </w:p>
    <w:p w:rsidR="006F7AD6" w:rsidRPr="003C560E" w:rsidP="006F7AD6" w14:paraId="54D0D14C" w14:textId="77777777">
      <w:pPr>
        <w:pStyle w:val="ParaNum"/>
        <w:rPr>
          <w:szCs w:val="22"/>
        </w:rPr>
      </w:pPr>
      <w:r>
        <w:rPr>
          <w:i/>
          <w:szCs w:val="22"/>
        </w:rPr>
        <w:t xml:space="preserve">Collection and offset. </w:t>
      </w:r>
      <w:r>
        <w:rPr>
          <w:szCs w:val="22"/>
        </w:rPr>
        <w:t>The Commission will pursue collection of all past due regulatory fees, including penalties and accrued interest, using collection remedies available to it under the Debt Collection Improvement Act of 1996, its implementing regulations and federal common law.  These remedies include offsetting regulatory fee debt against monies owed to the debtor by the Commission, and referral of the debt to the United States Treasury for further collection efforts, including centralized offset against monies other federal agencies may owe the debtor.</w:t>
      </w:r>
      <w:r>
        <w:rPr>
          <w:rStyle w:val="FootnoteReference"/>
          <w:szCs w:val="22"/>
        </w:rPr>
        <w:footnoteReference w:id="97"/>
      </w:r>
    </w:p>
    <w:p w:rsidR="006F7AD6" w:rsidRPr="00A301CF" w:rsidP="006F7AD6" w14:paraId="69FA2DE5" w14:textId="77777777">
      <w:pPr>
        <w:pStyle w:val="ParaNum"/>
        <w:rPr>
          <w:szCs w:val="22"/>
        </w:rPr>
      </w:pPr>
      <w:r>
        <w:rPr>
          <w:i/>
          <w:szCs w:val="22"/>
        </w:rPr>
        <w:t>Red light</w:t>
      </w:r>
      <w:r w:rsidRPr="003C560E">
        <w:rPr>
          <w:szCs w:val="22"/>
        </w:rPr>
        <w:t xml:space="preserve">.  Failure to </w:t>
      </w:r>
      <w:r>
        <w:rPr>
          <w:szCs w:val="22"/>
        </w:rPr>
        <w:t xml:space="preserve">timely </w:t>
      </w:r>
      <w:r w:rsidRPr="003C560E">
        <w:rPr>
          <w:szCs w:val="22"/>
        </w:rPr>
        <w:t>pay regulatory fees</w:t>
      </w:r>
      <w:r>
        <w:rPr>
          <w:szCs w:val="22"/>
        </w:rPr>
        <w:t>,</w:t>
      </w:r>
      <w:r w:rsidRPr="003C560E">
        <w:rPr>
          <w:szCs w:val="22"/>
        </w:rPr>
        <w:t xml:space="preserve"> penalt</w:t>
      </w:r>
      <w:r>
        <w:rPr>
          <w:szCs w:val="22"/>
        </w:rPr>
        <w:t>ies</w:t>
      </w:r>
      <w:r w:rsidRPr="003C560E">
        <w:rPr>
          <w:szCs w:val="22"/>
        </w:rPr>
        <w:t xml:space="preserve"> </w:t>
      </w:r>
      <w:r>
        <w:rPr>
          <w:szCs w:val="22"/>
        </w:rPr>
        <w:t xml:space="preserve">or accrued interest </w:t>
      </w:r>
      <w:r w:rsidRPr="003C560E">
        <w:rPr>
          <w:szCs w:val="22"/>
        </w:rPr>
        <w:t xml:space="preserve">will </w:t>
      </w:r>
      <w:r>
        <w:rPr>
          <w:szCs w:val="22"/>
        </w:rPr>
        <w:t xml:space="preserve">also </w:t>
      </w:r>
      <w:r w:rsidRPr="003C560E">
        <w:rPr>
          <w:szCs w:val="22"/>
        </w:rPr>
        <w:t xml:space="preserve">subject regulatees to the Commission’s </w:t>
      </w:r>
      <w:r>
        <w:rPr>
          <w:szCs w:val="22"/>
        </w:rPr>
        <w:t xml:space="preserve">“red light” </w:t>
      </w:r>
      <w:r w:rsidRPr="003C560E">
        <w:rPr>
          <w:szCs w:val="22"/>
        </w:rPr>
        <w:t>rule</w:t>
      </w:r>
      <w:r>
        <w:rPr>
          <w:szCs w:val="22"/>
        </w:rPr>
        <w:t xml:space="preserve">, </w:t>
      </w:r>
      <w:r w:rsidRPr="003C560E">
        <w:rPr>
          <w:szCs w:val="22"/>
        </w:rPr>
        <w:t xml:space="preserve">which generally requires the Commission to withhold action </w:t>
      </w:r>
      <w:r>
        <w:rPr>
          <w:szCs w:val="22"/>
        </w:rPr>
        <w:t xml:space="preserve">on and subsequently dismiss </w:t>
      </w:r>
      <w:r w:rsidRPr="003C560E">
        <w:rPr>
          <w:szCs w:val="22"/>
        </w:rPr>
        <w:t>applications</w:t>
      </w:r>
      <w:r>
        <w:rPr>
          <w:szCs w:val="22"/>
        </w:rPr>
        <w:t xml:space="preserve"> and other requests for benefits </w:t>
      </w:r>
      <w:r w:rsidRPr="003C560E">
        <w:rPr>
          <w:szCs w:val="22"/>
        </w:rPr>
        <w:t xml:space="preserve">by any entity </w:t>
      </w:r>
      <w:r>
        <w:rPr>
          <w:szCs w:val="22"/>
        </w:rPr>
        <w:t xml:space="preserve">owing </w:t>
      </w:r>
      <w:r w:rsidRPr="003C560E">
        <w:rPr>
          <w:szCs w:val="22"/>
        </w:rPr>
        <w:t>debt</w:t>
      </w:r>
      <w:r>
        <w:rPr>
          <w:szCs w:val="22"/>
        </w:rPr>
        <w:t>, including regulatory fee debt,</w:t>
      </w:r>
      <w:r w:rsidRPr="003C560E">
        <w:rPr>
          <w:szCs w:val="22"/>
        </w:rPr>
        <w:t xml:space="preserve"> to the Commission</w:t>
      </w:r>
      <w:r>
        <w:rPr>
          <w:szCs w:val="22"/>
        </w:rPr>
        <w:t>.</w:t>
      </w:r>
      <w:r>
        <w:rPr>
          <w:rStyle w:val="FootnoteReference"/>
          <w:sz w:val="22"/>
          <w:szCs w:val="22"/>
        </w:rPr>
        <w:footnoteReference w:id="98"/>
      </w:r>
      <w:r w:rsidRPr="003C560E">
        <w:rPr>
          <w:szCs w:val="22"/>
        </w:rPr>
        <w:t xml:space="preserve"> </w:t>
      </w:r>
    </w:p>
    <w:p w:rsidR="006F7AD6" w:rsidP="006F7AD6" w14:paraId="3DBF8980" w14:textId="77777777">
      <w:pPr>
        <w:pStyle w:val="ParaNum"/>
      </w:pPr>
      <w:r w:rsidRPr="004C6CF9">
        <w:rPr>
          <w:i/>
        </w:rPr>
        <w:t>Revocation</w:t>
      </w:r>
      <w:r w:rsidRPr="003C560E">
        <w:t>.  In addition to financial penalties, section 9(c)(3) of the Act,</w:t>
      </w:r>
      <w:r>
        <w:rPr>
          <w:rStyle w:val="FootnoteReference"/>
          <w:sz w:val="22"/>
          <w:szCs w:val="22"/>
        </w:rPr>
        <w:footnoteReference w:id="99"/>
      </w:r>
      <w:r w:rsidRPr="003C560E">
        <w:t xml:space="preserve"> and section 1.1164(f) of the Commission’s rules</w:t>
      </w:r>
      <w:r>
        <w:rPr>
          <w:rStyle w:val="FootnoteReference"/>
          <w:sz w:val="22"/>
          <w:szCs w:val="22"/>
        </w:rPr>
        <w:footnoteReference w:id="100"/>
      </w:r>
      <w:r w:rsidRPr="003C560E">
        <w:t xml:space="preserve"> grant the Commission the authority to revoke authorizations for failure to pay regulatory fees in a timely fashion.  Should a fee delinquency not be rectified in a timely manner the Commission may require the licensee to file with documented evidence within sixty (60) calendar days that full payment of all outstanding regulatory fees has been made, plus any associated penalties as calculated by the Secretary of Treasury in accordance with section 1.1164(a) of the Commission’s rules,</w:t>
      </w:r>
      <w:r>
        <w:rPr>
          <w:rStyle w:val="FootnoteReference"/>
          <w:sz w:val="22"/>
          <w:szCs w:val="22"/>
        </w:rPr>
        <w:footnoteReference w:id="101"/>
      </w:r>
      <w:r w:rsidRPr="003C560E">
        <w:t xml:space="preserve"> or show cause why the payment is inapplicable or should be waived or deferred.  Failure to provide such evidence of payment or to show cause within the time specified may result in revocation of the station license.</w:t>
      </w:r>
      <w:r>
        <w:rPr>
          <w:rStyle w:val="FootnoteReference"/>
          <w:sz w:val="22"/>
          <w:szCs w:val="22"/>
        </w:rPr>
        <w:footnoteReference w:id="102"/>
      </w:r>
      <w:r w:rsidRPr="003C560E">
        <w:t xml:space="preserve">  </w:t>
      </w:r>
    </w:p>
    <w:p w:rsidR="006F7AD6" w:rsidP="006F7AD6" w14:paraId="780ACF22" w14:textId="77777777">
      <w:pPr>
        <w:pStyle w:val="Heading1"/>
        <w:rPr>
          <w:rFonts w:ascii="Times New Roman" w:hAnsi="Times New Roman"/>
          <w:szCs w:val="22"/>
        </w:rPr>
      </w:pPr>
      <w:bookmarkStart w:id="25" w:name="_Toc6326148"/>
      <w:bookmarkEnd w:id="20"/>
      <w:r w:rsidRPr="003C560E">
        <w:rPr>
          <w:rFonts w:ascii="Times New Roman" w:hAnsi="Times New Roman"/>
          <w:szCs w:val="22"/>
        </w:rPr>
        <w:t>procedural matters</w:t>
      </w:r>
      <w:bookmarkEnd w:id="25"/>
    </w:p>
    <w:p w:rsidR="006F7AD6" w:rsidP="006F7AD6" w14:paraId="51B9512C" w14:textId="77777777">
      <w:pPr>
        <w:pStyle w:val="ParaNum"/>
        <w:rPr>
          <w:bCs/>
          <w:snapToGrid/>
        </w:rPr>
      </w:pPr>
      <w:r>
        <w:t xml:space="preserve">Included below are procedural items as well as our current payment and collection methods.  We include these payments and collection procedures here as a useful way of reminding regulatory fee payers and the public about these aspects of the annual regulatory fee collection process.    </w:t>
      </w:r>
    </w:p>
    <w:p w:rsidR="000859C7" w:rsidRPr="000859C7" w:rsidP="000859C7" w14:paraId="5F76B6F7" w14:textId="03599E7B">
      <w:pPr>
        <w:pStyle w:val="Heading2"/>
        <w:rPr>
          <w:szCs w:val="22"/>
        </w:rPr>
      </w:pPr>
      <w:bookmarkStart w:id="26" w:name="_Toc6326149"/>
      <w:r w:rsidRPr="003C560E">
        <w:rPr>
          <w:szCs w:val="22"/>
        </w:rPr>
        <w:t>Payment of Regulatory Fees</w:t>
      </w:r>
      <w:bookmarkEnd w:id="26"/>
    </w:p>
    <w:p w:rsidR="00023E75" w:rsidRPr="00023E75" w:rsidP="006F7AD6" w14:paraId="4B1DA8F2" w14:textId="109140ED">
      <w:pPr>
        <w:pStyle w:val="ParaNum"/>
        <w:widowControl/>
        <w:rPr>
          <w:szCs w:val="22"/>
          <w:u w:val="single"/>
        </w:rPr>
      </w:pPr>
      <w:r>
        <w:rPr>
          <w:i/>
        </w:rPr>
        <w:t xml:space="preserve">Credit Card Transaction </w:t>
      </w:r>
      <w:r w:rsidRPr="008A4B2E">
        <w:rPr>
          <w:i/>
        </w:rPr>
        <w:t>Levels</w:t>
      </w:r>
      <w:r>
        <w:t xml:space="preserve">.  </w:t>
      </w:r>
      <w:r w:rsidRPr="003C560E">
        <w:t>Since June 1, 2015, in accordance with U.S. Treasury Announcement No. A-2014-04 (July 2014), the</w:t>
      </w:r>
      <w:r>
        <w:t xml:space="preserve"> highest</w:t>
      </w:r>
      <w:r w:rsidRPr="003C560E">
        <w:t xml:space="preserve"> amount that can be charged on a credit card for transactions with federal agencies is $24,999.99.</w:t>
      </w:r>
      <w:r>
        <w:rPr>
          <w:vertAlign w:val="superscript"/>
        </w:rPr>
        <w:footnoteReference w:id="103"/>
      </w:r>
      <w:r w:rsidRPr="003C560E">
        <w:t xml:space="preserve">  Transactions greater than $24,999.99 will be rejected.  This limit applies to single payments or bundled payments of more than one bill.  Multiple transactions to a single agency in one day may be aggregated and treated as a single transaction subject to the $24,999.99 limit.  Customers who wish to pay an amount greater than $24,999.99 should consider available electronic alternatives such as Visa or MasterCard debit cards, ACH debits from a bank account, and wire transfers.  Each of these payment options is available after filing regulatory fee information in Fee Filer.  Further details will be provided regarding payment methods and procedures at the time of FY 201</w:t>
      </w:r>
      <w:r>
        <w:t>9</w:t>
      </w:r>
      <w:r w:rsidRPr="003C560E">
        <w:t xml:space="preserve"> regulatory fee collection in Fact Sheets, </w:t>
      </w:r>
      <w:hyperlink r:id="rId5" w:history="1">
        <w:r w:rsidRPr="00277069">
          <w:rPr>
            <w:rStyle w:val="Hyperlink"/>
            <w:szCs w:val="22"/>
          </w:rPr>
          <w:t>https://www.fcc.gov/regfees</w:t>
        </w:r>
      </w:hyperlink>
      <w:r w:rsidRPr="00C7554B" w:rsidR="00C7554B">
        <w:rPr>
          <w:rStyle w:val="Hyperlink"/>
          <w:color w:val="auto"/>
          <w:szCs w:val="22"/>
          <w:u w:val="none"/>
        </w:rPr>
        <w:t>.</w:t>
      </w:r>
    </w:p>
    <w:p w:rsidR="006F7AD6" w:rsidRPr="00461FF4" w:rsidP="006F7AD6" w14:paraId="73C4F85C" w14:textId="589E472F">
      <w:pPr>
        <w:pStyle w:val="ParaNum"/>
        <w:widowControl/>
        <w:rPr>
          <w:rStyle w:val="Hyperlink"/>
          <w:color w:val="auto"/>
          <w:szCs w:val="22"/>
        </w:rPr>
      </w:pPr>
      <w:r w:rsidRPr="008A4B2E">
        <w:rPr>
          <w:i/>
          <w:szCs w:val="22"/>
        </w:rPr>
        <w:t>Payment Methods</w:t>
      </w:r>
      <w:r>
        <w:rPr>
          <w:szCs w:val="22"/>
        </w:rPr>
        <w:t xml:space="preserve">.  </w:t>
      </w:r>
      <w:r w:rsidRPr="00461FF4">
        <w:rPr>
          <w:szCs w:val="22"/>
        </w:rPr>
        <w:t>Pursuant to an Office of Management and Budget (OMB) directive,</w:t>
      </w:r>
      <w:r>
        <w:rPr>
          <w:rStyle w:val="FootnoteReference"/>
          <w:sz w:val="22"/>
          <w:szCs w:val="22"/>
        </w:rPr>
        <w:footnoteReference w:id="104"/>
      </w:r>
      <w:r w:rsidRPr="00461FF4">
        <w:rPr>
          <w:szCs w:val="22"/>
          <w:vertAlign w:val="superscript"/>
        </w:rPr>
        <w:t xml:space="preserve"> </w:t>
      </w:r>
      <w:r w:rsidRPr="00461FF4">
        <w:rPr>
          <w:szCs w:val="22"/>
        </w:rPr>
        <w:t>the Commission is moving towards a paperless environment, extending to disbursement and collection of select federal government payments and receipts.</w:t>
      </w:r>
      <w:r>
        <w:rPr>
          <w:rStyle w:val="FootnoteReference"/>
          <w:sz w:val="22"/>
          <w:szCs w:val="22"/>
        </w:rPr>
        <w:footnoteReference w:id="105"/>
      </w:r>
      <w:r w:rsidRPr="00461FF4">
        <w:rPr>
          <w:szCs w:val="22"/>
        </w:rPr>
        <w:t xml:space="preserve">  In 2015, the Commission stopped accepting checks (including cashier’s checks and money orders) and the accompanying hardcopy forms (e.g., Forms 159, 159-B, 159-E, 159-W) for the payment of regulatory fees.</w:t>
      </w:r>
      <w:r>
        <w:rPr>
          <w:rStyle w:val="FootnoteReference"/>
          <w:sz w:val="22"/>
          <w:szCs w:val="22"/>
        </w:rPr>
        <w:footnoteReference w:id="106"/>
      </w:r>
      <w:r w:rsidRPr="00461FF4">
        <w:rPr>
          <w:szCs w:val="22"/>
        </w:rPr>
        <w:t xml:space="preserve">  During the fee season for collecting regulatory fees, regulatees can pay their fees by credit card through Pay.gov,</w:t>
      </w:r>
      <w:r>
        <w:rPr>
          <w:rStyle w:val="FootnoteReference"/>
          <w:sz w:val="22"/>
          <w:szCs w:val="22"/>
        </w:rPr>
        <w:footnoteReference w:id="107"/>
      </w:r>
      <w:r w:rsidRPr="00461FF4">
        <w:rPr>
          <w:szCs w:val="22"/>
        </w:rPr>
        <w:t xml:space="preserve"> ACH, debit card,</w:t>
      </w:r>
      <w:r>
        <w:rPr>
          <w:rStyle w:val="FootnoteReference"/>
          <w:sz w:val="22"/>
          <w:szCs w:val="22"/>
        </w:rPr>
        <w:footnoteReference w:id="108"/>
      </w:r>
      <w:r w:rsidRPr="00461FF4">
        <w:rPr>
          <w:szCs w:val="22"/>
        </w:rPr>
        <w:t xml:space="preserve"> or by wire transfer.  Additional payment instructions are posted on the Commission’s website at </w:t>
      </w:r>
      <w:hyperlink r:id="rId6" w:history="1">
        <w:r w:rsidRPr="00461FF4">
          <w:rPr>
            <w:rStyle w:val="Hyperlink"/>
            <w:szCs w:val="22"/>
          </w:rPr>
          <w:t>http://transition.fcc.gov/fees/regfees.html</w:t>
        </w:r>
      </w:hyperlink>
      <w:r w:rsidRPr="00461FF4">
        <w:rPr>
          <w:rStyle w:val="Hyperlink"/>
          <w:szCs w:val="22"/>
        </w:rPr>
        <w:t>.</w:t>
      </w:r>
      <w:r w:rsidRPr="00461FF4">
        <w:rPr>
          <w:szCs w:val="22"/>
        </w:rPr>
        <w:t xml:space="preserve">  The receiving bank for all wire payments is the U.S. Treasury, New York, NY (TREAS NYC).  Any other form of payment (e.g., checks, cashier’s checks, or money orders) will be rejected.  For payments by wire, a Form 159-E should still be transmitted via fax so that the Commission can associate the wire payment with the correct regulatory fee information.  </w:t>
      </w:r>
      <w:r>
        <w:rPr>
          <w:szCs w:val="22"/>
        </w:rPr>
        <w:t>The fax should be sent to the</w:t>
      </w:r>
      <w:r w:rsidRPr="00461FF4">
        <w:rPr>
          <w:szCs w:val="22"/>
        </w:rPr>
        <w:t xml:space="preserve"> Federal Communications Commission at (202) 418-2843 at least one hour before initiating the wire transfer (but on the same business day) so as not to delay crediting their account.  Regulatees should discuss arrangements (including bank closing schedules) with their bankers several days before they plan to make the wire transfer to allow sufficient time for the transfer to be initiated and completed before the deadline.  Complete instructions for making wire payments are posted at </w:t>
      </w:r>
      <w:hyperlink r:id="rId7" w:tooltip="http://transition.fcc.gov/fees/wiretran.html" w:history="1">
        <w:r w:rsidRPr="00461FF4">
          <w:rPr>
            <w:rStyle w:val="Hyperlink"/>
            <w:szCs w:val="22"/>
          </w:rPr>
          <w:t>http://transition.fcc.gov/fees/wiretran.html</w:t>
        </w:r>
      </w:hyperlink>
      <w:r w:rsidRPr="00461FF4">
        <w:rPr>
          <w:rStyle w:val="Hyperlink"/>
          <w:color w:val="auto"/>
          <w:szCs w:val="22"/>
          <w:u w:val="none"/>
        </w:rPr>
        <w:t>.</w:t>
      </w:r>
    </w:p>
    <w:p w:rsidR="006F7AD6" w:rsidRPr="003C560E" w:rsidP="006F7AD6" w14:paraId="6678D8B5" w14:textId="77777777">
      <w:pPr>
        <w:pStyle w:val="ParaNum"/>
        <w:rPr>
          <w:szCs w:val="22"/>
        </w:rPr>
      </w:pPr>
      <w:r w:rsidRPr="008A4B2E">
        <w:rPr>
          <w:i/>
          <w:szCs w:val="22"/>
        </w:rPr>
        <w:t>Standard Fee Calculations and Payment Dates</w:t>
      </w:r>
      <w:r>
        <w:rPr>
          <w:szCs w:val="22"/>
        </w:rPr>
        <w:t>.—</w:t>
      </w:r>
      <w:r w:rsidRPr="003C560E">
        <w:rPr>
          <w:szCs w:val="22"/>
        </w:rPr>
        <w:t>The Commission will accept fee payments made in advance of the window for the payment of regulatory fees.  The responsibility for payment of fees by service category is as follows:</w:t>
      </w:r>
    </w:p>
    <w:p w:rsidR="006F7AD6" w:rsidRPr="003C560E" w:rsidP="006F7AD6" w14:paraId="451E7830" w14:textId="77777777">
      <w:pPr>
        <w:pStyle w:val="ParaNum"/>
        <w:numPr>
          <w:ilvl w:val="0"/>
          <w:numId w:val="10"/>
        </w:numPr>
        <w:rPr>
          <w:szCs w:val="22"/>
        </w:rPr>
      </w:pPr>
      <w:r w:rsidRPr="003C560E">
        <w:rPr>
          <w:i/>
          <w:szCs w:val="22"/>
        </w:rPr>
        <w:t>Media Services</w:t>
      </w:r>
      <w:r w:rsidRPr="003C560E">
        <w:rPr>
          <w:szCs w:val="22"/>
        </w:rPr>
        <w:t xml:space="preserve">:  Regulatory fees must be paid for initial construction permits that were granted on or before October 1, 2018 for AM/FM radio stations, VHF/UHF </w:t>
      </w:r>
      <w:r>
        <w:rPr>
          <w:szCs w:val="22"/>
        </w:rPr>
        <w:t>broadcast</w:t>
      </w:r>
      <w:r w:rsidRPr="003C560E">
        <w:rPr>
          <w:szCs w:val="22"/>
        </w:rPr>
        <w:t xml:space="preserve"> television stations, and satellite television stations.  Regulatory fees must be paid for all broadcast facility licenses granted on or before October 1, 2018.  </w:t>
      </w:r>
    </w:p>
    <w:p w:rsidR="006F7AD6" w:rsidRPr="003C560E" w:rsidP="006F7AD6" w14:paraId="3CF59A83" w14:textId="77777777">
      <w:pPr>
        <w:pStyle w:val="ParaNum"/>
        <w:numPr>
          <w:ilvl w:val="0"/>
          <w:numId w:val="10"/>
        </w:numPr>
        <w:rPr>
          <w:szCs w:val="22"/>
        </w:rPr>
      </w:pPr>
      <w:r w:rsidRPr="003C560E">
        <w:rPr>
          <w:i/>
          <w:szCs w:val="22"/>
        </w:rPr>
        <w:t>Wireline (Common Carrier) Services</w:t>
      </w:r>
      <w:r w:rsidRPr="003C560E">
        <w:rPr>
          <w:szCs w:val="22"/>
        </w:rPr>
        <w:t>:  Regulatory fees must be paid for authorizations that were granted on or before October 1, 2018.  In instances where a permit or license is transferred or assigned after October 1, 2018, responsibility for payment rests with the holder of the permit or license as of the fee due date.  Audio bridging service providers are included in this category.</w:t>
      </w:r>
      <w:r>
        <w:rPr>
          <w:rStyle w:val="FootnoteReference"/>
          <w:sz w:val="22"/>
          <w:szCs w:val="22"/>
        </w:rPr>
        <w:footnoteReference w:id="109"/>
      </w:r>
      <w:r w:rsidRPr="003C560E">
        <w:rPr>
          <w:szCs w:val="22"/>
        </w:rPr>
        <w:t xml:space="preserve">  For Responsible Organizations (RespOrgs) that manage Toll Free Numbers (TFN), regulatory fees should be paid on all working, assigned, and reserved toll free numbers as well as toll free numbers in any other status as defined in section 52.103 of the Commission’s rules.</w:t>
      </w:r>
      <w:r>
        <w:rPr>
          <w:rStyle w:val="FootnoteReference"/>
          <w:sz w:val="22"/>
          <w:szCs w:val="22"/>
        </w:rPr>
        <w:footnoteReference w:id="110"/>
      </w:r>
      <w:r w:rsidRPr="003C560E">
        <w:rPr>
          <w:szCs w:val="22"/>
        </w:rPr>
        <w:t xml:space="preserve">  The unit count should be based on toll free numbers managed by RespOrgs on or about December 31, 2018.</w:t>
      </w:r>
    </w:p>
    <w:p w:rsidR="006F7AD6" w:rsidRPr="003C560E" w:rsidP="006F7AD6" w14:paraId="35355B99" w14:textId="77777777">
      <w:pPr>
        <w:pStyle w:val="ParaNum"/>
        <w:numPr>
          <w:ilvl w:val="0"/>
          <w:numId w:val="10"/>
        </w:numPr>
        <w:rPr>
          <w:szCs w:val="22"/>
        </w:rPr>
      </w:pPr>
      <w:r w:rsidRPr="003C560E">
        <w:rPr>
          <w:i/>
          <w:szCs w:val="22"/>
        </w:rPr>
        <w:t>Wireless Services</w:t>
      </w:r>
      <w:r w:rsidRPr="003C560E">
        <w:rPr>
          <w:szCs w:val="22"/>
        </w:rPr>
        <w:t xml:space="preserve">:  CMRS cellular, mobile, and messaging services (fees based on number of subscribers or telephone number count):  Regulatory fees must be paid for authorizations that were granted on or before October 1, 2018.  The number of subscribers, units, or telephone numbers on December 31, 2018 will be used as the basis from which to calculate the fee payment.  In instances where a permit or license is transferred or assigned after October 1, 2018, responsibility for payment rests with the holder of the permit or license as of the fee due date.  </w:t>
      </w:r>
    </w:p>
    <w:p w:rsidR="006F7AD6" w:rsidRPr="003C560E" w:rsidP="006F7AD6" w14:paraId="5B07C569" w14:textId="77777777">
      <w:pPr>
        <w:pStyle w:val="ParaNum"/>
        <w:numPr>
          <w:ilvl w:val="0"/>
          <w:numId w:val="10"/>
        </w:numPr>
        <w:rPr>
          <w:szCs w:val="22"/>
        </w:rPr>
      </w:pPr>
      <w:r w:rsidRPr="003C560E">
        <w:rPr>
          <w:i/>
          <w:szCs w:val="22"/>
        </w:rPr>
        <w:t>Wireless Services, Multi-year fees</w:t>
      </w:r>
      <w:r w:rsidRPr="003C560E">
        <w:rPr>
          <w:szCs w:val="22"/>
        </w:rPr>
        <w:t xml:space="preserve">:  The first eight regulatory fee categories in our Schedule of Regulatory Fees pay “small multi-year wireless regulatory fees.”  Entities pay these regulatory fees in advance for the entire amount period covered by the five-year or ten-year terms of their initial licenses, and pay regulatory fees again only when the license is renewed or a new license is obtained.  We include these fee categories in our rulemaking to publicize our estimates of the number of “small multi-year wireless” licenses that will be renewed or newly obtained in FY 2019. </w:t>
      </w:r>
    </w:p>
    <w:p w:rsidR="006F7AD6" w:rsidRPr="003C560E" w:rsidP="006F7AD6" w14:paraId="542D3C43" w14:textId="77777777">
      <w:pPr>
        <w:pStyle w:val="ParaNum"/>
        <w:numPr>
          <w:ilvl w:val="0"/>
          <w:numId w:val="10"/>
        </w:numPr>
        <w:rPr>
          <w:szCs w:val="22"/>
        </w:rPr>
      </w:pPr>
      <w:r w:rsidRPr="003C560E">
        <w:rPr>
          <w:i/>
          <w:szCs w:val="22"/>
        </w:rPr>
        <w:t>Multichannel Video Programming Distributor Services (cable television operators, CARS licensees, DBS, and IPTV)</w:t>
      </w:r>
      <w:r w:rsidRPr="003C560E">
        <w:rPr>
          <w:szCs w:val="22"/>
        </w:rPr>
        <w:t>:  Regulatory fees must be paid for the number of basic cable television subscribers as of December 31, 2018.</w:t>
      </w:r>
      <w:r>
        <w:rPr>
          <w:szCs w:val="22"/>
          <w:vertAlign w:val="superscript"/>
        </w:rPr>
        <w:footnoteReference w:id="111"/>
      </w:r>
      <w:r w:rsidRPr="003C560E">
        <w:rPr>
          <w:szCs w:val="22"/>
        </w:rPr>
        <w:t xml:space="preserve">  Regulatory fees also must be paid for CARS licenses that were granted on or before October 1, 2018.  In instances where a permit or license is transferred or assigned after October 1, 2018, responsibility for payment rests with the holder of the permit or license as of the fee due date.  </w:t>
      </w:r>
      <w:r w:rsidRPr="003C560E">
        <w:rPr>
          <w:bCs/>
          <w:szCs w:val="22"/>
        </w:rPr>
        <w:t>For providers of DBS service and IPTV-based MVPDs, regulatory fees should be paid based on a subscriber count on or about December 31, 2018.</w:t>
      </w:r>
      <w:r w:rsidRPr="003C560E">
        <w:rPr>
          <w:szCs w:val="22"/>
        </w:rPr>
        <w:t xml:space="preserve">  In instances where a permit or license is transferred or assigned after October 1, 2018, responsibility for payment rests with the holder of the permit or license as of the fee due date.</w:t>
      </w:r>
    </w:p>
    <w:p w:rsidR="006F7AD6" w:rsidRPr="003C560E" w:rsidP="007C33EB" w14:paraId="666DBE7D" w14:textId="77777777">
      <w:pPr>
        <w:pStyle w:val="ParaNum"/>
        <w:widowControl/>
        <w:numPr>
          <w:ilvl w:val="0"/>
          <w:numId w:val="10"/>
        </w:numPr>
        <w:ind w:left="806"/>
        <w:rPr>
          <w:szCs w:val="22"/>
        </w:rPr>
      </w:pPr>
      <w:r w:rsidRPr="003C560E">
        <w:rPr>
          <w:i/>
          <w:szCs w:val="22"/>
        </w:rPr>
        <w:t>International Services</w:t>
      </w:r>
      <w:r w:rsidRPr="003C560E">
        <w:rPr>
          <w:szCs w:val="22"/>
        </w:rPr>
        <w:t>:  Regulatory fees must be paid for (1) earth stations and (2) geostationary orbit space stations and non-geostationary orbit satellite systems that were licensed and operational on or before October 1, 2018.  In instances where a permit or license is transferred or assigned after October 1, 2018, responsibility for payment rests with the holder of the permit or license as of the fee due date.</w:t>
      </w:r>
    </w:p>
    <w:p w:rsidR="006F7AD6" w:rsidRPr="003C560E" w:rsidP="006F7AD6" w14:paraId="1B31ADAF" w14:textId="77777777">
      <w:pPr>
        <w:pStyle w:val="ParaNum"/>
        <w:numPr>
          <w:ilvl w:val="0"/>
          <w:numId w:val="10"/>
        </w:numPr>
        <w:rPr>
          <w:szCs w:val="22"/>
        </w:rPr>
      </w:pPr>
      <w:r w:rsidRPr="003C560E">
        <w:rPr>
          <w:i/>
          <w:szCs w:val="22"/>
        </w:rPr>
        <w:t xml:space="preserve">International Services </w:t>
      </w:r>
      <w:r w:rsidRPr="003C560E">
        <w:rPr>
          <w:szCs w:val="22"/>
        </w:rPr>
        <w:t>(</w:t>
      </w:r>
      <w:r w:rsidRPr="003C560E">
        <w:rPr>
          <w:i/>
          <w:szCs w:val="22"/>
        </w:rPr>
        <w:t>Submarine Cable Systems</w:t>
      </w:r>
      <w:r w:rsidRPr="003C560E">
        <w:rPr>
          <w:szCs w:val="22"/>
        </w:rPr>
        <w:t>):</w:t>
      </w:r>
      <w:r w:rsidRPr="003C560E">
        <w:rPr>
          <w:i/>
          <w:szCs w:val="22"/>
        </w:rPr>
        <w:t xml:space="preserve">  </w:t>
      </w:r>
      <w:r w:rsidRPr="003C560E">
        <w:rPr>
          <w:szCs w:val="22"/>
        </w:rPr>
        <w:t>Regulatory fees for submarine cable systems are to be paid on a per cable landing license basis based on circuit capacity as of December 31, 2018.  In instances where a license is transferred or assigned after October 1, 2018, responsibility for payment rests with the holder of the license as of the fee due date.  For regulatory fee purposes, the allocation in FY 2019 will remain at 87.6 percent for submarine cable and 12.4 percent for satellite/terrestrial facilities.</w:t>
      </w:r>
    </w:p>
    <w:p w:rsidR="006F7AD6" w:rsidRPr="003C560E" w:rsidP="006F7AD6" w14:paraId="5BE0D81B" w14:textId="77777777">
      <w:pPr>
        <w:pStyle w:val="ParaNum"/>
        <w:numPr>
          <w:ilvl w:val="0"/>
          <w:numId w:val="10"/>
        </w:numPr>
        <w:rPr>
          <w:szCs w:val="22"/>
        </w:rPr>
      </w:pPr>
      <w:r w:rsidRPr="003C560E">
        <w:rPr>
          <w:i/>
          <w:szCs w:val="22"/>
        </w:rPr>
        <w:t xml:space="preserve">International Services </w:t>
      </w:r>
      <w:r w:rsidRPr="003C560E">
        <w:rPr>
          <w:szCs w:val="22"/>
        </w:rPr>
        <w:t>(</w:t>
      </w:r>
      <w:r w:rsidRPr="003C560E">
        <w:rPr>
          <w:i/>
          <w:szCs w:val="22"/>
        </w:rPr>
        <w:t>Terrestrial and Satellite Services</w:t>
      </w:r>
      <w:r w:rsidRPr="003C560E">
        <w:rPr>
          <w:szCs w:val="22"/>
        </w:rPr>
        <w:t>):  Regulatory fees for terrestrial and satellite IBCs are to be paid based on active (used or leased) international bearer circuits as of December 31, 2018 in any terrestrial or satellite transmission facility for the provision of service to an end user or resale carrier.  When calculating the number of such active circuits, entities must include circuits used by themselves or their affiliates.  For these purposes, “active circuits” include backup and redundant circuits as of December 31, 2018.  Whether circuits are used specifically for voice or data is not relevant for purposes of determining that they are active circuits.</w:t>
      </w:r>
      <w:r>
        <w:rPr>
          <w:rStyle w:val="FootnoteReference"/>
          <w:sz w:val="22"/>
          <w:szCs w:val="22"/>
        </w:rPr>
        <w:footnoteReference w:id="112"/>
      </w:r>
      <w:r w:rsidRPr="003C560E">
        <w:rPr>
          <w:szCs w:val="22"/>
        </w:rPr>
        <w:t xml:space="preserve">  In instances where a permit or license is transferred or assigned after October 1, 2018, responsibility for payment rests with the holder of the permit or license as of the fee due date.  For regulatory fee purposes, the IBC allocation in FY 2019 will remain at 87.6 percent for submarine cable and 12.4 percent for satellite/terrestrial facilities.</w:t>
      </w:r>
    </w:p>
    <w:p w:rsidR="006F7AD6" w:rsidRPr="003C560E" w:rsidP="006F7AD6" w14:paraId="5BCF733A" w14:textId="77777777">
      <w:pPr>
        <w:pStyle w:val="Heading2"/>
        <w:rPr>
          <w:szCs w:val="22"/>
        </w:rPr>
      </w:pPr>
      <w:bookmarkStart w:id="27" w:name="_Toc6326150"/>
      <w:r w:rsidRPr="003C560E">
        <w:rPr>
          <w:szCs w:val="22"/>
        </w:rPr>
        <w:t>Commercial Mobile Radio Service (CMRS) and Mobile Services Assessments</w:t>
      </w:r>
      <w:bookmarkEnd w:id="27"/>
    </w:p>
    <w:p w:rsidR="006F7AD6" w:rsidRPr="003C560E" w:rsidP="006F7AD6" w14:paraId="408455BB" w14:textId="77777777">
      <w:pPr>
        <w:pStyle w:val="ParaNum"/>
        <w:rPr>
          <w:szCs w:val="22"/>
        </w:rPr>
      </w:pPr>
      <w:r w:rsidRPr="003C560E">
        <w:rPr>
          <w:szCs w:val="22"/>
        </w:rPr>
        <w:t>The Commission will compile data from the Numbering Resource Utilization Forecast (NRUF) report that is based on “assigned” telephone number (subscriber) counts that have been adjusted for porting to net Type 0 ports (“in” and “out”).</w:t>
      </w:r>
      <w:r>
        <w:rPr>
          <w:rStyle w:val="FootnoteReference"/>
          <w:sz w:val="22"/>
          <w:szCs w:val="22"/>
        </w:rPr>
        <w:footnoteReference w:id="113"/>
      </w:r>
      <w:r w:rsidRPr="003C560E">
        <w:rPr>
          <w:szCs w:val="22"/>
        </w:rPr>
        <w:t xml:space="preserve">  This information of telephone numbers (subscriber count) will be posted on the Commission’s electronic filing and payment system (Fee Filer) along with the carrier’s Operating Company Numbers (OCNs).  </w:t>
      </w:r>
    </w:p>
    <w:p w:rsidR="006F7AD6" w:rsidRPr="003C560E" w:rsidP="006F7AD6" w14:paraId="2FD9C2B9" w14:textId="77777777">
      <w:pPr>
        <w:pStyle w:val="ParaNum"/>
        <w:widowControl/>
        <w:rPr>
          <w:szCs w:val="22"/>
        </w:rPr>
      </w:pPr>
      <w:r w:rsidRPr="003C560E">
        <w:rPr>
          <w:szCs w:val="22"/>
        </w:rPr>
        <w:t>A carrier wishing to revise its telephone number (subscriber) count can do so by accessing Fee Filer and follow the prompts to revise their telephone number counts.  Any revisions to the telephone number counts should be accompanied by an explanation or</w:t>
      </w:r>
      <w:r w:rsidRPr="003C560E">
        <w:rPr>
          <w:rStyle w:val="CommentReference"/>
          <w:szCs w:val="22"/>
        </w:rPr>
        <w:t> </w:t>
      </w:r>
      <w:r w:rsidRPr="003C560E">
        <w:rPr>
          <w:szCs w:val="22"/>
        </w:rPr>
        <w:t>supporting documentation.</w:t>
      </w:r>
      <w:r>
        <w:rPr>
          <w:rStyle w:val="FootnoteReference"/>
          <w:sz w:val="22"/>
          <w:szCs w:val="22"/>
        </w:rPr>
        <w:footnoteReference w:id="114"/>
      </w:r>
      <w:r w:rsidRPr="003C560E">
        <w:rPr>
          <w:szCs w:val="22"/>
        </w:rPr>
        <w:t xml:space="preserve">  The Commission will then review the revised count and supporting documentation and either approve or disapprove the submission in Fee Filer.  If the submission is disapproved, the Commission will contact the provider to afford the provider an opportunity to discuss its revised subscriber count and/or provide additional supporting documentation.  If we receive no response from the provider, or we do not reverse our initial disapproval of the provider’s revised count submission, the fee payment must be based on the number of subscribers listed initially in Fee Filer.  Once the timeframe for revision has passed, the telephone number counts are final and are the basis upon which CMRS regulatory fees are to be paid.  Providers can view their final telephone counts online in Fee Filer.  A final CMRS assessment letter will not be mailed out.</w:t>
      </w:r>
    </w:p>
    <w:p w:rsidR="006F7AD6" w:rsidRPr="003C560E" w:rsidP="006F7AD6" w14:paraId="500FFA3D" w14:textId="77777777">
      <w:pPr>
        <w:pStyle w:val="ParaNum"/>
        <w:rPr>
          <w:szCs w:val="22"/>
        </w:rPr>
      </w:pPr>
      <w:r w:rsidRPr="003C560E">
        <w:rPr>
          <w:szCs w:val="22"/>
        </w:rPr>
        <w:t xml:space="preserve">Because some carriers do not file the NRUF report, they may not see their telephone number counts in Fee Filer.  In these instances, the carriers should compute their fee payment using the standard methodology that is currently in place for CMRS Wireless services (i.e., compute their telephone number counts as of December 31, 2018), and submit their fee payment accordingly.  Whether a carrier reviews its telephone number counts in Fee Filer or not, the Commission reserves the right to audit the number of telephone numbers for which regulatory fees are paid.  In the event that the Commission </w:t>
      </w:r>
      <w:r w:rsidRPr="003C560E">
        <w:rPr>
          <w:szCs w:val="22"/>
        </w:rPr>
        <w:t>determines that the number of telephone numbers that are paid is inaccurate, the Commission will bill the carrier for the difference between what was paid and what should have been paid.</w:t>
      </w:r>
    </w:p>
    <w:p w:rsidR="006F7AD6" w:rsidRPr="003C560E" w:rsidP="006F7AD6" w14:paraId="0FFFD77F" w14:textId="77777777">
      <w:pPr>
        <w:pStyle w:val="Heading2"/>
        <w:rPr>
          <w:szCs w:val="22"/>
        </w:rPr>
      </w:pPr>
      <w:bookmarkStart w:id="28" w:name="_Toc6326151"/>
      <w:r w:rsidRPr="003C560E">
        <w:rPr>
          <w:szCs w:val="22"/>
        </w:rPr>
        <w:t>Initial Regulatory Flexibility Analysis</w:t>
      </w:r>
      <w:bookmarkEnd w:id="28"/>
    </w:p>
    <w:p w:rsidR="006F7AD6" w:rsidRPr="003C560E" w:rsidP="006F7AD6" w14:paraId="64FAD4BD" w14:textId="77777777">
      <w:pPr>
        <w:pStyle w:val="ParaNum"/>
        <w:widowControl/>
        <w:rPr>
          <w:szCs w:val="22"/>
        </w:rPr>
      </w:pPr>
      <w:r w:rsidRPr="003C560E">
        <w:rPr>
          <w:szCs w:val="22"/>
        </w:rPr>
        <w:t>An initial regulatory flexibility analysis (IRFA) is contained in Appendix</w:t>
      </w:r>
      <w:r>
        <w:rPr>
          <w:szCs w:val="22"/>
        </w:rPr>
        <w:t xml:space="preserve"> I</w:t>
      </w:r>
      <w:r w:rsidRPr="003C560E">
        <w:rPr>
          <w:szCs w:val="22"/>
        </w:rPr>
        <w:t>.  Comments to the IRFA must be identified as responses to the IRFA and filed by the deadlines for comments on the Notice of Proposed Rulemaking.  The Commission will send a copy of the Notice of Proposed Rulemaking, including the IRFA, to the Chief Counsel for Advocacy of the Small Business Administration.</w:t>
      </w:r>
    </w:p>
    <w:p w:rsidR="006F7AD6" w:rsidRPr="003C560E" w:rsidP="006F7AD6" w14:paraId="05C039F2" w14:textId="77777777">
      <w:pPr>
        <w:pStyle w:val="Heading2"/>
        <w:rPr>
          <w:szCs w:val="22"/>
        </w:rPr>
      </w:pPr>
      <w:bookmarkStart w:id="29" w:name="_Toc6326152"/>
      <w:r w:rsidRPr="003C560E">
        <w:rPr>
          <w:szCs w:val="22"/>
        </w:rPr>
        <w:t>Initial Paperwork Reduction Act of 1995 Analysis</w:t>
      </w:r>
      <w:bookmarkEnd w:id="29"/>
    </w:p>
    <w:p w:rsidR="006F7AD6" w:rsidRPr="003C560E" w:rsidP="006F7AD6" w14:paraId="3A7B9FE1" w14:textId="77777777">
      <w:pPr>
        <w:pStyle w:val="ParaNum"/>
        <w:rPr>
          <w:szCs w:val="22"/>
        </w:rPr>
      </w:pPr>
      <w:r w:rsidRPr="003C560E">
        <w:rPr>
          <w:szCs w:val="22"/>
        </w:rPr>
        <w:t xml:space="preserve">This document does not contain new or modified information collection requirements subject to the Paperwork Reduction Act of 1995 (PRA), Public Law 104-13.  In addition, therefore, it does not contain any new or modified information collection burden for small business concerns with fewer than 25 employees, pursuant to the Small Business Paperwork Relief Act of 2002, Public Law 107-198, </w:t>
      </w:r>
      <w:r w:rsidRPr="003C560E">
        <w:rPr>
          <w:i/>
          <w:iCs/>
          <w:szCs w:val="22"/>
        </w:rPr>
        <w:t xml:space="preserve">see </w:t>
      </w:r>
      <w:r w:rsidRPr="003C560E">
        <w:rPr>
          <w:szCs w:val="22"/>
        </w:rPr>
        <w:t>44 U.S.C. § 3506(c)(4).</w:t>
      </w:r>
    </w:p>
    <w:p w:rsidR="006F7AD6" w:rsidRPr="003C560E" w:rsidP="006F7AD6" w14:paraId="33B13F99" w14:textId="77777777">
      <w:pPr>
        <w:pStyle w:val="Heading2"/>
        <w:rPr>
          <w:szCs w:val="22"/>
        </w:rPr>
      </w:pPr>
      <w:bookmarkStart w:id="30" w:name="_Toc6326153"/>
      <w:r w:rsidRPr="003C560E">
        <w:rPr>
          <w:szCs w:val="22"/>
        </w:rPr>
        <w:t>Filing Instructions</w:t>
      </w:r>
      <w:bookmarkEnd w:id="30"/>
    </w:p>
    <w:p w:rsidR="006F7AD6" w:rsidRPr="003C560E" w:rsidP="006F7AD6" w14:paraId="31E1A7A6" w14:textId="77777777">
      <w:pPr>
        <w:pStyle w:val="ParaNum"/>
        <w:rPr>
          <w:szCs w:val="22"/>
        </w:rPr>
      </w:pPr>
      <w:r w:rsidRPr="003C560E">
        <w:rPr>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3C560E">
        <w:rPr>
          <w:i/>
          <w:szCs w:val="22"/>
        </w:rPr>
        <w:t>See</w:t>
      </w:r>
      <w:r w:rsidRPr="003C560E">
        <w:rPr>
          <w:szCs w:val="22"/>
        </w:rPr>
        <w:t xml:space="preserve"> </w:t>
      </w:r>
      <w:r w:rsidRPr="003C560E">
        <w:rPr>
          <w:i/>
          <w:szCs w:val="22"/>
        </w:rPr>
        <w:t>Electronic Filing of Documents in Rulemaking Proceedings</w:t>
      </w:r>
      <w:r w:rsidRPr="003C560E">
        <w:rPr>
          <w:szCs w:val="22"/>
        </w:rPr>
        <w:t>, 63 FR 24121 (1998).</w:t>
      </w:r>
    </w:p>
    <w:p w:rsidR="006F7AD6" w:rsidRPr="003C560E" w:rsidP="006F7AD6" w14:paraId="38E967B1" w14:textId="77777777">
      <w:pPr>
        <w:pStyle w:val="ParaNum"/>
        <w:numPr>
          <w:ilvl w:val="0"/>
          <w:numId w:val="11"/>
        </w:numPr>
        <w:rPr>
          <w:szCs w:val="22"/>
        </w:rPr>
      </w:pPr>
      <w:r w:rsidRPr="003C560E">
        <w:rPr>
          <w:szCs w:val="22"/>
        </w:rPr>
        <w:t>Electronic Filers:  Comments may be filed electronically using the Internet by accessing the ECFS</w:t>
      </w:r>
      <w:r w:rsidRPr="00882C03">
        <w:t xml:space="preserve">:  </w:t>
      </w:r>
      <w:hyperlink r:id="rId8" w:history="1">
        <w:r w:rsidRPr="00882C03">
          <w:rPr>
            <w:color w:val="0000FF"/>
            <w:u w:val="single"/>
          </w:rPr>
          <w:t>http://apps.fcc.gov/ecfs/</w:t>
        </w:r>
      </w:hyperlink>
      <w:r>
        <w:rPr>
          <w:color w:val="0000FF"/>
        </w:rPr>
        <w:t>.</w:t>
      </w:r>
    </w:p>
    <w:p w:rsidR="006F7AD6" w:rsidRPr="003C560E" w:rsidP="006F7AD6" w14:paraId="6D3BC9B7" w14:textId="77777777">
      <w:pPr>
        <w:pStyle w:val="ParaNum"/>
        <w:numPr>
          <w:ilvl w:val="0"/>
          <w:numId w:val="11"/>
        </w:numPr>
        <w:rPr>
          <w:szCs w:val="22"/>
        </w:rPr>
      </w:pPr>
      <w:r w:rsidRPr="003C560E">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6F7AD6" w:rsidRPr="003C560E" w:rsidP="006F7AD6" w14:paraId="29B65835" w14:textId="77777777">
      <w:pPr>
        <w:pStyle w:val="ParaNum"/>
        <w:numPr>
          <w:ilvl w:val="1"/>
          <w:numId w:val="11"/>
        </w:numPr>
        <w:rPr>
          <w:szCs w:val="22"/>
        </w:rPr>
      </w:pPr>
      <w:r w:rsidRPr="003C560E">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6F7AD6" w:rsidRPr="003C560E" w:rsidP="006F7AD6" w14:paraId="5362C44A" w14:textId="77777777">
      <w:pPr>
        <w:pStyle w:val="ParaNum"/>
        <w:numPr>
          <w:ilvl w:val="1"/>
          <w:numId w:val="11"/>
        </w:numPr>
        <w:rPr>
          <w:szCs w:val="22"/>
        </w:rPr>
      </w:pPr>
      <w:r w:rsidRPr="003C560E">
        <w:rPr>
          <w:szCs w:val="22"/>
        </w:rPr>
        <w:t xml:space="preserve">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before entering the building.  </w:t>
      </w:r>
    </w:p>
    <w:p w:rsidR="006F7AD6" w:rsidRPr="003C560E" w:rsidP="006F7AD6" w14:paraId="0F113F53" w14:textId="77777777">
      <w:pPr>
        <w:pStyle w:val="ParaNum"/>
        <w:numPr>
          <w:ilvl w:val="1"/>
          <w:numId w:val="11"/>
        </w:numPr>
        <w:rPr>
          <w:szCs w:val="22"/>
        </w:rPr>
      </w:pPr>
      <w:r w:rsidRPr="003C560E">
        <w:rPr>
          <w:szCs w:val="22"/>
        </w:rPr>
        <w:t>Commercial overnight mail (other than U.S. Postal Service Express Mail and Priority Mail) must be sent to FCC, 9050 Junction Drive, Annapolis Junction, MD 20701.</w:t>
      </w:r>
    </w:p>
    <w:p w:rsidR="006F7AD6" w:rsidRPr="003C560E" w:rsidP="006F7AD6" w14:paraId="23B710F8" w14:textId="77777777">
      <w:pPr>
        <w:pStyle w:val="ParaNum"/>
        <w:numPr>
          <w:ilvl w:val="1"/>
          <w:numId w:val="11"/>
        </w:numPr>
        <w:rPr>
          <w:szCs w:val="22"/>
        </w:rPr>
      </w:pPr>
      <w:r w:rsidRPr="003C560E">
        <w:rPr>
          <w:szCs w:val="22"/>
        </w:rPr>
        <w:t>U.S. Postal Service first-class, Express, and Priority mail must be addressed to 445 12th Street, SW, Washington, DC  20554.</w:t>
      </w:r>
    </w:p>
    <w:p w:rsidR="006F7AD6" w:rsidRPr="003C560E" w:rsidP="006F7AD6" w14:paraId="4112CE50" w14:textId="77777777">
      <w:pPr>
        <w:pStyle w:val="ParaNum"/>
        <w:rPr>
          <w:szCs w:val="22"/>
        </w:rPr>
      </w:pPr>
      <w:r w:rsidRPr="003C560E">
        <w:rPr>
          <w:szCs w:val="22"/>
        </w:rPr>
        <w:t xml:space="preserve">People with Disabilities:  To request materials in accessible formats for people with disabilities (braille, large print, electronic files, audio format), send an e-mail to </w:t>
      </w:r>
      <w:hyperlink r:id="rId9" w:history="1">
        <w:r w:rsidRPr="003C560E">
          <w:rPr>
            <w:rStyle w:val="Hyperlink"/>
            <w:szCs w:val="22"/>
          </w:rPr>
          <w:t>fcc504@fcc.gov</w:t>
        </w:r>
      </w:hyperlink>
      <w:r w:rsidRPr="003C560E">
        <w:rPr>
          <w:szCs w:val="22"/>
        </w:rPr>
        <w:t xml:space="preserve"> or call the Consumer &amp; Governmental Affairs Bureau at 202-418-0530 (voice), 202-418-0432 (tty).</w:t>
      </w:r>
    </w:p>
    <w:p w:rsidR="006F7AD6" w:rsidRPr="003C560E" w:rsidP="006F7AD6" w14:paraId="0981B333" w14:textId="77777777">
      <w:pPr>
        <w:pStyle w:val="Heading2"/>
        <w:rPr>
          <w:szCs w:val="22"/>
        </w:rPr>
      </w:pPr>
      <w:bookmarkStart w:id="31" w:name="_Toc6326154"/>
      <w:r w:rsidRPr="003C560E">
        <w:rPr>
          <w:szCs w:val="22"/>
        </w:rPr>
        <w:t>Ex Parte Information</w:t>
      </w:r>
      <w:bookmarkEnd w:id="31"/>
    </w:p>
    <w:p w:rsidR="006F7AD6" w:rsidRPr="003C560E" w:rsidP="006F7AD6" w14:paraId="4FC460BA" w14:textId="77777777">
      <w:pPr>
        <w:pStyle w:val="ParaNum"/>
        <w:rPr>
          <w:szCs w:val="22"/>
        </w:rPr>
      </w:pPr>
      <w:r w:rsidRPr="003C560E">
        <w:rPr>
          <w:szCs w:val="22"/>
        </w:rPr>
        <w:t xml:space="preserve">This proceeding shall be treated as a “permit-but-disclose” proceeding in accordance with </w:t>
      </w:r>
      <w:r w:rsidRPr="003C560E">
        <w:rPr>
          <w:szCs w:val="22"/>
        </w:rPr>
        <w:t>the Commission’s ex parte rules.</w:t>
      </w:r>
      <w:r>
        <w:rPr>
          <w:rStyle w:val="FootnoteReference"/>
          <w:szCs w:val="22"/>
        </w:rPr>
        <w:footnoteReference w:id="115"/>
      </w:r>
      <w:r>
        <w:rPr>
          <w:szCs w:val="22"/>
        </w:rPr>
        <w:t xml:space="preserve"> </w:t>
      </w:r>
      <w:r w:rsidRPr="003C560E">
        <w:rPr>
          <w:szCs w:val="22"/>
        </w:rPr>
        <w:t xml:space="preserve">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w:t>
      </w:r>
      <w:r>
        <w:rPr>
          <w:szCs w:val="22"/>
        </w:rPr>
        <w:t xml:space="preserve">(1) </w:t>
      </w:r>
      <w:r w:rsidRPr="003C560E">
        <w:rPr>
          <w:szCs w:val="22"/>
        </w:rPr>
        <w:t xml:space="preserve">list all persons attending or otherwise participating in the meeting at which the ex parte presentation was made, and </w:t>
      </w:r>
      <w:r>
        <w:rPr>
          <w:szCs w:val="22"/>
        </w:rPr>
        <w:t xml:space="preserve">(2) </w:t>
      </w:r>
      <w:r w:rsidRPr="003C560E">
        <w:rPr>
          <w:szCs w:val="22"/>
        </w:rPr>
        <w:t>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section 1.1206(b) of the Commission’s rules.  In proceedings governed by section 1.49(f) of the Commission’s rules or for which the Commission has made available a method of electronic filing, written ex parte presentations and memoranda summarizing oral ex parte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ex parte rules.</w:t>
      </w:r>
    </w:p>
    <w:p w:rsidR="006F7AD6" w:rsidRPr="003C560E" w:rsidP="006F7AD6" w14:paraId="3BBF9810" w14:textId="77777777">
      <w:pPr>
        <w:pStyle w:val="Heading1"/>
        <w:rPr>
          <w:rFonts w:ascii="Times New Roman" w:hAnsi="Times New Roman"/>
          <w:szCs w:val="22"/>
        </w:rPr>
      </w:pPr>
      <w:bookmarkStart w:id="32" w:name="_Toc6326155"/>
      <w:bookmarkStart w:id="33" w:name="_Hlk509265090"/>
      <w:r w:rsidRPr="003C560E">
        <w:rPr>
          <w:rFonts w:ascii="Times New Roman" w:hAnsi="Times New Roman"/>
          <w:szCs w:val="22"/>
        </w:rPr>
        <w:t>Ordering clause</w:t>
      </w:r>
      <w:bookmarkEnd w:id="32"/>
    </w:p>
    <w:p w:rsidR="00BD3ED3" w:rsidP="00BD3ED3" w14:paraId="15957DD9" w14:textId="7FD63032">
      <w:pPr>
        <w:pStyle w:val="ParaNum"/>
        <w:rPr>
          <w:szCs w:val="22"/>
        </w:rPr>
      </w:pPr>
      <w:r w:rsidRPr="003C560E">
        <w:rPr>
          <w:szCs w:val="22"/>
        </w:rPr>
        <w:t xml:space="preserve">Accordingly, </w:t>
      </w:r>
      <w:r w:rsidRPr="003C560E">
        <w:rPr>
          <w:b/>
          <w:szCs w:val="22"/>
        </w:rPr>
        <w:t>IT IS ORDERED</w:t>
      </w:r>
      <w:r w:rsidRPr="003C560E">
        <w:rPr>
          <w:szCs w:val="22"/>
        </w:rPr>
        <w:t xml:space="preserve"> that, pursuant to </w:t>
      </w:r>
      <w:r w:rsidRPr="00107DF1">
        <w:t>the authority found in</w:t>
      </w:r>
      <w:r w:rsidRPr="003C560E">
        <w:rPr>
          <w:szCs w:val="22"/>
        </w:rPr>
        <w:t xml:space="preserve"> Section</w:t>
      </w:r>
      <w:r>
        <w:rPr>
          <w:szCs w:val="22"/>
        </w:rPr>
        <w:t>s</w:t>
      </w:r>
      <w:r w:rsidRPr="003C560E">
        <w:rPr>
          <w:szCs w:val="22"/>
        </w:rPr>
        <w:t xml:space="preserve"> </w:t>
      </w:r>
      <w:r w:rsidRPr="007F7B4B">
        <w:t xml:space="preserve">4(i) and (j), 9, </w:t>
      </w:r>
      <w:r>
        <w:t xml:space="preserve">9A, </w:t>
      </w:r>
      <w:r w:rsidRPr="007F7B4B">
        <w:t>and 303(r)</w:t>
      </w:r>
      <w:r w:rsidRPr="003C560E">
        <w:rPr>
          <w:szCs w:val="22"/>
        </w:rPr>
        <w:t xml:space="preserve"> of the Communications Act of 1934, as amended, 47 U.S.C. §§ </w:t>
      </w:r>
      <w:r w:rsidRPr="007F7B4B">
        <w:t xml:space="preserve">154(i), 154(j), 159, </w:t>
      </w:r>
      <w:r>
        <w:t xml:space="preserve">159A, </w:t>
      </w:r>
      <w:r w:rsidRPr="007F7B4B">
        <w:t xml:space="preserve">and 303(r), </w:t>
      </w:r>
      <w:r w:rsidRPr="003C560E">
        <w:rPr>
          <w:szCs w:val="22"/>
        </w:rPr>
        <w:t xml:space="preserve">this Notice of Proposed Rulemaking </w:t>
      </w:r>
      <w:r w:rsidRPr="003C560E">
        <w:rPr>
          <w:b/>
          <w:szCs w:val="22"/>
        </w:rPr>
        <w:t>IS HEREBY ADOPTED</w:t>
      </w:r>
      <w:r w:rsidRPr="003C560E">
        <w:rPr>
          <w:szCs w:val="22"/>
        </w:rPr>
        <w:t>.</w:t>
      </w:r>
      <w:bookmarkEnd w:id="33"/>
    </w:p>
    <w:p w:rsidR="00BD3ED3" w:rsidP="00886011" w14:paraId="383EF260" w14:textId="77777777">
      <w:r>
        <w:tab/>
      </w:r>
      <w:r>
        <w:tab/>
      </w:r>
      <w:r>
        <w:tab/>
      </w:r>
      <w:r>
        <w:tab/>
      </w:r>
      <w:r>
        <w:tab/>
      </w:r>
      <w:r>
        <w:tab/>
      </w:r>
    </w:p>
    <w:p w:rsidR="00BD3ED3" w:rsidP="00BD3ED3" w14:paraId="69D90768" w14:textId="0151BFFD">
      <w:pPr>
        <w:ind w:left="3600" w:firstLine="720"/>
      </w:pPr>
      <w:r>
        <w:t>FEDERAL COMMUNICATIONS COMMISSION</w:t>
      </w:r>
    </w:p>
    <w:p w:rsidR="00BD3ED3" w:rsidP="00886011" w14:paraId="45FE0183" w14:textId="77777777"/>
    <w:p w:rsidR="00BD3ED3" w:rsidP="00886011" w14:paraId="3C8CEB89" w14:textId="77777777"/>
    <w:p w:rsidR="00BD3ED3" w:rsidP="00886011" w14:paraId="0534C4A9" w14:textId="77777777"/>
    <w:p w:rsidR="00BD3ED3" w:rsidP="00886011" w14:paraId="54692B5C" w14:textId="77777777"/>
    <w:p w:rsidR="00BD3ED3" w:rsidP="00886011" w14:paraId="61B14974" w14:textId="77777777">
      <w:r>
        <w:tab/>
      </w:r>
      <w:r>
        <w:tab/>
      </w:r>
      <w:r>
        <w:tab/>
      </w:r>
      <w:r>
        <w:tab/>
      </w:r>
      <w:r>
        <w:tab/>
      </w:r>
      <w:r>
        <w:tab/>
        <w:t>Marlene H. Dortch</w:t>
      </w:r>
    </w:p>
    <w:p w:rsidR="00BD3ED3" w:rsidP="00886011" w14:paraId="695BC998" w14:textId="77777777">
      <w:r>
        <w:tab/>
      </w:r>
      <w:r>
        <w:tab/>
      </w:r>
      <w:r>
        <w:tab/>
      </w:r>
      <w:r>
        <w:tab/>
      </w:r>
      <w:r>
        <w:tab/>
      </w:r>
      <w:r>
        <w:tab/>
        <w:t>Secretary</w:t>
      </w:r>
    </w:p>
    <w:p w:rsidR="00BD3ED3" w:rsidP="00BD3ED3" w14:paraId="5703EB12" w14:textId="77777777">
      <w:pPr>
        <w:pStyle w:val="ParaNum"/>
        <w:numPr>
          <w:ilvl w:val="0"/>
          <w:numId w:val="0"/>
        </w:numPr>
        <w:rPr>
          <w:szCs w:val="22"/>
        </w:rPr>
      </w:pPr>
    </w:p>
    <w:p w:rsidR="00BD3ED3" w:rsidP="006F7AD6" w14:paraId="0F2BF222" w14:textId="77777777"/>
    <w:p w:rsidR="006F7AD6" w:rsidRPr="003C560E" w:rsidP="006F7AD6" w14:paraId="16BD201B" w14:textId="77777777">
      <w:pPr>
        <w:rPr>
          <w:szCs w:val="22"/>
        </w:rPr>
        <w:sectPr w:rsidSect="00886011">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720" w:left="1440" w:header="720" w:footer="720" w:gutter="0"/>
          <w:pgNumType w:start="1"/>
          <w:cols w:space="720"/>
          <w:noEndnote/>
          <w:titlePg/>
          <w:docGrid w:linePitch="299"/>
        </w:sectPr>
      </w:pPr>
    </w:p>
    <w:p w:rsidR="006F7AD6" w:rsidRPr="0067355D" w:rsidP="006F7AD6" w14:paraId="70855CA9" w14:textId="77777777">
      <w:pPr>
        <w:tabs>
          <w:tab w:val="left" w:pos="3629"/>
        </w:tabs>
        <w:jc w:val="center"/>
        <w:rPr>
          <w:b/>
          <w:szCs w:val="22"/>
        </w:rPr>
      </w:pPr>
      <w:r w:rsidRPr="0067355D">
        <w:rPr>
          <w:b/>
          <w:szCs w:val="22"/>
        </w:rPr>
        <w:t xml:space="preserve">APPENDIX </w:t>
      </w:r>
      <w:r>
        <w:rPr>
          <w:b/>
          <w:szCs w:val="22"/>
        </w:rPr>
        <w:t>A</w:t>
      </w:r>
    </w:p>
    <w:p w:rsidR="006F7AD6" w:rsidRPr="0067355D" w:rsidP="006F7AD6" w14:paraId="4740A9B8" w14:textId="77777777">
      <w:pPr>
        <w:tabs>
          <w:tab w:val="left" w:pos="3629"/>
        </w:tabs>
        <w:rPr>
          <w:b/>
          <w:szCs w:val="22"/>
        </w:rPr>
      </w:pPr>
    </w:p>
    <w:p w:rsidR="006F7AD6" w:rsidP="006F7AD6" w14:paraId="16BBC818" w14:textId="77777777">
      <w:pPr>
        <w:tabs>
          <w:tab w:val="left" w:pos="3629"/>
        </w:tabs>
        <w:jc w:val="center"/>
        <w:rPr>
          <w:b/>
          <w:szCs w:val="22"/>
        </w:rPr>
      </w:pPr>
      <w:r w:rsidRPr="0067355D">
        <w:rPr>
          <w:b/>
          <w:szCs w:val="22"/>
        </w:rPr>
        <w:t>Calculation of FY 201</w:t>
      </w:r>
      <w:r>
        <w:rPr>
          <w:b/>
          <w:szCs w:val="22"/>
        </w:rPr>
        <w:t>9</w:t>
      </w:r>
      <w:r w:rsidRPr="0067355D">
        <w:rPr>
          <w:b/>
          <w:szCs w:val="22"/>
        </w:rPr>
        <w:t xml:space="preserve"> Revenue Requirements and Pro-Rata Fees </w:t>
      </w:r>
    </w:p>
    <w:p w:rsidR="006F7AD6" w:rsidP="006F7AD6" w14:paraId="3CF808CD" w14:textId="77777777">
      <w:pPr>
        <w:tabs>
          <w:tab w:val="left" w:pos="3629"/>
        </w:tabs>
        <w:jc w:val="center"/>
        <w:rPr>
          <w:b/>
          <w:szCs w:val="22"/>
        </w:rPr>
      </w:pPr>
    </w:p>
    <w:p w:rsidR="006F7AD6" w:rsidRPr="0067355D" w:rsidP="006F7AD6" w14:paraId="12767046" w14:textId="77777777">
      <w:pPr>
        <w:tabs>
          <w:tab w:val="center" w:pos="5040"/>
        </w:tabs>
        <w:suppressAutoHyphens/>
        <w:outlineLvl w:val="0"/>
        <w:rPr>
          <w:b/>
          <w:szCs w:val="22"/>
        </w:rPr>
      </w:pPr>
      <w:bookmarkStart w:id="34" w:name="_Toc394672329"/>
      <w:r w:rsidRPr="0067355D">
        <w:rPr>
          <w:szCs w:val="22"/>
        </w:rPr>
        <w:t>Regulatory fees for the categories shaded in gray are collected by the Commission in advance to cover the term of the license and are submitted at the time the application is filed.</w:t>
      </w:r>
      <w:bookmarkEnd w:id="34"/>
      <w:r w:rsidRPr="0067355D">
        <w:rPr>
          <w:szCs w:val="22"/>
        </w:rPr>
        <w:t xml:space="preserve">  </w:t>
      </w:r>
    </w:p>
    <w:tbl>
      <w:tblPr>
        <w:tblW w:w="10350" w:type="dxa"/>
        <w:tblInd w:w="-563" w:type="dxa"/>
        <w:tblLayout w:type="fixed"/>
        <w:tblCellMar>
          <w:left w:w="30" w:type="dxa"/>
          <w:right w:w="30" w:type="dxa"/>
        </w:tblCellMar>
        <w:tblLook w:val="0000"/>
      </w:tblPr>
      <w:tblGrid>
        <w:gridCol w:w="2520"/>
        <w:gridCol w:w="1620"/>
        <w:gridCol w:w="450"/>
        <w:gridCol w:w="1260"/>
        <w:gridCol w:w="1170"/>
        <w:gridCol w:w="1170"/>
        <w:gridCol w:w="990"/>
        <w:gridCol w:w="1170"/>
      </w:tblGrid>
      <w:tr w14:paraId="4E051486" w14:textId="77777777" w:rsidTr="00886011">
        <w:tblPrEx>
          <w:tblW w:w="10350" w:type="dxa"/>
          <w:tblInd w:w="-563" w:type="dxa"/>
          <w:tblLayout w:type="fixed"/>
          <w:tblCellMar>
            <w:left w:w="30" w:type="dxa"/>
            <w:right w:w="30" w:type="dxa"/>
          </w:tblCellMar>
          <w:tblLook w:val="0000"/>
        </w:tblPrEx>
        <w:trPr>
          <w:tblHeader/>
        </w:trPr>
        <w:tc>
          <w:tcPr>
            <w:tcW w:w="2520" w:type="dxa"/>
            <w:tcBorders>
              <w:top w:val="double" w:sz="6" w:space="0" w:color="auto"/>
              <w:left w:val="double" w:sz="6" w:space="0" w:color="auto"/>
              <w:bottom w:val="single" w:sz="18" w:space="0" w:color="auto"/>
            </w:tcBorders>
          </w:tcPr>
          <w:p w:rsidR="006F7AD6" w:rsidRPr="0067355D" w:rsidP="00886011" w14:paraId="64BDF21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Cs w:val="22"/>
              </w:rPr>
            </w:pPr>
            <w:r>
              <w:rPr>
                <w:b/>
                <w:szCs w:val="22"/>
              </w:rPr>
              <w:fldChar w:fldCharType="begin"/>
            </w:r>
            <w:r w:rsidRPr="0067355D">
              <w:rPr>
                <w:b/>
                <w:szCs w:val="22"/>
              </w:rPr>
              <w:instrText xml:space="preserve">PRIVATE </w:instrText>
            </w:r>
            <w:r>
              <w:rPr>
                <w:b/>
                <w:szCs w:val="22"/>
              </w:rPr>
              <w:fldChar w:fldCharType="end"/>
            </w:r>
            <w:r w:rsidRPr="0067355D">
              <w:rPr>
                <w:b/>
                <w:szCs w:val="22"/>
              </w:rPr>
              <w:t>Fee Category</w:t>
            </w:r>
          </w:p>
        </w:tc>
        <w:tc>
          <w:tcPr>
            <w:tcW w:w="1620" w:type="dxa"/>
            <w:tcBorders>
              <w:top w:val="double" w:sz="6" w:space="0" w:color="auto"/>
              <w:left w:val="single" w:sz="6" w:space="0" w:color="auto"/>
              <w:bottom w:val="single" w:sz="18" w:space="0" w:color="auto"/>
            </w:tcBorders>
          </w:tcPr>
          <w:p w:rsidR="006F7AD6" w:rsidRPr="0067355D" w:rsidP="00886011" w14:paraId="65FC385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Cs w:val="22"/>
              </w:rPr>
            </w:pPr>
            <w:r w:rsidRPr="0067355D">
              <w:rPr>
                <w:b/>
                <w:szCs w:val="22"/>
              </w:rPr>
              <w:t>FY 201</w:t>
            </w:r>
            <w:r>
              <w:rPr>
                <w:b/>
                <w:szCs w:val="22"/>
              </w:rPr>
              <w:t>9</w:t>
            </w:r>
            <w:r w:rsidRPr="0067355D">
              <w:rPr>
                <w:b/>
                <w:szCs w:val="22"/>
              </w:rPr>
              <w:t xml:space="preserve"> Payment Units</w:t>
            </w:r>
          </w:p>
        </w:tc>
        <w:tc>
          <w:tcPr>
            <w:tcW w:w="450" w:type="dxa"/>
            <w:tcBorders>
              <w:top w:val="double" w:sz="6" w:space="0" w:color="auto"/>
              <w:left w:val="single" w:sz="6" w:space="0" w:color="auto"/>
              <w:bottom w:val="single" w:sz="18" w:space="0" w:color="auto"/>
            </w:tcBorders>
          </w:tcPr>
          <w:p w:rsidR="006F7AD6" w:rsidRPr="0067355D" w:rsidP="00886011" w14:paraId="180A23F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Cs w:val="22"/>
              </w:rPr>
            </w:pPr>
          </w:p>
          <w:p w:rsidR="006F7AD6" w:rsidRPr="0067355D" w:rsidP="00886011" w14:paraId="58139E9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Cs w:val="22"/>
              </w:rPr>
            </w:pPr>
            <w:r w:rsidRPr="0067355D">
              <w:rPr>
                <w:b/>
                <w:szCs w:val="22"/>
              </w:rPr>
              <w:t>Yrs</w:t>
            </w:r>
          </w:p>
        </w:tc>
        <w:tc>
          <w:tcPr>
            <w:tcW w:w="1260" w:type="dxa"/>
            <w:tcBorders>
              <w:top w:val="double" w:sz="6" w:space="0" w:color="auto"/>
              <w:left w:val="single" w:sz="6" w:space="0" w:color="auto"/>
              <w:bottom w:val="single" w:sz="18" w:space="0" w:color="auto"/>
            </w:tcBorders>
          </w:tcPr>
          <w:p w:rsidR="006F7AD6" w:rsidRPr="0067355D" w:rsidP="00886011" w14:paraId="03B6EB9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Cs w:val="22"/>
              </w:rPr>
            </w:pPr>
            <w:r w:rsidRPr="0067355D">
              <w:rPr>
                <w:b/>
                <w:szCs w:val="22"/>
              </w:rPr>
              <w:t>FY 201</w:t>
            </w:r>
            <w:r>
              <w:rPr>
                <w:b/>
                <w:szCs w:val="22"/>
              </w:rPr>
              <w:t>8</w:t>
            </w:r>
            <w:r w:rsidRPr="0067355D">
              <w:rPr>
                <w:b/>
                <w:szCs w:val="22"/>
              </w:rPr>
              <w:t xml:space="preserve"> Revenue Estimate</w:t>
            </w:r>
          </w:p>
        </w:tc>
        <w:tc>
          <w:tcPr>
            <w:tcW w:w="1170" w:type="dxa"/>
            <w:tcBorders>
              <w:top w:val="double" w:sz="6" w:space="0" w:color="auto"/>
              <w:left w:val="single" w:sz="6" w:space="0" w:color="auto"/>
              <w:bottom w:val="single" w:sz="18" w:space="0" w:color="auto"/>
            </w:tcBorders>
          </w:tcPr>
          <w:p w:rsidR="006F7AD6" w:rsidRPr="0067355D" w:rsidP="00886011" w14:paraId="1B79655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Cs w:val="22"/>
              </w:rPr>
            </w:pPr>
            <w:r w:rsidRPr="0067355D">
              <w:rPr>
                <w:b/>
                <w:szCs w:val="22"/>
              </w:rPr>
              <w:t>Pro-Rated FY 201</w:t>
            </w:r>
            <w:r>
              <w:rPr>
                <w:b/>
                <w:szCs w:val="22"/>
              </w:rPr>
              <w:t>9</w:t>
            </w:r>
            <w:r w:rsidRPr="0067355D">
              <w:rPr>
                <w:b/>
                <w:szCs w:val="22"/>
              </w:rPr>
              <w:t xml:space="preserve"> Revenue Require-ment</w:t>
            </w:r>
          </w:p>
        </w:tc>
        <w:tc>
          <w:tcPr>
            <w:tcW w:w="1170" w:type="dxa"/>
            <w:tcBorders>
              <w:top w:val="double" w:sz="6" w:space="0" w:color="auto"/>
              <w:left w:val="single" w:sz="6" w:space="0" w:color="auto"/>
              <w:bottom w:val="single" w:sz="18" w:space="0" w:color="auto"/>
              <w:right w:val="single" w:sz="6" w:space="0" w:color="auto"/>
            </w:tcBorders>
          </w:tcPr>
          <w:p w:rsidR="006F7AD6" w:rsidRPr="0067355D" w:rsidP="00886011" w14:paraId="1B32624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67355D">
              <w:rPr>
                <w:b/>
                <w:szCs w:val="22"/>
              </w:rPr>
              <w:t>Computed FY 201</w:t>
            </w:r>
            <w:r>
              <w:rPr>
                <w:b/>
                <w:szCs w:val="22"/>
              </w:rPr>
              <w:t>9</w:t>
            </w:r>
            <w:r w:rsidRPr="0067355D">
              <w:rPr>
                <w:b/>
                <w:szCs w:val="22"/>
              </w:rPr>
              <w:t xml:space="preserve"> Regulatory Fee</w:t>
            </w:r>
          </w:p>
        </w:tc>
        <w:tc>
          <w:tcPr>
            <w:tcW w:w="990" w:type="dxa"/>
            <w:tcBorders>
              <w:top w:val="double" w:sz="6" w:space="0" w:color="auto"/>
              <w:left w:val="single" w:sz="6" w:space="0" w:color="auto"/>
              <w:bottom w:val="single" w:sz="18" w:space="0" w:color="auto"/>
            </w:tcBorders>
          </w:tcPr>
          <w:p w:rsidR="006F7AD6" w:rsidRPr="0067355D" w:rsidP="00886011" w14:paraId="76F0E7D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Cs w:val="22"/>
              </w:rPr>
            </w:pPr>
            <w:r w:rsidRPr="0067355D">
              <w:rPr>
                <w:b/>
                <w:szCs w:val="22"/>
              </w:rPr>
              <w:t xml:space="preserve"> Rounded </w:t>
            </w:r>
          </w:p>
          <w:p w:rsidR="006F7AD6" w:rsidRPr="0067355D" w:rsidP="00886011" w14:paraId="12FA860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Cs w:val="22"/>
              </w:rPr>
            </w:pPr>
            <w:r w:rsidRPr="0067355D">
              <w:rPr>
                <w:b/>
                <w:szCs w:val="22"/>
              </w:rPr>
              <w:t>FY 201</w:t>
            </w:r>
            <w:r>
              <w:rPr>
                <w:b/>
                <w:szCs w:val="22"/>
              </w:rPr>
              <w:t>9</w:t>
            </w:r>
            <w:r w:rsidRPr="0067355D">
              <w:rPr>
                <w:b/>
                <w:szCs w:val="22"/>
              </w:rPr>
              <w:t xml:space="preserve"> </w:t>
            </w:r>
          </w:p>
          <w:p w:rsidR="006F7AD6" w:rsidRPr="0067355D" w:rsidP="00886011" w14:paraId="2FF4CED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67355D">
              <w:rPr>
                <w:b/>
                <w:szCs w:val="22"/>
              </w:rPr>
              <w:t>Reg. Fee</w:t>
            </w:r>
          </w:p>
        </w:tc>
        <w:tc>
          <w:tcPr>
            <w:tcW w:w="1170" w:type="dxa"/>
            <w:tcBorders>
              <w:top w:val="double" w:sz="6" w:space="0" w:color="auto"/>
              <w:left w:val="single" w:sz="6" w:space="0" w:color="auto"/>
              <w:bottom w:val="single" w:sz="18" w:space="0" w:color="auto"/>
              <w:right w:val="double" w:sz="6" w:space="0" w:color="auto"/>
            </w:tcBorders>
          </w:tcPr>
          <w:p w:rsidR="006F7AD6" w:rsidRPr="0067355D" w:rsidP="00886011" w14:paraId="5DAF606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Cs w:val="22"/>
              </w:rPr>
            </w:pPr>
            <w:r w:rsidRPr="0067355D">
              <w:rPr>
                <w:b/>
                <w:szCs w:val="22"/>
              </w:rPr>
              <w:t>Expected</w:t>
            </w:r>
          </w:p>
          <w:p w:rsidR="006F7AD6" w:rsidRPr="0067355D" w:rsidP="00886011" w14:paraId="2C120A8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Cs w:val="22"/>
              </w:rPr>
            </w:pPr>
            <w:r w:rsidRPr="0067355D">
              <w:rPr>
                <w:b/>
                <w:szCs w:val="22"/>
              </w:rPr>
              <w:t>FY 201</w:t>
            </w:r>
            <w:r>
              <w:rPr>
                <w:b/>
                <w:szCs w:val="22"/>
              </w:rPr>
              <w:t>9</w:t>
            </w:r>
          </w:p>
          <w:p w:rsidR="006F7AD6" w:rsidRPr="0067355D" w:rsidP="00886011" w14:paraId="4B2B0FA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67355D">
              <w:rPr>
                <w:b/>
                <w:szCs w:val="22"/>
              </w:rPr>
              <w:t>Revenue</w:t>
            </w:r>
          </w:p>
        </w:tc>
      </w:tr>
      <w:tr w14:paraId="559FD3E2" w14:textId="77777777" w:rsidTr="00886011">
        <w:tblPrEx>
          <w:tblW w:w="10350" w:type="dxa"/>
          <w:tblInd w:w="-563" w:type="dxa"/>
          <w:tblLayout w:type="fixed"/>
          <w:tblCellMar>
            <w:left w:w="30" w:type="dxa"/>
            <w:right w:w="30" w:type="dxa"/>
          </w:tblCellMar>
          <w:tblLook w:val="0000"/>
        </w:tblPrEx>
        <w:tc>
          <w:tcPr>
            <w:tcW w:w="2520" w:type="dxa"/>
            <w:tcBorders>
              <w:top w:val="single" w:sz="18" w:space="0" w:color="auto"/>
              <w:left w:val="double" w:sz="4" w:space="0" w:color="auto"/>
              <w:bottom w:val="single" w:sz="8" w:space="0" w:color="auto"/>
              <w:right w:val="single" w:sz="8" w:space="0" w:color="auto"/>
            </w:tcBorders>
            <w:shd w:val="clear" w:color="auto" w:fill="C0C0C0"/>
          </w:tcPr>
          <w:p w:rsidR="006F7AD6" w:rsidRPr="0067355D" w:rsidP="00886011" w14:paraId="33F126C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67355D">
              <w:rPr>
                <w:szCs w:val="22"/>
              </w:rPr>
              <w:t xml:space="preserve"> PLMRS (Exclusive Use) </w:t>
            </w:r>
          </w:p>
        </w:tc>
        <w:tc>
          <w:tcPr>
            <w:tcW w:w="1620" w:type="dxa"/>
            <w:tcBorders>
              <w:top w:val="single" w:sz="18" w:space="0" w:color="auto"/>
              <w:left w:val="single" w:sz="8" w:space="0" w:color="auto"/>
              <w:bottom w:val="single" w:sz="8" w:space="0" w:color="auto"/>
              <w:right w:val="single" w:sz="8" w:space="0" w:color="auto"/>
            </w:tcBorders>
            <w:shd w:val="clear" w:color="auto" w:fill="C0C0C0"/>
          </w:tcPr>
          <w:p w:rsidR="006F7AD6" w:rsidRPr="0067355D" w:rsidP="00886011" w14:paraId="45689E4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45</w:t>
            </w:r>
            <w:r w:rsidRPr="0067355D">
              <w:rPr>
                <w:szCs w:val="22"/>
              </w:rPr>
              <w:t>0</w:t>
            </w:r>
          </w:p>
        </w:tc>
        <w:tc>
          <w:tcPr>
            <w:tcW w:w="450" w:type="dxa"/>
            <w:tcBorders>
              <w:top w:val="single" w:sz="18" w:space="0" w:color="auto"/>
              <w:left w:val="single" w:sz="8" w:space="0" w:color="auto"/>
              <w:bottom w:val="single" w:sz="8" w:space="0" w:color="auto"/>
              <w:right w:val="single" w:sz="8" w:space="0" w:color="auto"/>
            </w:tcBorders>
            <w:shd w:val="clear" w:color="auto" w:fill="C0C0C0"/>
          </w:tcPr>
          <w:p w:rsidR="006F7AD6" w:rsidRPr="0067355D" w:rsidP="00886011" w14:paraId="598D777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67355D">
              <w:rPr>
                <w:szCs w:val="22"/>
              </w:rPr>
              <w:t xml:space="preserve">10 </w:t>
            </w:r>
          </w:p>
        </w:tc>
        <w:tc>
          <w:tcPr>
            <w:tcW w:w="1260" w:type="dxa"/>
            <w:tcBorders>
              <w:top w:val="single" w:sz="18" w:space="0" w:color="auto"/>
              <w:left w:val="single" w:sz="8" w:space="0" w:color="auto"/>
              <w:bottom w:val="single" w:sz="8" w:space="0" w:color="auto"/>
              <w:right w:val="single" w:sz="8" w:space="0" w:color="auto"/>
            </w:tcBorders>
            <w:shd w:val="clear" w:color="auto" w:fill="C0C0C0"/>
          </w:tcPr>
          <w:p w:rsidR="006F7AD6" w:rsidRPr="0067355D" w:rsidP="00886011" w14:paraId="232CF05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8</w:t>
            </w:r>
            <w:r w:rsidRPr="0067355D">
              <w:rPr>
                <w:szCs w:val="22"/>
              </w:rPr>
              <w:t>5,000</w:t>
            </w:r>
          </w:p>
        </w:tc>
        <w:tc>
          <w:tcPr>
            <w:tcW w:w="1170" w:type="dxa"/>
            <w:tcBorders>
              <w:top w:val="single" w:sz="18" w:space="0" w:color="auto"/>
              <w:left w:val="single" w:sz="8" w:space="0" w:color="auto"/>
              <w:bottom w:val="single" w:sz="8" w:space="0" w:color="auto"/>
              <w:right w:val="single" w:sz="8" w:space="0" w:color="auto"/>
            </w:tcBorders>
            <w:shd w:val="clear" w:color="auto" w:fill="C0C0C0"/>
          </w:tcPr>
          <w:p w:rsidR="006F7AD6" w:rsidRPr="0067355D" w:rsidP="00886011" w14:paraId="0E0DFB5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112</w:t>
            </w:r>
            <w:r w:rsidRPr="0067355D">
              <w:rPr>
                <w:szCs w:val="22"/>
              </w:rPr>
              <w:t>,</w:t>
            </w:r>
            <w:r>
              <w:rPr>
                <w:szCs w:val="22"/>
              </w:rPr>
              <w:t>500</w:t>
            </w:r>
          </w:p>
        </w:tc>
        <w:tc>
          <w:tcPr>
            <w:tcW w:w="1170" w:type="dxa"/>
            <w:tcBorders>
              <w:top w:val="single" w:sz="18" w:space="0" w:color="auto"/>
              <w:left w:val="single" w:sz="8" w:space="0" w:color="auto"/>
              <w:bottom w:val="single" w:sz="8" w:space="0" w:color="auto"/>
              <w:right w:val="single" w:sz="8" w:space="0" w:color="auto"/>
            </w:tcBorders>
            <w:shd w:val="clear" w:color="auto" w:fill="C0C0C0"/>
          </w:tcPr>
          <w:p w:rsidR="006F7AD6" w:rsidRPr="0067355D" w:rsidP="00886011" w14:paraId="49705DD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25</w:t>
            </w:r>
            <w:r>
              <w:rPr>
                <w:szCs w:val="22"/>
              </w:rPr>
              <w:t>.00</w:t>
            </w:r>
          </w:p>
        </w:tc>
        <w:tc>
          <w:tcPr>
            <w:tcW w:w="990" w:type="dxa"/>
            <w:tcBorders>
              <w:top w:val="single" w:sz="18" w:space="0" w:color="auto"/>
              <w:left w:val="single" w:sz="8" w:space="0" w:color="auto"/>
              <w:bottom w:val="single" w:sz="8" w:space="0" w:color="auto"/>
              <w:right w:val="single" w:sz="8" w:space="0" w:color="auto"/>
            </w:tcBorders>
            <w:shd w:val="clear" w:color="auto" w:fill="C0C0C0"/>
          </w:tcPr>
          <w:p w:rsidR="006F7AD6" w:rsidRPr="0067355D" w:rsidP="00886011" w14:paraId="76CC2EF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25</w:t>
            </w:r>
          </w:p>
        </w:tc>
        <w:tc>
          <w:tcPr>
            <w:tcW w:w="1170" w:type="dxa"/>
            <w:tcBorders>
              <w:top w:val="single" w:sz="18" w:space="0" w:color="auto"/>
              <w:left w:val="single" w:sz="8" w:space="0" w:color="auto"/>
              <w:bottom w:val="single" w:sz="8" w:space="0" w:color="auto"/>
              <w:right w:val="double" w:sz="4" w:space="0" w:color="auto"/>
            </w:tcBorders>
            <w:shd w:val="clear" w:color="auto" w:fill="C0C0C0"/>
          </w:tcPr>
          <w:p w:rsidR="006F7AD6" w:rsidRPr="0067355D" w:rsidP="00886011" w14:paraId="1233506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112</w:t>
            </w:r>
            <w:r w:rsidRPr="0067355D">
              <w:rPr>
                <w:szCs w:val="22"/>
              </w:rPr>
              <w:t>,</w:t>
            </w:r>
            <w:r>
              <w:rPr>
                <w:szCs w:val="22"/>
              </w:rPr>
              <w:t>5</w:t>
            </w:r>
            <w:r w:rsidRPr="0067355D">
              <w:rPr>
                <w:szCs w:val="22"/>
              </w:rPr>
              <w:t>00</w:t>
            </w:r>
          </w:p>
        </w:tc>
      </w:tr>
      <w:tr w14:paraId="470E4A13" w14:textId="77777777" w:rsidTr="00886011">
        <w:tblPrEx>
          <w:tblW w:w="10350" w:type="dxa"/>
          <w:tblInd w:w="-563" w:type="dxa"/>
          <w:tblLayout w:type="fixed"/>
          <w:tblCellMar>
            <w:left w:w="30" w:type="dxa"/>
            <w:right w:w="30" w:type="dxa"/>
          </w:tblCellMar>
          <w:tblLook w:val="0000"/>
        </w:tblPrEx>
        <w:tc>
          <w:tcPr>
            <w:tcW w:w="2520" w:type="dxa"/>
            <w:tcBorders>
              <w:top w:val="single" w:sz="8" w:space="0" w:color="auto"/>
              <w:left w:val="double" w:sz="4" w:space="0" w:color="auto"/>
              <w:bottom w:val="single" w:sz="8" w:space="0" w:color="auto"/>
              <w:right w:val="single" w:sz="8" w:space="0" w:color="auto"/>
            </w:tcBorders>
            <w:shd w:val="clear" w:color="auto" w:fill="C0C0C0"/>
          </w:tcPr>
          <w:p w:rsidR="006F7AD6" w:rsidRPr="0067355D" w:rsidP="00886011" w14:paraId="6F9070D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67355D">
              <w:rPr>
                <w:szCs w:val="22"/>
              </w:rPr>
              <w:t>PLMRS (Shared use)</w:t>
            </w:r>
          </w:p>
        </w:tc>
        <w:tc>
          <w:tcPr>
            <w:tcW w:w="1620" w:type="dxa"/>
            <w:tcBorders>
              <w:top w:val="single" w:sz="8" w:space="0" w:color="auto"/>
              <w:left w:val="single" w:sz="8" w:space="0" w:color="auto"/>
              <w:bottom w:val="single" w:sz="8" w:space="0" w:color="auto"/>
              <w:right w:val="single" w:sz="8" w:space="0" w:color="auto"/>
            </w:tcBorders>
            <w:shd w:val="clear" w:color="auto" w:fill="C0C0C0"/>
          </w:tcPr>
          <w:p w:rsidR="006F7AD6" w:rsidRPr="0067355D" w:rsidP="00886011" w14:paraId="1346165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12,</w:t>
            </w:r>
            <w:r>
              <w:rPr>
                <w:szCs w:val="22"/>
              </w:rPr>
              <w:t>4</w:t>
            </w:r>
            <w:r w:rsidRPr="0067355D">
              <w:rPr>
                <w:szCs w:val="22"/>
              </w:rPr>
              <w:t>00</w:t>
            </w:r>
          </w:p>
        </w:tc>
        <w:tc>
          <w:tcPr>
            <w:tcW w:w="450" w:type="dxa"/>
            <w:tcBorders>
              <w:top w:val="single" w:sz="8" w:space="0" w:color="auto"/>
              <w:left w:val="single" w:sz="8" w:space="0" w:color="auto"/>
              <w:bottom w:val="single" w:sz="8" w:space="0" w:color="auto"/>
              <w:right w:val="single" w:sz="8" w:space="0" w:color="auto"/>
            </w:tcBorders>
            <w:shd w:val="clear" w:color="auto" w:fill="C0C0C0"/>
          </w:tcPr>
          <w:p w:rsidR="006F7AD6" w:rsidRPr="0067355D" w:rsidP="00886011" w14:paraId="02D2E10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67355D">
              <w:rPr>
                <w:szCs w:val="22"/>
              </w:rPr>
              <w:t>10</w:t>
            </w:r>
          </w:p>
        </w:tc>
        <w:tc>
          <w:tcPr>
            <w:tcW w:w="1260" w:type="dxa"/>
            <w:tcBorders>
              <w:top w:val="single" w:sz="8" w:space="0" w:color="auto"/>
              <w:left w:val="single" w:sz="8" w:space="0" w:color="auto"/>
              <w:bottom w:val="single" w:sz="8" w:space="0" w:color="auto"/>
              <w:right w:val="single" w:sz="8" w:space="0" w:color="auto"/>
            </w:tcBorders>
            <w:shd w:val="clear" w:color="auto" w:fill="C0C0C0"/>
          </w:tcPr>
          <w:p w:rsidR="006F7AD6" w:rsidRPr="0067355D" w:rsidP="00886011" w14:paraId="6F101EA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w:t>
            </w:r>
            <w:r>
              <w:rPr>
                <w:szCs w:val="22"/>
              </w:rPr>
              <w:t>250</w:t>
            </w:r>
            <w:r w:rsidRPr="0067355D">
              <w:rPr>
                <w:szCs w:val="22"/>
              </w:rPr>
              <w:t>,000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6F7AD6" w:rsidRPr="0067355D" w:rsidP="00886011" w14:paraId="5874438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1,2</w:t>
            </w:r>
            <w:r>
              <w:rPr>
                <w:szCs w:val="22"/>
              </w:rPr>
              <w:t>39</w:t>
            </w:r>
            <w:r w:rsidRPr="0067355D">
              <w:rPr>
                <w:szCs w:val="22"/>
              </w:rPr>
              <w:t>,</w:t>
            </w:r>
            <w:r>
              <w:rPr>
                <w:szCs w:val="22"/>
              </w:rPr>
              <w:t>999</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6F7AD6" w:rsidRPr="0067355D" w:rsidP="00886011" w14:paraId="7F4FB3F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10</w:t>
            </w:r>
            <w:r>
              <w:rPr>
                <w:szCs w:val="22"/>
              </w:rPr>
              <w:t>.00</w:t>
            </w:r>
          </w:p>
        </w:tc>
        <w:tc>
          <w:tcPr>
            <w:tcW w:w="990" w:type="dxa"/>
            <w:tcBorders>
              <w:top w:val="single" w:sz="8" w:space="0" w:color="auto"/>
              <w:left w:val="single" w:sz="8" w:space="0" w:color="auto"/>
              <w:bottom w:val="single" w:sz="8" w:space="0" w:color="auto"/>
              <w:right w:val="single" w:sz="8" w:space="0" w:color="auto"/>
            </w:tcBorders>
            <w:shd w:val="clear" w:color="auto" w:fill="C0C0C0"/>
          </w:tcPr>
          <w:p w:rsidR="006F7AD6" w:rsidRPr="0067355D" w:rsidP="00886011" w14:paraId="2FB7D25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10</w:t>
            </w:r>
          </w:p>
        </w:tc>
        <w:tc>
          <w:tcPr>
            <w:tcW w:w="1170" w:type="dxa"/>
            <w:tcBorders>
              <w:top w:val="single" w:sz="8" w:space="0" w:color="auto"/>
              <w:left w:val="single" w:sz="8" w:space="0" w:color="auto"/>
              <w:bottom w:val="single" w:sz="8" w:space="0" w:color="auto"/>
              <w:right w:val="double" w:sz="4" w:space="0" w:color="auto"/>
            </w:tcBorders>
            <w:shd w:val="clear" w:color="auto" w:fill="C0C0C0"/>
          </w:tcPr>
          <w:p w:rsidR="006F7AD6" w:rsidRPr="0067355D" w:rsidP="00886011" w14:paraId="3A0E062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1,2</w:t>
            </w:r>
            <w:r>
              <w:rPr>
                <w:szCs w:val="22"/>
              </w:rPr>
              <w:t>4</w:t>
            </w:r>
            <w:r w:rsidRPr="0067355D">
              <w:rPr>
                <w:szCs w:val="22"/>
              </w:rPr>
              <w:t>0,000</w:t>
            </w:r>
          </w:p>
        </w:tc>
      </w:tr>
      <w:tr w14:paraId="564B5584" w14:textId="77777777" w:rsidTr="00886011">
        <w:tblPrEx>
          <w:tblW w:w="10350" w:type="dxa"/>
          <w:tblInd w:w="-563" w:type="dxa"/>
          <w:tblLayout w:type="fixed"/>
          <w:tblCellMar>
            <w:left w:w="30" w:type="dxa"/>
            <w:right w:w="30" w:type="dxa"/>
          </w:tblCellMar>
          <w:tblLook w:val="0000"/>
        </w:tblPrEx>
        <w:tc>
          <w:tcPr>
            <w:tcW w:w="2520" w:type="dxa"/>
            <w:tcBorders>
              <w:top w:val="single" w:sz="8" w:space="0" w:color="auto"/>
              <w:left w:val="double" w:sz="4" w:space="0" w:color="auto"/>
              <w:bottom w:val="single" w:sz="8" w:space="0" w:color="auto"/>
              <w:right w:val="single" w:sz="8" w:space="0" w:color="auto"/>
            </w:tcBorders>
            <w:shd w:val="clear" w:color="auto" w:fill="C0C0C0"/>
          </w:tcPr>
          <w:p w:rsidR="006F7AD6" w:rsidRPr="0067355D" w:rsidP="00886011" w14:paraId="0A3CA12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67355D">
              <w:rPr>
                <w:szCs w:val="22"/>
              </w:rPr>
              <w:t>Microwave</w:t>
            </w:r>
          </w:p>
        </w:tc>
        <w:tc>
          <w:tcPr>
            <w:tcW w:w="1620" w:type="dxa"/>
            <w:tcBorders>
              <w:top w:val="single" w:sz="8" w:space="0" w:color="auto"/>
              <w:left w:val="single" w:sz="8" w:space="0" w:color="auto"/>
              <w:bottom w:val="single" w:sz="8" w:space="0" w:color="auto"/>
              <w:right w:val="single" w:sz="8" w:space="0" w:color="auto"/>
            </w:tcBorders>
            <w:shd w:val="clear" w:color="auto" w:fill="C0C0C0"/>
          </w:tcPr>
          <w:p w:rsidR="006F7AD6" w:rsidRPr="0067355D" w:rsidP="00886011" w14:paraId="5300393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10</w:t>
            </w:r>
            <w:r w:rsidRPr="0067355D">
              <w:rPr>
                <w:szCs w:val="22"/>
              </w:rPr>
              <w:t>,</w:t>
            </w:r>
            <w:r>
              <w:rPr>
                <w:szCs w:val="22"/>
              </w:rPr>
              <w:t>00</w:t>
            </w:r>
            <w:r w:rsidRPr="0067355D">
              <w:rPr>
                <w:szCs w:val="22"/>
              </w:rPr>
              <w:t>0</w:t>
            </w:r>
          </w:p>
        </w:tc>
        <w:tc>
          <w:tcPr>
            <w:tcW w:w="450" w:type="dxa"/>
            <w:tcBorders>
              <w:top w:val="single" w:sz="8" w:space="0" w:color="auto"/>
              <w:left w:val="single" w:sz="8" w:space="0" w:color="auto"/>
              <w:bottom w:val="single" w:sz="8" w:space="0" w:color="auto"/>
              <w:right w:val="single" w:sz="8" w:space="0" w:color="auto"/>
            </w:tcBorders>
            <w:shd w:val="clear" w:color="auto" w:fill="C0C0C0"/>
          </w:tcPr>
          <w:p w:rsidR="006F7AD6" w:rsidRPr="0067355D" w:rsidP="00886011" w14:paraId="4AA045E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67355D">
              <w:rPr>
                <w:szCs w:val="22"/>
              </w:rPr>
              <w:t xml:space="preserve">10 </w:t>
            </w:r>
          </w:p>
        </w:tc>
        <w:tc>
          <w:tcPr>
            <w:tcW w:w="1260" w:type="dxa"/>
            <w:tcBorders>
              <w:top w:val="single" w:sz="8" w:space="0" w:color="auto"/>
              <w:left w:val="single" w:sz="8" w:space="0" w:color="auto"/>
              <w:bottom w:val="single" w:sz="8" w:space="0" w:color="auto"/>
              <w:right w:val="single" w:sz="8" w:space="0" w:color="auto"/>
            </w:tcBorders>
            <w:shd w:val="clear" w:color="auto" w:fill="C0C0C0"/>
          </w:tcPr>
          <w:p w:rsidR="006F7AD6" w:rsidRPr="0067355D" w:rsidP="00886011" w14:paraId="01A694F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w:t>
            </w:r>
            <w:r w:rsidRPr="0067355D">
              <w:rPr>
                <w:szCs w:val="22"/>
              </w:rPr>
              <w:t>,9</w:t>
            </w:r>
            <w:r>
              <w:rPr>
                <w:szCs w:val="22"/>
              </w:rPr>
              <w:t>37</w:t>
            </w:r>
            <w:r w:rsidRPr="0067355D">
              <w:rPr>
                <w:szCs w:val="22"/>
              </w:rPr>
              <w:t>,</w:t>
            </w:r>
            <w:r>
              <w:rPr>
                <w:szCs w:val="22"/>
              </w:rPr>
              <w:t>5</w:t>
            </w:r>
            <w:r w:rsidRPr="0067355D">
              <w:rPr>
                <w:szCs w:val="22"/>
              </w:rPr>
              <w:t>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6F7AD6" w:rsidRPr="0067355D" w:rsidP="00886011" w14:paraId="6EADD71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2</w:t>
            </w:r>
            <w:r w:rsidRPr="0067355D">
              <w:rPr>
                <w:szCs w:val="22"/>
              </w:rPr>
              <w:t>,500,</w:t>
            </w:r>
            <w:r>
              <w:rPr>
                <w:szCs w:val="22"/>
              </w:rPr>
              <w:t>0</w:t>
            </w:r>
            <w:r w:rsidRPr="0067355D">
              <w:rPr>
                <w:szCs w:val="22"/>
              </w:rPr>
              <w:t>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6F7AD6" w:rsidRPr="0067355D" w:rsidP="00886011" w14:paraId="1E20936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25</w:t>
            </w:r>
            <w:r>
              <w:rPr>
                <w:szCs w:val="22"/>
              </w:rPr>
              <w:t>.00</w:t>
            </w:r>
          </w:p>
        </w:tc>
        <w:tc>
          <w:tcPr>
            <w:tcW w:w="990" w:type="dxa"/>
            <w:tcBorders>
              <w:top w:val="single" w:sz="8" w:space="0" w:color="auto"/>
              <w:left w:val="single" w:sz="8" w:space="0" w:color="auto"/>
              <w:bottom w:val="single" w:sz="8" w:space="0" w:color="auto"/>
              <w:right w:val="single" w:sz="8" w:space="0" w:color="auto"/>
            </w:tcBorders>
            <w:shd w:val="clear" w:color="auto" w:fill="C0C0C0"/>
          </w:tcPr>
          <w:p w:rsidR="006F7AD6" w:rsidRPr="0067355D" w:rsidP="00886011" w14:paraId="62C293F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25</w:t>
            </w:r>
          </w:p>
        </w:tc>
        <w:tc>
          <w:tcPr>
            <w:tcW w:w="1170" w:type="dxa"/>
            <w:tcBorders>
              <w:top w:val="single" w:sz="8" w:space="0" w:color="auto"/>
              <w:left w:val="single" w:sz="8" w:space="0" w:color="auto"/>
              <w:bottom w:val="single" w:sz="8" w:space="0" w:color="auto"/>
              <w:right w:val="double" w:sz="4" w:space="0" w:color="auto"/>
            </w:tcBorders>
            <w:shd w:val="clear" w:color="auto" w:fill="C0C0C0"/>
          </w:tcPr>
          <w:p w:rsidR="006F7AD6" w:rsidRPr="0067355D" w:rsidP="00886011" w14:paraId="5DB3D04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2</w:t>
            </w:r>
            <w:r w:rsidRPr="0067355D">
              <w:rPr>
                <w:szCs w:val="22"/>
              </w:rPr>
              <w:t>,</w:t>
            </w:r>
            <w:r>
              <w:rPr>
                <w:szCs w:val="22"/>
              </w:rPr>
              <w:t>500</w:t>
            </w:r>
            <w:r w:rsidRPr="0067355D">
              <w:rPr>
                <w:szCs w:val="22"/>
              </w:rPr>
              <w:t>,</w:t>
            </w:r>
            <w:r>
              <w:rPr>
                <w:szCs w:val="22"/>
              </w:rPr>
              <w:t>0</w:t>
            </w:r>
            <w:r w:rsidRPr="0067355D">
              <w:rPr>
                <w:szCs w:val="22"/>
              </w:rPr>
              <w:t>00</w:t>
            </w:r>
          </w:p>
        </w:tc>
      </w:tr>
      <w:tr w14:paraId="1F046D2D" w14:textId="77777777" w:rsidTr="00886011">
        <w:tblPrEx>
          <w:tblW w:w="10350" w:type="dxa"/>
          <w:tblInd w:w="-563" w:type="dxa"/>
          <w:tblLayout w:type="fixed"/>
          <w:tblCellMar>
            <w:left w:w="30" w:type="dxa"/>
            <w:right w:w="30" w:type="dxa"/>
          </w:tblCellMar>
          <w:tblLook w:val="0000"/>
        </w:tblPrEx>
        <w:tc>
          <w:tcPr>
            <w:tcW w:w="2520" w:type="dxa"/>
            <w:tcBorders>
              <w:top w:val="single" w:sz="8" w:space="0" w:color="auto"/>
              <w:left w:val="double" w:sz="4" w:space="0" w:color="auto"/>
              <w:bottom w:val="single" w:sz="8" w:space="0" w:color="auto"/>
              <w:right w:val="single" w:sz="8" w:space="0" w:color="auto"/>
            </w:tcBorders>
            <w:shd w:val="clear" w:color="auto" w:fill="C0C0C0"/>
          </w:tcPr>
          <w:p w:rsidR="006F7AD6" w:rsidRPr="0067355D" w:rsidP="00886011" w14:paraId="231C9B9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67355D">
              <w:rPr>
                <w:szCs w:val="22"/>
              </w:rPr>
              <w:t>Marine (Ship)</w:t>
            </w:r>
          </w:p>
        </w:tc>
        <w:tc>
          <w:tcPr>
            <w:tcW w:w="1620" w:type="dxa"/>
            <w:tcBorders>
              <w:top w:val="single" w:sz="8" w:space="0" w:color="auto"/>
              <w:left w:val="single" w:sz="8" w:space="0" w:color="auto"/>
              <w:bottom w:val="single" w:sz="8" w:space="0" w:color="auto"/>
              <w:right w:val="single" w:sz="8" w:space="0" w:color="auto"/>
            </w:tcBorders>
            <w:shd w:val="clear" w:color="auto" w:fill="C0C0C0"/>
          </w:tcPr>
          <w:p w:rsidR="006F7AD6" w:rsidRPr="0067355D" w:rsidP="00886011" w14:paraId="1B89EC9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7,1</w:t>
            </w:r>
            <w:r>
              <w:rPr>
                <w:szCs w:val="22"/>
              </w:rPr>
              <w:t>0</w:t>
            </w:r>
            <w:r w:rsidRPr="0067355D">
              <w:rPr>
                <w:szCs w:val="22"/>
              </w:rPr>
              <w:t xml:space="preserve">0 </w:t>
            </w:r>
          </w:p>
        </w:tc>
        <w:tc>
          <w:tcPr>
            <w:tcW w:w="450" w:type="dxa"/>
            <w:tcBorders>
              <w:top w:val="single" w:sz="8" w:space="0" w:color="auto"/>
              <w:left w:val="single" w:sz="8" w:space="0" w:color="auto"/>
              <w:bottom w:val="single" w:sz="8" w:space="0" w:color="auto"/>
              <w:right w:val="single" w:sz="8" w:space="0" w:color="auto"/>
            </w:tcBorders>
            <w:shd w:val="clear" w:color="auto" w:fill="C0C0C0"/>
          </w:tcPr>
          <w:p w:rsidR="006F7AD6" w:rsidRPr="0067355D" w:rsidP="00886011" w14:paraId="1547071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67355D">
              <w:rPr>
                <w:szCs w:val="22"/>
              </w:rPr>
              <w:t xml:space="preserve">10 </w:t>
            </w:r>
          </w:p>
        </w:tc>
        <w:tc>
          <w:tcPr>
            <w:tcW w:w="1260" w:type="dxa"/>
            <w:tcBorders>
              <w:top w:val="single" w:sz="8" w:space="0" w:color="auto"/>
              <w:left w:val="single" w:sz="8" w:space="0" w:color="auto"/>
              <w:bottom w:val="single" w:sz="8" w:space="0" w:color="auto"/>
              <w:right w:val="single" w:sz="8" w:space="0" w:color="auto"/>
            </w:tcBorders>
            <w:shd w:val="clear" w:color="auto" w:fill="C0C0C0"/>
          </w:tcPr>
          <w:p w:rsidR="006F7AD6" w:rsidRPr="0067355D" w:rsidP="00886011" w14:paraId="60E714A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w:t>
            </w:r>
            <w:r>
              <w:rPr>
                <w:szCs w:val="22"/>
              </w:rPr>
              <w:t>072</w:t>
            </w:r>
            <w:r w:rsidRPr="0067355D">
              <w:rPr>
                <w:szCs w:val="22"/>
              </w:rPr>
              <w:t>,</w:t>
            </w:r>
            <w:r>
              <w:rPr>
                <w:szCs w:val="22"/>
              </w:rPr>
              <w:t>5</w:t>
            </w:r>
            <w:r w:rsidRPr="0067355D">
              <w:rPr>
                <w:szCs w:val="22"/>
              </w:rPr>
              <w:t>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6F7AD6" w:rsidRPr="0067355D" w:rsidP="00886011" w14:paraId="1C113A9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1,0</w:t>
            </w:r>
            <w:r>
              <w:rPr>
                <w:szCs w:val="22"/>
              </w:rPr>
              <w:t>65</w:t>
            </w:r>
            <w:r w:rsidRPr="0067355D">
              <w:rPr>
                <w:szCs w:val="22"/>
              </w:rPr>
              <w:t>,</w:t>
            </w:r>
            <w:r>
              <w:rPr>
                <w:szCs w:val="22"/>
              </w:rPr>
              <w:t>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6F7AD6" w:rsidRPr="0067355D" w:rsidP="00886011" w14:paraId="5C00A0F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15</w:t>
            </w:r>
            <w:r>
              <w:rPr>
                <w:szCs w:val="22"/>
              </w:rPr>
              <w:t>.00</w:t>
            </w:r>
          </w:p>
        </w:tc>
        <w:tc>
          <w:tcPr>
            <w:tcW w:w="990" w:type="dxa"/>
            <w:tcBorders>
              <w:top w:val="single" w:sz="8" w:space="0" w:color="auto"/>
              <w:left w:val="single" w:sz="8" w:space="0" w:color="auto"/>
              <w:bottom w:val="single" w:sz="8" w:space="0" w:color="auto"/>
              <w:right w:val="single" w:sz="8" w:space="0" w:color="auto"/>
            </w:tcBorders>
            <w:shd w:val="clear" w:color="auto" w:fill="C0C0C0"/>
          </w:tcPr>
          <w:p w:rsidR="006F7AD6" w:rsidRPr="0067355D" w:rsidP="00886011" w14:paraId="1F2C313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15</w:t>
            </w:r>
          </w:p>
        </w:tc>
        <w:tc>
          <w:tcPr>
            <w:tcW w:w="1170" w:type="dxa"/>
            <w:tcBorders>
              <w:top w:val="single" w:sz="8" w:space="0" w:color="auto"/>
              <w:left w:val="single" w:sz="8" w:space="0" w:color="auto"/>
              <w:bottom w:val="single" w:sz="8" w:space="0" w:color="auto"/>
              <w:right w:val="double" w:sz="4" w:space="0" w:color="auto"/>
            </w:tcBorders>
            <w:shd w:val="clear" w:color="auto" w:fill="C0C0C0"/>
          </w:tcPr>
          <w:p w:rsidR="006F7AD6" w:rsidRPr="0067355D" w:rsidP="00886011" w14:paraId="7D68229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1,0</w:t>
            </w:r>
            <w:r>
              <w:rPr>
                <w:szCs w:val="22"/>
              </w:rPr>
              <w:t>65</w:t>
            </w:r>
            <w:r w:rsidRPr="0067355D">
              <w:rPr>
                <w:szCs w:val="22"/>
              </w:rPr>
              <w:t>,</w:t>
            </w:r>
            <w:r>
              <w:rPr>
                <w:szCs w:val="22"/>
              </w:rPr>
              <w:t>0</w:t>
            </w:r>
            <w:r w:rsidRPr="0067355D">
              <w:rPr>
                <w:szCs w:val="22"/>
              </w:rPr>
              <w:t>00</w:t>
            </w:r>
          </w:p>
        </w:tc>
      </w:tr>
      <w:tr w14:paraId="216116A6" w14:textId="77777777" w:rsidTr="00886011">
        <w:tblPrEx>
          <w:tblW w:w="10350" w:type="dxa"/>
          <w:tblInd w:w="-563" w:type="dxa"/>
          <w:tblLayout w:type="fixed"/>
          <w:tblCellMar>
            <w:left w:w="30" w:type="dxa"/>
            <w:right w:w="30" w:type="dxa"/>
          </w:tblCellMar>
          <w:tblLook w:val="0000"/>
        </w:tblPrEx>
        <w:tc>
          <w:tcPr>
            <w:tcW w:w="2520" w:type="dxa"/>
            <w:tcBorders>
              <w:top w:val="single" w:sz="8" w:space="0" w:color="auto"/>
              <w:left w:val="double" w:sz="4" w:space="0" w:color="auto"/>
              <w:bottom w:val="single" w:sz="8" w:space="0" w:color="auto"/>
              <w:right w:val="single" w:sz="8" w:space="0" w:color="auto"/>
            </w:tcBorders>
            <w:shd w:val="clear" w:color="auto" w:fill="C0C0C0"/>
          </w:tcPr>
          <w:p w:rsidR="006F7AD6" w:rsidRPr="0067355D" w:rsidP="00886011" w14:paraId="07DD1B5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67355D">
              <w:rPr>
                <w:szCs w:val="22"/>
              </w:rPr>
              <w:t>Aviation (Aircraft)</w:t>
            </w:r>
          </w:p>
        </w:tc>
        <w:tc>
          <w:tcPr>
            <w:tcW w:w="1620" w:type="dxa"/>
            <w:tcBorders>
              <w:top w:val="single" w:sz="8" w:space="0" w:color="auto"/>
              <w:left w:val="single" w:sz="8" w:space="0" w:color="auto"/>
              <w:bottom w:val="single" w:sz="8" w:space="0" w:color="auto"/>
              <w:right w:val="single" w:sz="8" w:space="0" w:color="auto"/>
            </w:tcBorders>
            <w:shd w:val="clear" w:color="auto" w:fill="C0C0C0"/>
          </w:tcPr>
          <w:p w:rsidR="006F7AD6" w:rsidRPr="0067355D" w:rsidP="00886011" w14:paraId="486D75D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4,</w:t>
            </w:r>
            <w:r>
              <w:rPr>
                <w:szCs w:val="22"/>
              </w:rPr>
              <w:t>5</w:t>
            </w:r>
            <w:r w:rsidRPr="0067355D">
              <w:rPr>
                <w:szCs w:val="22"/>
              </w:rPr>
              <w:t xml:space="preserve">00 </w:t>
            </w:r>
          </w:p>
        </w:tc>
        <w:tc>
          <w:tcPr>
            <w:tcW w:w="450" w:type="dxa"/>
            <w:tcBorders>
              <w:top w:val="single" w:sz="8" w:space="0" w:color="auto"/>
              <w:left w:val="single" w:sz="8" w:space="0" w:color="auto"/>
              <w:bottom w:val="single" w:sz="8" w:space="0" w:color="auto"/>
              <w:right w:val="single" w:sz="8" w:space="0" w:color="auto"/>
            </w:tcBorders>
            <w:shd w:val="clear" w:color="auto" w:fill="C0C0C0"/>
          </w:tcPr>
          <w:p w:rsidR="006F7AD6" w:rsidRPr="0067355D" w:rsidP="00886011" w14:paraId="2A4FD37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67355D">
              <w:rPr>
                <w:szCs w:val="22"/>
              </w:rPr>
              <w:t xml:space="preserve">10 </w:t>
            </w:r>
          </w:p>
        </w:tc>
        <w:tc>
          <w:tcPr>
            <w:tcW w:w="1260" w:type="dxa"/>
            <w:tcBorders>
              <w:top w:val="single" w:sz="8" w:space="0" w:color="auto"/>
              <w:left w:val="single" w:sz="8" w:space="0" w:color="auto"/>
              <w:bottom w:val="single" w:sz="8" w:space="0" w:color="auto"/>
              <w:right w:val="single" w:sz="8" w:space="0" w:color="auto"/>
            </w:tcBorders>
            <w:shd w:val="clear" w:color="auto" w:fill="C0C0C0"/>
          </w:tcPr>
          <w:p w:rsidR="006F7AD6" w:rsidRPr="0067355D" w:rsidP="00886011" w14:paraId="5371365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4</w:t>
            </w:r>
            <w:r>
              <w:rPr>
                <w:szCs w:val="22"/>
              </w:rPr>
              <w:t>0</w:t>
            </w:r>
            <w:r w:rsidRPr="0067355D">
              <w:rPr>
                <w:szCs w:val="22"/>
              </w:rPr>
              <w:t>0,000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6F7AD6" w:rsidRPr="0067355D" w:rsidP="00886011" w14:paraId="393E1F2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4</w:t>
            </w:r>
            <w:r>
              <w:rPr>
                <w:szCs w:val="22"/>
              </w:rPr>
              <w:t>50</w:t>
            </w:r>
            <w:r w:rsidRPr="0067355D">
              <w:rPr>
                <w:szCs w:val="22"/>
              </w:rPr>
              <w:t>,</w:t>
            </w:r>
            <w:r>
              <w:rPr>
                <w:szCs w:val="22"/>
              </w:rPr>
              <w:t>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6F7AD6" w:rsidRPr="0067355D" w:rsidP="00886011" w14:paraId="1F3D6DC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10</w:t>
            </w:r>
            <w:r>
              <w:rPr>
                <w:szCs w:val="22"/>
              </w:rPr>
              <w:t>.00</w:t>
            </w:r>
          </w:p>
        </w:tc>
        <w:tc>
          <w:tcPr>
            <w:tcW w:w="990" w:type="dxa"/>
            <w:tcBorders>
              <w:top w:val="single" w:sz="8" w:space="0" w:color="auto"/>
              <w:left w:val="single" w:sz="8" w:space="0" w:color="auto"/>
              <w:bottom w:val="single" w:sz="8" w:space="0" w:color="auto"/>
              <w:right w:val="single" w:sz="8" w:space="0" w:color="auto"/>
            </w:tcBorders>
            <w:shd w:val="clear" w:color="auto" w:fill="C0C0C0"/>
          </w:tcPr>
          <w:p w:rsidR="006F7AD6" w:rsidRPr="0067355D" w:rsidP="00886011" w14:paraId="12A8A8D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10</w:t>
            </w:r>
          </w:p>
        </w:tc>
        <w:tc>
          <w:tcPr>
            <w:tcW w:w="1170" w:type="dxa"/>
            <w:tcBorders>
              <w:top w:val="single" w:sz="8" w:space="0" w:color="auto"/>
              <w:left w:val="single" w:sz="8" w:space="0" w:color="auto"/>
              <w:bottom w:val="single" w:sz="8" w:space="0" w:color="auto"/>
              <w:right w:val="double" w:sz="4" w:space="0" w:color="auto"/>
            </w:tcBorders>
            <w:shd w:val="clear" w:color="auto" w:fill="C0C0C0"/>
          </w:tcPr>
          <w:p w:rsidR="006F7AD6" w:rsidRPr="0067355D" w:rsidP="00886011" w14:paraId="6B61C8C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4</w:t>
            </w:r>
            <w:r>
              <w:rPr>
                <w:szCs w:val="22"/>
              </w:rPr>
              <w:t>5</w:t>
            </w:r>
            <w:r w:rsidRPr="0067355D">
              <w:rPr>
                <w:szCs w:val="22"/>
              </w:rPr>
              <w:t>0,000</w:t>
            </w:r>
          </w:p>
        </w:tc>
      </w:tr>
      <w:tr w14:paraId="2E54013E" w14:textId="77777777" w:rsidTr="00886011">
        <w:tblPrEx>
          <w:tblW w:w="10350" w:type="dxa"/>
          <w:tblInd w:w="-563" w:type="dxa"/>
          <w:tblLayout w:type="fixed"/>
          <w:tblCellMar>
            <w:left w:w="30" w:type="dxa"/>
            <w:right w:w="30" w:type="dxa"/>
          </w:tblCellMar>
          <w:tblLook w:val="0000"/>
        </w:tblPrEx>
        <w:tc>
          <w:tcPr>
            <w:tcW w:w="2520" w:type="dxa"/>
            <w:tcBorders>
              <w:top w:val="single" w:sz="8" w:space="0" w:color="auto"/>
              <w:left w:val="double" w:sz="4" w:space="0" w:color="auto"/>
              <w:bottom w:val="single" w:sz="8" w:space="0" w:color="auto"/>
              <w:right w:val="single" w:sz="8" w:space="0" w:color="auto"/>
            </w:tcBorders>
            <w:shd w:val="clear" w:color="auto" w:fill="C0C0C0"/>
          </w:tcPr>
          <w:p w:rsidR="006F7AD6" w:rsidRPr="0067355D" w:rsidP="00886011" w14:paraId="24AE9E5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67355D">
              <w:rPr>
                <w:szCs w:val="22"/>
              </w:rPr>
              <w:t>Marine (Coast)</w:t>
            </w:r>
          </w:p>
        </w:tc>
        <w:tc>
          <w:tcPr>
            <w:tcW w:w="1620" w:type="dxa"/>
            <w:tcBorders>
              <w:top w:val="single" w:sz="8" w:space="0" w:color="auto"/>
              <w:left w:val="single" w:sz="8" w:space="0" w:color="auto"/>
              <w:bottom w:val="single" w:sz="8" w:space="0" w:color="auto"/>
              <w:right w:val="single" w:sz="8" w:space="0" w:color="auto"/>
            </w:tcBorders>
            <w:shd w:val="clear" w:color="auto" w:fill="C0C0C0"/>
          </w:tcPr>
          <w:p w:rsidR="006F7AD6" w:rsidRPr="0067355D" w:rsidP="00886011" w14:paraId="59FE619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60</w:t>
            </w:r>
            <w:r w:rsidRPr="0067355D">
              <w:rPr>
                <w:szCs w:val="22"/>
              </w:rPr>
              <w:t xml:space="preserve"> </w:t>
            </w:r>
          </w:p>
        </w:tc>
        <w:tc>
          <w:tcPr>
            <w:tcW w:w="450" w:type="dxa"/>
            <w:tcBorders>
              <w:top w:val="single" w:sz="8" w:space="0" w:color="auto"/>
              <w:left w:val="single" w:sz="8" w:space="0" w:color="auto"/>
              <w:bottom w:val="single" w:sz="8" w:space="0" w:color="auto"/>
              <w:right w:val="single" w:sz="8" w:space="0" w:color="auto"/>
            </w:tcBorders>
            <w:shd w:val="clear" w:color="auto" w:fill="C0C0C0"/>
          </w:tcPr>
          <w:p w:rsidR="006F7AD6" w:rsidRPr="0067355D" w:rsidP="00886011" w14:paraId="0EF3288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67355D">
              <w:rPr>
                <w:szCs w:val="22"/>
              </w:rPr>
              <w:t xml:space="preserve">10 </w:t>
            </w:r>
          </w:p>
        </w:tc>
        <w:tc>
          <w:tcPr>
            <w:tcW w:w="1260" w:type="dxa"/>
            <w:tcBorders>
              <w:top w:val="single" w:sz="8" w:space="0" w:color="auto"/>
              <w:left w:val="single" w:sz="8" w:space="0" w:color="auto"/>
              <w:bottom w:val="single" w:sz="8" w:space="0" w:color="auto"/>
              <w:right w:val="single" w:sz="8" w:space="0" w:color="auto"/>
            </w:tcBorders>
            <w:shd w:val="clear" w:color="auto" w:fill="C0C0C0"/>
          </w:tcPr>
          <w:p w:rsidR="006F7AD6" w:rsidRPr="0067355D" w:rsidP="00886011" w14:paraId="2166F69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3</w:t>
            </w:r>
            <w:r w:rsidRPr="0067355D">
              <w:rPr>
                <w:szCs w:val="22"/>
              </w:rPr>
              <w:t>0,000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6F7AD6" w:rsidRPr="0067355D" w:rsidP="00886011" w14:paraId="060E20F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24</w:t>
            </w:r>
            <w:r w:rsidRPr="0067355D">
              <w:rPr>
                <w:szCs w:val="22"/>
              </w:rPr>
              <w:t>,</w:t>
            </w:r>
            <w:r>
              <w:rPr>
                <w:szCs w:val="22"/>
              </w:rPr>
              <w:t>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6F7AD6" w:rsidRPr="0067355D" w:rsidP="00886011" w14:paraId="6713B37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40</w:t>
            </w:r>
            <w:r>
              <w:rPr>
                <w:szCs w:val="22"/>
              </w:rPr>
              <w:t>.00</w:t>
            </w:r>
          </w:p>
        </w:tc>
        <w:tc>
          <w:tcPr>
            <w:tcW w:w="990" w:type="dxa"/>
            <w:tcBorders>
              <w:top w:val="single" w:sz="8" w:space="0" w:color="auto"/>
              <w:left w:val="single" w:sz="8" w:space="0" w:color="auto"/>
              <w:bottom w:val="single" w:sz="8" w:space="0" w:color="auto"/>
              <w:right w:val="single" w:sz="8" w:space="0" w:color="auto"/>
            </w:tcBorders>
            <w:shd w:val="clear" w:color="auto" w:fill="C0C0C0"/>
          </w:tcPr>
          <w:p w:rsidR="006F7AD6" w:rsidRPr="0067355D" w:rsidP="00886011" w14:paraId="79D7DEB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40</w:t>
            </w:r>
          </w:p>
        </w:tc>
        <w:tc>
          <w:tcPr>
            <w:tcW w:w="1170" w:type="dxa"/>
            <w:tcBorders>
              <w:top w:val="single" w:sz="8" w:space="0" w:color="auto"/>
              <w:left w:val="single" w:sz="8" w:space="0" w:color="auto"/>
              <w:bottom w:val="single" w:sz="8" w:space="0" w:color="auto"/>
              <w:right w:val="double" w:sz="4" w:space="0" w:color="auto"/>
            </w:tcBorders>
            <w:shd w:val="clear" w:color="auto" w:fill="C0C0C0"/>
          </w:tcPr>
          <w:p w:rsidR="006F7AD6" w:rsidRPr="0067355D" w:rsidP="00886011" w14:paraId="698855E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24</w:t>
            </w:r>
            <w:r w:rsidRPr="0067355D">
              <w:rPr>
                <w:szCs w:val="22"/>
              </w:rPr>
              <w:t>,000</w:t>
            </w:r>
          </w:p>
        </w:tc>
      </w:tr>
      <w:tr w14:paraId="49485A03" w14:textId="77777777" w:rsidTr="00886011">
        <w:tblPrEx>
          <w:tblW w:w="10350" w:type="dxa"/>
          <w:tblInd w:w="-563" w:type="dxa"/>
          <w:tblLayout w:type="fixed"/>
          <w:tblCellMar>
            <w:left w:w="30" w:type="dxa"/>
            <w:right w:w="30" w:type="dxa"/>
          </w:tblCellMar>
          <w:tblLook w:val="0000"/>
        </w:tblPrEx>
        <w:tc>
          <w:tcPr>
            <w:tcW w:w="2520" w:type="dxa"/>
            <w:tcBorders>
              <w:top w:val="single" w:sz="8" w:space="0" w:color="auto"/>
              <w:left w:val="double" w:sz="4" w:space="0" w:color="auto"/>
              <w:bottom w:val="single" w:sz="8" w:space="0" w:color="auto"/>
              <w:right w:val="single" w:sz="8" w:space="0" w:color="auto"/>
            </w:tcBorders>
            <w:shd w:val="clear" w:color="auto" w:fill="C0C0C0"/>
          </w:tcPr>
          <w:p w:rsidR="006F7AD6" w:rsidRPr="0067355D" w:rsidP="00886011" w14:paraId="67C0733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67355D">
              <w:rPr>
                <w:szCs w:val="22"/>
              </w:rPr>
              <w:t>Aviation (Ground)</w:t>
            </w:r>
          </w:p>
        </w:tc>
        <w:tc>
          <w:tcPr>
            <w:tcW w:w="1620" w:type="dxa"/>
            <w:tcBorders>
              <w:top w:val="single" w:sz="8" w:space="0" w:color="auto"/>
              <w:left w:val="single" w:sz="8" w:space="0" w:color="auto"/>
              <w:bottom w:val="single" w:sz="8" w:space="0" w:color="auto"/>
              <w:right w:val="single" w:sz="8" w:space="0" w:color="auto"/>
            </w:tcBorders>
            <w:shd w:val="clear" w:color="auto" w:fill="C0C0C0"/>
          </w:tcPr>
          <w:p w:rsidR="006F7AD6" w:rsidRPr="0067355D" w:rsidP="00886011" w14:paraId="5D1056E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w:t>
            </w:r>
            <w:r>
              <w:rPr>
                <w:szCs w:val="22"/>
              </w:rPr>
              <w:t>1</w:t>
            </w:r>
            <w:r w:rsidRPr="0067355D">
              <w:rPr>
                <w:szCs w:val="22"/>
              </w:rPr>
              <w:t xml:space="preserve">00 </w:t>
            </w:r>
          </w:p>
        </w:tc>
        <w:tc>
          <w:tcPr>
            <w:tcW w:w="450" w:type="dxa"/>
            <w:tcBorders>
              <w:top w:val="single" w:sz="8" w:space="0" w:color="auto"/>
              <w:left w:val="single" w:sz="8" w:space="0" w:color="auto"/>
              <w:bottom w:val="single" w:sz="8" w:space="0" w:color="auto"/>
              <w:right w:val="single" w:sz="8" w:space="0" w:color="auto"/>
            </w:tcBorders>
            <w:shd w:val="clear" w:color="auto" w:fill="C0C0C0"/>
          </w:tcPr>
          <w:p w:rsidR="006F7AD6" w:rsidRPr="0067355D" w:rsidP="00886011" w14:paraId="56E29A8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67355D">
              <w:rPr>
                <w:szCs w:val="22"/>
              </w:rPr>
              <w:t xml:space="preserve">10 </w:t>
            </w:r>
          </w:p>
        </w:tc>
        <w:tc>
          <w:tcPr>
            <w:tcW w:w="1260" w:type="dxa"/>
            <w:tcBorders>
              <w:top w:val="single" w:sz="8" w:space="0" w:color="auto"/>
              <w:left w:val="single" w:sz="8" w:space="0" w:color="auto"/>
              <w:bottom w:val="single" w:sz="8" w:space="0" w:color="auto"/>
              <w:right w:val="single" w:sz="8" w:space="0" w:color="auto"/>
            </w:tcBorders>
            <w:shd w:val="clear" w:color="auto" w:fill="C0C0C0"/>
          </w:tcPr>
          <w:p w:rsidR="006F7AD6" w:rsidRPr="0067355D" w:rsidP="00886011" w14:paraId="4E50341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2</w:t>
            </w:r>
            <w:r>
              <w:rPr>
                <w:szCs w:val="22"/>
              </w:rPr>
              <w:t>0</w:t>
            </w:r>
            <w:r w:rsidRPr="0067355D">
              <w:rPr>
                <w:szCs w:val="22"/>
              </w:rPr>
              <w:t>0,000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6F7AD6" w:rsidRPr="0067355D" w:rsidP="00886011" w14:paraId="75EB55E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2</w:t>
            </w:r>
            <w:r>
              <w:rPr>
                <w:szCs w:val="22"/>
              </w:rPr>
              <w:t>20</w:t>
            </w:r>
            <w:r w:rsidRPr="0067355D">
              <w:rPr>
                <w:szCs w:val="22"/>
              </w:rPr>
              <w:t>,000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6F7AD6" w:rsidRPr="0067355D" w:rsidP="00886011" w14:paraId="604A9EC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20</w:t>
            </w:r>
            <w:r>
              <w:rPr>
                <w:szCs w:val="22"/>
              </w:rPr>
              <w:t>.00</w:t>
            </w:r>
          </w:p>
        </w:tc>
        <w:tc>
          <w:tcPr>
            <w:tcW w:w="990" w:type="dxa"/>
            <w:tcBorders>
              <w:top w:val="single" w:sz="8" w:space="0" w:color="auto"/>
              <w:left w:val="single" w:sz="8" w:space="0" w:color="auto"/>
              <w:bottom w:val="single" w:sz="8" w:space="0" w:color="auto"/>
              <w:right w:val="single" w:sz="8" w:space="0" w:color="auto"/>
            </w:tcBorders>
            <w:shd w:val="clear" w:color="auto" w:fill="C0C0C0"/>
          </w:tcPr>
          <w:p w:rsidR="006F7AD6" w:rsidRPr="0067355D" w:rsidP="00886011" w14:paraId="29BA5D3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20</w:t>
            </w:r>
          </w:p>
        </w:tc>
        <w:tc>
          <w:tcPr>
            <w:tcW w:w="1170" w:type="dxa"/>
            <w:tcBorders>
              <w:top w:val="single" w:sz="8" w:space="0" w:color="auto"/>
              <w:left w:val="single" w:sz="8" w:space="0" w:color="auto"/>
              <w:bottom w:val="single" w:sz="8" w:space="0" w:color="auto"/>
              <w:right w:val="double" w:sz="4" w:space="0" w:color="auto"/>
            </w:tcBorders>
            <w:shd w:val="clear" w:color="auto" w:fill="C0C0C0"/>
          </w:tcPr>
          <w:p w:rsidR="006F7AD6" w:rsidRPr="0067355D" w:rsidP="00886011" w14:paraId="6D96B27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2</w:t>
            </w:r>
            <w:r>
              <w:rPr>
                <w:szCs w:val="22"/>
              </w:rPr>
              <w:t>2</w:t>
            </w:r>
            <w:r w:rsidRPr="0067355D">
              <w:rPr>
                <w:szCs w:val="22"/>
              </w:rPr>
              <w:t>0,000</w:t>
            </w:r>
          </w:p>
        </w:tc>
      </w:tr>
      <w:tr w14:paraId="66FB0646" w14:textId="77777777" w:rsidTr="00886011">
        <w:tblPrEx>
          <w:tblW w:w="10350" w:type="dxa"/>
          <w:tblInd w:w="-563" w:type="dxa"/>
          <w:tblLayout w:type="fixed"/>
          <w:tblCellMar>
            <w:left w:w="30" w:type="dxa"/>
            <w:right w:w="30" w:type="dxa"/>
          </w:tblCellMar>
          <w:tblLook w:val="0000"/>
        </w:tblPrEx>
        <w:tc>
          <w:tcPr>
            <w:tcW w:w="2520" w:type="dxa"/>
            <w:tcBorders>
              <w:top w:val="single" w:sz="8" w:space="0" w:color="auto"/>
              <w:left w:val="double" w:sz="6" w:space="0" w:color="auto"/>
            </w:tcBorders>
          </w:tcPr>
          <w:p w:rsidR="006F7AD6" w:rsidRPr="0067355D" w:rsidP="00886011" w14:paraId="77B2118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67355D">
              <w:rPr>
                <w:szCs w:val="22"/>
              </w:rPr>
              <w:t>AM Class A</w:t>
            </w:r>
            <w:r>
              <w:rPr>
                <w:szCs w:val="22"/>
                <w:vertAlign w:val="superscript"/>
              </w:rPr>
              <w:t>1</w:t>
            </w:r>
          </w:p>
        </w:tc>
        <w:tc>
          <w:tcPr>
            <w:tcW w:w="1620" w:type="dxa"/>
            <w:tcBorders>
              <w:top w:val="single" w:sz="8" w:space="0" w:color="auto"/>
              <w:left w:val="single" w:sz="6" w:space="0" w:color="auto"/>
            </w:tcBorders>
          </w:tcPr>
          <w:p w:rsidR="006F7AD6" w:rsidRPr="0067355D" w:rsidP="00886011" w14:paraId="0556A21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6</w:t>
            </w:r>
            <w:r>
              <w:rPr>
                <w:szCs w:val="22"/>
              </w:rPr>
              <w:t>1</w:t>
            </w:r>
          </w:p>
        </w:tc>
        <w:tc>
          <w:tcPr>
            <w:tcW w:w="450" w:type="dxa"/>
            <w:tcBorders>
              <w:top w:val="single" w:sz="8" w:space="0" w:color="auto"/>
              <w:left w:val="single" w:sz="6" w:space="0" w:color="auto"/>
            </w:tcBorders>
          </w:tcPr>
          <w:p w:rsidR="006F7AD6" w:rsidRPr="0067355D" w:rsidP="00886011" w14:paraId="679400C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67355D">
              <w:rPr>
                <w:szCs w:val="22"/>
              </w:rPr>
              <w:t>1</w:t>
            </w:r>
          </w:p>
        </w:tc>
        <w:tc>
          <w:tcPr>
            <w:tcW w:w="1260" w:type="dxa"/>
            <w:tcBorders>
              <w:top w:val="single" w:sz="8" w:space="0" w:color="auto"/>
              <w:left w:val="single" w:sz="6" w:space="0" w:color="auto"/>
            </w:tcBorders>
          </w:tcPr>
          <w:p w:rsidR="006F7AD6" w:rsidRPr="0067355D" w:rsidP="00886011" w14:paraId="33EE984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266,175</w:t>
            </w:r>
          </w:p>
        </w:tc>
        <w:tc>
          <w:tcPr>
            <w:tcW w:w="1170" w:type="dxa"/>
            <w:tcBorders>
              <w:top w:val="single" w:sz="8" w:space="0" w:color="auto"/>
              <w:left w:val="single" w:sz="6" w:space="0" w:color="auto"/>
            </w:tcBorders>
          </w:tcPr>
          <w:p w:rsidR="006F7AD6" w:rsidRPr="0067355D" w:rsidP="00886011" w14:paraId="6354A84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2</w:t>
            </w:r>
            <w:r>
              <w:rPr>
                <w:szCs w:val="22"/>
              </w:rPr>
              <w:t>85</w:t>
            </w:r>
            <w:r w:rsidRPr="0067355D">
              <w:rPr>
                <w:szCs w:val="22"/>
              </w:rPr>
              <w:t>,</w:t>
            </w:r>
            <w:r>
              <w:rPr>
                <w:szCs w:val="22"/>
              </w:rPr>
              <w:t>628</w:t>
            </w:r>
          </w:p>
        </w:tc>
        <w:tc>
          <w:tcPr>
            <w:tcW w:w="1170" w:type="dxa"/>
            <w:tcBorders>
              <w:top w:val="single" w:sz="8" w:space="0" w:color="auto"/>
              <w:left w:val="single" w:sz="6" w:space="0" w:color="auto"/>
              <w:right w:val="single" w:sz="6" w:space="0" w:color="auto"/>
            </w:tcBorders>
          </w:tcPr>
          <w:p w:rsidR="006F7AD6" w:rsidRPr="0067355D" w:rsidP="00886011" w14:paraId="41C9308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4,</w:t>
            </w:r>
            <w:r>
              <w:rPr>
                <w:szCs w:val="22"/>
              </w:rPr>
              <w:t>682</w:t>
            </w:r>
          </w:p>
        </w:tc>
        <w:tc>
          <w:tcPr>
            <w:tcW w:w="990" w:type="dxa"/>
            <w:tcBorders>
              <w:top w:val="single" w:sz="8" w:space="0" w:color="auto"/>
              <w:left w:val="single" w:sz="6" w:space="0" w:color="auto"/>
            </w:tcBorders>
          </w:tcPr>
          <w:p w:rsidR="006F7AD6" w:rsidRPr="0067355D" w:rsidP="00886011" w14:paraId="5E58228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4,</w:t>
            </w:r>
            <w:r>
              <w:rPr>
                <w:szCs w:val="22"/>
              </w:rPr>
              <w:t>675</w:t>
            </w:r>
          </w:p>
        </w:tc>
        <w:tc>
          <w:tcPr>
            <w:tcW w:w="1170" w:type="dxa"/>
            <w:tcBorders>
              <w:top w:val="single" w:sz="8" w:space="0" w:color="auto"/>
              <w:left w:val="single" w:sz="6" w:space="0" w:color="auto"/>
              <w:right w:val="double" w:sz="6" w:space="0" w:color="auto"/>
            </w:tcBorders>
          </w:tcPr>
          <w:p w:rsidR="006F7AD6" w:rsidRPr="0067355D" w:rsidP="00886011" w14:paraId="763193A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2</w:t>
            </w:r>
            <w:r>
              <w:rPr>
                <w:szCs w:val="22"/>
              </w:rPr>
              <w:t>85</w:t>
            </w:r>
            <w:r w:rsidRPr="0067355D">
              <w:rPr>
                <w:szCs w:val="22"/>
              </w:rPr>
              <w:t>,</w:t>
            </w:r>
            <w:r>
              <w:rPr>
                <w:szCs w:val="22"/>
              </w:rPr>
              <w:t>175</w:t>
            </w:r>
          </w:p>
        </w:tc>
      </w:tr>
      <w:tr w14:paraId="6F32E758" w14:textId="77777777" w:rsidTr="00886011">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6F7AD6" w:rsidRPr="0067355D" w:rsidP="00886011" w14:paraId="472C8EB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67355D">
              <w:rPr>
                <w:szCs w:val="22"/>
              </w:rPr>
              <w:t>AM Class B</w:t>
            </w:r>
            <w:r>
              <w:rPr>
                <w:szCs w:val="22"/>
                <w:vertAlign w:val="superscript"/>
              </w:rPr>
              <w:t>1</w:t>
            </w:r>
          </w:p>
        </w:tc>
        <w:tc>
          <w:tcPr>
            <w:tcW w:w="1620" w:type="dxa"/>
            <w:tcBorders>
              <w:top w:val="single" w:sz="6" w:space="0" w:color="auto"/>
              <w:left w:val="single" w:sz="6" w:space="0" w:color="auto"/>
            </w:tcBorders>
          </w:tcPr>
          <w:p w:rsidR="006F7AD6" w:rsidRPr="0067355D" w:rsidP="00886011" w14:paraId="136BA97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w:t>
            </w:r>
            <w:r>
              <w:rPr>
                <w:szCs w:val="22"/>
              </w:rPr>
              <w:t>389</w:t>
            </w:r>
          </w:p>
        </w:tc>
        <w:tc>
          <w:tcPr>
            <w:tcW w:w="450" w:type="dxa"/>
            <w:tcBorders>
              <w:top w:val="single" w:sz="6" w:space="0" w:color="auto"/>
              <w:left w:val="single" w:sz="6" w:space="0" w:color="auto"/>
            </w:tcBorders>
          </w:tcPr>
          <w:p w:rsidR="006F7AD6" w:rsidRPr="0067355D" w:rsidP="00886011" w14:paraId="24503F4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67355D">
              <w:rPr>
                <w:szCs w:val="22"/>
              </w:rPr>
              <w:t>1</w:t>
            </w:r>
          </w:p>
        </w:tc>
        <w:tc>
          <w:tcPr>
            <w:tcW w:w="1260" w:type="dxa"/>
            <w:tcBorders>
              <w:top w:val="single" w:sz="6" w:space="0" w:color="auto"/>
              <w:left w:val="single" w:sz="6" w:space="0" w:color="auto"/>
            </w:tcBorders>
          </w:tcPr>
          <w:p w:rsidR="006F7AD6" w:rsidRPr="0067355D" w:rsidP="00886011" w14:paraId="3598377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3,</w:t>
            </w:r>
            <w:r>
              <w:rPr>
                <w:szCs w:val="22"/>
              </w:rPr>
              <w:t>274,450</w:t>
            </w:r>
          </w:p>
        </w:tc>
        <w:tc>
          <w:tcPr>
            <w:tcW w:w="1170" w:type="dxa"/>
            <w:tcBorders>
              <w:top w:val="single" w:sz="6" w:space="0" w:color="auto"/>
              <w:left w:val="single" w:sz="6" w:space="0" w:color="auto"/>
            </w:tcBorders>
          </w:tcPr>
          <w:p w:rsidR="006F7AD6" w:rsidRPr="0067355D" w:rsidP="00886011" w14:paraId="2B95DF8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3,</w:t>
            </w:r>
            <w:r>
              <w:rPr>
                <w:szCs w:val="22"/>
              </w:rPr>
              <w:t>543</w:t>
            </w:r>
            <w:r w:rsidRPr="0067355D">
              <w:rPr>
                <w:szCs w:val="22"/>
              </w:rPr>
              <w:t>,</w:t>
            </w:r>
            <w:r>
              <w:rPr>
                <w:szCs w:val="22"/>
              </w:rPr>
              <w:t>984</w:t>
            </w:r>
          </w:p>
        </w:tc>
        <w:tc>
          <w:tcPr>
            <w:tcW w:w="1170" w:type="dxa"/>
            <w:tcBorders>
              <w:top w:val="single" w:sz="6" w:space="0" w:color="auto"/>
              <w:left w:val="single" w:sz="6" w:space="0" w:color="auto"/>
              <w:right w:val="single" w:sz="6" w:space="0" w:color="auto"/>
            </w:tcBorders>
          </w:tcPr>
          <w:p w:rsidR="006F7AD6" w:rsidRPr="0067355D" w:rsidP="00886011" w14:paraId="2FACF01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2,</w:t>
            </w:r>
            <w:r>
              <w:rPr>
                <w:szCs w:val="22"/>
              </w:rPr>
              <w:t>551</w:t>
            </w:r>
          </w:p>
        </w:tc>
        <w:tc>
          <w:tcPr>
            <w:tcW w:w="990" w:type="dxa"/>
            <w:tcBorders>
              <w:top w:val="single" w:sz="6" w:space="0" w:color="auto"/>
              <w:left w:val="single" w:sz="6" w:space="0" w:color="auto"/>
            </w:tcBorders>
          </w:tcPr>
          <w:p w:rsidR="006F7AD6" w:rsidRPr="0067355D" w:rsidP="00886011" w14:paraId="1883AF7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2,</w:t>
            </w:r>
            <w:r>
              <w:rPr>
                <w:szCs w:val="22"/>
              </w:rPr>
              <w:t>550</w:t>
            </w:r>
          </w:p>
        </w:tc>
        <w:tc>
          <w:tcPr>
            <w:tcW w:w="1170" w:type="dxa"/>
            <w:tcBorders>
              <w:top w:val="single" w:sz="6" w:space="0" w:color="auto"/>
              <w:left w:val="single" w:sz="6" w:space="0" w:color="auto"/>
              <w:right w:val="double" w:sz="6" w:space="0" w:color="auto"/>
            </w:tcBorders>
          </w:tcPr>
          <w:p w:rsidR="006F7AD6" w:rsidRPr="0067355D" w:rsidP="00886011" w14:paraId="0EEE836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3,</w:t>
            </w:r>
            <w:r>
              <w:rPr>
                <w:szCs w:val="22"/>
              </w:rPr>
              <w:t>541,950</w:t>
            </w:r>
          </w:p>
        </w:tc>
      </w:tr>
      <w:tr w14:paraId="7BB4A196" w14:textId="77777777" w:rsidTr="00886011">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6F7AD6" w:rsidRPr="0067355D" w:rsidP="00886011" w14:paraId="0EE2034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67355D">
              <w:rPr>
                <w:szCs w:val="22"/>
              </w:rPr>
              <w:t>AM Class C</w:t>
            </w:r>
            <w:r>
              <w:rPr>
                <w:szCs w:val="22"/>
                <w:vertAlign w:val="superscript"/>
              </w:rPr>
              <w:t>1</w:t>
            </w:r>
          </w:p>
        </w:tc>
        <w:tc>
          <w:tcPr>
            <w:tcW w:w="1620" w:type="dxa"/>
            <w:tcBorders>
              <w:top w:val="single" w:sz="6" w:space="0" w:color="auto"/>
              <w:left w:val="single" w:sz="6" w:space="0" w:color="auto"/>
            </w:tcBorders>
          </w:tcPr>
          <w:p w:rsidR="006F7AD6" w:rsidRPr="0067355D" w:rsidP="00886011" w14:paraId="0FA441E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773</w:t>
            </w:r>
          </w:p>
        </w:tc>
        <w:tc>
          <w:tcPr>
            <w:tcW w:w="450" w:type="dxa"/>
            <w:tcBorders>
              <w:top w:val="single" w:sz="6" w:space="0" w:color="auto"/>
              <w:left w:val="single" w:sz="6" w:space="0" w:color="auto"/>
            </w:tcBorders>
          </w:tcPr>
          <w:p w:rsidR="006F7AD6" w:rsidRPr="0067355D" w:rsidP="00886011" w14:paraId="2B816B4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67355D">
              <w:rPr>
                <w:szCs w:val="22"/>
              </w:rPr>
              <w:t>1</w:t>
            </w:r>
          </w:p>
        </w:tc>
        <w:tc>
          <w:tcPr>
            <w:tcW w:w="1260" w:type="dxa"/>
            <w:tcBorders>
              <w:top w:val="single" w:sz="6" w:space="0" w:color="auto"/>
              <w:left w:val="single" w:sz="6" w:space="0" w:color="auto"/>
            </w:tcBorders>
          </w:tcPr>
          <w:p w:rsidR="006F7AD6" w:rsidRPr="0067355D" w:rsidP="00886011" w14:paraId="1EFE32C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w:t>
            </w:r>
            <w:r>
              <w:rPr>
                <w:szCs w:val="22"/>
              </w:rPr>
              <w:t>177,200</w:t>
            </w:r>
          </w:p>
        </w:tc>
        <w:tc>
          <w:tcPr>
            <w:tcW w:w="1170" w:type="dxa"/>
            <w:tcBorders>
              <w:top w:val="single" w:sz="6" w:space="0" w:color="auto"/>
              <w:left w:val="single" w:sz="6" w:space="0" w:color="auto"/>
            </w:tcBorders>
          </w:tcPr>
          <w:p w:rsidR="006F7AD6" w:rsidRPr="0067355D" w:rsidP="00886011" w14:paraId="18EED2E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w:t>
            </w:r>
            <w:r>
              <w:rPr>
                <w:szCs w:val="22"/>
              </w:rPr>
              <w:t>268</w:t>
            </w:r>
            <w:r w:rsidRPr="0067355D">
              <w:rPr>
                <w:szCs w:val="22"/>
              </w:rPr>
              <w:t>,</w:t>
            </w:r>
            <w:r>
              <w:rPr>
                <w:szCs w:val="22"/>
              </w:rPr>
              <w:t>909</w:t>
            </w:r>
          </w:p>
        </w:tc>
        <w:tc>
          <w:tcPr>
            <w:tcW w:w="1170" w:type="dxa"/>
            <w:tcBorders>
              <w:top w:val="single" w:sz="6" w:space="0" w:color="auto"/>
              <w:left w:val="single" w:sz="6" w:space="0" w:color="auto"/>
              <w:right w:val="single" w:sz="6" w:space="0" w:color="auto"/>
            </w:tcBorders>
          </w:tcPr>
          <w:p w:rsidR="006F7AD6" w:rsidRPr="0067355D" w:rsidP="00886011" w14:paraId="1D1E0D9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w:t>
            </w:r>
            <w:r>
              <w:rPr>
                <w:szCs w:val="22"/>
              </w:rPr>
              <w:t>642</w:t>
            </w:r>
          </w:p>
        </w:tc>
        <w:tc>
          <w:tcPr>
            <w:tcW w:w="990" w:type="dxa"/>
            <w:tcBorders>
              <w:top w:val="single" w:sz="6" w:space="0" w:color="auto"/>
              <w:left w:val="single" w:sz="6" w:space="0" w:color="auto"/>
            </w:tcBorders>
          </w:tcPr>
          <w:p w:rsidR="006F7AD6" w:rsidRPr="0067355D" w:rsidP="00886011" w14:paraId="24FBFE4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w:t>
            </w:r>
            <w:r>
              <w:rPr>
                <w:szCs w:val="22"/>
              </w:rPr>
              <w:t>650</w:t>
            </w:r>
          </w:p>
        </w:tc>
        <w:tc>
          <w:tcPr>
            <w:tcW w:w="1170" w:type="dxa"/>
            <w:tcBorders>
              <w:top w:val="single" w:sz="6" w:space="0" w:color="auto"/>
              <w:left w:val="single" w:sz="6" w:space="0" w:color="auto"/>
              <w:right w:val="double" w:sz="6" w:space="0" w:color="auto"/>
            </w:tcBorders>
          </w:tcPr>
          <w:p w:rsidR="006F7AD6" w:rsidRPr="0067355D" w:rsidP="00886011" w14:paraId="7256818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w:t>
            </w:r>
            <w:r>
              <w:rPr>
                <w:szCs w:val="22"/>
              </w:rPr>
              <w:t>275</w:t>
            </w:r>
            <w:r w:rsidRPr="0067355D">
              <w:rPr>
                <w:szCs w:val="22"/>
              </w:rPr>
              <w:t>,</w:t>
            </w:r>
            <w:r>
              <w:rPr>
                <w:szCs w:val="22"/>
              </w:rPr>
              <w:t>450</w:t>
            </w:r>
          </w:p>
        </w:tc>
      </w:tr>
      <w:tr w14:paraId="0A856AEB" w14:textId="77777777" w:rsidTr="00886011">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6F7AD6" w:rsidRPr="0067355D" w:rsidP="00886011" w14:paraId="5BA7ED8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67355D">
              <w:rPr>
                <w:szCs w:val="22"/>
              </w:rPr>
              <w:t>AM Class D</w:t>
            </w:r>
            <w:r>
              <w:rPr>
                <w:szCs w:val="22"/>
                <w:vertAlign w:val="superscript"/>
              </w:rPr>
              <w:t>1</w:t>
            </w:r>
          </w:p>
        </w:tc>
        <w:tc>
          <w:tcPr>
            <w:tcW w:w="1620" w:type="dxa"/>
            <w:tcBorders>
              <w:top w:val="single" w:sz="6" w:space="0" w:color="auto"/>
              <w:left w:val="single" w:sz="6" w:space="0" w:color="auto"/>
            </w:tcBorders>
          </w:tcPr>
          <w:p w:rsidR="006F7AD6" w:rsidRPr="0067355D" w:rsidP="00886011" w14:paraId="544F4B0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w:t>
            </w:r>
            <w:r>
              <w:rPr>
                <w:szCs w:val="22"/>
              </w:rPr>
              <w:t>256</w:t>
            </w:r>
          </w:p>
        </w:tc>
        <w:tc>
          <w:tcPr>
            <w:tcW w:w="450" w:type="dxa"/>
            <w:tcBorders>
              <w:top w:val="single" w:sz="6" w:space="0" w:color="auto"/>
              <w:left w:val="single" w:sz="6" w:space="0" w:color="auto"/>
            </w:tcBorders>
          </w:tcPr>
          <w:p w:rsidR="006F7AD6" w:rsidRPr="0067355D" w:rsidP="00886011" w14:paraId="00FD106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67355D">
              <w:rPr>
                <w:szCs w:val="22"/>
              </w:rPr>
              <w:t>1</w:t>
            </w:r>
          </w:p>
        </w:tc>
        <w:tc>
          <w:tcPr>
            <w:tcW w:w="1260" w:type="dxa"/>
            <w:tcBorders>
              <w:top w:val="single" w:sz="6" w:space="0" w:color="auto"/>
              <w:left w:val="single" w:sz="6" w:space="0" w:color="auto"/>
            </w:tcBorders>
          </w:tcPr>
          <w:p w:rsidR="006F7AD6" w:rsidRPr="0067355D" w:rsidP="00886011" w14:paraId="0769F06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3,907,800</w:t>
            </w:r>
          </w:p>
        </w:tc>
        <w:tc>
          <w:tcPr>
            <w:tcW w:w="1170" w:type="dxa"/>
            <w:tcBorders>
              <w:top w:val="single" w:sz="6" w:space="0" w:color="auto"/>
              <w:left w:val="single" w:sz="6" w:space="0" w:color="auto"/>
            </w:tcBorders>
          </w:tcPr>
          <w:p w:rsidR="006F7AD6" w:rsidRPr="0067355D" w:rsidP="00886011" w14:paraId="06380B0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4</w:t>
            </w:r>
            <w:r w:rsidRPr="0067355D">
              <w:rPr>
                <w:szCs w:val="22"/>
              </w:rPr>
              <w:t>,</w:t>
            </w:r>
            <w:r>
              <w:rPr>
                <w:szCs w:val="22"/>
              </w:rPr>
              <w:t>192</w:t>
            </w:r>
            <w:r w:rsidRPr="0067355D">
              <w:rPr>
                <w:szCs w:val="22"/>
              </w:rPr>
              <w:t>,</w:t>
            </w:r>
            <w:r>
              <w:rPr>
                <w:szCs w:val="22"/>
              </w:rPr>
              <w:t>065</w:t>
            </w:r>
          </w:p>
        </w:tc>
        <w:tc>
          <w:tcPr>
            <w:tcW w:w="1170" w:type="dxa"/>
            <w:tcBorders>
              <w:top w:val="single" w:sz="6" w:space="0" w:color="auto"/>
              <w:left w:val="single" w:sz="6" w:space="0" w:color="auto"/>
              <w:right w:val="single" w:sz="6" w:space="0" w:color="auto"/>
            </w:tcBorders>
          </w:tcPr>
          <w:p w:rsidR="006F7AD6" w:rsidRPr="0067355D" w:rsidP="00886011" w14:paraId="2F0C546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3,338</w:t>
            </w:r>
          </w:p>
        </w:tc>
        <w:tc>
          <w:tcPr>
            <w:tcW w:w="990" w:type="dxa"/>
            <w:tcBorders>
              <w:top w:val="single" w:sz="6" w:space="0" w:color="auto"/>
              <w:left w:val="single" w:sz="6" w:space="0" w:color="auto"/>
            </w:tcBorders>
          </w:tcPr>
          <w:p w:rsidR="006F7AD6" w:rsidRPr="0067355D" w:rsidP="00886011" w14:paraId="070E42A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3,350</w:t>
            </w:r>
          </w:p>
        </w:tc>
        <w:tc>
          <w:tcPr>
            <w:tcW w:w="1170" w:type="dxa"/>
            <w:tcBorders>
              <w:top w:val="single" w:sz="6" w:space="0" w:color="auto"/>
              <w:left w:val="single" w:sz="6" w:space="0" w:color="auto"/>
              <w:right w:val="double" w:sz="6" w:space="0" w:color="auto"/>
            </w:tcBorders>
          </w:tcPr>
          <w:p w:rsidR="006F7AD6" w:rsidRPr="0067355D" w:rsidP="00886011" w14:paraId="4920CDD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4</w:t>
            </w:r>
            <w:r w:rsidRPr="0067355D">
              <w:rPr>
                <w:szCs w:val="22"/>
              </w:rPr>
              <w:t>,</w:t>
            </w:r>
            <w:r>
              <w:rPr>
                <w:szCs w:val="22"/>
              </w:rPr>
              <w:t>207</w:t>
            </w:r>
            <w:r w:rsidRPr="0067355D">
              <w:rPr>
                <w:szCs w:val="22"/>
              </w:rPr>
              <w:t>,</w:t>
            </w:r>
            <w:r>
              <w:rPr>
                <w:szCs w:val="22"/>
              </w:rPr>
              <w:t>6</w:t>
            </w:r>
            <w:r w:rsidRPr="0067355D">
              <w:rPr>
                <w:szCs w:val="22"/>
              </w:rPr>
              <w:t>00</w:t>
            </w:r>
          </w:p>
        </w:tc>
      </w:tr>
      <w:tr w14:paraId="0ECAFA85" w14:textId="77777777" w:rsidTr="00886011">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6F7AD6" w:rsidRPr="0067355D" w:rsidP="00886011" w14:paraId="3B635ED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lang w:val="pt-BR"/>
              </w:rPr>
            </w:pPr>
            <w:r w:rsidRPr="0067355D">
              <w:rPr>
                <w:szCs w:val="22"/>
                <w:lang w:val="pt-BR"/>
              </w:rPr>
              <w:t>FM Classes A, B1 &amp; C3</w:t>
            </w:r>
            <w:r>
              <w:rPr>
                <w:szCs w:val="22"/>
                <w:vertAlign w:val="superscript"/>
              </w:rPr>
              <w:t>1</w:t>
            </w:r>
          </w:p>
        </w:tc>
        <w:tc>
          <w:tcPr>
            <w:tcW w:w="1620" w:type="dxa"/>
            <w:tcBorders>
              <w:top w:val="single" w:sz="6" w:space="0" w:color="auto"/>
              <w:left w:val="single" w:sz="6" w:space="0" w:color="auto"/>
            </w:tcBorders>
          </w:tcPr>
          <w:p w:rsidR="006F7AD6" w:rsidRPr="0067355D" w:rsidP="00886011" w14:paraId="6E3A0AA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2,904</w:t>
            </w:r>
          </w:p>
        </w:tc>
        <w:tc>
          <w:tcPr>
            <w:tcW w:w="450" w:type="dxa"/>
            <w:tcBorders>
              <w:top w:val="single" w:sz="6" w:space="0" w:color="auto"/>
              <w:left w:val="single" w:sz="6" w:space="0" w:color="auto"/>
            </w:tcBorders>
          </w:tcPr>
          <w:p w:rsidR="006F7AD6" w:rsidRPr="0067355D" w:rsidP="00886011" w14:paraId="43B8DEB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67355D">
              <w:rPr>
                <w:szCs w:val="22"/>
              </w:rPr>
              <w:t>1</w:t>
            </w:r>
          </w:p>
        </w:tc>
        <w:tc>
          <w:tcPr>
            <w:tcW w:w="1260" w:type="dxa"/>
            <w:tcBorders>
              <w:top w:val="single" w:sz="6" w:space="0" w:color="auto"/>
              <w:left w:val="single" w:sz="6" w:space="0" w:color="auto"/>
            </w:tcBorders>
          </w:tcPr>
          <w:p w:rsidR="006F7AD6" w:rsidRPr="0067355D" w:rsidP="00886011" w14:paraId="26444E1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8,152,450</w:t>
            </w:r>
          </w:p>
        </w:tc>
        <w:tc>
          <w:tcPr>
            <w:tcW w:w="1170" w:type="dxa"/>
            <w:tcBorders>
              <w:top w:val="single" w:sz="6" w:space="0" w:color="auto"/>
              <w:left w:val="single" w:sz="6" w:space="0" w:color="auto"/>
            </w:tcBorders>
          </w:tcPr>
          <w:p w:rsidR="006F7AD6" w:rsidRPr="0067355D" w:rsidP="00886011" w14:paraId="2573E89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8</w:t>
            </w:r>
            <w:r w:rsidRPr="0067355D">
              <w:rPr>
                <w:szCs w:val="22"/>
              </w:rPr>
              <w:t>,</w:t>
            </w:r>
            <w:r>
              <w:rPr>
                <w:szCs w:val="22"/>
              </w:rPr>
              <w:t>809</w:t>
            </w:r>
            <w:r w:rsidRPr="0067355D">
              <w:rPr>
                <w:szCs w:val="22"/>
              </w:rPr>
              <w:t>,</w:t>
            </w:r>
            <w:r>
              <w:rPr>
                <w:szCs w:val="22"/>
              </w:rPr>
              <w:t>970</w:t>
            </w:r>
          </w:p>
        </w:tc>
        <w:tc>
          <w:tcPr>
            <w:tcW w:w="1170" w:type="dxa"/>
            <w:tcBorders>
              <w:top w:val="single" w:sz="6" w:space="0" w:color="auto"/>
              <w:left w:val="single" w:sz="6" w:space="0" w:color="auto"/>
              <w:right w:val="single" w:sz="6" w:space="0" w:color="auto"/>
            </w:tcBorders>
          </w:tcPr>
          <w:p w:rsidR="006F7AD6" w:rsidRPr="0067355D" w:rsidP="00886011" w14:paraId="6AAF0A2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3</w:t>
            </w:r>
            <w:r w:rsidRPr="0067355D">
              <w:rPr>
                <w:szCs w:val="22"/>
              </w:rPr>
              <w:t>,</w:t>
            </w:r>
            <w:r>
              <w:rPr>
                <w:szCs w:val="22"/>
              </w:rPr>
              <w:t>038</w:t>
            </w:r>
          </w:p>
        </w:tc>
        <w:tc>
          <w:tcPr>
            <w:tcW w:w="990" w:type="dxa"/>
            <w:tcBorders>
              <w:top w:val="single" w:sz="6" w:space="0" w:color="auto"/>
              <w:left w:val="single" w:sz="6" w:space="0" w:color="auto"/>
            </w:tcBorders>
          </w:tcPr>
          <w:p w:rsidR="006F7AD6" w:rsidRPr="0067355D" w:rsidP="00886011" w14:paraId="58263CF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3</w:t>
            </w:r>
            <w:r w:rsidRPr="0067355D">
              <w:rPr>
                <w:szCs w:val="22"/>
              </w:rPr>
              <w:t>,</w:t>
            </w:r>
            <w:r>
              <w:rPr>
                <w:szCs w:val="22"/>
              </w:rPr>
              <w:t>025</w:t>
            </w:r>
          </w:p>
        </w:tc>
        <w:tc>
          <w:tcPr>
            <w:tcW w:w="1170" w:type="dxa"/>
            <w:tcBorders>
              <w:top w:val="single" w:sz="6" w:space="0" w:color="auto"/>
              <w:left w:val="single" w:sz="6" w:space="0" w:color="auto"/>
              <w:right w:val="double" w:sz="6" w:space="0" w:color="auto"/>
            </w:tcBorders>
          </w:tcPr>
          <w:p w:rsidR="006F7AD6" w:rsidRPr="0067355D" w:rsidP="00886011" w14:paraId="4DFD705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8</w:t>
            </w:r>
            <w:r w:rsidRPr="0067355D">
              <w:rPr>
                <w:szCs w:val="22"/>
              </w:rPr>
              <w:t>,</w:t>
            </w:r>
            <w:r>
              <w:rPr>
                <w:szCs w:val="22"/>
              </w:rPr>
              <w:t>784</w:t>
            </w:r>
            <w:r w:rsidRPr="0067355D">
              <w:rPr>
                <w:szCs w:val="22"/>
              </w:rPr>
              <w:t>,</w:t>
            </w:r>
            <w:r>
              <w:rPr>
                <w:szCs w:val="22"/>
              </w:rPr>
              <w:t>60</w:t>
            </w:r>
            <w:r w:rsidRPr="0067355D">
              <w:rPr>
                <w:szCs w:val="22"/>
              </w:rPr>
              <w:t>0</w:t>
            </w:r>
          </w:p>
        </w:tc>
      </w:tr>
      <w:tr w14:paraId="34884566" w14:textId="77777777" w:rsidTr="00886011">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6F7AD6" w:rsidRPr="0067355D" w:rsidP="00886011" w14:paraId="1BF9760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67355D">
              <w:rPr>
                <w:szCs w:val="22"/>
              </w:rPr>
              <w:t>FM Classes B, C, C0, C1 &amp; C2</w:t>
            </w:r>
            <w:r>
              <w:rPr>
                <w:szCs w:val="22"/>
                <w:vertAlign w:val="superscript"/>
              </w:rPr>
              <w:t>1</w:t>
            </w:r>
          </w:p>
        </w:tc>
        <w:tc>
          <w:tcPr>
            <w:tcW w:w="1620" w:type="dxa"/>
            <w:tcBorders>
              <w:top w:val="single" w:sz="6" w:space="0" w:color="auto"/>
              <w:left w:val="single" w:sz="6" w:space="0" w:color="auto"/>
            </w:tcBorders>
          </w:tcPr>
          <w:p w:rsidR="006F7AD6" w:rsidRPr="0067355D" w:rsidP="00886011" w14:paraId="4C32408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3,</w:t>
            </w:r>
            <w:r>
              <w:rPr>
                <w:szCs w:val="22"/>
              </w:rPr>
              <w:t>075</w:t>
            </w:r>
          </w:p>
        </w:tc>
        <w:tc>
          <w:tcPr>
            <w:tcW w:w="450" w:type="dxa"/>
            <w:tcBorders>
              <w:top w:val="single" w:sz="6" w:space="0" w:color="auto"/>
              <w:left w:val="single" w:sz="6" w:space="0" w:color="auto"/>
            </w:tcBorders>
          </w:tcPr>
          <w:p w:rsidR="006F7AD6" w:rsidRPr="0067355D" w:rsidP="00886011" w14:paraId="3EE2BEF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67355D">
              <w:rPr>
                <w:szCs w:val="22"/>
              </w:rPr>
              <w:t>1</w:t>
            </w:r>
          </w:p>
        </w:tc>
        <w:tc>
          <w:tcPr>
            <w:tcW w:w="1260" w:type="dxa"/>
            <w:tcBorders>
              <w:top w:val="single" w:sz="6" w:space="0" w:color="auto"/>
              <w:left w:val="single" w:sz="6" w:space="0" w:color="auto"/>
            </w:tcBorders>
          </w:tcPr>
          <w:p w:rsidR="006F7AD6" w:rsidRPr="0067355D" w:rsidP="00886011" w14:paraId="1BC57CA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10,009,600</w:t>
            </w:r>
          </w:p>
        </w:tc>
        <w:tc>
          <w:tcPr>
            <w:tcW w:w="1170" w:type="dxa"/>
            <w:tcBorders>
              <w:top w:val="single" w:sz="6" w:space="0" w:color="auto"/>
              <w:left w:val="single" w:sz="6" w:space="0" w:color="auto"/>
            </w:tcBorders>
          </w:tcPr>
          <w:p w:rsidR="006F7AD6" w:rsidRPr="0067355D" w:rsidP="00886011" w14:paraId="024BC18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w:t>
            </w:r>
            <w:r>
              <w:rPr>
                <w:szCs w:val="22"/>
              </w:rPr>
              <w:t>0</w:t>
            </w:r>
            <w:r w:rsidRPr="0067355D">
              <w:rPr>
                <w:szCs w:val="22"/>
              </w:rPr>
              <w:t>,</w:t>
            </w:r>
            <w:r>
              <w:rPr>
                <w:szCs w:val="22"/>
              </w:rPr>
              <w:t>794</w:t>
            </w:r>
            <w:r w:rsidRPr="0067355D">
              <w:rPr>
                <w:szCs w:val="22"/>
              </w:rPr>
              <w:t>,</w:t>
            </w:r>
            <w:r>
              <w:rPr>
                <w:szCs w:val="22"/>
              </w:rPr>
              <w:t>578</w:t>
            </w:r>
          </w:p>
        </w:tc>
        <w:tc>
          <w:tcPr>
            <w:tcW w:w="1170" w:type="dxa"/>
            <w:tcBorders>
              <w:top w:val="single" w:sz="6" w:space="0" w:color="auto"/>
              <w:left w:val="single" w:sz="6" w:space="0" w:color="auto"/>
              <w:right w:val="single" w:sz="6" w:space="0" w:color="auto"/>
            </w:tcBorders>
          </w:tcPr>
          <w:p w:rsidR="006F7AD6" w:rsidRPr="0067355D" w:rsidP="00886011" w14:paraId="2F4B132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3,</w:t>
            </w:r>
            <w:r>
              <w:rPr>
                <w:szCs w:val="22"/>
              </w:rPr>
              <w:t>510</w:t>
            </w:r>
          </w:p>
        </w:tc>
        <w:tc>
          <w:tcPr>
            <w:tcW w:w="990" w:type="dxa"/>
            <w:tcBorders>
              <w:top w:val="single" w:sz="6" w:space="0" w:color="auto"/>
              <w:left w:val="single" w:sz="6" w:space="0" w:color="auto"/>
            </w:tcBorders>
          </w:tcPr>
          <w:p w:rsidR="006F7AD6" w:rsidRPr="0067355D" w:rsidP="00886011" w14:paraId="6E29CBB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3,</w:t>
            </w:r>
            <w:r>
              <w:rPr>
                <w:szCs w:val="22"/>
              </w:rPr>
              <w:t>5</w:t>
            </w:r>
            <w:r w:rsidRPr="0067355D">
              <w:rPr>
                <w:szCs w:val="22"/>
              </w:rPr>
              <w:t>00</w:t>
            </w:r>
          </w:p>
        </w:tc>
        <w:tc>
          <w:tcPr>
            <w:tcW w:w="1170" w:type="dxa"/>
            <w:tcBorders>
              <w:top w:val="single" w:sz="6" w:space="0" w:color="auto"/>
              <w:left w:val="single" w:sz="6" w:space="0" w:color="auto"/>
              <w:right w:val="double" w:sz="6" w:space="0" w:color="auto"/>
            </w:tcBorders>
          </w:tcPr>
          <w:p w:rsidR="006F7AD6" w:rsidRPr="0067355D" w:rsidP="00886011" w14:paraId="5478ACC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w:t>
            </w:r>
            <w:r>
              <w:rPr>
                <w:szCs w:val="22"/>
              </w:rPr>
              <w:t>0</w:t>
            </w:r>
            <w:r w:rsidRPr="0067355D">
              <w:rPr>
                <w:szCs w:val="22"/>
              </w:rPr>
              <w:t>,</w:t>
            </w:r>
            <w:r>
              <w:rPr>
                <w:szCs w:val="22"/>
              </w:rPr>
              <w:t>762</w:t>
            </w:r>
            <w:r w:rsidRPr="0067355D">
              <w:rPr>
                <w:szCs w:val="22"/>
              </w:rPr>
              <w:t>,</w:t>
            </w:r>
            <w:r>
              <w:rPr>
                <w:szCs w:val="22"/>
              </w:rPr>
              <w:t>5</w:t>
            </w:r>
            <w:r w:rsidRPr="0067355D">
              <w:rPr>
                <w:szCs w:val="22"/>
              </w:rPr>
              <w:t>00</w:t>
            </w:r>
          </w:p>
        </w:tc>
      </w:tr>
      <w:tr w14:paraId="114529C0" w14:textId="77777777" w:rsidTr="00886011">
        <w:tblPrEx>
          <w:tblW w:w="10350" w:type="dxa"/>
          <w:tblInd w:w="-563" w:type="dxa"/>
          <w:tblLayout w:type="fixed"/>
          <w:tblCellMar>
            <w:left w:w="30" w:type="dxa"/>
            <w:right w:w="30" w:type="dxa"/>
          </w:tblCellMar>
          <w:tblLook w:val="0000"/>
        </w:tblPrEx>
        <w:trPr>
          <w:trHeight w:val="534"/>
        </w:trPr>
        <w:tc>
          <w:tcPr>
            <w:tcW w:w="2520" w:type="dxa"/>
            <w:tcBorders>
              <w:top w:val="single" w:sz="6" w:space="0" w:color="auto"/>
              <w:left w:val="double" w:sz="6" w:space="0" w:color="auto"/>
            </w:tcBorders>
          </w:tcPr>
          <w:p w:rsidR="006F7AD6" w:rsidRPr="0067355D" w:rsidP="00886011" w14:paraId="6ADB395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67355D">
              <w:rPr>
                <w:szCs w:val="22"/>
              </w:rPr>
              <w:t xml:space="preserve">AM Construction Permits </w:t>
            </w:r>
            <w:r>
              <w:rPr>
                <w:szCs w:val="22"/>
                <w:vertAlign w:val="superscript"/>
              </w:rPr>
              <w:t>2</w:t>
            </w:r>
          </w:p>
        </w:tc>
        <w:tc>
          <w:tcPr>
            <w:tcW w:w="1620" w:type="dxa"/>
            <w:tcBorders>
              <w:top w:val="single" w:sz="6" w:space="0" w:color="auto"/>
              <w:left w:val="single" w:sz="6" w:space="0" w:color="auto"/>
            </w:tcBorders>
          </w:tcPr>
          <w:p w:rsidR="006F7AD6" w:rsidRPr="0067355D" w:rsidP="00886011" w14:paraId="7734806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3</w:t>
            </w:r>
            <w:r w:rsidRPr="0067355D">
              <w:rPr>
                <w:szCs w:val="22"/>
              </w:rPr>
              <w:t xml:space="preserve"> </w:t>
            </w:r>
          </w:p>
        </w:tc>
        <w:tc>
          <w:tcPr>
            <w:tcW w:w="450" w:type="dxa"/>
            <w:tcBorders>
              <w:top w:val="single" w:sz="6" w:space="0" w:color="auto"/>
              <w:left w:val="single" w:sz="6" w:space="0" w:color="auto"/>
            </w:tcBorders>
          </w:tcPr>
          <w:p w:rsidR="006F7AD6" w:rsidRPr="0067355D" w:rsidP="00886011" w14:paraId="342F8EC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67355D">
              <w:rPr>
                <w:szCs w:val="22"/>
              </w:rPr>
              <w:t xml:space="preserve">1 </w:t>
            </w:r>
          </w:p>
        </w:tc>
        <w:tc>
          <w:tcPr>
            <w:tcW w:w="1260" w:type="dxa"/>
            <w:tcBorders>
              <w:top w:val="single" w:sz="6" w:space="0" w:color="auto"/>
              <w:left w:val="single" w:sz="6" w:space="0" w:color="auto"/>
            </w:tcBorders>
          </w:tcPr>
          <w:p w:rsidR="006F7AD6" w:rsidRPr="0067355D" w:rsidP="00886011" w14:paraId="1F84E5D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4,950</w:t>
            </w:r>
          </w:p>
        </w:tc>
        <w:tc>
          <w:tcPr>
            <w:tcW w:w="1170" w:type="dxa"/>
            <w:tcBorders>
              <w:top w:val="single" w:sz="6" w:space="0" w:color="auto"/>
              <w:left w:val="single" w:sz="6" w:space="0" w:color="auto"/>
            </w:tcBorders>
          </w:tcPr>
          <w:p w:rsidR="006F7AD6" w:rsidRPr="0067355D" w:rsidP="00886011" w14:paraId="4871835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w:t>
            </w:r>
            <w:r w:rsidRPr="0067355D">
              <w:rPr>
                <w:szCs w:val="22"/>
              </w:rPr>
              <w:t>,9</w:t>
            </w:r>
            <w:r>
              <w:rPr>
                <w:szCs w:val="22"/>
              </w:rPr>
              <w:t>8</w:t>
            </w:r>
            <w:r w:rsidRPr="0067355D">
              <w:rPr>
                <w:szCs w:val="22"/>
              </w:rPr>
              <w:t>0</w:t>
            </w:r>
          </w:p>
        </w:tc>
        <w:tc>
          <w:tcPr>
            <w:tcW w:w="1170" w:type="dxa"/>
            <w:tcBorders>
              <w:top w:val="single" w:sz="6" w:space="0" w:color="auto"/>
              <w:left w:val="single" w:sz="6" w:space="0" w:color="auto"/>
              <w:right w:val="single" w:sz="6" w:space="0" w:color="auto"/>
            </w:tcBorders>
          </w:tcPr>
          <w:p w:rsidR="006F7AD6" w:rsidRPr="0067355D" w:rsidP="00886011" w14:paraId="45C8FA4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66</w:t>
            </w:r>
            <w:r w:rsidRPr="0067355D">
              <w:rPr>
                <w:szCs w:val="22"/>
              </w:rPr>
              <w:t>0</w:t>
            </w:r>
          </w:p>
        </w:tc>
        <w:tc>
          <w:tcPr>
            <w:tcW w:w="990" w:type="dxa"/>
            <w:tcBorders>
              <w:top w:val="single" w:sz="6" w:space="0" w:color="auto"/>
              <w:left w:val="single" w:sz="6" w:space="0" w:color="auto"/>
            </w:tcBorders>
          </w:tcPr>
          <w:p w:rsidR="006F7AD6" w:rsidRPr="0067355D" w:rsidP="00886011" w14:paraId="4A361C7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66</w:t>
            </w:r>
            <w:r w:rsidRPr="0067355D">
              <w:rPr>
                <w:szCs w:val="22"/>
              </w:rPr>
              <w:t>0</w:t>
            </w:r>
          </w:p>
        </w:tc>
        <w:tc>
          <w:tcPr>
            <w:tcW w:w="1170" w:type="dxa"/>
            <w:tcBorders>
              <w:top w:val="single" w:sz="6" w:space="0" w:color="auto"/>
              <w:left w:val="single" w:sz="6" w:space="0" w:color="auto"/>
              <w:right w:val="double" w:sz="6" w:space="0" w:color="auto"/>
            </w:tcBorders>
          </w:tcPr>
          <w:p w:rsidR="006F7AD6" w:rsidRPr="0067355D" w:rsidP="00886011" w14:paraId="18EE83D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w:t>
            </w:r>
            <w:r w:rsidRPr="0067355D">
              <w:rPr>
                <w:szCs w:val="22"/>
              </w:rPr>
              <w:t>,9</w:t>
            </w:r>
            <w:r>
              <w:rPr>
                <w:szCs w:val="22"/>
              </w:rPr>
              <w:t>8</w:t>
            </w:r>
            <w:r w:rsidRPr="0067355D">
              <w:rPr>
                <w:szCs w:val="22"/>
              </w:rPr>
              <w:t>0</w:t>
            </w:r>
          </w:p>
        </w:tc>
      </w:tr>
      <w:tr w14:paraId="03C48813" w14:textId="77777777" w:rsidTr="00886011">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6F7AD6" w:rsidRPr="0067355D" w:rsidP="00886011" w14:paraId="255F5F4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67355D">
              <w:rPr>
                <w:szCs w:val="22"/>
              </w:rPr>
              <w:t>FM Construction Permits</w:t>
            </w:r>
            <w:r>
              <w:rPr>
                <w:szCs w:val="22"/>
                <w:vertAlign w:val="superscript"/>
              </w:rPr>
              <w:t>2</w:t>
            </w:r>
          </w:p>
        </w:tc>
        <w:tc>
          <w:tcPr>
            <w:tcW w:w="1620" w:type="dxa"/>
            <w:tcBorders>
              <w:top w:val="single" w:sz="6" w:space="0" w:color="auto"/>
              <w:left w:val="single" w:sz="6" w:space="0" w:color="auto"/>
            </w:tcBorders>
          </w:tcPr>
          <w:p w:rsidR="006F7AD6" w:rsidRPr="0067355D" w:rsidP="00886011" w14:paraId="56D6E6E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67</w:t>
            </w:r>
            <w:r w:rsidRPr="0067355D">
              <w:rPr>
                <w:szCs w:val="22"/>
              </w:rPr>
              <w:t xml:space="preserve"> </w:t>
            </w:r>
          </w:p>
        </w:tc>
        <w:tc>
          <w:tcPr>
            <w:tcW w:w="450" w:type="dxa"/>
            <w:tcBorders>
              <w:top w:val="single" w:sz="6" w:space="0" w:color="auto"/>
              <w:left w:val="single" w:sz="6" w:space="0" w:color="auto"/>
            </w:tcBorders>
          </w:tcPr>
          <w:p w:rsidR="006F7AD6" w:rsidRPr="0067355D" w:rsidP="00886011" w14:paraId="0D6624E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67355D">
              <w:rPr>
                <w:szCs w:val="22"/>
              </w:rPr>
              <w:t xml:space="preserve">1 </w:t>
            </w:r>
          </w:p>
        </w:tc>
        <w:tc>
          <w:tcPr>
            <w:tcW w:w="1260" w:type="dxa"/>
            <w:tcBorders>
              <w:top w:val="single" w:sz="6" w:space="0" w:color="auto"/>
              <w:left w:val="single" w:sz="6" w:space="0" w:color="auto"/>
            </w:tcBorders>
          </w:tcPr>
          <w:p w:rsidR="006F7AD6" w:rsidRPr="0067355D" w:rsidP="00886011" w14:paraId="22A1C59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105,185</w:t>
            </w:r>
          </w:p>
        </w:tc>
        <w:tc>
          <w:tcPr>
            <w:tcW w:w="1170" w:type="dxa"/>
            <w:tcBorders>
              <w:top w:val="single" w:sz="6" w:space="0" w:color="auto"/>
              <w:left w:val="single" w:sz="6" w:space="0" w:color="auto"/>
            </w:tcBorders>
          </w:tcPr>
          <w:p w:rsidR="006F7AD6" w:rsidRPr="0067355D" w:rsidP="00886011" w14:paraId="3325593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77</w:t>
            </w:r>
            <w:r w:rsidRPr="0067355D">
              <w:rPr>
                <w:szCs w:val="22"/>
              </w:rPr>
              <w:t>,</w:t>
            </w:r>
            <w:r>
              <w:rPr>
                <w:szCs w:val="22"/>
              </w:rPr>
              <w:t>050</w:t>
            </w:r>
          </w:p>
        </w:tc>
        <w:tc>
          <w:tcPr>
            <w:tcW w:w="1170" w:type="dxa"/>
            <w:tcBorders>
              <w:top w:val="single" w:sz="6" w:space="0" w:color="auto"/>
              <w:left w:val="single" w:sz="6" w:space="0" w:color="auto"/>
              <w:right w:val="single" w:sz="6" w:space="0" w:color="auto"/>
            </w:tcBorders>
          </w:tcPr>
          <w:p w:rsidR="006F7AD6" w:rsidRPr="0067355D" w:rsidP="00886011" w14:paraId="3ADC716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1,150</w:t>
            </w:r>
          </w:p>
        </w:tc>
        <w:tc>
          <w:tcPr>
            <w:tcW w:w="990" w:type="dxa"/>
            <w:tcBorders>
              <w:top w:val="single" w:sz="6" w:space="0" w:color="auto"/>
              <w:left w:val="single" w:sz="6" w:space="0" w:color="auto"/>
            </w:tcBorders>
          </w:tcPr>
          <w:p w:rsidR="006F7AD6" w:rsidRPr="0067355D" w:rsidP="00886011" w14:paraId="35F6DE1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1,150</w:t>
            </w:r>
          </w:p>
        </w:tc>
        <w:tc>
          <w:tcPr>
            <w:tcW w:w="1170" w:type="dxa"/>
            <w:tcBorders>
              <w:top w:val="single" w:sz="6" w:space="0" w:color="auto"/>
              <w:left w:val="single" w:sz="6" w:space="0" w:color="auto"/>
              <w:right w:val="double" w:sz="6" w:space="0" w:color="auto"/>
            </w:tcBorders>
          </w:tcPr>
          <w:p w:rsidR="006F7AD6" w:rsidRPr="0067355D" w:rsidP="00886011" w14:paraId="5AB2431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77</w:t>
            </w:r>
            <w:r w:rsidRPr="0067355D">
              <w:rPr>
                <w:szCs w:val="22"/>
              </w:rPr>
              <w:t>,</w:t>
            </w:r>
            <w:r>
              <w:rPr>
                <w:szCs w:val="22"/>
              </w:rPr>
              <w:t>050</w:t>
            </w:r>
          </w:p>
        </w:tc>
      </w:tr>
      <w:tr w14:paraId="0A24F9E3" w14:textId="77777777" w:rsidTr="00886011">
        <w:tblPrEx>
          <w:tblW w:w="10350" w:type="dxa"/>
          <w:tblInd w:w="-563" w:type="dxa"/>
          <w:tblLayout w:type="fixed"/>
          <w:tblCellMar>
            <w:left w:w="30" w:type="dxa"/>
            <w:right w:w="30" w:type="dxa"/>
          </w:tblCellMar>
          <w:tblLook w:val="0000"/>
        </w:tblPrEx>
        <w:trPr>
          <w:trHeight w:val="444"/>
        </w:trPr>
        <w:tc>
          <w:tcPr>
            <w:tcW w:w="2520" w:type="dxa"/>
            <w:tcBorders>
              <w:top w:val="single" w:sz="6" w:space="0" w:color="auto"/>
              <w:left w:val="double" w:sz="6" w:space="0" w:color="auto"/>
            </w:tcBorders>
          </w:tcPr>
          <w:p w:rsidR="006F7AD6" w:rsidRPr="0067355D" w:rsidP="00886011" w14:paraId="25A4F5A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67355D">
              <w:rPr>
                <w:szCs w:val="22"/>
              </w:rPr>
              <w:t>Satellite TV</w:t>
            </w:r>
          </w:p>
        </w:tc>
        <w:tc>
          <w:tcPr>
            <w:tcW w:w="1620" w:type="dxa"/>
            <w:tcBorders>
              <w:top w:val="single" w:sz="6" w:space="0" w:color="auto"/>
              <w:left w:val="single" w:sz="6" w:space="0" w:color="auto"/>
            </w:tcBorders>
          </w:tcPr>
          <w:p w:rsidR="006F7AD6" w:rsidRPr="0067355D" w:rsidP="00886011" w14:paraId="4470DCB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12</w:t>
            </w:r>
            <w:r>
              <w:rPr>
                <w:szCs w:val="22"/>
              </w:rPr>
              <w:t>5</w:t>
            </w:r>
          </w:p>
        </w:tc>
        <w:tc>
          <w:tcPr>
            <w:tcW w:w="450" w:type="dxa"/>
            <w:tcBorders>
              <w:top w:val="single" w:sz="6" w:space="0" w:color="auto"/>
              <w:left w:val="single" w:sz="6" w:space="0" w:color="auto"/>
            </w:tcBorders>
          </w:tcPr>
          <w:p w:rsidR="006F7AD6" w:rsidRPr="0067355D" w:rsidP="00886011" w14:paraId="38D0122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67355D">
              <w:rPr>
                <w:szCs w:val="22"/>
              </w:rPr>
              <w:t>1</w:t>
            </w:r>
          </w:p>
        </w:tc>
        <w:tc>
          <w:tcPr>
            <w:tcW w:w="1260" w:type="dxa"/>
            <w:tcBorders>
              <w:top w:val="single" w:sz="6" w:space="0" w:color="auto"/>
              <w:left w:val="single" w:sz="6" w:space="0" w:color="auto"/>
            </w:tcBorders>
          </w:tcPr>
          <w:p w:rsidR="006F7AD6" w:rsidRPr="0067355D" w:rsidP="00886011" w14:paraId="21561CF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189,000</w:t>
            </w:r>
          </w:p>
        </w:tc>
        <w:tc>
          <w:tcPr>
            <w:tcW w:w="1170" w:type="dxa"/>
            <w:tcBorders>
              <w:top w:val="single" w:sz="6" w:space="0" w:color="auto"/>
              <w:left w:val="single" w:sz="6" w:space="0" w:color="auto"/>
            </w:tcBorders>
          </w:tcPr>
          <w:p w:rsidR="006F7AD6" w:rsidRPr="0067355D" w:rsidP="00886011" w14:paraId="7FA1262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202</w:t>
            </w:r>
            <w:r w:rsidRPr="0067355D">
              <w:rPr>
                <w:szCs w:val="22"/>
              </w:rPr>
              <w:t>,</w:t>
            </w:r>
            <w:r>
              <w:rPr>
                <w:szCs w:val="22"/>
              </w:rPr>
              <w:t>847</w:t>
            </w:r>
          </w:p>
        </w:tc>
        <w:tc>
          <w:tcPr>
            <w:tcW w:w="1170" w:type="dxa"/>
            <w:tcBorders>
              <w:top w:val="single" w:sz="6" w:space="0" w:color="auto"/>
              <w:left w:val="single" w:sz="6" w:space="0" w:color="auto"/>
              <w:right w:val="single" w:sz="6" w:space="0" w:color="auto"/>
            </w:tcBorders>
          </w:tcPr>
          <w:p w:rsidR="006F7AD6" w:rsidRPr="0067355D" w:rsidP="00886011" w14:paraId="6441E03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w:t>
            </w:r>
            <w:r>
              <w:rPr>
                <w:szCs w:val="22"/>
              </w:rPr>
              <w:t>623</w:t>
            </w:r>
          </w:p>
        </w:tc>
        <w:tc>
          <w:tcPr>
            <w:tcW w:w="990" w:type="dxa"/>
            <w:tcBorders>
              <w:top w:val="single" w:sz="6" w:space="0" w:color="auto"/>
              <w:left w:val="single" w:sz="6" w:space="0" w:color="auto"/>
            </w:tcBorders>
          </w:tcPr>
          <w:p w:rsidR="006F7AD6" w:rsidRPr="0067355D" w:rsidP="00886011" w14:paraId="4E43786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w:t>
            </w:r>
            <w:r>
              <w:rPr>
                <w:szCs w:val="22"/>
              </w:rPr>
              <w:t>625</w:t>
            </w:r>
          </w:p>
        </w:tc>
        <w:tc>
          <w:tcPr>
            <w:tcW w:w="1170" w:type="dxa"/>
            <w:tcBorders>
              <w:top w:val="single" w:sz="6" w:space="0" w:color="auto"/>
              <w:left w:val="single" w:sz="6" w:space="0" w:color="auto"/>
              <w:right w:val="double" w:sz="6" w:space="0" w:color="auto"/>
            </w:tcBorders>
          </w:tcPr>
          <w:p w:rsidR="006F7AD6" w:rsidRPr="0067355D" w:rsidP="00886011" w14:paraId="0D6F83E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203</w:t>
            </w:r>
            <w:r w:rsidRPr="0067355D">
              <w:rPr>
                <w:szCs w:val="22"/>
              </w:rPr>
              <w:t>,</w:t>
            </w:r>
            <w:r>
              <w:rPr>
                <w:szCs w:val="22"/>
              </w:rPr>
              <w:t>125</w:t>
            </w:r>
          </w:p>
        </w:tc>
      </w:tr>
      <w:tr w14:paraId="7BA614F1" w14:textId="77777777" w:rsidTr="00886011">
        <w:tblPrEx>
          <w:tblW w:w="10350" w:type="dxa"/>
          <w:tblInd w:w="-563" w:type="dxa"/>
          <w:tblLayout w:type="fixed"/>
          <w:tblCellMar>
            <w:left w:w="30" w:type="dxa"/>
            <w:right w:w="30" w:type="dxa"/>
          </w:tblCellMar>
          <w:tblLook w:val="0000"/>
        </w:tblPrEx>
        <w:trPr>
          <w:trHeight w:val="480"/>
        </w:trPr>
        <w:tc>
          <w:tcPr>
            <w:tcW w:w="2520" w:type="dxa"/>
            <w:tcBorders>
              <w:top w:val="single" w:sz="6" w:space="0" w:color="auto"/>
              <w:left w:val="double" w:sz="6" w:space="0" w:color="auto"/>
            </w:tcBorders>
          </w:tcPr>
          <w:p w:rsidR="006F7AD6" w:rsidRPr="0067355D" w:rsidP="00886011" w14:paraId="4793245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67355D">
              <w:rPr>
                <w:szCs w:val="22"/>
              </w:rPr>
              <w:t>Digital TV M</w:t>
            </w:r>
            <w:r>
              <w:rPr>
                <w:szCs w:val="22"/>
              </w:rPr>
              <w:t>kt</w:t>
            </w:r>
            <w:r w:rsidRPr="0067355D">
              <w:rPr>
                <w:szCs w:val="22"/>
              </w:rPr>
              <w:t xml:space="preserve"> 1-10</w:t>
            </w:r>
          </w:p>
        </w:tc>
        <w:tc>
          <w:tcPr>
            <w:tcW w:w="1620" w:type="dxa"/>
            <w:tcBorders>
              <w:top w:val="single" w:sz="6" w:space="0" w:color="auto"/>
              <w:left w:val="single" w:sz="6" w:space="0" w:color="auto"/>
            </w:tcBorders>
          </w:tcPr>
          <w:p w:rsidR="006F7AD6" w:rsidRPr="0067355D" w:rsidP="00886011" w14:paraId="72E55A1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14</w:t>
            </w:r>
            <w:r>
              <w:rPr>
                <w:szCs w:val="22"/>
              </w:rPr>
              <w:t>3</w:t>
            </w:r>
            <w:r w:rsidRPr="0067355D">
              <w:rPr>
                <w:szCs w:val="22"/>
              </w:rPr>
              <w:t xml:space="preserve"> </w:t>
            </w:r>
          </w:p>
        </w:tc>
        <w:tc>
          <w:tcPr>
            <w:tcW w:w="450" w:type="dxa"/>
            <w:tcBorders>
              <w:top w:val="single" w:sz="6" w:space="0" w:color="auto"/>
              <w:left w:val="single" w:sz="6" w:space="0" w:color="auto"/>
            </w:tcBorders>
          </w:tcPr>
          <w:p w:rsidR="006F7AD6" w:rsidRPr="0067355D" w:rsidP="00886011" w14:paraId="63BE31A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67355D">
              <w:rPr>
                <w:szCs w:val="22"/>
              </w:rPr>
              <w:t xml:space="preserve">1 </w:t>
            </w:r>
          </w:p>
        </w:tc>
        <w:tc>
          <w:tcPr>
            <w:tcW w:w="1260" w:type="dxa"/>
            <w:tcBorders>
              <w:top w:val="single" w:sz="6" w:space="0" w:color="auto"/>
              <w:left w:val="single" w:sz="6" w:space="0" w:color="auto"/>
            </w:tcBorders>
          </w:tcPr>
          <w:p w:rsidR="006F7AD6" w:rsidRPr="0067355D" w:rsidP="00886011" w14:paraId="12845D2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7,164,000</w:t>
            </w:r>
          </w:p>
        </w:tc>
        <w:tc>
          <w:tcPr>
            <w:tcW w:w="1170" w:type="dxa"/>
            <w:tcBorders>
              <w:top w:val="single" w:sz="6" w:space="0" w:color="auto"/>
              <w:left w:val="single" w:sz="6" w:space="0" w:color="auto"/>
            </w:tcBorders>
          </w:tcPr>
          <w:p w:rsidR="006F7AD6" w:rsidRPr="0067355D" w:rsidP="00886011" w14:paraId="7AF5F6C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7,</w:t>
            </w:r>
            <w:r>
              <w:rPr>
                <w:szCs w:val="22"/>
              </w:rPr>
              <w:t>722</w:t>
            </w:r>
            <w:r w:rsidRPr="0067355D">
              <w:rPr>
                <w:szCs w:val="22"/>
              </w:rPr>
              <w:t>,</w:t>
            </w:r>
            <w:r>
              <w:rPr>
                <w:szCs w:val="22"/>
              </w:rPr>
              <w:t>293</w:t>
            </w:r>
          </w:p>
        </w:tc>
        <w:tc>
          <w:tcPr>
            <w:tcW w:w="1170" w:type="dxa"/>
            <w:tcBorders>
              <w:top w:val="single" w:sz="6" w:space="0" w:color="auto"/>
              <w:left w:val="single" w:sz="6" w:space="0" w:color="auto"/>
              <w:right w:val="single" w:sz="6" w:space="0" w:color="auto"/>
            </w:tcBorders>
          </w:tcPr>
          <w:p w:rsidR="006F7AD6" w:rsidRPr="0067355D" w:rsidP="00886011" w14:paraId="490851A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54</w:t>
            </w:r>
            <w:r w:rsidRPr="0067355D">
              <w:rPr>
                <w:szCs w:val="22"/>
              </w:rPr>
              <w:t>,</w:t>
            </w:r>
            <w:r>
              <w:rPr>
                <w:szCs w:val="22"/>
              </w:rPr>
              <w:t>002</w:t>
            </w:r>
          </w:p>
        </w:tc>
        <w:tc>
          <w:tcPr>
            <w:tcW w:w="990" w:type="dxa"/>
            <w:tcBorders>
              <w:top w:val="single" w:sz="6" w:space="0" w:color="auto"/>
              <w:left w:val="single" w:sz="6" w:space="0" w:color="auto"/>
            </w:tcBorders>
          </w:tcPr>
          <w:p w:rsidR="006F7AD6" w:rsidRPr="0067355D" w:rsidP="00886011" w14:paraId="5F318A7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54</w:t>
            </w:r>
            <w:r w:rsidRPr="0067355D">
              <w:rPr>
                <w:szCs w:val="22"/>
              </w:rPr>
              <w:t>,</w:t>
            </w:r>
            <w:r>
              <w:rPr>
                <w:szCs w:val="22"/>
              </w:rPr>
              <w:t>000</w:t>
            </w:r>
          </w:p>
        </w:tc>
        <w:tc>
          <w:tcPr>
            <w:tcW w:w="1170" w:type="dxa"/>
            <w:tcBorders>
              <w:top w:val="single" w:sz="6" w:space="0" w:color="auto"/>
              <w:left w:val="single" w:sz="6" w:space="0" w:color="auto"/>
              <w:right w:val="double" w:sz="6" w:space="0" w:color="auto"/>
            </w:tcBorders>
          </w:tcPr>
          <w:p w:rsidR="006F7AD6" w:rsidRPr="0067355D" w:rsidP="00886011" w14:paraId="0A9B1CA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7,</w:t>
            </w:r>
            <w:r>
              <w:rPr>
                <w:szCs w:val="22"/>
              </w:rPr>
              <w:t>722</w:t>
            </w:r>
            <w:r w:rsidRPr="0067355D">
              <w:rPr>
                <w:szCs w:val="22"/>
              </w:rPr>
              <w:t>,</w:t>
            </w:r>
            <w:r>
              <w:rPr>
                <w:szCs w:val="22"/>
              </w:rPr>
              <w:t>000</w:t>
            </w:r>
          </w:p>
        </w:tc>
      </w:tr>
      <w:tr w14:paraId="648AF751" w14:textId="77777777" w:rsidTr="00886011">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6F7AD6" w:rsidRPr="0067355D" w:rsidP="00886011" w14:paraId="2D7E543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67355D">
              <w:rPr>
                <w:szCs w:val="22"/>
              </w:rPr>
              <w:t>Digital TV M</w:t>
            </w:r>
            <w:r>
              <w:rPr>
                <w:szCs w:val="22"/>
              </w:rPr>
              <w:t xml:space="preserve">kt </w:t>
            </w:r>
            <w:r w:rsidRPr="0067355D">
              <w:rPr>
                <w:szCs w:val="22"/>
              </w:rPr>
              <w:t>11-25</w:t>
            </w:r>
          </w:p>
        </w:tc>
        <w:tc>
          <w:tcPr>
            <w:tcW w:w="1620" w:type="dxa"/>
            <w:tcBorders>
              <w:top w:val="single" w:sz="6" w:space="0" w:color="auto"/>
              <w:left w:val="single" w:sz="6" w:space="0" w:color="auto"/>
            </w:tcBorders>
          </w:tcPr>
          <w:p w:rsidR="006F7AD6" w:rsidRPr="0067355D" w:rsidP="00886011" w14:paraId="6270B25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 xml:space="preserve">140 </w:t>
            </w:r>
          </w:p>
        </w:tc>
        <w:tc>
          <w:tcPr>
            <w:tcW w:w="450" w:type="dxa"/>
            <w:tcBorders>
              <w:top w:val="single" w:sz="6" w:space="0" w:color="auto"/>
              <w:left w:val="single" w:sz="6" w:space="0" w:color="auto"/>
            </w:tcBorders>
          </w:tcPr>
          <w:p w:rsidR="006F7AD6" w:rsidRPr="0067355D" w:rsidP="00886011" w14:paraId="1876ABF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67355D">
              <w:rPr>
                <w:szCs w:val="22"/>
              </w:rPr>
              <w:t xml:space="preserve">1 </w:t>
            </w:r>
          </w:p>
        </w:tc>
        <w:tc>
          <w:tcPr>
            <w:tcW w:w="1260" w:type="dxa"/>
            <w:tcBorders>
              <w:top w:val="single" w:sz="6" w:space="0" w:color="auto"/>
              <w:left w:val="single" w:sz="6" w:space="0" w:color="auto"/>
            </w:tcBorders>
          </w:tcPr>
          <w:p w:rsidR="006F7AD6" w:rsidRPr="0067355D" w:rsidP="00886011" w14:paraId="1BAF0B7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5,243,000</w:t>
            </w:r>
          </w:p>
        </w:tc>
        <w:tc>
          <w:tcPr>
            <w:tcW w:w="1170" w:type="dxa"/>
            <w:tcBorders>
              <w:top w:val="single" w:sz="6" w:space="0" w:color="auto"/>
              <w:left w:val="single" w:sz="6" w:space="0" w:color="auto"/>
            </w:tcBorders>
          </w:tcPr>
          <w:p w:rsidR="006F7AD6" w:rsidRPr="0067355D" w:rsidP="00886011" w14:paraId="25571EE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5,</w:t>
            </w:r>
            <w:r>
              <w:rPr>
                <w:szCs w:val="22"/>
              </w:rPr>
              <w:t>693</w:t>
            </w:r>
            <w:r w:rsidRPr="0067355D">
              <w:rPr>
                <w:szCs w:val="22"/>
              </w:rPr>
              <w:t>,</w:t>
            </w:r>
            <w:r>
              <w:rPr>
                <w:szCs w:val="22"/>
              </w:rPr>
              <w:t>047</w:t>
            </w:r>
          </w:p>
        </w:tc>
        <w:tc>
          <w:tcPr>
            <w:tcW w:w="1170" w:type="dxa"/>
            <w:tcBorders>
              <w:top w:val="single" w:sz="6" w:space="0" w:color="auto"/>
              <w:left w:val="single" w:sz="6" w:space="0" w:color="auto"/>
              <w:right w:val="single" w:sz="6" w:space="0" w:color="auto"/>
            </w:tcBorders>
          </w:tcPr>
          <w:p w:rsidR="006F7AD6" w:rsidRPr="0067355D" w:rsidP="00886011" w14:paraId="1A48915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40</w:t>
            </w:r>
            <w:r w:rsidRPr="0067355D">
              <w:rPr>
                <w:szCs w:val="22"/>
              </w:rPr>
              <w:t>,</w:t>
            </w:r>
            <w:r>
              <w:rPr>
                <w:szCs w:val="22"/>
              </w:rPr>
              <w:t>665</w:t>
            </w:r>
          </w:p>
        </w:tc>
        <w:tc>
          <w:tcPr>
            <w:tcW w:w="990" w:type="dxa"/>
            <w:tcBorders>
              <w:top w:val="single" w:sz="6" w:space="0" w:color="auto"/>
              <w:left w:val="single" w:sz="6" w:space="0" w:color="auto"/>
            </w:tcBorders>
          </w:tcPr>
          <w:p w:rsidR="006F7AD6" w:rsidRPr="0067355D" w:rsidP="00886011" w14:paraId="6CFD0DF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40</w:t>
            </w:r>
            <w:r w:rsidRPr="0067355D">
              <w:rPr>
                <w:szCs w:val="22"/>
              </w:rPr>
              <w:t>,</w:t>
            </w:r>
            <w:r>
              <w:rPr>
                <w:szCs w:val="22"/>
              </w:rPr>
              <w:t>675</w:t>
            </w:r>
          </w:p>
        </w:tc>
        <w:tc>
          <w:tcPr>
            <w:tcW w:w="1170" w:type="dxa"/>
            <w:tcBorders>
              <w:top w:val="single" w:sz="6" w:space="0" w:color="auto"/>
              <w:left w:val="single" w:sz="6" w:space="0" w:color="auto"/>
              <w:right w:val="double" w:sz="6" w:space="0" w:color="auto"/>
            </w:tcBorders>
          </w:tcPr>
          <w:p w:rsidR="006F7AD6" w:rsidRPr="0067355D" w:rsidP="00886011" w14:paraId="430CFE7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5,</w:t>
            </w:r>
            <w:r>
              <w:rPr>
                <w:szCs w:val="22"/>
              </w:rPr>
              <w:t>694</w:t>
            </w:r>
            <w:r w:rsidRPr="0067355D">
              <w:rPr>
                <w:szCs w:val="22"/>
              </w:rPr>
              <w:t>,</w:t>
            </w:r>
            <w:r>
              <w:rPr>
                <w:szCs w:val="22"/>
              </w:rPr>
              <w:t>5</w:t>
            </w:r>
            <w:r w:rsidRPr="0067355D">
              <w:rPr>
                <w:szCs w:val="22"/>
              </w:rPr>
              <w:t>00</w:t>
            </w:r>
          </w:p>
        </w:tc>
      </w:tr>
      <w:tr w14:paraId="634F2A8A" w14:textId="77777777" w:rsidTr="00886011">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6F7AD6" w:rsidRPr="0067355D" w:rsidP="00886011" w14:paraId="423EC15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67355D">
              <w:rPr>
                <w:szCs w:val="22"/>
              </w:rPr>
              <w:t>Digital TV M</w:t>
            </w:r>
            <w:r>
              <w:rPr>
                <w:szCs w:val="22"/>
              </w:rPr>
              <w:t xml:space="preserve">kt </w:t>
            </w:r>
            <w:r w:rsidRPr="0067355D">
              <w:rPr>
                <w:szCs w:val="22"/>
              </w:rPr>
              <w:t>26-50</w:t>
            </w:r>
          </w:p>
        </w:tc>
        <w:tc>
          <w:tcPr>
            <w:tcW w:w="1620" w:type="dxa"/>
            <w:tcBorders>
              <w:top w:val="single" w:sz="6" w:space="0" w:color="auto"/>
              <w:left w:val="single" w:sz="6" w:space="0" w:color="auto"/>
            </w:tcBorders>
          </w:tcPr>
          <w:p w:rsidR="006F7AD6" w:rsidRPr="0067355D" w:rsidP="00886011" w14:paraId="7C8BAAB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18</w:t>
            </w:r>
            <w:r>
              <w:rPr>
                <w:szCs w:val="22"/>
              </w:rPr>
              <w:t>6</w:t>
            </w:r>
            <w:r w:rsidRPr="0067355D">
              <w:rPr>
                <w:szCs w:val="22"/>
              </w:rPr>
              <w:t xml:space="preserve"> </w:t>
            </w:r>
          </w:p>
        </w:tc>
        <w:tc>
          <w:tcPr>
            <w:tcW w:w="450" w:type="dxa"/>
            <w:tcBorders>
              <w:top w:val="single" w:sz="6" w:space="0" w:color="auto"/>
              <w:left w:val="single" w:sz="6" w:space="0" w:color="auto"/>
            </w:tcBorders>
          </w:tcPr>
          <w:p w:rsidR="006F7AD6" w:rsidRPr="0067355D" w:rsidP="00886011" w14:paraId="15217B0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67355D">
              <w:rPr>
                <w:szCs w:val="22"/>
              </w:rPr>
              <w:t xml:space="preserve">1 </w:t>
            </w:r>
          </w:p>
        </w:tc>
        <w:tc>
          <w:tcPr>
            <w:tcW w:w="1260" w:type="dxa"/>
            <w:tcBorders>
              <w:top w:val="single" w:sz="6" w:space="0" w:color="auto"/>
              <w:left w:val="single" w:sz="6" w:space="0" w:color="auto"/>
            </w:tcBorders>
          </w:tcPr>
          <w:p w:rsidR="006F7AD6" w:rsidRPr="0067355D" w:rsidP="00886011" w14:paraId="4079DD9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4,729,725</w:t>
            </w:r>
          </w:p>
        </w:tc>
        <w:tc>
          <w:tcPr>
            <w:tcW w:w="1170" w:type="dxa"/>
            <w:tcBorders>
              <w:top w:val="single" w:sz="6" w:space="0" w:color="auto"/>
              <w:left w:val="single" w:sz="6" w:space="0" w:color="auto"/>
            </w:tcBorders>
          </w:tcPr>
          <w:p w:rsidR="006F7AD6" w:rsidRPr="0067355D" w:rsidP="00886011" w14:paraId="1E37A59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5</w:t>
            </w:r>
            <w:r w:rsidRPr="0067355D">
              <w:rPr>
                <w:szCs w:val="22"/>
              </w:rPr>
              <w:t>,</w:t>
            </w:r>
            <w:r>
              <w:rPr>
                <w:szCs w:val="22"/>
              </w:rPr>
              <w:t>052</w:t>
            </w:r>
            <w:r w:rsidRPr="0067355D">
              <w:rPr>
                <w:szCs w:val="22"/>
              </w:rPr>
              <w:t>,</w:t>
            </w:r>
            <w:r>
              <w:rPr>
                <w:szCs w:val="22"/>
              </w:rPr>
              <w:t>126</w:t>
            </w:r>
          </w:p>
        </w:tc>
        <w:tc>
          <w:tcPr>
            <w:tcW w:w="1170" w:type="dxa"/>
            <w:tcBorders>
              <w:top w:val="single" w:sz="6" w:space="0" w:color="auto"/>
              <w:left w:val="single" w:sz="6" w:space="0" w:color="auto"/>
              <w:right w:val="single" w:sz="6" w:space="0" w:color="auto"/>
            </w:tcBorders>
          </w:tcPr>
          <w:p w:rsidR="006F7AD6" w:rsidRPr="0067355D" w:rsidP="00886011" w14:paraId="57D8EF6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2</w:t>
            </w:r>
            <w:r>
              <w:rPr>
                <w:szCs w:val="22"/>
              </w:rPr>
              <w:t>7</w:t>
            </w:r>
            <w:r w:rsidRPr="0067355D">
              <w:rPr>
                <w:szCs w:val="22"/>
              </w:rPr>
              <w:t>,</w:t>
            </w:r>
            <w:r>
              <w:rPr>
                <w:szCs w:val="22"/>
              </w:rPr>
              <w:t>162</w:t>
            </w:r>
          </w:p>
        </w:tc>
        <w:tc>
          <w:tcPr>
            <w:tcW w:w="990" w:type="dxa"/>
            <w:tcBorders>
              <w:top w:val="single" w:sz="6" w:space="0" w:color="auto"/>
              <w:left w:val="single" w:sz="6" w:space="0" w:color="auto"/>
            </w:tcBorders>
          </w:tcPr>
          <w:p w:rsidR="006F7AD6" w:rsidRPr="0067355D" w:rsidP="00886011" w14:paraId="3865B9F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2</w:t>
            </w:r>
            <w:r>
              <w:rPr>
                <w:szCs w:val="22"/>
              </w:rPr>
              <w:t>7</w:t>
            </w:r>
            <w:r w:rsidRPr="0067355D">
              <w:rPr>
                <w:szCs w:val="22"/>
              </w:rPr>
              <w:t>,</w:t>
            </w:r>
            <w:r>
              <w:rPr>
                <w:szCs w:val="22"/>
              </w:rPr>
              <w:t>150</w:t>
            </w:r>
          </w:p>
        </w:tc>
        <w:tc>
          <w:tcPr>
            <w:tcW w:w="1170" w:type="dxa"/>
            <w:tcBorders>
              <w:top w:val="single" w:sz="6" w:space="0" w:color="auto"/>
              <w:left w:val="single" w:sz="6" w:space="0" w:color="auto"/>
              <w:right w:val="double" w:sz="6" w:space="0" w:color="auto"/>
            </w:tcBorders>
          </w:tcPr>
          <w:p w:rsidR="006F7AD6" w:rsidRPr="0067355D" w:rsidP="00886011" w14:paraId="319CB16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5</w:t>
            </w:r>
            <w:r w:rsidRPr="0067355D">
              <w:rPr>
                <w:szCs w:val="22"/>
              </w:rPr>
              <w:t>,</w:t>
            </w:r>
            <w:r>
              <w:rPr>
                <w:szCs w:val="22"/>
              </w:rPr>
              <w:t>049</w:t>
            </w:r>
            <w:r w:rsidRPr="0067355D">
              <w:rPr>
                <w:szCs w:val="22"/>
              </w:rPr>
              <w:t>,</w:t>
            </w:r>
            <w:r>
              <w:rPr>
                <w:szCs w:val="22"/>
              </w:rPr>
              <w:t>900</w:t>
            </w:r>
          </w:p>
        </w:tc>
      </w:tr>
      <w:tr w14:paraId="613093BD" w14:textId="77777777" w:rsidTr="00886011">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6F7AD6" w:rsidRPr="0067355D" w:rsidP="00886011" w14:paraId="6F1FD3B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67355D">
              <w:rPr>
                <w:szCs w:val="22"/>
              </w:rPr>
              <w:t>Digital TV M</w:t>
            </w:r>
            <w:r>
              <w:rPr>
                <w:szCs w:val="22"/>
              </w:rPr>
              <w:t xml:space="preserve">kt </w:t>
            </w:r>
            <w:r w:rsidRPr="0067355D">
              <w:rPr>
                <w:szCs w:val="22"/>
              </w:rPr>
              <w:t>51-100</w:t>
            </w:r>
          </w:p>
        </w:tc>
        <w:tc>
          <w:tcPr>
            <w:tcW w:w="1620" w:type="dxa"/>
            <w:tcBorders>
              <w:top w:val="single" w:sz="6" w:space="0" w:color="auto"/>
              <w:left w:val="single" w:sz="6" w:space="0" w:color="auto"/>
            </w:tcBorders>
          </w:tcPr>
          <w:p w:rsidR="006F7AD6" w:rsidRPr="0067355D" w:rsidP="00886011" w14:paraId="3309D65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29</w:t>
            </w:r>
            <w:r>
              <w:rPr>
                <w:szCs w:val="22"/>
              </w:rPr>
              <w:t>1</w:t>
            </w:r>
            <w:r w:rsidRPr="0067355D">
              <w:rPr>
                <w:szCs w:val="22"/>
              </w:rPr>
              <w:t xml:space="preserve"> </w:t>
            </w:r>
          </w:p>
        </w:tc>
        <w:tc>
          <w:tcPr>
            <w:tcW w:w="450" w:type="dxa"/>
            <w:tcBorders>
              <w:top w:val="single" w:sz="6" w:space="0" w:color="auto"/>
              <w:left w:val="single" w:sz="6" w:space="0" w:color="auto"/>
            </w:tcBorders>
          </w:tcPr>
          <w:p w:rsidR="006F7AD6" w:rsidRPr="0067355D" w:rsidP="00886011" w14:paraId="1B6FBC2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67355D">
              <w:rPr>
                <w:szCs w:val="22"/>
              </w:rPr>
              <w:t xml:space="preserve">1 </w:t>
            </w:r>
          </w:p>
        </w:tc>
        <w:tc>
          <w:tcPr>
            <w:tcW w:w="1260" w:type="dxa"/>
            <w:tcBorders>
              <w:top w:val="single" w:sz="6" w:space="0" w:color="auto"/>
              <w:left w:val="single" w:sz="6" w:space="0" w:color="auto"/>
            </w:tcBorders>
          </w:tcPr>
          <w:p w:rsidR="006F7AD6" w:rsidRPr="0067355D" w:rsidP="00886011" w14:paraId="28926FD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3,617,750</w:t>
            </w:r>
          </w:p>
        </w:tc>
        <w:tc>
          <w:tcPr>
            <w:tcW w:w="1170" w:type="dxa"/>
            <w:tcBorders>
              <w:top w:val="single" w:sz="6" w:space="0" w:color="auto"/>
              <w:left w:val="single" w:sz="6" w:space="0" w:color="auto"/>
            </w:tcBorders>
          </w:tcPr>
          <w:p w:rsidR="006F7AD6" w:rsidRPr="0067355D" w:rsidP="00886011" w14:paraId="14D8BFF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3</w:t>
            </w:r>
            <w:r w:rsidRPr="0067355D">
              <w:rPr>
                <w:szCs w:val="22"/>
              </w:rPr>
              <w:t>,</w:t>
            </w:r>
            <w:r>
              <w:rPr>
                <w:szCs w:val="22"/>
              </w:rPr>
              <w:t>939</w:t>
            </w:r>
            <w:r w:rsidRPr="0067355D">
              <w:rPr>
                <w:szCs w:val="22"/>
              </w:rPr>
              <w:t>,</w:t>
            </w:r>
            <w:r>
              <w:rPr>
                <w:szCs w:val="22"/>
              </w:rPr>
              <w:t>717</w:t>
            </w:r>
          </w:p>
        </w:tc>
        <w:tc>
          <w:tcPr>
            <w:tcW w:w="1170" w:type="dxa"/>
            <w:tcBorders>
              <w:top w:val="single" w:sz="6" w:space="0" w:color="auto"/>
              <w:left w:val="single" w:sz="6" w:space="0" w:color="auto"/>
              <w:right w:val="single" w:sz="6" w:space="0" w:color="auto"/>
            </w:tcBorders>
          </w:tcPr>
          <w:p w:rsidR="006F7AD6" w:rsidRPr="0067355D" w:rsidP="00886011" w14:paraId="5A48C65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w:t>
            </w:r>
            <w:r>
              <w:rPr>
                <w:szCs w:val="22"/>
              </w:rPr>
              <w:t>3</w:t>
            </w:r>
            <w:r w:rsidRPr="0067355D">
              <w:rPr>
                <w:szCs w:val="22"/>
              </w:rPr>
              <w:t>,</w:t>
            </w:r>
            <w:r>
              <w:rPr>
                <w:szCs w:val="22"/>
              </w:rPr>
              <w:t>539</w:t>
            </w:r>
          </w:p>
        </w:tc>
        <w:tc>
          <w:tcPr>
            <w:tcW w:w="990" w:type="dxa"/>
            <w:tcBorders>
              <w:top w:val="single" w:sz="6" w:space="0" w:color="auto"/>
              <w:left w:val="single" w:sz="6" w:space="0" w:color="auto"/>
            </w:tcBorders>
          </w:tcPr>
          <w:p w:rsidR="006F7AD6" w:rsidRPr="0067355D" w:rsidP="00886011" w14:paraId="34EEA5A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w:t>
            </w:r>
            <w:r>
              <w:rPr>
                <w:szCs w:val="22"/>
              </w:rPr>
              <w:t>3</w:t>
            </w:r>
            <w:r w:rsidRPr="0067355D">
              <w:rPr>
                <w:szCs w:val="22"/>
              </w:rPr>
              <w:t>,</w:t>
            </w:r>
            <w:r>
              <w:rPr>
                <w:szCs w:val="22"/>
              </w:rPr>
              <w:t>550</w:t>
            </w:r>
          </w:p>
        </w:tc>
        <w:tc>
          <w:tcPr>
            <w:tcW w:w="1170" w:type="dxa"/>
            <w:tcBorders>
              <w:top w:val="single" w:sz="6" w:space="0" w:color="auto"/>
              <w:left w:val="single" w:sz="6" w:space="0" w:color="auto"/>
              <w:right w:val="double" w:sz="6" w:space="0" w:color="auto"/>
            </w:tcBorders>
          </w:tcPr>
          <w:p w:rsidR="006F7AD6" w:rsidRPr="0067355D" w:rsidP="00886011" w14:paraId="425565D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3</w:t>
            </w:r>
            <w:r w:rsidRPr="0067355D">
              <w:rPr>
                <w:szCs w:val="22"/>
              </w:rPr>
              <w:t>,</w:t>
            </w:r>
            <w:r>
              <w:rPr>
                <w:szCs w:val="22"/>
              </w:rPr>
              <w:t>943</w:t>
            </w:r>
            <w:r w:rsidRPr="0067355D">
              <w:rPr>
                <w:szCs w:val="22"/>
              </w:rPr>
              <w:t>,</w:t>
            </w:r>
            <w:r>
              <w:rPr>
                <w:szCs w:val="22"/>
              </w:rPr>
              <w:t>050</w:t>
            </w:r>
          </w:p>
        </w:tc>
      </w:tr>
      <w:tr w14:paraId="4EBCF109" w14:textId="77777777" w:rsidTr="00886011">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6F7AD6" w:rsidRPr="0067355D" w:rsidP="00886011" w14:paraId="1FA0A11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67355D">
              <w:rPr>
                <w:szCs w:val="22"/>
              </w:rPr>
              <w:t xml:space="preserve">Digital TV Remaining Markets </w:t>
            </w:r>
          </w:p>
        </w:tc>
        <w:tc>
          <w:tcPr>
            <w:tcW w:w="1620" w:type="dxa"/>
            <w:tcBorders>
              <w:top w:val="single" w:sz="6" w:space="0" w:color="auto"/>
              <w:left w:val="single" w:sz="6" w:space="0" w:color="auto"/>
            </w:tcBorders>
          </w:tcPr>
          <w:p w:rsidR="006F7AD6" w:rsidRPr="0067355D" w:rsidP="00886011" w14:paraId="704FAFC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3</w:t>
            </w:r>
            <w:r>
              <w:rPr>
                <w:szCs w:val="22"/>
              </w:rPr>
              <w:t>75</w:t>
            </w:r>
            <w:r w:rsidRPr="0067355D">
              <w:rPr>
                <w:szCs w:val="22"/>
              </w:rPr>
              <w:t xml:space="preserve"> </w:t>
            </w:r>
          </w:p>
        </w:tc>
        <w:tc>
          <w:tcPr>
            <w:tcW w:w="450" w:type="dxa"/>
            <w:tcBorders>
              <w:top w:val="single" w:sz="6" w:space="0" w:color="auto"/>
              <w:left w:val="single" w:sz="6" w:space="0" w:color="auto"/>
            </w:tcBorders>
          </w:tcPr>
          <w:p w:rsidR="006F7AD6" w:rsidRPr="0067355D" w:rsidP="00886011" w14:paraId="3C16BA9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67355D">
              <w:rPr>
                <w:szCs w:val="22"/>
              </w:rPr>
              <w:t xml:space="preserve">1 </w:t>
            </w:r>
          </w:p>
        </w:tc>
        <w:tc>
          <w:tcPr>
            <w:tcW w:w="1260" w:type="dxa"/>
            <w:tcBorders>
              <w:top w:val="single" w:sz="6" w:space="0" w:color="auto"/>
              <w:left w:val="single" w:sz="6" w:space="0" w:color="auto"/>
            </w:tcBorders>
          </w:tcPr>
          <w:p w:rsidR="006F7AD6" w:rsidRPr="0067355D" w:rsidP="00886011" w14:paraId="4F00D1F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1,594,900</w:t>
            </w:r>
          </w:p>
        </w:tc>
        <w:tc>
          <w:tcPr>
            <w:tcW w:w="1170" w:type="dxa"/>
            <w:tcBorders>
              <w:top w:val="single" w:sz="6" w:space="0" w:color="auto"/>
              <w:left w:val="single" w:sz="6" w:space="0" w:color="auto"/>
            </w:tcBorders>
          </w:tcPr>
          <w:p w:rsidR="006F7AD6" w:rsidRPr="0067355D" w:rsidP="00886011" w14:paraId="6D833FB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w:t>
            </w:r>
            <w:r>
              <w:rPr>
                <w:szCs w:val="22"/>
              </w:rPr>
              <w:t>668</w:t>
            </w:r>
            <w:r w:rsidRPr="0067355D">
              <w:rPr>
                <w:szCs w:val="22"/>
              </w:rPr>
              <w:t>,</w:t>
            </w:r>
            <w:r>
              <w:rPr>
                <w:szCs w:val="22"/>
              </w:rPr>
              <w:t>991</w:t>
            </w:r>
          </w:p>
        </w:tc>
        <w:tc>
          <w:tcPr>
            <w:tcW w:w="1170" w:type="dxa"/>
            <w:tcBorders>
              <w:top w:val="single" w:sz="6" w:space="0" w:color="auto"/>
              <w:left w:val="single" w:sz="6" w:space="0" w:color="auto"/>
              <w:right w:val="single" w:sz="6" w:space="0" w:color="auto"/>
            </w:tcBorders>
          </w:tcPr>
          <w:p w:rsidR="006F7AD6" w:rsidRPr="0067355D" w:rsidP="00886011" w14:paraId="5F30A45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4,</w:t>
            </w:r>
            <w:r>
              <w:rPr>
                <w:szCs w:val="22"/>
              </w:rPr>
              <w:t>451</w:t>
            </w:r>
          </w:p>
        </w:tc>
        <w:tc>
          <w:tcPr>
            <w:tcW w:w="990" w:type="dxa"/>
            <w:tcBorders>
              <w:top w:val="single" w:sz="6" w:space="0" w:color="auto"/>
              <w:left w:val="single" w:sz="6" w:space="0" w:color="auto"/>
            </w:tcBorders>
          </w:tcPr>
          <w:p w:rsidR="006F7AD6" w:rsidRPr="0067355D" w:rsidP="00886011" w14:paraId="681DEC2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4,</w:t>
            </w:r>
            <w:r>
              <w:rPr>
                <w:szCs w:val="22"/>
              </w:rPr>
              <w:t>450</w:t>
            </w:r>
          </w:p>
        </w:tc>
        <w:tc>
          <w:tcPr>
            <w:tcW w:w="1170" w:type="dxa"/>
            <w:tcBorders>
              <w:top w:val="single" w:sz="6" w:space="0" w:color="auto"/>
              <w:left w:val="single" w:sz="6" w:space="0" w:color="auto"/>
              <w:right w:val="double" w:sz="6" w:space="0" w:color="auto"/>
            </w:tcBorders>
          </w:tcPr>
          <w:p w:rsidR="006F7AD6" w:rsidRPr="0067355D" w:rsidP="00886011" w14:paraId="5EFA989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w:t>
            </w:r>
            <w:r>
              <w:rPr>
                <w:szCs w:val="22"/>
              </w:rPr>
              <w:t>668</w:t>
            </w:r>
            <w:r w:rsidRPr="0067355D">
              <w:rPr>
                <w:szCs w:val="22"/>
              </w:rPr>
              <w:t>,</w:t>
            </w:r>
            <w:r>
              <w:rPr>
                <w:szCs w:val="22"/>
              </w:rPr>
              <w:t>75</w:t>
            </w:r>
            <w:r w:rsidRPr="0067355D">
              <w:rPr>
                <w:szCs w:val="22"/>
              </w:rPr>
              <w:t>0</w:t>
            </w:r>
          </w:p>
        </w:tc>
      </w:tr>
      <w:tr w14:paraId="09D9D123" w14:textId="77777777" w:rsidTr="00886011">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bottom w:val="single" w:sz="6" w:space="0" w:color="auto"/>
            </w:tcBorders>
          </w:tcPr>
          <w:p w:rsidR="006F7AD6" w:rsidRPr="0067355D" w:rsidP="00886011" w14:paraId="4177BCB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67355D">
              <w:rPr>
                <w:szCs w:val="22"/>
              </w:rPr>
              <w:t>Digital TV Construction Permits</w:t>
            </w:r>
            <w:r>
              <w:rPr>
                <w:szCs w:val="22"/>
                <w:vertAlign w:val="superscript"/>
              </w:rPr>
              <w:t>2</w:t>
            </w:r>
          </w:p>
        </w:tc>
        <w:tc>
          <w:tcPr>
            <w:tcW w:w="1620" w:type="dxa"/>
            <w:tcBorders>
              <w:top w:val="single" w:sz="6" w:space="0" w:color="auto"/>
              <w:left w:val="single" w:sz="6" w:space="0" w:color="auto"/>
              <w:bottom w:val="single" w:sz="6" w:space="0" w:color="auto"/>
            </w:tcBorders>
          </w:tcPr>
          <w:p w:rsidR="006F7AD6" w:rsidRPr="0067355D" w:rsidP="00886011" w14:paraId="299069A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 xml:space="preserve">3 </w:t>
            </w:r>
          </w:p>
        </w:tc>
        <w:tc>
          <w:tcPr>
            <w:tcW w:w="450" w:type="dxa"/>
            <w:tcBorders>
              <w:top w:val="single" w:sz="6" w:space="0" w:color="auto"/>
              <w:left w:val="single" w:sz="6" w:space="0" w:color="auto"/>
              <w:bottom w:val="single" w:sz="6" w:space="0" w:color="auto"/>
            </w:tcBorders>
          </w:tcPr>
          <w:p w:rsidR="006F7AD6" w:rsidRPr="0067355D" w:rsidP="00886011" w14:paraId="243271C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67355D">
              <w:rPr>
                <w:szCs w:val="22"/>
              </w:rPr>
              <w:t xml:space="preserve">1 </w:t>
            </w:r>
          </w:p>
        </w:tc>
        <w:tc>
          <w:tcPr>
            <w:tcW w:w="1260" w:type="dxa"/>
            <w:tcBorders>
              <w:top w:val="single" w:sz="6" w:space="0" w:color="auto"/>
              <w:left w:val="single" w:sz="6" w:space="0" w:color="auto"/>
              <w:bottom w:val="single" w:sz="6" w:space="0" w:color="auto"/>
            </w:tcBorders>
          </w:tcPr>
          <w:p w:rsidR="006F7AD6" w:rsidRPr="0067355D" w:rsidP="00886011" w14:paraId="3E43C30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12,300</w:t>
            </w:r>
          </w:p>
        </w:tc>
        <w:tc>
          <w:tcPr>
            <w:tcW w:w="1170" w:type="dxa"/>
            <w:tcBorders>
              <w:top w:val="single" w:sz="6" w:space="0" w:color="auto"/>
              <w:left w:val="single" w:sz="6" w:space="0" w:color="auto"/>
              <w:bottom w:val="single" w:sz="6" w:space="0" w:color="auto"/>
            </w:tcBorders>
          </w:tcPr>
          <w:p w:rsidR="006F7AD6" w:rsidRPr="0067355D" w:rsidP="00886011" w14:paraId="489D8DF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w:t>
            </w:r>
            <w:r>
              <w:rPr>
                <w:szCs w:val="22"/>
              </w:rPr>
              <w:t>3</w:t>
            </w:r>
            <w:r w:rsidRPr="0067355D">
              <w:rPr>
                <w:szCs w:val="22"/>
              </w:rPr>
              <w:t>,</w:t>
            </w:r>
            <w:r>
              <w:rPr>
                <w:szCs w:val="22"/>
              </w:rPr>
              <w:t>350</w:t>
            </w:r>
          </w:p>
        </w:tc>
        <w:tc>
          <w:tcPr>
            <w:tcW w:w="1170" w:type="dxa"/>
            <w:tcBorders>
              <w:top w:val="single" w:sz="6" w:space="0" w:color="auto"/>
              <w:left w:val="single" w:sz="6" w:space="0" w:color="auto"/>
              <w:bottom w:val="single" w:sz="6" w:space="0" w:color="auto"/>
              <w:right w:val="single" w:sz="6" w:space="0" w:color="auto"/>
            </w:tcBorders>
          </w:tcPr>
          <w:p w:rsidR="006F7AD6" w:rsidRPr="0067355D" w:rsidP="00886011" w14:paraId="5F5B9C2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4,</w:t>
            </w:r>
            <w:r>
              <w:rPr>
                <w:szCs w:val="22"/>
              </w:rPr>
              <w:t>450</w:t>
            </w:r>
          </w:p>
        </w:tc>
        <w:tc>
          <w:tcPr>
            <w:tcW w:w="990" w:type="dxa"/>
            <w:tcBorders>
              <w:top w:val="single" w:sz="6" w:space="0" w:color="auto"/>
              <w:left w:val="single" w:sz="6" w:space="0" w:color="auto"/>
              <w:bottom w:val="single" w:sz="6" w:space="0" w:color="auto"/>
            </w:tcBorders>
          </w:tcPr>
          <w:p w:rsidR="006F7AD6" w:rsidRPr="0067355D" w:rsidP="00886011" w14:paraId="5881C40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4,</w:t>
            </w:r>
            <w:r>
              <w:rPr>
                <w:szCs w:val="22"/>
              </w:rPr>
              <w:t>450</w:t>
            </w:r>
          </w:p>
        </w:tc>
        <w:tc>
          <w:tcPr>
            <w:tcW w:w="1170" w:type="dxa"/>
            <w:tcBorders>
              <w:top w:val="single" w:sz="6" w:space="0" w:color="auto"/>
              <w:left w:val="single" w:sz="6" w:space="0" w:color="auto"/>
              <w:bottom w:val="single" w:sz="6" w:space="0" w:color="auto"/>
              <w:right w:val="double" w:sz="6" w:space="0" w:color="auto"/>
            </w:tcBorders>
          </w:tcPr>
          <w:p w:rsidR="006F7AD6" w:rsidRPr="0067355D" w:rsidP="00886011" w14:paraId="054A2E2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w:t>
            </w:r>
            <w:r>
              <w:rPr>
                <w:szCs w:val="22"/>
              </w:rPr>
              <w:t>3</w:t>
            </w:r>
            <w:r w:rsidRPr="0067355D">
              <w:rPr>
                <w:szCs w:val="22"/>
              </w:rPr>
              <w:t>,</w:t>
            </w:r>
            <w:r>
              <w:rPr>
                <w:szCs w:val="22"/>
              </w:rPr>
              <w:t>35</w:t>
            </w:r>
            <w:r w:rsidRPr="0067355D">
              <w:rPr>
                <w:szCs w:val="22"/>
              </w:rPr>
              <w:t>0</w:t>
            </w:r>
          </w:p>
        </w:tc>
      </w:tr>
      <w:tr w14:paraId="0439CC9A" w14:textId="77777777" w:rsidTr="00886011">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bottom w:val="single" w:sz="6" w:space="0" w:color="auto"/>
            </w:tcBorders>
          </w:tcPr>
          <w:p w:rsidR="006F7AD6" w:rsidRPr="0067355D" w:rsidP="00886011" w14:paraId="0438D0F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67355D">
              <w:rPr>
                <w:szCs w:val="22"/>
              </w:rPr>
              <w:t>LPTV/Translators/ Boosters/Class A TV</w:t>
            </w:r>
          </w:p>
        </w:tc>
        <w:tc>
          <w:tcPr>
            <w:tcW w:w="1620" w:type="dxa"/>
            <w:tcBorders>
              <w:top w:val="single" w:sz="6" w:space="0" w:color="auto"/>
              <w:left w:val="single" w:sz="6" w:space="0" w:color="auto"/>
              <w:bottom w:val="single" w:sz="6" w:space="0" w:color="auto"/>
            </w:tcBorders>
          </w:tcPr>
          <w:p w:rsidR="006F7AD6" w:rsidRPr="0067355D" w:rsidP="00886011" w14:paraId="12B5050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4,100</w:t>
            </w:r>
            <w:r w:rsidRPr="0067355D">
              <w:rPr>
                <w:szCs w:val="22"/>
              </w:rPr>
              <w:t xml:space="preserve"> </w:t>
            </w:r>
          </w:p>
        </w:tc>
        <w:tc>
          <w:tcPr>
            <w:tcW w:w="450" w:type="dxa"/>
            <w:tcBorders>
              <w:top w:val="single" w:sz="6" w:space="0" w:color="auto"/>
              <w:left w:val="single" w:sz="6" w:space="0" w:color="auto"/>
              <w:bottom w:val="single" w:sz="6" w:space="0" w:color="auto"/>
            </w:tcBorders>
          </w:tcPr>
          <w:p w:rsidR="006F7AD6" w:rsidRPr="0067355D" w:rsidP="00886011" w14:paraId="458F601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67355D">
              <w:rPr>
                <w:szCs w:val="22"/>
              </w:rPr>
              <w:t xml:space="preserve">1 </w:t>
            </w:r>
          </w:p>
        </w:tc>
        <w:tc>
          <w:tcPr>
            <w:tcW w:w="1260" w:type="dxa"/>
            <w:tcBorders>
              <w:top w:val="single" w:sz="6" w:space="0" w:color="auto"/>
              <w:left w:val="single" w:sz="6" w:space="0" w:color="auto"/>
              <w:bottom w:val="single" w:sz="6" w:space="0" w:color="auto"/>
            </w:tcBorders>
          </w:tcPr>
          <w:p w:rsidR="006F7AD6" w:rsidRPr="0067355D" w:rsidP="00886011" w14:paraId="2867590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1,515,820</w:t>
            </w:r>
          </w:p>
        </w:tc>
        <w:tc>
          <w:tcPr>
            <w:tcW w:w="1170" w:type="dxa"/>
            <w:tcBorders>
              <w:top w:val="single" w:sz="6" w:space="0" w:color="auto"/>
              <w:left w:val="single" w:sz="6" w:space="0" w:color="auto"/>
              <w:bottom w:val="single" w:sz="6" w:space="0" w:color="auto"/>
            </w:tcBorders>
          </w:tcPr>
          <w:p w:rsidR="006F7AD6" w:rsidRPr="0067355D" w:rsidP="00886011" w14:paraId="1FCF649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w:t>
            </w:r>
            <w:r>
              <w:rPr>
                <w:szCs w:val="22"/>
              </w:rPr>
              <w:t>622</w:t>
            </w:r>
            <w:r w:rsidRPr="0067355D">
              <w:rPr>
                <w:szCs w:val="22"/>
              </w:rPr>
              <w:t>,</w:t>
            </w:r>
            <w:r>
              <w:rPr>
                <w:szCs w:val="22"/>
              </w:rPr>
              <w:t>772</w:t>
            </w:r>
          </w:p>
        </w:tc>
        <w:tc>
          <w:tcPr>
            <w:tcW w:w="1170" w:type="dxa"/>
            <w:tcBorders>
              <w:top w:val="single" w:sz="6" w:space="0" w:color="auto"/>
              <w:left w:val="single" w:sz="6" w:space="0" w:color="auto"/>
              <w:bottom w:val="single" w:sz="6" w:space="0" w:color="auto"/>
              <w:right w:val="single" w:sz="6" w:space="0" w:color="auto"/>
            </w:tcBorders>
          </w:tcPr>
          <w:p w:rsidR="006F7AD6" w:rsidRPr="0067355D" w:rsidP="00886011" w14:paraId="7252E92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3</w:t>
            </w:r>
            <w:r>
              <w:rPr>
                <w:szCs w:val="22"/>
              </w:rPr>
              <w:t>45.3</w:t>
            </w:r>
          </w:p>
        </w:tc>
        <w:tc>
          <w:tcPr>
            <w:tcW w:w="990" w:type="dxa"/>
            <w:tcBorders>
              <w:top w:val="single" w:sz="6" w:space="0" w:color="auto"/>
              <w:left w:val="single" w:sz="6" w:space="0" w:color="auto"/>
              <w:bottom w:val="single" w:sz="6" w:space="0" w:color="auto"/>
            </w:tcBorders>
          </w:tcPr>
          <w:p w:rsidR="006F7AD6" w:rsidRPr="0067355D" w:rsidP="00886011" w14:paraId="71C706A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3</w:t>
            </w:r>
            <w:r>
              <w:rPr>
                <w:szCs w:val="22"/>
              </w:rPr>
              <w:t>45</w:t>
            </w:r>
          </w:p>
        </w:tc>
        <w:tc>
          <w:tcPr>
            <w:tcW w:w="1170" w:type="dxa"/>
            <w:tcBorders>
              <w:top w:val="single" w:sz="6" w:space="0" w:color="auto"/>
              <w:left w:val="single" w:sz="6" w:space="0" w:color="auto"/>
              <w:bottom w:val="single" w:sz="6" w:space="0" w:color="auto"/>
              <w:right w:val="double" w:sz="6" w:space="0" w:color="auto"/>
            </w:tcBorders>
          </w:tcPr>
          <w:p w:rsidR="006F7AD6" w:rsidRPr="0067355D" w:rsidP="00886011" w14:paraId="7B58441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w:t>
            </w:r>
            <w:r>
              <w:rPr>
                <w:szCs w:val="22"/>
              </w:rPr>
              <w:t>621</w:t>
            </w:r>
            <w:r w:rsidRPr="0067355D">
              <w:rPr>
                <w:szCs w:val="22"/>
              </w:rPr>
              <w:t>,</w:t>
            </w:r>
            <w:r>
              <w:rPr>
                <w:szCs w:val="22"/>
              </w:rPr>
              <w:t>50</w:t>
            </w:r>
            <w:r w:rsidRPr="0067355D">
              <w:rPr>
                <w:szCs w:val="22"/>
              </w:rPr>
              <w:t>0</w:t>
            </w:r>
          </w:p>
        </w:tc>
      </w:tr>
      <w:tr w14:paraId="4CFBA09B" w14:textId="77777777" w:rsidTr="007D4238">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bottom w:val="double" w:sz="4" w:space="0" w:color="auto"/>
            </w:tcBorders>
          </w:tcPr>
          <w:p w:rsidR="006F7AD6" w:rsidRPr="0067355D" w:rsidP="00886011" w14:paraId="386AEF1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67355D">
              <w:rPr>
                <w:szCs w:val="22"/>
              </w:rPr>
              <w:t>CARS Stations</w:t>
            </w:r>
          </w:p>
        </w:tc>
        <w:tc>
          <w:tcPr>
            <w:tcW w:w="1620" w:type="dxa"/>
            <w:tcBorders>
              <w:top w:val="single" w:sz="6" w:space="0" w:color="auto"/>
              <w:left w:val="single" w:sz="6" w:space="0" w:color="auto"/>
              <w:bottom w:val="double" w:sz="4" w:space="0" w:color="auto"/>
            </w:tcBorders>
          </w:tcPr>
          <w:p w:rsidR="006F7AD6" w:rsidRPr="0067355D" w:rsidP="00886011" w14:paraId="7963E3B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 xml:space="preserve">175 </w:t>
            </w:r>
          </w:p>
        </w:tc>
        <w:tc>
          <w:tcPr>
            <w:tcW w:w="450" w:type="dxa"/>
            <w:tcBorders>
              <w:top w:val="single" w:sz="6" w:space="0" w:color="auto"/>
              <w:left w:val="single" w:sz="6" w:space="0" w:color="auto"/>
              <w:bottom w:val="double" w:sz="4" w:space="0" w:color="auto"/>
            </w:tcBorders>
          </w:tcPr>
          <w:p w:rsidR="006F7AD6" w:rsidRPr="0067355D" w:rsidP="00886011" w14:paraId="08245F9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67355D">
              <w:rPr>
                <w:szCs w:val="22"/>
              </w:rPr>
              <w:t xml:space="preserve">1 </w:t>
            </w:r>
          </w:p>
        </w:tc>
        <w:tc>
          <w:tcPr>
            <w:tcW w:w="1260" w:type="dxa"/>
            <w:tcBorders>
              <w:top w:val="single" w:sz="6" w:space="0" w:color="auto"/>
              <w:left w:val="single" w:sz="6" w:space="0" w:color="auto"/>
              <w:bottom w:val="double" w:sz="4" w:space="0" w:color="auto"/>
            </w:tcBorders>
          </w:tcPr>
          <w:p w:rsidR="006F7AD6" w:rsidRPr="0067355D" w:rsidP="00886011" w14:paraId="7674EC6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188,125</w:t>
            </w:r>
          </w:p>
        </w:tc>
        <w:tc>
          <w:tcPr>
            <w:tcW w:w="1170" w:type="dxa"/>
            <w:tcBorders>
              <w:top w:val="single" w:sz="6" w:space="0" w:color="auto"/>
              <w:left w:val="single" w:sz="6" w:space="0" w:color="auto"/>
              <w:bottom w:val="double" w:sz="4" w:space="0" w:color="auto"/>
            </w:tcBorders>
          </w:tcPr>
          <w:p w:rsidR="006F7AD6" w:rsidRPr="0067355D" w:rsidP="00886011" w14:paraId="7E9E8B4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201</w:t>
            </w:r>
            <w:r w:rsidRPr="0067355D">
              <w:rPr>
                <w:szCs w:val="22"/>
              </w:rPr>
              <w:t>,</w:t>
            </w:r>
            <w:r>
              <w:rPr>
                <w:szCs w:val="22"/>
              </w:rPr>
              <w:t>018</w:t>
            </w:r>
          </w:p>
        </w:tc>
        <w:tc>
          <w:tcPr>
            <w:tcW w:w="1170" w:type="dxa"/>
            <w:tcBorders>
              <w:top w:val="single" w:sz="6" w:space="0" w:color="auto"/>
              <w:left w:val="single" w:sz="6" w:space="0" w:color="auto"/>
              <w:bottom w:val="double" w:sz="4" w:space="0" w:color="auto"/>
              <w:right w:val="single" w:sz="6" w:space="0" w:color="auto"/>
            </w:tcBorders>
          </w:tcPr>
          <w:p w:rsidR="006F7AD6" w:rsidRPr="0067355D" w:rsidP="00886011" w14:paraId="2352FF4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w:t>
            </w:r>
            <w:r>
              <w:rPr>
                <w:szCs w:val="22"/>
              </w:rPr>
              <w:t>218</w:t>
            </w:r>
          </w:p>
        </w:tc>
        <w:tc>
          <w:tcPr>
            <w:tcW w:w="990" w:type="dxa"/>
            <w:tcBorders>
              <w:top w:val="single" w:sz="6" w:space="0" w:color="auto"/>
              <w:left w:val="single" w:sz="6" w:space="0" w:color="auto"/>
              <w:bottom w:val="double" w:sz="4" w:space="0" w:color="auto"/>
            </w:tcBorders>
          </w:tcPr>
          <w:p w:rsidR="006F7AD6" w:rsidRPr="0067355D" w:rsidP="00886011" w14:paraId="4218662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w:t>
            </w:r>
            <w:r>
              <w:rPr>
                <w:szCs w:val="22"/>
              </w:rPr>
              <w:t>225</w:t>
            </w:r>
          </w:p>
        </w:tc>
        <w:tc>
          <w:tcPr>
            <w:tcW w:w="1170" w:type="dxa"/>
            <w:tcBorders>
              <w:top w:val="single" w:sz="6" w:space="0" w:color="auto"/>
              <w:left w:val="single" w:sz="6" w:space="0" w:color="auto"/>
              <w:bottom w:val="double" w:sz="4" w:space="0" w:color="auto"/>
              <w:right w:val="double" w:sz="6" w:space="0" w:color="auto"/>
            </w:tcBorders>
          </w:tcPr>
          <w:p w:rsidR="006F7AD6" w:rsidRPr="0067355D" w:rsidP="00886011" w14:paraId="3D14408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202</w:t>
            </w:r>
            <w:r w:rsidRPr="0067355D">
              <w:rPr>
                <w:szCs w:val="22"/>
              </w:rPr>
              <w:t>,</w:t>
            </w:r>
            <w:r>
              <w:rPr>
                <w:szCs w:val="22"/>
              </w:rPr>
              <w:t>125</w:t>
            </w:r>
          </w:p>
        </w:tc>
      </w:tr>
      <w:tr w14:paraId="36FFBFD8" w14:textId="77777777" w:rsidTr="007D4238">
        <w:tblPrEx>
          <w:tblW w:w="10350" w:type="dxa"/>
          <w:tblInd w:w="-563" w:type="dxa"/>
          <w:tblLayout w:type="fixed"/>
          <w:tblCellMar>
            <w:left w:w="30" w:type="dxa"/>
            <w:right w:w="30" w:type="dxa"/>
          </w:tblCellMar>
          <w:tblLook w:val="0000"/>
        </w:tblPrEx>
        <w:tc>
          <w:tcPr>
            <w:tcW w:w="2520" w:type="dxa"/>
            <w:tcBorders>
              <w:top w:val="double" w:sz="4" w:space="0" w:color="auto"/>
              <w:left w:val="double" w:sz="6" w:space="0" w:color="auto"/>
              <w:bottom w:val="single" w:sz="4" w:space="0" w:color="auto"/>
            </w:tcBorders>
          </w:tcPr>
          <w:p w:rsidR="006F7AD6" w:rsidRPr="0067355D" w:rsidP="00886011" w14:paraId="6C4D2AE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bookmarkStart w:id="35" w:name="_Hlk520729967"/>
            <w:r w:rsidRPr="0067355D">
              <w:rPr>
                <w:szCs w:val="22"/>
              </w:rPr>
              <w:t xml:space="preserve">Cable TV Systems, including IPTV </w:t>
            </w:r>
          </w:p>
        </w:tc>
        <w:tc>
          <w:tcPr>
            <w:tcW w:w="1620" w:type="dxa"/>
            <w:tcBorders>
              <w:top w:val="double" w:sz="4" w:space="0" w:color="auto"/>
              <w:left w:val="single" w:sz="6" w:space="0" w:color="auto"/>
              <w:bottom w:val="single" w:sz="4" w:space="0" w:color="auto"/>
            </w:tcBorders>
          </w:tcPr>
          <w:p w:rsidR="006F7AD6" w:rsidRPr="0067355D" w:rsidP="00886011" w14:paraId="6774D76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57</w:t>
            </w:r>
            <w:r w:rsidRPr="0067355D">
              <w:rPr>
                <w:szCs w:val="22"/>
              </w:rPr>
              <w:t xml:space="preserve">,000,000 </w:t>
            </w:r>
          </w:p>
        </w:tc>
        <w:tc>
          <w:tcPr>
            <w:tcW w:w="450" w:type="dxa"/>
            <w:tcBorders>
              <w:top w:val="double" w:sz="4" w:space="0" w:color="auto"/>
              <w:left w:val="single" w:sz="6" w:space="0" w:color="auto"/>
              <w:bottom w:val="single" w:sz="4" w:space="0" w:color="auto"/>
            </w:tcBorders>
          </w:tcPr>
          <w:p w:rsidR="006F7AD6" w:rsidRPr="0067355D" w:rsidP="00886011" w14:paraId="0877AC3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67355D">
              <w:rPr>
                <w:szCs w:val="22"/>
              </w:rPr>
              <w:t xml:space="preserve">1 </w:t>
            </w:r>
          </w:p>
        </w:tc>
        <w:tc>
          <w:tcPr>
            <w:tcW w:w="1260" w:type="dxa"/>
            <w:tcBorders>
              <w:top w:val="double" w:sz="4" w:space="0" w:color="auto"/>
              <w:left w:val="single" w:sz="6" w:space="0" w:color="auto"/>
              <w:bottom w:val="single" w:sz="4" w:space="0" w:color="auto"/>
            </w:tcBorders>
          </w:tcPr>
          <w:p w:rsidR="006F7AD6" w:rsidRPr="0067355D" w:rsidP="00886011" w14:paraId="7217474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46,970,000</w:t>
            </w:r>
          </w:p>
        </w:tc>
        <w:tc>
          <w:tcPr>
            <w:tcW w:w="1170" w:type="dxa"/>
            <w:tcBorders>
              <w:top w:val="double" w:sz="4" w:space="0" w:color="auto"/>
              <w:left w:val="single" w:sz="6" w:space="0" w:color="auto"/>
              <w:bottom w:val="single" w:sz="4" w:space="0" w:color="auto"/>
            </w:tcBorders>
          </w:tcPr>
          <w:p w:rsidR="006F7AD6" w:rsidRPr="0067355D" w:rsidP="00886011" w14:paraId="02161B3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48</w:t>
            </w:r>
            <w:r w:rsidRPr="0067355D">
              <w:rPr>
                <w:szCs w:val="22"/>
              </w:rPr>
              <w:t>,</w:t>
            </w:r>
            <w:r>
              <w:rPr>
                <w:szCs w:val="22"/>
              </w:rPr>
              <w:t>767</w:t>
            </w:r>
            <w:r w:rsidRPr="0067355D">
              <w:rPr>
                <w:szCs w:val="22"/>
              </w:rPr>
              <w:t>,</w:t>
            </w:r>
            <w:r>
              <w:rPr>
                <w:szCs w:val="22"/>
              </w:rPr>
              <w:t>045</w:t>
            </w:r>
          </w:p>
        </w:tc>
        <w:tc>
          <w:tcPr>
            <w:tcW w:w="1170" w:type="dxa"/>
            <w:tcBorders>
              <w:top w:val="double" w:sz="4" w:space="0" w:color="auto"/>
              <w:left w:val="single" w:sz="6" w:space="0" w:color="auto"/>
              <w:bottom w:val="single" w:sz="4" w:space="0" w:color="auto"/>
              <w:right w:val="single" w:sz="6" w:space="0" w:color="auto"/>
            </w:tcBorders>
          </w:tcPr>
          <w:p w:rsidR="006F7AD6" w:rsidRPr="0067355D" w:rsidP="00886011" w14:paraId="251F4EF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w:t>
            </w:r>
            <w:r>
              <w:rPr>
                <w:szCs w:val="22"/>
              </w:rPr>
              <w:t>8556</w:t>
            </w:r>
          </w:p>
        </w:tc>
        <w:tc>
          <w:tcPr>
            <w:tcW w:w="990" w:type="dxa"/>
            <w:tcBorders>
              <w:top w:val="double" w:sz="4" w:space="0" w:color="auto"/>
              <w:left w:val="single" w:sz="6" w:space="0" w:color="auto"/>
              <w:bottom w:val="single" w:sz="4" w:space="0" w:color="auto"/>
            </w:tcBorders>
          </w:tcPr>
          <w:p w:rsidR="006F7AD6" w:rsidRPr="0067355D" w:rsidP="00886011" w14:paraId="3D25643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w:t>
            </w:r>
            <w:r>
              <w:rPr>
                <w:szCs w:val="22"/>
              </w:rPr>
              <w:t>86</w:t>
            </w:r>
          </w:p>
        </w:tc>
        <w:tc>
          <w:tcPr>
            <w:tcW w:w="1170" w:type="dxa"/>
            <w:tcBorders>
              <w:top w:val="double" w:sz="4" w:space="0" w:color="auto"/>
              <w:left w:val="single" w:sz="6" w:space="0" w:color="auto"/>
              <w:bottom w:val="single" w:sz="4" w:space="0" w:color="auto"/>
              <w:right w:val="double" w:sz="6" w:space="0" w:color="auto"/>
            </w:tcBorders>
          </w:tcPr>
          <w:p w:rsidR="006F7AD6" w:rsidRPr="0067355D" w:rsidP="00886011" w14:paraId="5E81DCC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49</w:t>
            </w:r>
            <w:r w:rsidRPr="0067355D">
              <w:rPr>
                <w:szCs w:val="22"/>
              </w:rPr>
              <w:t>,</w:t>
            </w:r>
            <w:r>
              <w:rPr>
                <w:szCs w:val="22"/>
              </w:rPr>
              <w:t>020</w:t>
            </w:r>
            <w:r w:rsidRPr="0067355D">
              <w:rPr>
                <w:szCs w:val="22"/>
              </w:rPr>
              <w:t>,000</w:t>
            </w:r>
          </w:p>
        </w:tc>
      </w:tr>
      <w:tr w14:paraId="3D43213F" w14:textId="77777777" w:rsidTr="007D4238">
        <w:tblPrEx>
          <w:tblW w:w="10350" w:type="dxa"/>
          <w:tblInd w:w="-563" w:type="dxa"/>
          <w:tblLayout w:type="fixed"/>
          <w:tblCellMar>
            <w:left w:w="30" w:type="dxa"/>
            <w:right w:w="30" w:type="dxa"/>
          </w:tblCellMar>
          <w:tblLook w:val="0000"/>
        </w:tblPrEx>
        <w:trPr>
          <w:cantSplit/>
        </w:trPr>
        <w:tc>
          <w:tcPr>
            <w:tcW w:w="2520" w:type="dxa"/>
            <w:tcBorders>
              <w:top w:val="single" w:sz="4" w:space="0" w:color="auto"/>
              <w:left w:val="double" w:sz="6" w:space="0" w:color="auto"/>
            </w:tcBorders>
          </w:tcPr>
          <w:p w:rsidR="006F7AD6" w:rsidRPr="0067355D" w:rsidP="00886011" w14:paraId="0C6F9D7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67355D">
              <w:rPr>
                <w:szCs w:val="22"/>
              </w:rPr>
              <w:t>Direct Broadcast Satellite (DBS)</w:t>
            </w:r>
          </w:p>
        </w:tc>
        <w:tc>
          <w:tcPr>
            <w:tcW w:w="1620" w:type="dxa"/>
            <w:tcBorders>
              <w:top w:val="single" w:sz="4" w:space="0" w:color="auto"/>
              <w:left w:val="single" w:sz="6" w:space="0" w:color="auto"/>
            </w:tcBorders>
          </w:tcPr>
          <w:p w:rsidR="006F7AD6" w:rsidRPr="0067355D" w:rsidP="00886011" w14:paraId="30F9539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3</w:t>
            </w:r>
            <w:r>
              <w:rPr>
                <w:szCs w:val="22"/>
              </w:rPr>
              <w:t>0</w:t>
            </w:r>
            <w:r w:rsidRPr="0067355D">
              <w:rPr>
                <w:szCs w:val="22"/>
              </w:rPr>
              <w:t>,000,000</w:t>
            </w:r>
          </w:p>
        </w:tc>
        <w:tc>
          <w:tcPr>
            <w:tcW w:w="450" w:type="dxa"/>
            <w:tcBorders>
              <w:top w:val="single" w:sz="4" w:space="0" w:color="auto"/>
              <w:left w:val="single" w:sz="6" w:space="0" w:color="auto"/>
            </w:tcBorders>
          </w:tcPr>
          <w:p w:rsidR="006F7AD6" w:rsidRPr="0067355D" w:rsidP="00886011" w14:paraId="6809CFB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67355D">
              <w:rPr>
                <w:szCs w:val="22"/>
              </w:rPr>
              <w:t>1</w:t>
            </w:r>
          </w:p>
        </w:tc>
        <w:tc>
          <w:tcPr>
            <w:tcW w:w="1260" w:type="dxa"/>
            <w:tcBorders>
              <w:top w:val="single" w:sz="4" w:space="0" w:color="auto"/>
              <w:left w:val="single" w:sz="6" w:space="0" w:color="auto"/>
            </w:tcBorders>
          </w:tcPr>
          <w:p w:rsidR="006F7AD6" w:rsidRPr="0067355D" w:rsidP="00886011" w14:paraId="5B73120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15,360,000</w:t>
            </w:r>
          </w:p>
        </w:tc>
        <w:tc>
          <w:tcPr>
            <w:tcW w:w="1170" w:type="dxa"/>
            <w:tcBorders>
              <w:top w:val="single" w:sz="4" w:space="0" w:color="auto"/>
              <w:left w:val="single" w:sz="6" w:space="0" w:color="auto"/>
            </w:tcBorders>
          </w:tcPr>
          <w:p w:rsidR="006F7AD6" w:rsidRPr="0067355D" w:rsidP="00886011" w14:paraId="688748E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w:t>
            </w:r>
            <w:r>
              <w:rPr>
                <w:szCs w:val="22"/>
              </w:rPr>
              <w:t>8</w:t>
            </w:r>
            <w:r w:rsidRPr="0067355D">
              <w:rPr>
                <w:szCs w:val="22"/>
              </w:rPr>
              <w:t>,</w:t>
            </w:r>
            <w:r>
              <w:rPr>
                <w:szCs w:val="22"/>
              </w:rPr>
              <w:t>011</w:t>
            </w:r>
            <w:r w:rsidRPr="0067355D">
              <w:rPr>
                <w:szCs w:val="22"/>
              </w:rPr>
              <w:t>,</w:t>
            </w:r>
            <w:r>
              <w:rPr>
                <w:szCs w:val="22"/>
              </w:rPr>
              <w:t>242</w:t>
            </w:r>
          </w:p>
        </w:tc>
        <w:tc>
          <w:tcPr>
            <w:tcW w:w="1170" w:type="dxa"/>
            <w:tcBorders>
              <w:top w:val="single" w:sz="4" w:space="0" w:color="auto"/>
              <w:left w:val="single" w:sz="6" w:space="0" w:color="auto"/>
              <w:right w:val="single" w:sz="6" w:space="0" w:color="auto"/>
            </w:tcBorders>
          </w:tcPr>
          <w:p w:rsidR="006F7AD6" w:rsidRPr="0067355D" w:rsidP="00886011" w14:paraId="2904556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w:t>
            </w:r>
            <w:r>
              <w:rPr>
                <w:szCs w:val="22"/>
              </w:rPr>
              <w:t>6004</w:t>
            </w:r>
          </w:p>
        </w:tc>
        <w:tc>
          <w:tcPr>
            <w:tcW w:w="990" w:type="dxa"/>
            <w:tcBorders>
              <w:top w:val="single" w:sz="4" w:space="0" w:color="auto"/>
              <w:left w:val="single" w:sz="6" w:space="0" w:color="auto"/>
            </w:tcBorders>
          </w:tcPr>
          <w:p w:rsidR="006F7AD6" w:rsidRPr="0067355D" w:rsidP="00886011" w14:paraId="264E277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w:t>
            </w:r>
            <w:r>
              <w:rPr>
                <w:szCs w:val="22"/>
              </w:rPr>
              <w:t>60</w:t>
            </w:r>
          </w:p>
        </w:tc>
        <w:tc>
          <w:tcPr>
            <w:tcW w:w="1170" w:type="dxa"/>
            <w:tcBorders>
              <w:top w:val="single" w:sz="4" w:space="0" w:color="auto"/>
              <w:left w:val="single" w:sz="6" w:space="0" w:color="auto"/>
              <w:right w:val="double" w:sz="6" w:space="0" w:color="auto"/>
            </w:tcBorders>
          </w:tcPr>
          <w:p w:rsidR="006F7AD6" w:rsidRPr="0067355D" w:rsidP="00886011" w14:paraId="1F4BE2A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w:t>
            </w:r>
            <w:r>
              <w:rPr>
                <w:szCs w:val="22"/>
              </w:rPr>
              <w:t>8</w:t>
            </w:r>
            <w:r w:rsidRPr="0067355D">
              <w:rPr>
                <w:szCs w:val="22"/>
              </w:rPr>
              <w:t>,</w:t>
            </w:r>
            <w:r>
              <w:rPr>
                <w:szCs w:val="22"/>
              </w:rPr>
              <w:t>00</w:t>
            </w:r>
            <w:r w:rsidRPr="0067355D">
              <w:rPr>
                <w:szCs w:val="22"/>
              </w:rPr>
              <w:t>0,000</w:t>
            </w:r>
          </w:p>
        </w:tc>
      </w:tr>
      <w:bookmarkEnd w:id="35"/>
      <w:tr w14:paraId="5E89C7F0" w14:textId="77777777" w:rsidTr="00886011">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6F7AD6" w:rsidRPr="0067355D" w:rsidP="00886011" w14:paraId="535F3C0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67355D">
              <w:rPr>
                <w:szCs w:val="22"/>
              </w:rPr>
              <w:t>Interstate Telecommunication Service Providers</w:t>
            </w:r>
          </w:p>
        </w:tc>
        <w:tc>
          <w:tcPr>
            <w:tcW w:w="1620" w:type="dxa"/>
            <w:tcBorders>
              <w:top w:val="single" w:sz="6" w:space="0" w:color="auto"/>
              <w:left w:val="single" w:sz="6" w:space="0" w:color="auto"/>
            </w:tcBorders>
          </w:tcPr>
          <w:p w:rsidR="006F7AD6" w:rsidRPr="0067355D" w:rsidP="00886011" w14:paraId="078F106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$3</w:t>
            </w:r>
            <w:r>
              <w:rPr>
                <w:szCs w:val="22"/>
              </w:rPr>
              <w:t>2,2</w:t>
            </w:r>
            <w:r w:rsidRPr="0067355D">
              <w:rPr>
                <w:szCs w:val="22"/>
              </w:rPr>
              <w:t xml:space="preserve">00,000,000 </w:t>
            </w:r>
          </w:p>
        </w:tc>
        <w:tc>
          <w:tcPr>
            <w:tcW w:w="450" w:type="dxa"/>
            <w:tcBorders>
              <w:top w:val="single" w:sz="6" w:space="0" w:color="auto"/>
              <w:left w:val="single" w:sz="6" w:space="0" w:color="auto"/>
            </w:tcBorders>
          </w:tcPr>
          <w:p w:rsidR="006F7AD6" w:rsidRPr="0067355D" w:rsidP="00886011" w14:paraId="1675A8F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67355D">
              <w:rPr>
                <w:szCs w:val="22"/>
              </w:rPr>
              <w:t xml:space="preserve">1 </w:t>
            </w:r>
          </w:p>
        </w:tc>
        <w:tc>
          <w:tcPr>
            <w:tcW w:w="1260" w:type="dxa"/>
            <w:tcBorders>
              <w:top w:val="single" w:sz="6" w:space="0" w:color="auto"/>
              <w:left w:val="single" w:sz="6" w:space="0" w:color="auto"/>
            </w:tcBorders>
          </w:tcPr>
          <w:p w:rsidR="006F7AD6" w:rsidRPr="0067355D" w:rsidP="00886011" w14:paraId="3AE0129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100,686</w:t>
            </w:r>
            <w:r w:rsidRPr="0067355D">
              <w:rPr>
                <w:szCs w:val="22"/>
              </w:rPr>
              <w:t>,000</w:t>
            </w:r>
          </w:p>
        </w:tc>
        <w:tc>
          <w:tcPr>
            <w:tcW w:w="1170" w:type="dxa"/>
            <w:tcBorders>
              <w:top w:val="single" w:sz="6" w:space="0" w:color="auto"/>
              <w:left w:val="single" w:sz="6" w:space="0" w:color="auto"/>
            </w:tcBorders>
          </w:tcPr>
          <w:p w:rsidR="006F7AD6" w:rsidRPr="0067355D" w:rsidP="00886011" w14:paraId="413675F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102,695</w:t>
            </w:r>
            <w:r w:rsidRPr="0067355D">
              <w:rPr>
                <w:szCs w:val="22"/>
              </w:rPr>
              <w:t>,</w:t>
            </w:r>
            <w:r>
              <w:rPr>
                <w:szCs w:val="22"/>
              </w:rPr>
              <w:t>189</w:t>
            </w:r>
          </w:p>
        </w:tc>
        <w:tc>
          <w:tcPr>
            <w:tcW w:w="1170" w:type="dxa"/>
            <w:tcBorders>
              <w:top w:val="single" w:sz="6" w:space="0" w:color="auto"/>
              <w:left w:val="single" w:sz="6" w:space="0" w:color="auto"/>
              <w:right w:val="single" w:sz="6" w:space="0" w:color="auto"/>
            </w:tcBorders>
          </w:tcPr>
          <w:p w:rsidR="006F7AD6" w:rsidRPr="0067355D" w:rsidP="00886011" w14:paraId="61592EC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0.003189</w:t>
            </w:r>
          </w:p>
        </w:tc>
        <w:tc>
          <w:tcPr>
            <w:tcW w:w="990" w:type="dxa"/>
            <w:tcBorders>
              <w:top w:val="single" w:sz="6" w:space="0" w:color="auto"/>
              <w:left w:val="single" w:sz="6" w:space="0" w:color="auto"/>
            </w:tcBorders>
          </w:tcPr>
          <w:p w:rsidR="006F7AD6" w:rsidRPr="0067355D" w:rsidP="00886011" w14:paraId="3565115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0.00319</w:t>
            </w:r>
          </w:p>
        </w:tc>
        <w:tc>
          <w:tcPr>
            <w:tcW w:w="1170" w:type="dxa"/>
            <w:tcBorders>
              <w:top w:val="single" w:sz="6" w:space="0" w:color="auto"/>
              <w:left w:val="single" w:sz="6" w:space="0" w:color="auto"/>
              <w:right w:val="double" w:sz="6" w:space="0" w:color="auto"/>
            </w:tcBorders>
          </w:tcPr>
          <w:p w:rsidR="006F7AD6" w:rsidRPr="0067355D" w:rsidP="00886011" w14:paraId="015615A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102,718</w:t>
            </w:r>
            <w:r w:rsidRPr="0067355D">
              <w:rPr>
                <w:szCs w:val="22"/>
              </w:rPr>
              <w:t>,000</w:t>
            </w:r>
          </w:p>
        </w:tc>
      </w:tr>
      <w:tr w14:paraId="0FC4329F" w14:textId="77777777" w:rsidTr="00886011">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6F7AD6" w:rsidRPr="0067355D" w:rsidP="00886011" w14:paraId="66C8305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67355D">
              <w:rPr>
                <w:szCs w:val="22"/>
              </w:rPr>
              <w:t>Toll Free Numbers</w:t>
            </w:r>
          </w:p>
        </w:tc>
        <w:tc>
          <w:tcPr>
            <w:tcW w:w="1620" w:type="dxa"/>
            <w:tcBorders>
              <w:top w:val="single" w:sz="6" w:space="0" w:color="auto"/>
              <w:left w:val="single" w:sz="6" w:space="0" w:color="auto"/>
            </w:tcBorders>
          </w:tcPr>
          <w:p w:rsidR="006F7AD6" w:rsidRPr="0067355D" w:rsidP="00886011" w14:paraId="28F312A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33,</w:t>
            </w:r>
            <w:r>
              <w:rPr>
                <w:szCs w:val="22"/>
              </w:rPr>
              <w:t>0</w:t>
            </w:r>
            <w:r w:rsidRPr="0067355D">
              <w:rPr>
                <w:szCs w:val="22"/>
              </w:rPr>
              <w:t>00,000</w:t>
            </w:r>
          </w:p>
        </w:tc>
        <w:tc>
          <w:tcPr>
            <w:tcW w:w="450" w:type="dxa"/>
            <w:tcBorders>
              <w:top w:val="single" w:sz="6" w:space="0" w:color="auto"/>
              <w:left w:val="single" w:sz="6" w:space="0" w:color="auto"/>
            </w:tcBorders>
          </w:tcPr>
          <w:p w:rsidR="006F7AD6" w:rsidRPr="0067355D" w:rsidP="00886011" w14:paraId="101E9DF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67355D">
              <w:rPr>
                <w:szCs w:val="22"/>
              </w:rPr>
              <w:t>1</w:t>
            </w:r>
          </w:p>
        </w:tc>
        <w:tc>
          <w:tcPr>
            <w:tcW w:w="1260" w:type="dxa"/>
            <w:tcBorders>
              <w:top w:val="single" w:sz="6" w:space="0" w:color="auto"/>
              <w:left w:val="single" w:sz="6" w:space="0" w:color="auto"/>
            </w:tcBorders>
          </w:tcPr>
          <w:p w:rsidR="006F7AD6" w:rsidRPr="0067355D" w:rsidP="00886011" w14:paraId="019E6FF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3,320,000</w:t>
            </w:r>
          </w:p>
        </w:tc>
        <w:tc>
          <w:tcPr>
            <w:tcW w:w="1170" w:type="dxa"/>
            <w:tcBorders>
              <w:top w:val="single" w:sz="6" w:space="0" w:color="auto"/>
              <w:left w:val="single" w:sz="6" w:space="0" w:color="auto"/>
            </w:tcBorders>
          </w:tcPr>
          <w:p w:rsidR="006F7AD6" w:rsidRPr="0067355D" w:rsidP="00886011" w14:paraId="3639ED6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3,</w:t>
            </w:r>
            <w:r>
              <w:rPr>
                <w:szCs w:val="22"/>
              </w:rPr>
              <w:t>954</w:t>
            </w:r>
            <w:r w:rsidRPr="0067355D">
              <w:rPr>
                <w:szCs w:val="22"/>
              </w:rPr>
              <w:t>,</w:t>
            </w:r>
            <w:r>
              <w:rPr>
                <w:szCs w:val="22"/>
              </w:rPr>
              <w:t>211</w:t>
            </w:r>
          </w:p>
        </w:tc>
        <w:tc>
          <w:tcPr>
            <w:tcW w:w="1170" w:type="dxa"/>
            <w:tcBorders>
              <w:top w:val="single" w:sz="6" w:space="0" w:color="auto"/>
              <w:left w:val="single" w:sz="6" w:space="0" w:color="auto"/>
              <w:right w:val="single" w:sz="6" w:space="0" w:color="auto"/>
            </w:tcBorders>
          </w:tcPr>
          <w:p w:rsidR="006F7AD6" w:rsidRPr="0067355D" w:rsidP="00886011" w14:paraId="6756969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0.1</w:t>
            </w:r>
            <w:r>
              <w:rPr>
                <w:szCs w:val="22"/>
              </w:rPr>
              <w:t>198</w:t>
            </w:r>
          </w:p>
        </w:tc>
        <w:tc>
          <w:tcPr>
            <w:tcW w:w="990" w:type="dxa"/>
            <w:tcBorders>
              <w:top w:val="single" w:sz="6" w:space="0" w:color="auto"/>
              <w:left w:val="single" w:sz="6" w:space="0" w:color="auto"/>
            </w:tcBorders>
          </w:tcPr>
          <w:p w:rsidR="006F7AD6" w:rsidRPr="0067355D" w:rsidP="00886011" w14:paraId="7FDBE6E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0.1</w:t>
            </w:r>
            <w:r>
              <w:rPr>
                <w:szCs w:val="22"/>
              </w:rPr>
              <w:t>2</w:t>
            </w:r>
          </w:p>
        </w:tc>
        <w:tc>
          <w:tcPr>
            <w:tcW w:w="1170" w:type="dxa"/>
            <w:tcBorders>
              <w:top w:val="single" w:sz="6" w:space="0" w:color="auto"/>
              <w:left w:val="single" w:sz="6" w:space="0" w:color="auto"/>
              <w:right w:val="double" w:sz="6" w:space="0" w:color="auto"/>
            </w:tcBorders>
          </w:tcPr>
          <w:p w:rsidR="006F7AD6" w:rsidRPr="0067355D" w:rsidP="00886011" w14:paraId="323754F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3,</w:t>
            </w:r>
            <w:r>
              <w:rPr>
                <w:szCs w:val="22"/>
              </w:rPr>
              <w:t>960</w:t>
            </w:r>
            <w:r w:rsidRPr="0067355D">
              <w:rPr>
                <w:szCs w:val="22"/>
              </w:rPr>
              <w:t>,000</w:t>
            </w:r>
          </w:p>
        </w:tc>
      </w:tr>
      <w:tr w14:paraId="193CF63A" w14:textId="77777777" w:rsidTr="00886011">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6F7AD6" w:rsidRPr="0067355D" w:rsidP="00886011" w14:paraId="74D6C6E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67355D">
              <w:rPr>
                <w:szCs w:val="22"/>
              </w:rPr>
              <w:t>CMRS Mobile Services (Cellular/Public Mobile)</w:t>
            </w:r>
          </w:p>
        </w:tc>
        <w:tc>
          <w:tcPr>
            <w:tcW w:w="1620" w:type="dxa"/>
            <w:tcBorders>
              <w:top w:val="single" w:sz="6" w:space="0" w:color="auto"/>
              <w:left w:val="single" w:sz="6" w:space="0" w:color="auto"/>
            </w:tcBorders>
          </w:tcPr>
          <w:p w:rsidR="006F7AD6" w:rsidRPr="0067355D" w:rsidP="00886011" w14:paraId="6E98FD7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4</w:t>
            </w:r>
            <w:r>
              <w:rPr>
                <w:szCs w:val="22"/>
              </w:rPr>
              <w:t>21</w:t>
            </w:r>
            <w:r w:rsidRPr="0067355D">
              <w:rPr>
                <w:szCs w:val="22"/>
              </w:rPr>
              <w:t xml:space="preserve">,000,000 </w:t>
            </w:r>
          </w:p>
        </w:tc>
        <w:tc>
          <w:tcPr>
            <w:tcW w:w="450" w:type="dxa"/>
            <w:tcBorders>
              <w:top w:val="single" w:sz="6" w:space="0" w:color="auto"/>
              <w:left w:val="single" w:sz="6" w:space="0" w:color="auto"/>
            </w:tcBorders>
          </w:tcPr>
          <w:p w:rsidR="006F7AD6" w:rsidRPr="0067355D" w:rsidP="00886011" w14:paraId="7E40493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67355D">
              <w:rPr>
                <w:szCs w:val="22"/>
              </w:rPr>
              <w:t xml:space="preserve">1 </w:t>
            </w:r>
          </w:p>
        </w:tc>
        <w:tc>
          <w:tcPr>
            <w:tcW w:w="1260" w:type="dxa"/>
            <w:tcBorders>
              <w:top w:val="single" w:sz="6" w:space="0" w:color="auto"/>
              <w:left w:val="single" w:sz="6" w:space="0" w:color="auto"/>
            </w:tcBorders>
          </w:tcPr>
          <w:p w:rsidR="006F7AD6" w:rsidRPr="0067355D" w:rsidP="00886011" w14:paraId="0346C45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80,</w:t>
            </w:r>
            <w:r>
              <w:rPr>
                <w:szCs w:val="22"/>
              </w:rPr>
              <w:t>8</w:t>
            </w:r>
            <w:r w:rsidRPr="0067355D">
              <w:rPr>
                <w:szCs w:val="22"/>
              </w:rPr>
              <w:t>00,000</w:t>
            </w:r>
          </w:p>
        </w:tc>
        <w:tc>
          <w:tcPr>
            <w:tcW w:w="1170" w:type="dxa"/>
            <w:tcBorders>
              <w:top w:val="single" w:sz="6" w:space="0" w:color="auto"/>
              <w:left w:val="single" w:sz="6" w:space="0" w:color="auto"/>
            </w:tcBorders>
          </w:tcPr>
          <w:p w:rsidR="006F7AD6" w:rsidRPr="0067355D" w:rsidP="00886011" w14:paraId="4CE6F7F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78</w:t>
            </w:r>
            <w:r w:rsidRPr="0067355D">
              <w:rPr>
                <w:szCs w:val="22"/>
              </w:rPr>
              <w:t>,</w:t>
            </w:r>
            <w:r>
              <w:rPr>
                <w:szCs w:val="22"/>
              </w:rPr>
              <w:t>424</w:t>
            </w:r>
            <w:r w:rsidRPr="0067355D">
              <w:rPr>
                <w:szCs w:val="22"/>
              </w:rPr>
              <w:t>,</w:t>
            </w:r>
            <w:r>
              <w:rPr>
                <w:szCs w:val="22"/>
              </w:rPr>
              <w:t>217</w:t>
            </w:r>
          </w:p>
        </w:tc>
        <w:tc>
          <w:tcPr>
            <w:tcW w:w="1170" w:type="dxa"/>
            <w:tcBorders>
              <w:top w:val="single" w:sz="6" w:space="0" w:color="auto"/>
              <w:left w:val="single" w:sz="6" w:space="0" w:color="auto"/>
              <w:right w:val="single" w:sz="6" w:space="0" w:color="auto"/>
            </w:tcBorders>
          </w:tcPr>
          <w:p w:rsidR="006F7AD6" w:rsidRPr="0067355D" w:rsidP="00886011" w14:paraId="53C3F86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0.1</w:t>
            </w:r>
            <w:r>
              <w:rPr>
                <w:szCs w:val="22"/>
              </w:rPr>
              <w:t>863</w:t>
            </w:r>
          </w:p>
        </w:tc>
        <w:tc>
          <w:tcPr>
            <w:tcW w:w="990" w:type="dxa"/>
            <w:tcBorders>
              <w:top w:val="single" w:sz="6" w:space="0" w:color="auto"/>
              <w:left w:val="single" w:sz="6" w:space="0" w:color="auto"/>
            </w:tcBorders>
          </w:tcPr>
          <w:p w:rsidR="006F7AD6" w:rsidRPr="0067355D" w:rsidP="00886011" w14:paraId="201D7C4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0.</w:t>
            </w:r>
            <w:r>
              <w:rPr>
                <w:szCs w:val="22"/>
              </w:rPr>
              <w:t>19</w:t>
            </w:r>
          </w:p>
        </w:tc>
        <w:tc>
          <w:tcPr>
            <w:tcW w:w="1170" w:type="dxa"/>
            <w:tcBorders>
              <w:top w:val="single" w:sz="6" w:space="0" w:color="auto"/>
              <w:left w:val="single" w:sz="6" w:space="0" w:color="auto"/>
              <w:right w:val="double" w:sz="6" w:space="0" w:color="auto"/>
            </w:tcBorders>
          </w:tcPr>
          <w:p w:rsidR="006F7AD6" w:rsidRPr="0067355D" w:rsidP="00886011" w14:paraId="2636A3F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79</w:t>
            </w:r>
            <w:r w:rsidRPr="0067355D">
              <w:rPr>
                <w:szCs w:val="22"/>
              </w:rPr>
              <w:t>,</w:t>
            </w:r>
            <w:r>
              <w:rPr>
                <w:szCs w:val="22"/>
              </w:rPr>
              <w:t>990</w:t>
            </w:r>
            <w:r w:rsidRPr="0067355D">
              <w:rPr>
                <w:szCs w:val="22"/>
              </w:rPr>
              <w:t>,000</w:t>
            </w:r>
          </w:p>
        </w:tc>
      </w:tr>
      <w:tr w14:paraId="2499ED56" w14:textId="77777777" w:rsidTr="00886011">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6F7AD6" w:rsidRPr="0067355D" w:rsidP="00886011" w14:paraId="52BECB1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67355D">
              <w:rPr>
                <w:szCs w:val="22"/>
              </w:rPr>
              <w:t>CMRS Messag. Services</w:t>
            </w:r>
          </w:p>
        </w:tc>
        <w:tc>
          <w:tcPr>
            <w:tcW w:w="1620" w:type="dxa"/>
            <w:tcBorders>
              <w:top w:val="single" w:sz="6" w:space="0" w:color="auto"/>
              <w:left w:val="single" w:sz="6" w:space="0" w:color="auto"/>
            </w:tcBorders>
          </w:tcPr>
          <w:p w:rsidR="006F7AD6" w:rsidRPr="0067355D" w:rsidP="00886011" w14:paraId="7C81F7C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w:t>
            </w:r>
            <w:r>
              <w:rPr>
                <w:szCs w:val="22"/>
              </w:rPr>
              <w:t>9</w:t>
            </w:r>
            <w:r w:rsidRPr="0067355D">
              <w:rPr>
                <w:szCs w:val="22"/>
              </w:rPr>
              <w:t xml:space="preserve">00,000 </w:t>
            </w:r>
          </w:p>
        </w:tc>
        <w:tc>
          <w:tcPr>
            <w:tcW w:w="450" w:type="dxa"/>
            <w:tcBorders>
              <w:top w:val="single" w:sz="6" w:space="0" w:color="auto"/>
              <w:left w:val="single" w:sz="6" w:space="0" w:color="auto"/>
            </w:tcBorders>
          </w:tcPr>
          <w:p w:rsidR="006F7AD6" w:rsidRPr="0067355D" w:rsidP="00886011" w14:paraId="210BD05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67355D">
              <w:rPr>
                <w:szCs w:val="22"/>
              </w:rPr>
              <w:t xml:space="preserve">1 </w:t>
            </w:r>
          </w:p>
        </w:tc>
        <w:tc>
          <w:tcPr>
            <w:tcW w:w="1260" w:type="dxa"/>
            <w:tcBorders>
              <w:top w:val="single" w:sz="6" w:space="0" w:color="auto"/>
              <w:left w:val="single" w:sz="6" w:space="0" w:color="auto"/>
            </w:tcBorders>
          </w:tcPr>
          <w:p w:rsidR="006F7AD6" w:rsidRPr="0067355D" w:rsidP="00886011" w14:paraId="5D441F8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80,000</w:t>
            </w:r>
          </w:p>
        </w:tc>
        <w:tc>
          <w:tcPr>
            <w:tcW w:w="1170" w:type="dxa"/>
            <w:tcBorders>
              <w:top w:val="single" w:sz="6" w:space="0" w:color="auto"/>
              <w:left w:val="single" w:sz="6" w:space="0" w:color="auto"/>
            </w:tcBorders>
          </w:tcPr>
          <w:p w:rsidR="006F7AD6" w:rsidRPr="0067355D" w:rsidP="00886011" w14:paraId="197A3EE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152</w:t>
            </w:r>
            <w:r w:rsidRPr="0067355D">
              <w:rPr>
                <w:szCs w:val="22"/>
              </w:rPr>
              <w:t>,000</w:t>
            </w:r>
          </w:p>
        </w:tc>
        <w:tc>
          <w:tcPr>
            <w:tcW w:w="1170" w:type="dxa"/>
            <w:tcBorders>
              <w:top w:val="single" w:sz="6" w:space="0" w:color="auto"/>
              <w:left w:val="single" w:sz="6" w:space="0" w:color="auto"/>
              <w:right w:val="single" w:sz="6" w:space="0" w:color="auto"/>
            </w:tcBorders>
          </w:tcPr>
          <w:p w:rsidR="006F7AD6" w:rsidRPr="0067355D" w:rsidP="00886011" w14:paraId="01CD15D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0.0800</w:t>
            </w:r>
          </w:p>
        </w:tc>
        <w:tc>
          <w:tcPr>
            <w:tcW w:w="990" w:type="dxa"/>
            <w:tcBorders>
              <w:top w:val="single" w:sz="6" w:space="0" w:color="auto"/>
              <w:left w:val="single" w:sz="6" w:space="0" w:color="auto"/>
            </w:tcBorders>
          </w:tcPr>
          <w:p w:rsidR="006F7AD6" w:rsidRPr="0067355D" w:rsidP="00886011" w14:paraId="33CBA9B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0.080</w:t>
            </w:r>
          </w:p>
        </w:tc>
        <w:tc>
          <w:tcPr>
            <w:tcW w:w="1170" w:type="dxa"/>
            <w:tcBorders>
              <w:top w:val="single" w:sz="6" w:space="0" w:color="auto"/>
              <w:left w:val="single" w:sz="6" w:space="0" w:color="auto"/>
              <w:right w:val="double" w:sz="6" w:space="0" w:color="auto"/>
            </w:tcBorders>
          </w:tcPr>
          <w:p w:rsidR="006F7AD6" w:rsidRPr="0067355D" w:rsidP="00886011" w14:paraId="273B2F7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152</w:t>
            </w:r>
            <w:r w:rsidRPr="0067355D">
              <w:rPr>
                <w:szCs w:val="22"/>
              </w:rPr>
              <w:t>,000</w:t>
            </w:r>
          </w:p>
        </w:tc>
      </w:tr>
      <w:tr w14:paraId="32598A62" w14:textId="77777777" w:rsidTr="00886011">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6F7AD6" w:rsidRPr="0067355D" w:rsidP="00886011" w14:paraId="4032B9A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67355D">
              <w:rPr>
                <w:szCs w:val="22"/>
              </w:rPr>
              <w:t>BRS</w:t>
            </w:r>
            <w:r>
              <w:rPr>
                <w:szCs w:val="22"/>
              </w:rPr>
              <w:t>/</w:t>
            </w:r>
            <w:r>
              <w:rPr>
                <w:szCs w:val="22"/>
                <w:vertAlign w:val="superscript"/>
              </w:rPr>
              <w:t>3</w:t>
            </w:r>
          </w:p>
          <w:p w:rsidR="006F7AD6" w:rsidRPr="0067355D" w:rsidP="00886011" w14:paraId="750A465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67355D">
              <w:rPr>
                <w:szCs w:val="22"/>
              </w:rPr>
              <w:t xml:space="preserve">LMDS </w:t>
            </w:r>
          </w:p>
          <w:p w:rsidR="006F7AD6" w:rsidRPr="0067355D" w:rsidP="00886011" w14:paraId="26385FC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p>
        </w:tc>
        <w:tc>
          <w:tcPr>
            <w:tcW w:w="1620" w:type="dxa"/>
            <w:tcBorders>
              <w:top w:val="single" w:sz="6" w:space="0" w:color="auto"/>
              <w:left w:val="single" w:sz="6" w:space="0" w:color="auto"/>
            </w:tcBorders>
          </w:tcPr>
          <w:p w:rsidR="006F7AD6" w:rsidRPr="0067355D" w:rsidP="00886011" w14:paraId="5BC0154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w:t>
            </w:r>
            <w:r>
              <w:rPr>
                <w:szCs w:val="22"/>
              </w:rPr>
              <w:t>260</w:t>
            </w:r>
          </w:p>
          <w:p w:rsidR="006F7AD6" w:rsidRPr="0067355D" w:rsidP="00886011" w14:paraId="72FE6FB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140</w:t>
            </w:r>
          </w:p>
          <w:p w:rsidR="006F7AD6" w:rsidRPr="0067355D" w:rsidP="00886011" w14:paraId="261158B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p>
        </w:tc>
        <w:tc>
          <w:tcPr>
            <w:tcW w:w="450" w:type="dxa"/>
            <w:tcBorders>
              <w:top w:val="single" w:sz="6" w:space="0" w:color="auto"/>
              <w:left w:val="single" w:sz="6" w:space="0" w:color="auto"/>
            </w:tcBorders>
          </w:tcPr>
          <w:p w:rsidR="006F7AD6" w:rsidRPr="0067355D" w:rsidP="00886011" w14:paraId="0284263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67355D">
              <w:rPr>
                <w:szCs w:val="22"/>
              </w:rPr>
              <w:t>1</w:t>
            </w:r>
          </w:p>
          <w:p w:rsidR="006F7AD6" w:rsidRPr="0067355D" w:rsidP="00886011" w14:paraId="22BBC4E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67355D">
              <w:rPr>
                <w:szCs w:val="22"/>
              </w:rPr>
              <w:t xml:space="preserve">1 </w:t>
            </w:r>
          </w:p>
          <w:p w:rsidR="006F7AD6" w:rsidRPr="0067355D" w:rsidP="00886011" w14:paraId="187CD9F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p>
        </w:tc>
        <w:tc>
          <w:tcPr>
            <w:tcW w:w="1260" w:type="dxa"/>
            <w:tcBorders>
              <w:top w:val="single" w:sz="6" w:space="0" w:color="auto"/>
              <w:left w:val="single" w:sz="6" w:space="0" w:color="auto"/>
            </w:tcBorders>
          </w:tcPr>
          <w:p w:rsidR="006F7AD6" w:rsidRPr="0067355D" w:rsidP="00886011" w14:paraId="08C2844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705,000</w:t>
            </w:r>
          </w:p>
          <w:p w:rsidR="006F7AD6" w:rsidRPr="0067355D" w:rsidP="00886011" w14:paraId="2958ECA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240,000</w:t>
            </w:r>
          </w:p>
        </w:tc>
        <w:tc>
          <w:tcPr>
            <w:tcW w:w="1170" w:type="dxa"/>
            <w:tcBorders>
              <w:top w:val="single" w:sz="6" w:space="0" w:color="auto"/>
              <w:left w:val="single" w:sz="6" w:space="0" w:color="auto"/>
            </w:tcBorders>
          </w:tcPr>
          <w:p w:rsidR="006F7AD6" w:rsidRPr="0067355D" w:rsidP="00886011" w14:paraId="537AEB1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869</w:t>
            </w:r>
            <w:r w:rsidRPr="0067355D">
              <w:rPr>
                <w:szCs w:val="22"/>
              </w:rPr>
              <w:t>,</w:t>
            </w:r>
            <w:r>
              <w:rPr>
                <w:szCs w:val="22"/>
              </w:rPr>
              <w:t>400</w:t>
            </w:r>
          </w:p>
          <w:p w:rsidR="006F7AD6" w:rsidRPr="0067355D" w:rsidP="00886011" w14:paraId="2D992B2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96</w:t>
            </w:r>
            <w:r w:rsidRPr="0067355D">
              <w:rPr>
                <w:szCs w:val="22"/>
              </w:rPr>
              <w:t>,</w:t>
            </w:r>
            <w:r>
              <w:rPr>
                <w:szCs w:val="22"/>
              </w:rPr>
              <w:t>600</w:t>
            </w:r>
          </w:p>
        </w:tc>
        <w:tc>
          <w:tcPr>
            <w:tcW w:w="1170" w:type="dxa"/>
            <w:tcBorders>
              <w:top w:val="single" w:sz="6" w:space="0" w:color="auto"/>
              <w:left w:val="single" w:sz="6" w:space="0" w:color="auto"/>
              <w:right w:val="single" w:sz="6" w:space="0" w:color="auto"/>
            </w:tcBorders>
          </w:tcPr>
          <w:p w:rsidR="006F7AD6" w:rsidRPr="0067355D" w:rsidP="00886011" w14:paraId="6818EBD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6</w:t>
            </w:r>
            <w:r>
              <w:rPr>
                <w:szCs w:val="22"/>
              </w:rPr>
              <w:t>90</w:t>
            </w:r>
          </w:p>
          <w:p w:rsidR="006F7AD6" w:rsidRPr="0067355D" w:rsidP="00886011" w14:paraId="1F1CF9F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6</w:t>
            </w:r>
            <w:r>
              <w:rPr>
                <w:szCs w:val="22"/>
              </w:rPr>
              <w:t>90</w:t>
            </w:r>
          </w:p>
        </w:tc>
        <w:tc>
          <w:tcPr>
            <w:tcW w:w="990" w:type="dxa"/>
            <w:tcBorders>
              <w:top w:val="single" w:sz="6" w:space="0" w:color="auto"/>
              <w:left w:val="single" w:sz="6" w:space="0" w:color="auto"/>
            </w:tcBorders>
          </w:tcPr>
          <w:p w:rsidR="006F7AD6" w:rsidRPr="0067355D" w:rsidP="00886011" w14:paraId="35AF390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6</w:t>
            </w:r>
            <w:r>
              <w:rPr>
                <w:szCs w:val="22"/>
              </w:rPr>
              <w:t>9</w:t>
            </w:r>
            <w:r w:rsidRPr="0067355D">
              <w:rPr>
                <w:szCs w:val="22"/>
              </w:rPr>
              <w:t>0</w:t>
            </w:r>
          </w:p>
          <w:p w:rsidR="006F7AD6" w:rsidRPr="0067355D" w:rsidP="00886011" w14:paraId="1E2C6EE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6</w:t>
            </w:r>
            <w:r>
              <w:rPr>
                <w:szCs w:val="22"/>
              </w:rPr>
              <w:t>9</w:t>
            </w:r>
            <w:r w:rsidRPr="0067355D">
              <w:rPr>
                <w:szCs w:val="22"/>
              </w:rPr>
              <w:t>0</w:t>
            </w:r>
          </w:p>
          <w:p w:rsidR="006F7AD6" w:rsidRPr="0067355D" w:rsidP="00886011" w14:paraId="29A7833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p>
        </w:tc>
        <w:tc>
          <w:tcPr>
            <w:tcW w:w="1170" w:type="dxa"/>
            <w:tcBorders>
              <w:top w:val="single" w:sz="6" w:space="0" w:color="auto"/>
              <w:left w:val="single" w:sz="6" w:space="0" w:color="auto"/>
              <w:right w:val="double" w:sz="6" w:space="0" w:color="auto"/>
            </w:tcBorders>
          </w:tcPr>
          <w:p w:rsidR="006F7AD6" w:rsidRPr="0067355D" w:rsidP="00886011" w14:paraId="1A60982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869</w:t>
            </w:r>
            <w:r w:rsidRPr="0067355D">
              <w:rPr>
                <w:szCs w:val="22"/>
              </w:rPr>
              <w:t>,</w:t>
            </w:r>
            <w:r>
              <w:rPr>
                <w:szCs w:val="22"/>
              </w:rPr>
              <w:t>4</w:t>
            </w:r>
            <w:r w:rsidRPr="0067355D">
              <w:rPr>
                <w:szCs w:val="22"/>
              </w:rPr>
              <w:t>00</w:t>
            </w:r>
          </w:p>
          <w:p w:rsidR="006F7AD6" w:rsidRPr="0067355D" w:rsidP="00886011" w14:paraId="06BA40E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96</w:t>
            </w:r>
            <w:r w:rsidRPr="0067355D">
              <w:rPr>
                <w:szCs w:val="22"/>
              </w:rPr>
              <w:t>,</w:t>
            </w:r>
            <w:r>
              <w:rPr>
                <w:szCs w:val="22"/>
              </w:rPr>
              <w:t>6</w:t>
            </w:r>
            <w:r w:rsidRPr="0067355D">
              <w:rPr>
                <w:szCs w:val="22"/>
              </w:rPr>
              <w:t>00</w:t>
            </w:r>
          </w:p>
        </w:tc>
      </w:tr>
      <w:tr w14:paraId="737623AB" w14:textId="77777777" w:rsidTr="00886011">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6F7AD6" w:rsidRPr="0067355D" w:rsidP="00886011" w14:paraId="301E939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67355D">
              <w:rPr>
                <w:szCs w:val="22"/>
              </w:rPr>
              <w:t xml:space="preserve">Per </w:t>
            </w:r>
            <w:r>
              <w:rPr>
                <w:szCs w:val="22"/>
              </w:rPr>
              <w:t>Gbps circuit</w:t>
            </w:r>
            <w:r w:rsidRPr="0067355D">
              <w:rPr>
                <w:szCs w:val="22"/>
              </w:rPr>
              <w:t xml:space="preserve"> Int’l Bearer Circuits </w:t>
            </w:r>
          </w:p>
          <w:p w:rsidR="006F7AD6" w:rsidRPr="0067355D" w:rsidP="00886011" w14:paraId="2011C8D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67355D">
              <w:rPr>
                <w:szCs w:val="22"/>
              </w:rPr>
              <w:t>Terrestrial (Common</w:t>
            </w:r>
            <w:r>
              <w:rPr>
                <w:szCs w:val="22"/>
              </w:rPr>
              <w:t xml:space="preserve"> &amp; Non-Common</w:t>
            </w:r>
            <w:r w:rsidRPr="0067355D">
              <w:rPr>
                <w:szCs w:val="22"/>
              </w:rPr>
              <w:t xml:space="preserve">) &amp; Satellite (Common &amp; Non-Common) </w:t>
            </w:r>
          </w:p>
        </w:tc>
        <w:tc>
          <w:tcPr>
            <w:tcW w:w="1620" w:type="dxa"/>
            <w:tcBorders>
              <w:top w:val="single" w:sz="6" w:space="0" w:color="auto"/>
              <w:left w:val="single" w:sz="6" w:space="0" w:color="auto"/>
            </w:tcBorders>
          </w:tcPr>
          <w:p w:rsidR="006F7AD6" w:rsidRPr="0067355D" w:rsidP="00886011" w14:paraId="65530C5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7,440</w:t>
            </w:r>
            <w:r w:rsidRPr="0067355D">
              <w:rPr>
                <w:szCs w:val="22"/>
              </w:rPr>
              <w:t xml:space="preserve"> </w:t>
            </w:r>
          </w:p>
        </w:tc>
        <w:tc>
          <w:tcPr>
            <w:tcW w:w="450" w:type="dxa"/>
            <w:tcBorders>
              <w:top w:val="single" w:sz="6" w:space="0" w:color="auto"/>
              <w:left w:val="single" w:sz="6" w:space="0" w:color="auto"/>
            </w:tcBorders>
          </w:tcPr>
          <w:p w:rsidR="006F7AD6" w:rsidRPr="0067355D" w:rsidP="00886011" w14:paraId="3E0E3C5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67355D">
              <w:rPr>
                <w:szCs w:val="22"/>
              </w:rPr>
              <w:t xml:space="preserve">1 </w:t>
            </w:r>
          </w:p>
        </w:tc>
        <w:tc>
          <w:tcPr>
            <w:tcW w:w="1260" w:type="dxa"/>
            <w:tcBorders>
              <w:top w:val="single" w:sz="6" w:space="0" w:color="auto"/>
              <w:left w:val="single" w:sz="6" w:space="0" w:color="auto"/>
            </w:tcBorders>
          </w:tcPr>
          <w:p w:rsidR="006F7AD6" w:rsidRPr="0067355D" w:rsidP="00886011" w14:paraId="432D359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685,102</w:t>
            </w:r>
          </w:p>
        </w:tc>
        <w:tc>
          <w:tcPr>
            <w:tcW w:w="1170" w:type="dxa"/>
            <w:tcBorders>
              <w:top w:val="single" w:sz="6" w:space="0" w:color="auto"/>
              <w:left w:val="single" w:sz="6" w:space="0" w:color="auto"/>
            </w:tcBorders>
          </w:tcPr>
          <w:p w:rsidR="006F7AD6" w:rsidRPr="0067355D" w:rsidP="00886011" w14:paraId="386E8C5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900,785</w:t>
            </w:r>
          </w:p>
        </w:tc>
        <w:tc>
          <w:tcPr>
            <w:tcW w:w="1170" w:type="dxa"/>
            <w:tcBorders>
              <w:top w:val="single" w:sz="6" w:space="0" w:color="auto"/>
              <w:left w:val="single" w:sz="6" w:space="0" w:color="auto"/>
              <w:right w:val="single" w:sz="6" w:space="0" w:color="auto"/>
            </w:tcBorders>
          </w:tcPr>
          <w:p w:rsidR="006F7AD6" w:rsidRPr="0067355D" w:rsidP="00886011" w14:paraId="040BE52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121.073</w:t>
            </w:r>
          </w:p>
        </w:tc>
        <w:tc>
          <w:tcPr>
            <w:tcW w:w="990" w:type="dxa"/>
            <w:tcBorders>
              <w:top w:val="single" w:sz="6" w:space="0" w:color="auto"/>
              <w:left w:val="single" w:sz="6" w:space="0" w:color="auto"/>
            </w:tcBorders>
          </w:tcPr>
          <w:p w:rsidR="006F7AD6" w:rsidRPr="0067355D" w:rsidP="00886011" w14:paraId="57634F2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121</w:t>
            </w:r>
          </w:p>
        </w:tc>
        <w:tc>
          <w:tcPr>
            <w:tcW w:w="1170" w:type="dxa"/>
            <w:tcBorders>
              <w:top w:val="single" w:sz="6" w:space="0" w:color="auto"/>
              <w:left w:val="single" w:sz="6" w:space="0" w:color="auto"/>
              <w:right w:val="double" w:sz="6" w:space="0" w:color="auto"/>
            </w:tcBorders>
          </w:tcPr>
          <w:p w:rsidR="006F7AD6" w:rsidRPr="0067355D" w:rsidP="00886011" w14:paraId="17DF7AC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900,240</w:t>
            </w:r>
          </w:p>
        </w:tc>
      </w:tr>
      <w:tr w14:paraId="1B12DC6D" w14:textId="77777777" w:rsidTr="00886011">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6F7AD6" w:rsidRPr="0067355D" w:rsidP="00886011" w14:paraId="16434F3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67355D">
              <w:rPr>
                <w:szCs w:val="22"/>
              </w:rPr>
              <w:t>Submarine Cable Providers</w:t>
            </w:r>
            <w:r>
              <w:rPr>
                <w:szCs w:val="22"/>
              </w:rPr>
              <w:t xml:space="preserve"> (See chart at bottom of Appendix B)</w:t>
            </w:r>
            <w:r>
              <w:rPr>
                <w:szCs w:val="22"/>
                <w:vertAlign w:val="superscript"/>
              </w:rPr>
              <w:t>4</w:t>
            </w:r>
          </w:p>
        </w:tc>
        <w:tc>
          <w:tcPr>
            <w:tcW w:w="1620" w:type="dxa"/>
            <w:tcBorders>
              <w:top w:val="single" w:sz="6" w:space="0" w:color="auto"/>
              <w:left w:val="single" w:sz="6" w:space="0" w:color="auto"/>
            </w:tcBorders>
          </w:tcPr>
          <w:p w:rsidR="006F7AD6" w:rsidRPr="0067355D" w:rsidP="00886011" w14:paraId="2F436AD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38</w:t>
            </w:r>
            <w:r w:rsidRPr="0067355D">
              <w:rPr>
                <w:szCs w:val="22"/>
              </w:rPr>
              <w:t>.</w:t>
            </w:r>
            <w:r>
              <w:rPr>
                <w:szCs w:val="22"/>
              </w:rPr>
              <w:t>00</w:t>
            </w:r>
          </w:p>
        </w:tc>
        <w:tc>
          <w:tcPr>
            <w:tcW w:w="450" w:type="dxa"/>
            <w:tcBorders>
              <w:top w:val="single" w:sz="6" w:space="0" w:color="auto"/>
              <w:left w:val="single" w:sz="6" w:space="0" w:color="auto"/>
            </w:tcBorders>
          </w:tcPr>
          <w:p w:rsidR="006F7AD6" w:rsidRPr="0067355D" w:rsidP="00886011" w14:paraId="486797B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67355D">
              <w:rPr>
                <w:szCs w:val="22"/>
              </w:rPr>
              <w:t xml:space="preserve">1 </w:t>
            </w:r>
          </w:p>
        </w:tc>
        <w:tc>
          <w:tcPr>
            <w:tcW w:w="1260" w:type="dxa"/>
            <w:tcBorders>
              <w:top w:val="single" w:sz="6" w:space="0" w:color="auto"/>
              <w:left w:val="single" w:sz="6" w:space="0" w:color="auto"/>
            </w:tcBorders>
          </w:tcPr>
          <w:p w:rsidR="006F7AD6" w:rsidRPr="0067355D" w:rsidP="00886011" w14:paraId="49345C3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4,959,035</w:t>
            </w:r>
          </w:p>
        </w:tc>
        <w:tc>
          <w:tcPr>
            <w:tcW w:w="1170" w:type="dxa"/>
            <w:tcBorders>
              <w:top w:val="single" w:sz="6" w:space="0" w:color="auto"/>
              <w:left w:val="single" w:sz="6" w:space="0" w:color="auto"/>
            </w:tcBorders>
          </w:tcPr>
          <w:p w:rsidR="006F7AD6" w:rsidRPr="0067355D" w:rsidP="00886011" w14:paraId="78C272C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6</w:t>
            </w:r>
            <w:r w:rsidRPr="0067355D">
              <w:rPr>
                <w:szCs w:val="22"/>
              </w:rPr>
              <w:t>,</w:t>
            </w:r>
            <w:r>
              <w:rPr>
                <w:szCs w:val="22"/>
              </w:rPr>
              <w:t>363</w:t>
            </w:r>
            <w:r w:rsidRPr="0067355D">
              <w:rPr>
                <w:szCs w:val="22"/>
              </w:rPr>
              <w:t>,</w:t>
            </w:r>
            <w:r>
              <w:rPr>
                <w:szCs w:val="22"/>
              </w:rPr>
              <w:t>608</w:t>
            </w:r>
          </w:p>
        </w:tc>
        <w:tc>
          <w:tcPr>
            <w:tcW w:w="1170" w:type="dxa"/>
            <w:tcBorders>
              <w:top w:val="single" w:sz="6" w:space="0" w:color="auto"/>
              <w:left w:val="single" w:sz="6" w:space="0" w:color="auto"/>
              <w:right w:val="single" w:sz="6" w:space="0" w:color="auto"/>
            </w:tcBorders>
          </w:tcPr>
          <w:p w:rsidR="006F7AD6" w:rsidRPr="0067355D" w:rsidP="00886011" w14:paraId="56BB5E5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w:t>
            </w:r>
            <w:r>
              <w:rPr>
                <w:szCs w:val="22"/>
              </w:rPr>
              <w:t>67</w:t>
            </w:r>
            <w:r w:rsidRPr="0067355D">
              <w:rPr>
                <w:szCs w:val="22"/>
              </w:rPr>
              <w:t>,</w:t>
            </w:r>
            <w:r>
              <w:rPr>
                <w:szCs w:val="22"/>
              </w:rPr>
              <w:t>463</w:t>
            </w:r>
          </w:p>
        </w:tc>
        <w:tc>
          <w:tcPr>
            <w:tcW w:w="990" w:type="dxa"/>
            <w:tcBorders>
              <w:top w:val="single" w:sz="6" w:space="0" w:color="auto"/>
              <w:left w:val="single" w:sz="6" w:space="0" w:color="auto"/>
            </w:tcBorders>
          </w:tcPr>
          <w:p w:rsidR="006F7AD6" w:rsidRPr="0067355D" w:rsidP="00886011" w14:paraId="6D1E31A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w:t>
            </w:r>
            <w:r>
              <w:rPr>
                <w:szCs w:val="22"/>
              </w:rPr>
              <w:t>67</w:t>
            </w:r>
            <w:r w:rsidRPr="0067355D">
              <w:rPr>
                <w:szCs w:val="22"/>
              </w:rPr>
              <w:t>,</w:t>
            </w:r>
            <w:r>
              <w:rPr>
                <w:szCs w:val="22"/>
              </w:rPr>
              <w:t>475</w:t>
            </w:r>
          </w:p>
        </w:tc>
        <w:tc>
          <w:tcPr>
            <w:tcW w:w="1170" w:type="dxa"/>
            <w:tcBorders>
              <w:top w:val="single" w:sz="6" w:space="0" w:color="auto"/>
              <w:left w:val="single" w:sz="6" w:space="0" w:color="auto"/>
              <w:right w:val="double" w:sz="6" w:space="0" w:color="auto"/>
            </w:tcBorders>
          </w:tcPr>
          <w:p w:rsidR="006F7AD6" w:rsidRPr="0067355D" w:rsidP="00886011" w14:paraId="3A63A08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6</w:t>
            </w:r>
            <w:r w:rsidRPr="0067355D">
              <w:rPr>
                <w:szCs w:val="22"/>
              </w:rPr>
              <w:t>,</w:t>
            </w:r>
            <w:r>
              <w:rPr>
                <w:szCs w:val="22"/>
              </w:rPr>
              <w:t>364</w:t>
            </w:r>
            <w:r w:rsidRPr="0067355D">
              <w:rPr>
                <w:szCs w:val="22"/>
              </w:rPr>
              <w:t>,</w:t>
            </w:r>
            <w:r>
              <w:rPr>
                <w:szCs w:val="22"/>
              </w:rPr>
              <w:t>050</w:t>
            </w:r>
          </w:p>
        </w:tc>
      </w:tr>
      <w:tr w14:paraId="18B2B7F0" w14:textId="77777777" w:rsidTr="00886011">
        <w:tblPrEx>
          <w:tblW w:w="10350" w:type="dxa"/>
          <w:tblInd w:w="-563" w:type="dxa"/>
          <w:tblLayout w:type="fixed"/>
          <w:tblCellMar>
            <w:left w:w="30" w:type="dxa"/>
            <w:right w:w="30" w:type="dxa"/>
          </w:tblCellMar>
          <w:tblLook w:val="0000"/>
        </w:tblPrEx>
        <w:trPr>
          <w:trHeight w:val="370"/>
        </w:trPr>
        <w:tc>
          <w:tcPr>
            <w:tcW w:w="2520" w:type="dxa"/>
            <w:tcBorders>
              <w:top w:val="single" w:sz="6" w:space="0" w:color="auto"/>
              <w:left w:val="double" w:sz="6" w:space="0" w:color="auto"/>
            </w:tcBorders>
          </w:tcPr>
          <w:p w:rsidR="006F7AD6" w:rsidRPr="0067355D" w:rsidP="00886011" w14:paraId="3D9EF29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67355D">
              <w:rPr>
                <w:szCs w:val="22"/>
              </w:rPr>
              <w:t xml:space="preserve">Earth Stations </w:t>
            </w:r>
          </w:p>
        </w:tc>
        <w:tc>
          <w:tcPr>
            <w:tcW w:w="1620" w:type="dxa"/>
            <w:tcBorders>
              <w:top w:val="single" w:sz="6" w:space="0" w:color="auto"/>
              <w:left w:val="single" w:sz="6" w:space="0" w:color="auto"/>
            </w:tcBorders>
          </w:tcPr>
          <w:p w:rsidR="006F7AD6" w:rsidRPr="0067355D" w:rsidP="00886011" w14:paraId="15CDCFD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3,</w:t>
            </w:r>
            <w:r>
              <w:rPr>
                <w:szCs w:val="22"/>
              </w:rPr>
              <w:t>3</w:t>
            </w:r>
            <w:r w:rsidRPr="0067355D">
              <w:rPr>
                <w:szCs w:val="22"/>
              </w:rPr>
              <w:t xml:space="preserve">00 </w:t>
            </w:r>
          </w:p>
        </w:tc>
        <w:tc>
          <w:tcPr>
            <w:tcW w:w="450" w:type="dxa"/>
            <w:tcBorders>
              <w:top w:val="single" w:sz="6" w:space="0" w:color="auto"/>
              <w:left w:val="single" w:sz="6" w:space="0" w:color="auto"/>
            </w:tcBorders>
          </w:tcPr>
          <w:p w:rsidR="006F7AD6" w:rsidRPr="0067355D" w:rsidP="00886011" w14:paraId="13AB596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67355D">
              <w:rPr>
                <w:szCs w:val="22"/>
              </w:rPr>
              <w:t xml:space="preserve">1 </w:t>
            </w:r>
          </w:p>
        </w:tc>
        <w:tc>
          <w:tcPr>
            <w:tcW w:w="1260" w:type="dxa"/>
            <w:tcBorders>
              <w:top w:val="single" w:sz="6" w:space="0" w:color="auto"/>
              <w:left w:val="single" w:sz="6" w:space="0" w:color="auto"/>
            </w:tcBorders>
          </w:tcPr>
          <w:p w:rsidR="006F7AD6" w:rsidRPr="0067355D" w:rsidP="00886011" w14:paraId="2F91864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1,105,000</w:t>
            </w:r>
          </w:p>
        </w:tc>
        <w:tc>
          <w:tcPr>
            <w:tcW w:w="1170" w:type="dxa"/>
            <w:tcBorders>
              <w:top w:val="single" w:sz="6" w:space="0" w:color="auto"/>
              <w:left w:val="single" w:sz="6" w:space="0" w:color="auto"/>
            </w:tcBorders>
          </w:tcPr>
          <w:p w:rsidR="006F7AD6" w:rsidRPr="0067355D" w:rsidP="00886011" w14:paraId="7CD9450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w:t>
            </w:r>
            <w:r>
              <w:rPr>
                <w:szCs w:val="22"/>
              </w:rPr>
              <w:t>399</w:t>
            </w:r>
            <w:r w:rsidRPr="0067355D">
              <w:rPr>
                <w:szCs w:val="22"/>
              </w:rPr>
              <w:t>,</w:t>
            </w:r>
            <w:r>
              <w:rPr>
                <w:szCs w:val="22"/>
              </w:rPr>
              <w:t>050</w:t>
            </w:r>
          </w:p>
        </w:tc>
        <w:tc>
          <w:tcPr>
            <w:tcW w:w="1170" w:type="dxa"/>
            <w:tcBorders>
              <w:top w:val="single" w:sz="6" w:space="0" w:color="auto"/>
              <w:left w:val="single" w:sz="6" w:space="0" w:color="auto"/>
              <w:right w:val="single" w:sz="6" w:space="0" w:color="auto"/>
            </w:tcBorders>
          </w:tcPr>
          <w:p w:rsidR="006F7AD6" w:rsidRPr="0067355D" w:rsidP="00886011" w14:paraId="363A2BA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424</w:t>
            </w:r>
          </w:p>
        </w:tc>
        <w:tc>
          <w:tcPr>
            <w:tcW w:w="990" w:type="dxa"/>
            <w:tcBorders>
              <w:top w:val="single" w:sz="6" w:space="0" w:color="auto"/>
              <w:left w:val="single" w:sz="6" w:space="0" w:color="auto"/>
            </w:tcBorders>
          </w:tcPr>
          <w:p w:rsidR="006F7AD6" w:rsidRPr="0067355D" w:rsidP="00886011" w14:paraId="70AAA21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4</w:t>
            </w:r>
            <w:r w:rsidRPr="0067355D">
              <w:rPr>
                <w:szCs w:val="22"/>
              </w:rPr>
              <w:t>25</w:t>
            </w:r>
          </w:p>
        </w:tc>
        <w:tc>
          <w:tcPr>
            <w:tcW w:w="1170" w:type="dxa"/>
            <w:tcBorders>
              <w:top w:val="single" w:sz="6" w:space="0" w:color="auto"/>
              <w:left w:val="single" w:sz="6" w:space="0" w:color="auto"/>
              <w:right w:val="double" w:sz="6" w:space="0" w:color="auto"/>
            </w:tcBorders>
          </w:tcPr>
          <w:p w:rsidR="006F7AD6" w:rsidRPr="0067355D" w:rsidP="00886011" w14:paraId="5D18BA5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w:t>
            </w:r>
            <w:r>
              <w:rPr>
                <w:szCs w:val="22"/>
              </w:rPr>
              <w:t>402</w:t>
            </w:r>
            <w:r w:rsidRPr="0067355D">
              <w:rPr>
                <w:szCs w:val="22"/>
              </w:rPr>
              <w:t>,</w:t>
            </w:r>
            <w:r>
              <w:rPr>
                <w:szCs w:val="22"/>
              </w:rPr>
              <w:t>5</w:t>
            </w:r>
            <w:r w:rsidRPr="0067355D">
              <w:rPr>
                <w:szCs w:val="22"/>
              </w:rPr>
              <w:t>00</w:t>
            </w:r>
          </w:p>
        </w:tc>
      </w:tr>
      <w:tr w14:paraId="7D441B81" w14:textId="77777777" w:rsidTr="00886011">
        <w:tblPrEx>
          <w:tblW w:w="10350" w:type="dxa"/>
          <w:tblInd w:w="-563" w:type="dxa"/>
          <w:tblLayout w:type="fixed"/>
          <w:tblCellMar>
            <w:left w:w="30" w:type="dxa"/>
            <w:right w:w="30" w:type="dxa"/>
          </w:tblCellMar>
          <w:tblLook w:val="0000"/>
        </w:tblPrEx>
        <w:trPr>
          <w:trHeight w:val="595"/>
        </w:trPr>
        <w:tc>
          <w:tcPr>
            <w:tcW w:w="2520" w:type="dxa"/>
            <w:tcBorders>
              <w:top w:val="single" w:sz="6" w:space="0" w:color="auto"/>
              <w:left w:val="double" w:sz="6" w:space="0" w:color="auto"/>
            </w:tcBorders>
          </w:tcPr>
          <w:p w:rsidR="006F7AD6" w:rsidRPr="0067355D" w:rsidP="00886011" w14:paraId="1B473B7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67355D">
              <w:rPr>
                <w:szCs w:val="22"/>
              </w:rPr>
              <w:t xml:space="preserve">Space Stations (Geostationary) </w:t>
            </w:r>
          </w:p>
        </w:tc>
        <w:tc>
          <w:tcPr>
            <w:tcW w:w="1620" w:type="dxa"/>
            <w:tcBorders>
              <w:top w:val="single" w:sz="6" w:space="0" w:color="auto"/>
              <w:left w:val="single" w:sz="6" w:space="0" w:color="auto"/>
            </w:tcBorders>
          </w:tcPr>
          <w:p w:rsidR="006F7AD6" w:rsidRPr="0067355D" w:rsidP="00886011" w14:paraId="16C136C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9</w:t>
            </w:r>
            <w:r>
              <w:rPr>
                <w:szCs w:val="22"/>
              </w:rPr>
              <w:t>8</w:t>
            </w:r>
          </w:p>
        </w:tc>
        <w:tc>
          <w:tcPr>
            <w:tcW w:w="450" w:type="dxa"/>
            <w:tcBorders>
              <w:top w:val="single" w:sz="6" w:space="0" w:color="auto"/>
              <w:left w:val="single" w:sz="6" w:space="0" w:color="auto"/>
            </w:tcBorders>
          </w:tcPr>
          <w:p w:rsidR="006F7AD6" w:rsidRPr="0067355D" w:rsidP="00886011" w14:paraId="0D5FFF8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67355D">
              <w:rPr>
                <w:szCs w:val="22"/>
              </w:rPr>
              <w:t xml:space="preserve">1 </w:t>
            </w:r>
          </w:p>
        </w:tc>
        <w:tc>
          <w:tcPr>
            <w:tcW w:w="1260" w:type="dxa"/>
            <w:tcBorders>
              <w:top w:val="single" w:sz="6" w:space="0" w:color="auto"/>
              <w:left w:val="single" w:sz="6" w:space="0" w:color="auto"/>
              <w:bottom w:val="single" w:sz="2" w:space="0" w:color="auto"/>
            </w:tcBorders>
          </w:tcPr>
          <w:p w:rsidR="006F7AD6" w:rsidRPr="0067355D" w:rsidP="00886011" w14:paraId="36DAF2E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12,401,450</w:t>
            </w:r>
          </w:p>
        </w:tc>
        <w:tc>
          <w:tcPr>
            <w:tcW w:w="1170" w:type="dxa"/>
            <w:tcBorders>
              <w:top w:val="single" w:sz="6" w:space="0" w:color="auto"/>
              <w:left w:val="single" w:sz="6" w:space="0" w:color="auto"/>
              <w:bottom w:val="single" w:sz="2" w:space="0" w:color="auto"/>
            </w:tcBorders>
          </w:tcPr>
          <w:p w:rsidR="006F7AD6" w:rsidRPr="0067355D" w:rsidP="00886011" w14:paraId="08A644D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w:t>
            </w:r>
            <w:r>
              <w:rPr>
                <w:szCs w:val="22"/>
              </w:rPr>
              <w:t>5</w:t>
            </w:r>
            <w:r w:rsidRPr="0067355D">
              <w:rPr>
                <w:szCs w:val="22"/>
              </w:rPr>
              <w:t>,</w:t>
            </w:r>
            <w:r>
              <w:rPr>
                <w:szCs w:val="22"/>
              </w:rPr>
              <w:t>643</w:t>
            </w:r>
            <w:r w:rsidRPr="0067355D">
              <w:rPr>
                <w:szCs w:val="22"/>
              </w:rPr>
              <w:t>,</w:t>
            </w:r>
            <w:r>
              <w:rPr>
                <w:szCs w:val="22"/>
              </w:rPr>
              <w:t>457</w:t>
            </w:r>
          </w:p>
        </w:tc>
        <w:tc>
          <w:tcPr>
            <w:tcW w:w="1170" w:type="dxa"/>
            <w:tcBorders>
              <w:top w:val="single" w:sz="6" w:space="0" w:color="auto"/>
              <w:left w:val="single" w:sz="6" w:space="0" w:color="auto"/>
              <w:right w:val="single" w:sz="6" w:space="0" w:color="auto"/>
            </w:tcBorders>
          </w:tcPr>
          <w:p w:rsidR="006F7AD6" w:rsidRPr="0067355D" w:rsidP="00886011" w14:paraId="6DACB92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w:t>
            </w:r>
            <w:r>
              <w:rPr>
                <w:szCs w:val="22"/>
              </w:rPr>
              <w:t>59</w:t>
            </w:r>
            <w:r w:rsidRPr="0067355D">
              <w:rPr>
                <w:szCs w:val="22"/>
              </w:rPr>
              <w:t>,</w:t>
            </w:r>
            <w:r>
              <w:rPr>
                <w:szCs w:val="22"/>
              </w:rPr>
              <w:t>627</w:t>
            </w:r>
          </w:p>
        </w:tc>
        <w:tc>
          <w:tcPr>
            <w:tcW w:w="990" w:type="dxa"/>
            <w:tcBorders>
              <w:top w:val="single" w:sz="6" w:space="0" w:color="auto"/>
              <w:left w:val="single" w:sz="6" w:space="0" w:color="auto"/>
            </w:tcBorders>
          </w:tcPr>
          <w:p w:rsidR="006F7AD6" w:rsidRPr="0067355D" w:rsidP="00886011" w14:paraId="164842C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w:t>
            </w:r>
            <w:r>
              <w:rPr>
                <w:szCs w:val="22"/>
              </w:rPr>
              <w:t>59</w:t>
            </w:r>
            <w:r w:rsidRPr="0067355D">
              <w:rPr>
                <w:szCs w:val="22"/>
              </w:rPr>
              <w:t>,</w:t>
            </w:r>
            <w:r>
              <w:rPr>
                <w:szCs w:val="22"/>
              </w:rPr>
              <w:t>625</w:t>
            </w:r>
          </w:p>
        </w:tc>
        <w:tc>
          <w:tcPr>
            <w:tcW w:w="1170" w:type="dxa"/>
            <w:tcBorders>
              <w:top w:val="single" w:sz="6" w:space="0" w:color="auto"/>
              <w:left w:val="single" w:sz="6" w:space="0" w:color="auto"/>
              <w:bottom w:val="single" w:sz="2" w:space="0" w:color="auto"/>
              <w:right w:val="double" w:sz="6" w:space="0" w:color="auto"/>
            </w:tcBorders>
          </w:tcPr>
          <w:p w:rsidR="006F7AD6" w:rsidRPr="0067355D" w:rsidP="00886011" w14:paraId="6D374AF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w:t>
            </w:r>
            <w:r>
              <w:rPr>
                <w:szCs w:val="22"/>
              </w:rPr>
              <w:t>5</w:t>
            </w:r>
            <w:r w:rsidRPr="0067355D">
              <w:rPr>
                <w:szCs w:val="22"/>
              </w:rPr>
              <w:t>,</w:t>
            </w:r>
            <w:r>
              <w:rPr>
                <w:szCs w:val="22"/>
              </w:rPr>
              <w:t>643</w:t>
            </w:r>
            <w:r w:rsidRPr="0067355D">
              <w:rPr>
                <w:szCs w:val="22"/>
              </w:rPr>
              <w:t>,</w:t>
            </w:r>
            <w:r>
              <w:rPr>
                <w:szCs w:val="22"/>
              </w:rPr>
              <w:t>2</w:t>
            </w:r>
            <w:r w:rsidRPr="0067355D">
              <w:rPr>
                <w:szCs w:val="22"/>
              </w:rPr>
              <w:t>50</w:t>
            </w:r>
          </w:p>
        </w:tc>
      </w:tr>
      <w:tr w14:paraId="57E5EF77" w14:textId="77777777" w:rsidTr="00886011">
        <w:tblPrEx>
          <w:tblW w:w="10350" w:type="dxa"/>
          <w:tblInd w:w="-563" w:type="dxa"/>
          <w:tblLayout w:type="fixed"/>
          <w:tblCellMar>
            <w:left w:w="30" w:type="dxa"/>
            <w:right w:w="30" w:type="dxa"/>
          </w:tblCellMar>
          <w:tblLook w:val="0000"/>
        </w:tblPrEx>
        <w:trPr>
          <w:trHeight w:val="813"/>
        </w:trPr>
        <w:tc>
          <w:tcPr>
            <w:tcW w:w="2520" w:type="dxa"/>
            <w:tcBorders>
              <w:top w:val="single" w:sz="6" w:space="0" w:color="auto"/>
              <w:left w:val="double" w:sz="6" w:space="0" w:color="auto"/>
            </w:tcBorders>
          </w:tcPr>
          <w:p w:rsidR="006F7AD6" w:rsidRPr="0067355D" w:rsidP="00886011" w14:paraId="38E0172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67355D">
              <w:rPr>
                <w:szCs w:val="22"/>
              </w:rPr>
              <w:t xml:space="preserve">Space Stations (Non-Geostationary) </w:t>
            </w:r>
          </w:p>
          <w:p w:rsidR="006F7AD6" w:rsidRPr="0067355D" w:rsidP="00886011" w14:paraId="07E6082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p>
        </w:tc>
        <w:tc>
          <w:tcPr>
            <w:tcW w:w="1620" w:type="dxa"/>
            <w:tcBorders>
              <w:top w:val="single" w:sz="6" w:space="0" w:color="auto"/>
              <w:left w:val="single" w:sz="6" w:space="0" w:color="auto"/>
            </w:tcBorders>
          </w:tcPr>
          <w:p w:rsidR="006F7AD6" w:rsidRPr="0067355D" w:rsidP="00886011" w14:paraId="1ED425E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7</w:t>
            </w:r>
          </w:p>
        </w:tc>
        <w:tc>
          <w:tcPr>
            <w:tcW w:w="450" w:type="dxa"/>
            <w:tcBorders>
              <w:top w:val="single" w:sz="6" w:space="0" w:color="auto"/>
              <w:left w:val="single" w:sz="6" w:space="0" w:color="auto"/>
            </w:tcBorders>
          </w:tcPr>
          <w:p w:rsidR="006F7AD6" w:rsidP="00886011" w14:paraId="4BBEBEF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Pr>
                <w:szCs w:val="22"/>
              </w:rPr>
              <w:t>1</w:t>
            </w:r>
          </w:p>
          <w:p w:rsidR="006F7AD6" w:rsidRPr="0067355D" w:rsidP="00886011" w14:paraId="6FB0344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p>
        </w:tc>
        <w:tc>
          <w:tcPr>
            <w:tcW w:w="1260" w:type="dxa"/>
            <w:tcBorders>
              <w:top w:val="single" w:sz="2" w:space="0" w:color="auto"/>
              <w:left w:val="single" w:sz="2" w:space="0" w:color="auto"/>
              <w:bottom w:val="single" w:sz="2" w:space="0" w:color="auto"/>
              <w:right w:val="single" w:sz="2" w:space="0" w:color="auto"/>
            </w:tcBorders>
          </w:tcPr>
          <w:p w:rsidR="006F7AD6" w:rsidRPr="0067355D" w:rsidP="00886011" w14:paraId="55D3B83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859,425</w:t>
            </w:r>
          </w:p>
        </w:tc>
        <w:tc>
          <w:tcPr>
            <w:tcW w:w="1170" w:type="dxa"/>
            <w:tcBorders>
              <w:top w:val="single" w:sz="2" w:space="0" w:color="auto"/>
              <w:left w:val="nil"/>
              <w:bottom w:val="single" w:sz="2" w:space="0" w:color="auto"/>
              <w:right w:val="single" w:sz="2" w:space="0" w:color="auto"/>
            </w:tcBorders>
          </w:tcPr>
          <w:p w:rsidR="006F7AD6" w:rsidRPr="0067355D" w:rsidP="00886011" w14:paraId="364E865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1,084,200</w:t>
            </w:r>
          </w:p>
        </w:tc>
        <w:tc>
          <w:tcPr>
            <w:tcW w:w="1170" w:type="dxa"/>
            <w:tcBorders>
              <w:top w:val="single" w:sz="6" w:space="0" w:color="auto"/>
              <w:left w:val="nil"/>
              <w:right w:val="single" w:sz="6" w:space="0" w:color="auto"/>
            </w:tcBorders>
          </w:tcPr>
          <w:p w:rsidR="006F7AD6" w:rsidRPr="0067355D" w:rsidP="00886011" w14:paraId="7D83D30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154,886</w:t>
            </w:r>
          </w:p>
        </w:tc>
        <w:tc>
          <w:tcPr>
            <w:tcW w:w="990" w:type="dxa"/>
            <w:tcBorders>
              <w:top w:val="single" w:sz="6" w:space="0" w:color="auto"/>
              <w:left w:val="single" w:sz="6" w:space="0" w:color="auto"/>
            </w:tcBorders>
          </w:tcPr>
          <w:p w:rsidR="006F7AD6" w:rsidRPr="0067355D" w:rsidP="00886011" w14:paraId="45447CB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154,875</w:t>
            </w:r>
          </w:p>
        </w:tc>
        <w:tc>
          <w:tcPr>
            <w:tcW w:w="1170" w:type="dxa"/>
            <w:tcBorders>
              <w:top w:val="single" w:sz="2" w:space="0" w:color="auto"/>
              <w:left w:val="single" w:sz="2" w:space="0" w:color="auto"/>
              <w:bottom w:val="single" w:sz="2" w:space="0" w:color="auto"/>
              <w:right w:val="double" w:sz="2" w:space="0" w:color="auto"/>
            </w:tcBorders>
          </w:tcPr>
          <w:p w:rsidR="006F7AD6" w:rsidRPr="0067355D" w:rsidP="00886011" w14:paraId="6F70DD4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1,084,125</w:t>
            </w:r>
          </w:p>
        </w:tc>
      </w:tr>
      <w:tr w14:paraId="37EE05A1" w14:textId="77777777" w:rsidTr="00886011">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6F7AD6" w:rsidRPr="00C0661D" w:rsidP="00886011" w14:paraId="2B20A00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b/>
                <w:szCs w:val="22"/>
              </w:rPr>
            </w:pPr>
            <w:r w:rsidRPr="00C0661D">
              <w:rPr>
                <w:b/>
                <w:szCs w:val="22"/>
              </w:rPr>
              <w:t>******  Total Estimated Revenue to be Collected</w:t>
            </w:r>
          </w:p>
        </w:tc>
        <w:tc>
          <w:tcPr>
            <w:tcW w:w="1620" w:type="dxa"/>
            <w:tcBorders>
              <w:top w:val="single" w:sz="6" w:space="0" w:color="auto"/>
              <w:left w:val="single" w:sz="6" w:space="0" w:color="auto"/>
            </w:tcBorders>
          </w:tcPr>
          <w:p w:rsidR="006F7AD6" w:rsidRPr="0067355D" w:rsidP="00886011" w14:paraId="1DA88A7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p>
        </w:tc>
        <w:tc>
          <w:tcPr>
            <w:tcW w:w="450" w:type="dxa"/>
            <w:tcBorders>
              <w:top w:val="single" w:sz="6" w:space="0" w:color="auto"/>
              <w:left w:val="single" w:sz="6" w:space="0" w:color="auto"/>
            </w:tcBorders>
          </w:tcPr>
          <w:p w:rsidR="006F7AD6" w:rsidRPr="0067355D" w:rsidP="00886011" w14:paraId="65D56B4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p>
        </w:tc>
        <w:tc>
          <w:tcPr>
            <w:tcW w:w="1260" w:type="dxa"/>
            <w:tcBorders>
              <w:top w:val="single" w:sz="2" w:space="0" w:color="auto"/>
              <w:left w:val="single" w:sz="6" w:space="0" w:color="auto"/>
            </w:tcBorders>
          </w:tcPr>
          <w:p w:rsidR="006F7AD6" w:rsidRPr="00C0661D" w:rsidP="00886011" w14:paraId="4781270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r>
              <w:rPr>
                <w:b/>
                <w:szCs w:val="22"/>
              </w:rPr>
              <w:t>324,365,671</w:t>
            </w:r>
          </w:p>
        </w:tc>
        <w:tc>
          <w:tcPr>
            <w:tcW w:w="1170" w:type="dxa"/>
            <w:tcBorders>
              <w:top w:val="single" w:sz="2" w:space="0" w:color="auto"/>
              <w:left w:val="single" w:sz="6" w:space="0" w:color="auto"/>
              <w:bottom w:val="single" w:sz="2" w:space="0" w:color="auto"/>
            </w:tcBorders>
          </w:tcPr>
          <w:p w:rsidR="006F7AD6" w:rsidP="00886011" w14:paraId="40C440F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r>
              <w:rPr>
                <w:b/>
                <w:szCs w:val="22"/>
              </w:rPr>
              <w:t>339,062,828</w:t>
            </w:r>
          </w:p>
          <w:p w:rsidR="006F7AD6" w:rsidRPr="00C0661D" w:rsidP="00886011" w14:paraId="43FE223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1170" w:type="dxa"/>
            <w:tcBorders>
              <w:top w:val="single" w:sz="6" w:space="0" w:color="auto"/>
              <w:left w:val="single" w:sz="6" w:space="0" w:color="auto"/>
              <w:right w:val="single" w:sz="6" w:space="0" w:color="auto"/>
            </w:tcBorders>
          </w:tcPr>
          <w:p w:rsidR="006F7AD6" w:rsidRPr="00C0661D" w:rsidP="00886011" w14:paraId="077499C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990" w:type="dxa"/>
            <w:tcBorders>
              <w:top w:val="single" w:sz="6" w:space="0" w:color="auto"/>
              <w:left w:val="single" w:sz="6" w:space="0" w:color="auto"/>
            </w:tcBorders>
          </w:tcPr>
          <w:p w:rsidR="006F7AD6" w:rsidRPr="00C0661D" w:rsidP="00886011" w14:paraId="1F3C982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1170" w:type="dxa"/>
            <w:tcBorders>
              <w:top w:val="single" w:sz="2" w:space="0" w:color="auto"/>
              <w:left w:val="single" w:sz="6" w:space="0" w:color="auto"/>
              <w:bottom w:val="single" w:sz="2" w:space="0" w:color="auto"/>
              <w:right w:val="double" w:sz="6" w:space="0" w:color="auto"/>
            </w:tcBorders>
          </w:tcPr>
          <w:p w:rsidR="006F7AD6" w:rsidRPr="00C0661D" w:rsidP="00886011" w14:paraId="72A4D0E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r>
              <w:rPr>
                <w:b/>
                <w:szCs w:val="22"/>
              </w:rPr>
              <w:t>340,866,270</w:t>
            </w:r>
          </w:p>
        </w:tc>
      </w:tr>
      <w:tr w14:paraId="43B64BFE" w14:textId="77777777" w:rsidTr="00886011">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bottom w:val="double" w:sz="6" w:space="0" w:color="auto"/>
            </w:tcBorders>
          </w:tcPr>
          <w:p w:rsidR="006F7AD6" w:rsidRPr="00C0661D" w:rsidP="00886011" w14:paraId="415ACCD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b/>
                <w:szCs w:val="22"/>
              </w:rPr>
            </w:pPr>
            <w:r w:rsidRPr="00C0661D">
              <w:rPr>
                <w:b/>
                <w:szCs w:val="22"/>
              </w:rPr>
              <w:t>******  Total Revenue Requirement</w:t>
            </w:r>
          </w:p>
        </w:tc>
        <w:tc>
          <w:tcPr>
            <w:tcW w:w="1620" w:type="dxa"/>
            <w:tcBorders>
              <w:top w:val="single" w:sz="6" w:space="0" w:color="auto"/>
              <w:left w:val="single" w:sz="6" w:space="0" w:color="auto"/>
              <w:bottom w:val="double" w:sz="6" w:space="0" w:color="auto"/>
            </w:tcBorders>
          </w:tcPr>
          <w:p w:rsidR="006F7AD6" w:rsidRPr="00C0661D" w:rsidP="00886011" w14:paraId="5370A49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450" w:type="dxa"/>
            <w:tcBorders>
              <w:top w:val="single" w:sz="6" w:space="0" w:color="auto"/>
              <w:left w:val="single" w:sz="6" w:space="0" w:color="auto"/>
              <w:bottom w:val="double" w:sz="6" w:space="0" w:color="auto"/>
            </w:tcBorders>
          </w:tcPr>
          <w:p w:rsidR="006F7AD6" w:rsidRPr="00C0661D" w:rsidP="00886011" w14:paraId="23677BA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1260" w:type="dxa"/>
            <w:tcBorders>
              <w:top w:val="single" w:sz="6" w:space="0" w:color="auto"/>
              <w:left w:val="single" w:sz="6" w:space="0" w:color="auto"/>
              <w:bottom w:val="double" w:sz="6" w:space="0" w:color="auto"/>
            </w:tcBorders>
          </w:tcPr>
          <w:p w:rsidR="006F7AD6" w:rsidRPr="00C0661D" w:rsidP="00886011" w14:paraId="53FF184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r w:rsidRPr="00C0661D">
              <w:rPr>
                <w:b/>
                <w:szCs w:val="22"/>
              </w:rPr>
              <w:t>3</w:t>
            </w:r>
            <w:r>
              <w:rPr>
                <w:b/>
                <w:szCs w:val="22"/>
              </w:rPr>
              <w:t>22</w:t>
            </w:r>
            <w:r w:rsidRPr="00C0661D">
              <w:rPr>
                <w:b/>
                <w:szCs w:val="22"/>
              </w:rPr>
              <w:t>,</w:t>
            </w:r>
            <w:r>
              <w:rPr>
                <w:b/>
                <w:szCs w:val="22"/>
              </w:rPr>
              <w:t>035</w:t>
            </w:r>
            <w:r w:rsidRPr="00C0661D">
              <w:rPr>
                <w:b/>
                <w:szCs w:val="22"/>
              </w:rPr>
              <w:t>,</w:t>
            </w:r>
            <w:r>
              <w:rPr>
                <w:b/>
                <w:szCs w:val="22"/>
              </w:rPr>
              <w:t>000</w:t>
            </w:r>
          </w:p>
        </w:tc>
        <w:tc>
          <w:tcPr>
            <w:tcW w:w="1170" w:type="dxa"/>
            <w:tcBorders>
              <w:top w:val="single" w:sz="2" w:space="0" w:color="auto"/>
              <w:left w:val="single" w:sz="2" w:space="0" w:color="auto"/>
              <w:bottom w:val="double" w:sz="6" w:space="0" w:color="auto"/>
              <w:right w:val="single" w:sz="2" w:space="0" w:color="auto"/>
            </w:tcBorders>
          </w:tcPr>
          <w:p w:rsidR="006F7AD6" w:rsidRPr="00C0661D" w:rsidP="00886011" w14:paraId="7C53EDA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r w:rsidRPr="00C0661D">
              <w:rPr>
                <w:b/>
                <w:szCs w:val="22"/>
              </w:rPr>
              <w:t>3</w:t>
            </w:r>
            <w:r>
              <w:rPr>
                <w:b/>
                <w:szCs w:val="22"/>
              </w:rPr>
              <w:t>39</w:t>
            </w:r>
            <w:r w:rsidRPr="00C0661D">
              <w:rPr>
                <w:b/>
                <w:szCs w:val="22"/>
              </w:rPr>
              <w:t>,0</w:t>
            </w:r>
            <w:r>
              <w:rPr>
                <w:b/>
                <w:szCs w:val="22"/>
              </w:rPr>
              <w:t>00</w:t>
            </w:r>
            <w:r w:rsidRPr="00C0661D">
              <w:rPr>
                <w:b/>
                <w:szCs w:val="22"/>
              </w:rPr>
              <w:t>,000</w:t>
            </w:r>
          </w:p>
        </w:tc>
        <w:tc>
          <w:tcPr>
            <w:tcW w:w="1170" w:type="dxa"/>
            <w:tcBorders>
              <w:top w:val="single" w:sz="6" w:space="0" w:color="auto"/>
              <w:left w:val="nil"/>
              <w:bottom w:val="double" w:sz="6" w:space="0" w:color="auto"/>
              <w:right w:val="single" w:sz="6" w:space="0" w:color="auto"/>
            </w:tcBorders>
          </w:tcPr>
          <w:p w:rsidR="006F7AD6" w:rsidRPr="00C0661D" w:rsidP="00886011" w14:paraId="3AD11BE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990" w:type="dxa"/>
            <w:tcBorders>
              <w:top w:val="single" w:sz="6" w:space="0" w:color="auto"/>
              <w:left w:val="single" w:sz="6" w:space="0" w:color="auto"/>
              <w:bottom w:val="double" w:sz="6" w:space="0" w:color="auto"/>
            </w:tcBorders>
          </w:tcPr>
          <w:p w:rsidR="006F7AD6" w:rsidRPr="00C0661D" w:rsidP="00886011" w14:paraId="032826B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1170" w:type="dxa"/>
            <w:tcBorders>
              <w:top w:val="single" w:sz="2" w:space="0" w:color="auto"/>
              <w:left w:val="single" w:sz="2" w:space="0" w:color="auto"/>
              <w:bottom w:val="double" w:sz="6" w:space="0" w:color="auto"/>
              <w:right w:val="double" w:sz="2" w:space="0" w:color="auto"/>
            </w:tcBorders>
          </w:tcPr>
          <w:p w:rsidR="006F7AD6" w:rsidRPr="00C0661D" w:rsidP="00886011" w14:paraId="3661098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r w:rsidRPr="00C0661D">
              <w:rPr>
                <w:b/>
                <w:szCs w:val="22"/>
              </w:rPr>
              <w:t>3</w:t>
            </w:r>
            <w:r>
              <w:rPr>
                <w:b/>
                <w:szCs w:val="22"/>
              </w:rPr>
              <w:t>39</w:t>
            </w:r>
            <w:r w:rsidRPr="00C0661D">
              <w:rPr>
                <w:b/>
                <w:szCs w:val="22"/>
              </w:rPr>
              <w:t>,0</w:t>
            </w:r>
            <w:r>
              <w:rPr>
                <w:b/>
                <w:szCs w:val="22"/>
              </w:rPr>
              <w:t>00</w:t>
            </w:r>
            <w:r w:rsidRPr="00C0661D">
              <w:rPr>
                <w:b/>
                <w:szCs w:val="22"/>
              </w:rPr>
              <w:t>,000</w:t>
            </w:r>
          </w:p>
        </w:tc>
      </w:tr>
      <w:tr w14:paraId="3D8AC750" w14:textId="77777777" w:rsidTr="00886011">
        <w:tblPrEx>
          <w:tblW w:w="10350" w:type="dxa"/>
          <w:tblInd w:w="-563" w:type="dxa"/>
          <w:tblLayout w:type="fixed"/>
          <w:tblCellMar>
            <w:left w:w="30" w:type="dxa"/>
            <w:right w:w="30" w:type="dxa"/>
          </w:tblCellMar>
          <w:tblLook w:val="0000"/>
        </w:tblPrEx>
        <w:tc>
          <w:tcPr>
            <w:tcW w:w="2520" w:type="dxa"/>
            <w:tcBorders>
              <w:top w:val="double" w:sz="6" w:space="0" w:color="auto"/>
              <w:left w:val="double" w:sz="6" w:space="0" w:color="auto"/>
              <w:bottom w:val="double" w:sz="6" w:space="0" w:color="auto"/>
            </w:tcBorders>
          </w:tcPr>
          <w:p w:rsidR="006F7AD6" w:rsidRPr="00C0661D" w:rsidP="00886011" w14:paraId="438E2D9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b/>
                <w:szCs w:val="22"/>
              </w:rPr>
            </w:pPr>
            <w:r w:rsidRPr="00C0661D">
              <w:rPr>
                <w:b/>
                <w:szCs w:val="22"/>
              </w:rPr>
              <w:t xml:space="preserve">                   Difference</w:t>
            </w:r>
          </w:p>
        </w:tc>
        <w:tc>
          <w:tcPr>
            <w:tcW w:w="1620" w:type="dxa"/>
            <w:tcBorders>
              <w:top w:val="double" w:sz="6" w:space="0" w:color="auto"/>
              <w:left w:val="single" w:sz="6" w:space="0" w:color="auto"/>
              <w:bottom w:val="double" w:sz="6" w:space="0" w:color="auto"/>
            </w:tcBorders>
          </w:tcPr>
          <w:p w:rsidR="006F7AD6" w:rsidRPr="00C0661D" w:rsidP="00886011" w14:paraId="4078877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450" w:type="dxa"/>
            <w:tcBorders>
              <w:top w:val="double" w:sz="6" w:space="0" w:color="auto"/>
              <w:left w:val="single" w:sz="6" w:space="0" w:color="auto"/>
              <w:bottom w:val="double" w:sz="6" w:space="0" w:color="auto"/>
            </w:tcBorders>
          </w:tcPr>
          <w:p w:rsidR="006F7AD6" w:rsidRPr="00C0661D" w:rsidP="00886011" w14:paraId="6AF10F1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1260" w:type="dxa"/>
            <w:tcBorders>
              <w:top w:val="double" w:sz="6" w:space="0" w:color="auto"/>
              <w:left w:val="single" w:sz="6" w:space="0" w:color="auto"/>
              <w:bottom w:val="double" w:sz="6" w:space="0" w:color="auto"/>
            </w:tcBorders>
          </w:tcPr>
          <w:p w:rsidR="006F7AD6" w:rsidRPr="00C0661D" w:rsidP="00886011" w14:paraId="3CDC7D5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r>
              <w:rPr>
                <w:b/>
                <w:szCs w:val="22"/>
              </w:rPr>
              <w:t>2</w:t>
            </w:r>
            <w:r w:rsidRPr="00C0661D">
              <w:rPr>
                <w:b/>
                <w:szCs w:val="22"/>
              </w:rPr>
              <w:t>,</w:t>
            </w:r>
            <w:r>
              <w:rPr>
                <w:b/>
                <w:szCs w:val="22"/>
              </w:rPr>
              <w:t>330</w:t>
            </w:r>
            <w:r w:rsidRPr="00C0661D">
              <w:rPr>
                <w:b/>
                <w:szCs w:val="22"/>
              </w:rPr>
              <w:t>,</w:t>
            </w:r>
            <w:r>
              <w:rPr>
                <w:b/>
                <w:szCs w:val="22"/>
              </w:rPr>
              <w:t>671</w:t>
            </w:r>
          </w:p>
        </w:tc>
        <w:tc>
          <w:tcPr>
            <w:tcW w:w="1170" w:type="dxa"/>
            <w:tcBorders>
              <w:top w:val="double" w:sz="6" w:space="0" w:color="auto"/>
              <w:left w:val="single" w:sz="6" w:space="0" w:color="auto"/>
              <w:bottom w:val="double" w:sz="6" w:space="0" w:color="auto"/>
            </w:tcBorders>
          </w:tcPr>
          <w:p w:rsidR="006F7AD6" w:rsidRPr="00C0661D" w:rsidP="00886011" w14:paraId="71C1048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r>
              <w:rPr>
                <w:b/>
                <w:szCs w:val="22"/>
              </w:rPr>
              <w:t>62,828</w:t>
            </w:r>
          </w:p>
        </w:tc>
        <w:tc>
          <w:tcPr>
            <w:tcW w:w="1170" w:type="dxa"/>
            <w:tcBorders>
              <w:top w:val="double" w:sz="6" w:space="0" w:color="auto"/>
              <w:left w:val="single" w:sz="6" w:space="0" w:color="auto"/>
              <w:bottom w:val="double" w:sz="6" w:space="0" w:color="auto"/>
              <w:right w:val="single" w:sz="6" w:space="0" w:color="auto"/>
            </w:tcBorders>
          </w:tcPr>
          <w:p w:rsidR="006F7AD6" w:rsidRPr="00C0661D" w:rsidP="00886011" w14:paraId="14D6FF3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990" w:type="dxa"/>
            <w:tcBorders>
              <w:top w:val="double" w:sz="6" w:space="0" w:color="auto"/>
              <w:left w:val="single" w:sz="6" w:space="0" w:color="auto"/>
              <w:bottom w:val="double" w:sz="6" w:space="0" w:color="auto"/>
            </w:tcBorders>
          </w:tcPr>
          <w:p w:rsidR="006F7AD6" w:rsidRPr="00C0661D" w:rsidP="00886011" w14:paraId="170AA57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1170" w:type="dxa"/>
            <w:tcBorders>
              <w:top w:val="double" w:sz="6" w:space="0" w:color="auto"/>
              <w:left w:val="single" w:sz="6" w:space="0" w:color="auto"/>
              <w:bottom w:val="double" w:sz="6" w:space="0" w:color="auto"/>
              <w:right w:val="double" w:sz="6" w:space="0" w:color="auto"/>
            </w:tcBorders>
          </w:tcPr>
          <w:p w:rsidR="006F7AD6" w:rsidRPr="00C0661D" w:rsidP="00886011" w14:paraId="0E7BC6E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r>
              <w:rPr>
                <w:b/>
                <w:szCs w:val="22"/>
              </w:rPr>
              <w:t>1,866,270</w:t>
            </w:r>
          </w:p>
        </w:tc>
      </w:tr>
    </w:tbl>
    <w:p w:rsidR="006F7AD6" w:rsidRPr="00CF5E5C" w:rsidP="006F7AD6" w14:paraId="100D2CC5" w14:textId="77777777">
      <w:pPr>
        <w:tabs>
          <w:tab w:val="left" w:pos="3629"/>
        </w:tabs>
        <w:jc w:val="center"/>
        <w:rPr>
          <w:b/>
        </w:rPr>
      </w:pPr>
    </w:p>
    <w:p w:rsidR="006F7AD6" w:rsidP="006F7AD6" w14:paraId="6666B064" w14:textId="36EAC9AF">
      <w:pPr>
        <w:widowControl/>
        <w:rPr>
          <w:szCs w:val="22"/>
          <w:u w:val="single"/>
        </w:rPr>
      </w:pPr>
      <w:r>
        <w:rPr>
          <w:szCs w:val="22"/>
          <w:u w:val="single"/>
        </w:rPr>
        <w:br w:type="page"/>
      </w:r>
      <w:r w:rsidRPr="0067355D">
        <w:rPr>
          <w:szCs w:val="22"/>
          <w:u w:val="single"/>
        </w:rPr>
        <w:t xml:space="preserve">Notes on Appendix </w:t>
      </w:r>
      <w:r>
        <w:rPr>
          <w:szCs w:val="22"/>
          <w:u w:val="single"/>
        </w:rPr>
        <w:t>A</w:t>
      </w:r>
    </w:p>
    <w:p w:rsidR="006F7AD6" w:rsidP="006F7AD6" w14:paraId="0C89CA84" w14:textId="77777777">
      <w:pPr>
        <w:widowControl/>
        <w:rPr>
          <w:szCs w:val="22"/>
        </w:rPr>
      </w:pPr>
    </w:p>
    <w:p w:rsidR="006F7AD6" w:rsidP="006F7AD6" w14:paraId="1D2AE9CB" w14:textId="77777777">
      <w:pPr>
        <w:widowControl/>
        <w:rPr>
          <w:szCs w:val="22"/>
        </w:rPr>
      </w:pPr>
      <w:r w:rsidRPr="0067355D">
        <w:rPr>
          <w:szCs w:val="22"/>
          <w:vertAlign w:val="superscript"/>
        </w:rPr>
        <w:t>1</w:t>
      </w:r>
      <w:r w:rsidRPr="0067355D">
        <w:rPr>
          <w:szCs w:val="22"/>
        </w:rPr>
        <w:t xml:space="preserve"> The fee amounts listed in the column entitled “Rounded New FY 201</w:t>
      </w:r>
      <w:r>
        <w:rPr>
          <w:szCs w:val="22"/>
        </w:rPr>
        <w:t>9</w:t>
      </w:r>
      <w:r w:rsidRPr="0067355D">
        <w:rPr>
          <w:szCs w:val="22"/>
        </w:rPr>
        <w:t xml:space="preserve"> Regulatory Fee” constitute a weighted average broadcast regulatory fee by class of service.  The actual FY 201</w:t>
      </w:r>
      <w:r>
        <w:rPr>
          <w:szCs w:val="22"/>
        </w:rPr>
        <w:t>9</w:t>
      </w:r>
      <w:r w:rsidRPr="0067355D">
        <w:rPr>
          <w:szCs w:val="22"/>
        </w:rPr>
        <w:t xml:space="preserve"> regulatory fees for AM/FM radio station are listed on a grid located at the end of Appendix </w:t>
      </w:r>
      <w:r w:rsidRPr="00CA5BC1">
        <w:rPr>
          <w:szCs w:val="22"/>
        </w:rPr>
        <w:t>B</w:t>
      </w:r>
      <w:r w:rsidRPr="0067355D">
        <w:rPr>
          <w:szCs w:val="22"/>
        </w:rPr>
        <w:t>.</w:t>
      </w:r>
    </w:p>
    <w:p w:rsidR="006F7AD6" w:rsidRPr="003A7E7C" w:rsidP="006F7AD6" w14:paraId="1257E14C" w14:textId="77777777">
      <w:pPr>
        <w:widowControl/>
        <w:rPr>
          <w:szCs w:val="22"/>
        </w:rPr>
      </w:pPr>
    </w:p>
    <w:p w:rsidR="006F7AD6" w:rsidRPr="0067355D" w:rsidP="006F7AD6" w14:paraId="506ADE3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20"/>
        <w:rPr>
          <w:szCs w:val="22"/>
          <w:vertAlign w:val="superscript"/>
        </w:rPr>
      </w:pPr>
      <w:r>
        <w:rPr>
          <w:szCs w:val="22"/>
          <w:vertAlign w:val="superscript"/>
        </w:rPr>
        <w:t>2</w:t>
      </w:r>
      <w:r w:rsidRPr="0067355D">
        <w:rPr>
          <w:szCs w:val="22"/>
        </w:rPr>
        <w:t xml:space="preserve"> The AM and FM Construction Permit revenues and the Digital (VHF/UHF) Construction Permit revenues were adjusted, respectively, to set the regulatory fee to an amount no higher than the lowest licensed fee for that class of service.  Reductions in the Digital (VHF/UHF) Construction Permit revenues, and in the AM and FM Construction Permit revenues, were offset by increases in the revenue totals for Digital television stations by market size, and in the AM and FM radio stations by class size and population served, respectively. </w:t>
      </w:r>
    </w:p>
    <w:p w:rsidR="006F7AD6" w:rsidRPr="0067355D" w:rsidP="006F7AD6" w14:paraId="2EDB3035" w14:textId="682EF3F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20"/>
        <w:rPr>
          <w:szCs w:val="22"/>
        </w:rPr>
      </w:pPr>
      <w:r>
        <w:rPr>
          <w:szCs w:val="22"/>
          <w:vertAlign w:val="superscript"/>
        </w:rPr>
        <w:t>3</w:t>
      </w:r>
      <w:r w:rsidRPr="0067355D">
        <w:rPr>
          <w:szCs w:val="22"/>
        </w:rPr>
        <w:t xml:space="preserve"> MDS/MMDS category was renamed Broadband Radio Service (BRS).  </w:t>
      </w:r>
      <w:r w:rsidRPr="0067355D">
        <w:rPr>
          <w:i/>
          <w:szCs w:val="22"/>
        </w:rPr>
        <w:t>See Amendment of Parts 1, 21, 73, 74 and 101 of the Commission’s Rules to Facilitate the Provision of Fixed and Mobile Broadband Access, Educational and Other Advanced Services in the 2150-2162 and 2500-2690 MHz Bands</w:t>
      </w:r>
      <w:r w:rsidRPr="0067355D">
        <w:rPr>
          <w:szCs w:val="22"/>
        </w:rPr>
        <w:t>, Report &amp; Order and Further Notice of Proposed Rulemaking, 19 FCC Rcd 14165, 14169, para. 6 (2004).</w:t>
      </w:r>
    </w:p>
    <w:p w:rsidR="006F7AD6" w:rsidRPr="0067355D" w:rsidP="006F7AD6" w14:paraId="29D5276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20"/>
        <w:rPr>
          <w:szCs w:val="22"/>
        </w:rPr>
      </w:pPr>
      <w:r>
        <w:rPr>
          <w:szCs w:val="22"/>
          <w:vertAlign w:val="superscript"/>
        </w:rPr>
        <w:t>4</w:t>
      </w:r>
      <w:r w:rsidRPr="0067355D">
        <w:rPr>
          <w:szCs w:val="22"/>
        </w:rPr>
        <w:t xml:space="preserve"> Th</w:t>
      </w:r>
      <w:r>
        <w:rPr>
          <w:szCs w:val="22"/>
        </w:rPr>
        <w:t>e chart at the end of Appendix B</w:t>
      </w:r>
      <w:r w:rsidRPr="0067355D">
        <w:rPr>
          <w:szCs w:val="22"/>
        </w:rPr>
        <w:t xml:space="preserve"> lists the submarine cable bearer circuit regulatory fees (common and non-common carrier basis) that resulted from the adoption of the </w:t>
      </w:r>
      <w:r w:rsidRPr="0067355D">
        <w:rPr>
          <w:i/>
          <w:szCs w:val="22"/>
        </w:rPr>
        <w:t xml:space="preserve">Assessment and Collection of Regulatory Fees for Fiscal Year 2008, </w:t>
      </w:r>
      <w:r w:rsidRPr="0067355D">
        <w:rPr>
          <w:szCs w:val="22"/>
        </w:rPr>
        <w:t xml:space="preserve">Report and Order and Further Notice of Proposed Rulemaking, 24 FCC Rcd 6388 (2008) and </w:t>
      </w:r>
      <w:r w:rsidRPr="0067355D">
        <w:rPr>
          <w:i/>
          <w:szCs w:val="22"/>
        </w:rPr>
        <w:t>Assessment and Collection of Regulatory Fees for Fiscal Year 2008</w:t>
      </w:r>
      <w:r w:rsidRPr="0067355D">
        <w:rPr>
          <w:szCs w:val="22"/>
        </w:rPr>
        <w:t>, Second Report and Order, 24 FCC Rcd 4208 (2009).</w:t>
      </w:r>
    </w:p>
    <w:p w:rsidR="006F7AD6" w:rsidRPr="0067355D" w:rsidP="006F7AD6" w14:paraId="7154DB6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20"/>
        <w:rPr>
          <w:szCs w:val="22"/>
        </w:rPr>
      </w:pPr>
      <w:r w:rsidRPr="0067355D">
        <w:rPr>
          <w:szCs w:val="22"/>
        </w:rPr>
        <w:t xml:space="preserve">   </w:t>
      </w:r>
    </w:p>
    <w:p w:rsidR="006F7AD6" w:rsidP="006F7AD6" w14:paraId="5F71E179" w14:textId="77777777">
      <w:pPr>
        <w:widowControl/>
        <w:rPr>
          <w:b/>
          <w:szCs w:val="22"/>
        </w:rPr>
        <w:sectPr w:rsidSect="00886011">
          <w:headerReference w:type="default" r:id="rId15"/>
          <w:footerReference w:type="even" r:id="rId16"/>
          <w:footerReference w:type="default" r:id="rId17"/>
          <w:headerReference w:type="first" r:id="rId18"/>
          <w:footerReference w:type="first" r:id="rId19"/>
          <w:endnotePr>
            <w:numFmt w:val="decimal"/>
          </w:endnotePr>
          <w:pgSz w:w="12240" w:h="15840" w:code="1"/>
          <w:pgMar w:top="1440" w:right="1440" w:bottom="720" w:left="1440" w:header="720" w:footer="720" w:gutter="0"/>
          <w:cols w:space="720"/>
          <w:noEndnote/>
          <w:titlePg/>
          <w:docGrid w:linePitch="299"/>
        </w:sectPr>
      </w:pPr>
    </w:p>
    <w:p w:rsidR="006F7AD6" w:rsidRPr="0067355D" w:rsidP="006F7AD6" w14:paraId="71F8B2FC" w14:textId="77777777">
      <w:pPr>
        <w:tabs>
          <w:tab w:val="left" w:pos="3629"/>
        </w:tabs>
        <w:jc w:val="center"/>
        <w:rPr>
          <w:b/>
          <w:szCs w:val="22"/>
        </w:rPr>
      </w:pPr>
      <w:r w:rsidRPr="0067355D">
        <w:rPr>
          <w:b/>
          <w:szCs w:val="22"/>
        </w:rPr>
        <w:t xml:space="preserve">APPENDIX </w:t>
      </w:r>
      <w:r>
        <w:rPr>
          <w:b/>
          <w:szCs w:val="22"/>
        </w:rPr>
        <w:t>B</w:t>
      </w:r>
    </w:p>
    <w:p w:rsidR="006F7AD6" w:rsidRPr="0067355D" w:rsidP="006F7AD6" w14:paraId="6CF7619C" w14:textId="77777777">
      <w:pPr>
        <w:tabs>
          <w:tab w:val="left" w:pos="3629"/>
        </w:tabs>
        <w:jc w:val="center"/>
        <w:rPr>
          <w:b/>
          <w:szCs w:val="22"/>
        </w:rPr>
      </w:pPr>
    </w:p>
    <w:p w:rsidR="006F7AD6" w:rsidRPr="0067355D" w:rsidP="006F7AD6" w14:paraId="69688572" w14:textId="77777777">
      <w:pPr>
        <w:tabs>
          <w:tab w:val="left" w:pos="3629"/>
        </w:tabs>
        <w:jc w:val="center"/>
        <w:rPr>
          <w:b/>
          <w:szCs w:val="22"/>
        </w:rPr>
      </w:pPr>
      <w:r>
        <w:rPr>
          <w:b/>
          <w:szCs w:val="22"/>
        </w:rPr>
        <w:t xml:space="preserve">Proposed </w:t>
      </w:r>
      <w:r w:rsidRPr="0067355D">
        <w:rPr>
          <w:b/>
          <w:szCs w:val="22"/>
        </w:rPr>
        <w:t>Regulatory Fees</w:t>
      </w:r>
      <w:r>
        <w:rPr>
          <w:b/>
          <w:szCs w:val="22"/>
        </w:rPr>
        <w:t xml:space="preserve"> for </w:t>
      </w:r>
      <w:r w:rsidRPr="0067355D">
        <w:rPr>
          <w:b/>
          <w:szCs w:val="22"/>
        </w:rPr>
        <w:t>FY 201</w:t>
      </w:r>
      <w:r>
        <w:rPr>
          <w:b/>
          <w:szCs w:val="22"/>
        </w:rPr>
        <w:t>9</w:t>
      </w:r>
    </w:p>
    <w:p w:rsidR="006F7AD6" w:rsidRPr="0067355D" w:rsidP="006F7AD6" w14:paraId="69D45648" w14:textId="77777777">
      <w:pPr>
        <w:tabs>
          <w:tab w:val="left" w:pos="3629"/>
        </w:tabs>
        <w:jc w:val="center"/>
        <w:rPr>
          <w:b/>
          <w:szCs w:val="22"/>
        </w:rPr>
      </w:pPr>
    </w:p>
    <w:p w:rsidR="006F7AD6" w:rsidRPr="0067355D" w:rsidP="006F7AD6" w14:paraId="11FEE944" w14:textId="77777777">
      <w:pPr>
        <w:tabs>
          <w:tab w:val="center" w:pos="5040"/>
        </w:tabs>
        <w:suppressAutoHyphens/>
        <w:outlineLvl w:val="0"/>
        <w:rPr>
          <w:szCs w:val="22"/>
        </w:rPr>
      </w:pPr>
      <w:r w:rsidRPr="0067355D">
        <w:rPr>
          <w:szCs w:val="22"/>
        </w:rPr>
        <w:t>Regulatory fees for the categories shaded in gray are collected by the Commission in advance to cover the term of the license and are submitted at the time the application is filed.</w:t>
      </w:r>
    </w:p>
    <w:p w:rsidR="006F7AD6" w:rsidRPr="0067355D" w:rsidP="006F7AD6" w14:paraId="7B4798C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ind w:left="1440" w:hanging="1440"/>
        <w:rPr>
          <w:szCs w:val="22"/>
        </w:rPr>
      </w:pPr>
      <w:r w:rsidRPr="0067355D">
        <w:rPr>
          <w:szCs w:val="22"/>
        </w:rPr>
        <w:tab/>
      </w:r>
      <w:r w:rsidRPr="0067355D">
        <w:rPr>
          <w:szCs w:val="22"/>
        </w:rPr>
        <w:tab/>
      </w:r>
      <w:r w:rsidRPr="0067355D">
        <w:rPr>
          <w:szCs w:val="22"/>
        </w:rPr>
        <w:tab/>
      </w:r>
    </w:p>
    <w:tbl>
      <w:tblPr>
        <w:tblW w:w="8587" w:type="dxa"/>
        <w:tblInd w:w="210" w:type="dxa"/>
        <w:tblBorders>
          <w:top w:val="single" w:sz="6" w:space="0" w:color="auto"/>
          <w:left w:val="double" w:sz="6" w:space="0" w:color="auto"/>
          <w:bottom w:val="double" w:sz="4" w:space="0" w:color="auto"/>
          <w:right w:val="double" w:sz="6" w:space="0" w:color="auto"/>
          <w:insideH w:val="single" w:sz="6" w:space="0" w:color="auto"/>
          <w:insideV w:val="single" w:sz="6" w:space="0" w:color="auto"/>
        </w:tblBorders>
        <w:tblLayout w:type="fixed"/>
        <w:tblCellMar>
          <w:left w:w="120" w:type="dxa"/>
          <w:right w:w="120" w:type="dxa"/>
        </w:tblCellMar>
        <w:tblLook w:val="0000"/>
      </w:tblPr>
      <w:tblGrid>
        <w:gridCol w:w="6840"/>
        <w:gridCol w:w="1747"/>
      </w:tblGrid>
      <w:tr w14:paraId="50489C9A" w14:textId="77777777" w:rsidTr="00886011">
        <w:tblPrEx>
          <w:tblW w:w="8587" w:type="dxa"/>
          <w:tblInd w:w="210" w:type="dxa"/>
          <w:tblBorders>
            <w:top w:val="single" w:sz="6" w:space="0" w:color="auto"/>
            <w:left w:val="double" w:sz="6" w:space="0" w:color="auto"/>
            <w:bottom w:val="double" w:sz="4" w:space="0" w:color="auto"/>
            <w:right w:val="double" w:sz="6" w:space="0" w:color="auto"/>
            <w:insideH w:val="single" w:sz="6" w:space="0" w:color="auto"/>
            <w:insideV w:val="single" w:sz="6" w:space="0" w:color="auto"/>
          </w:tblBorders>
          <w:tblLayout w:type="fixed"/>
          <w:tblCellMar>
            <w:left w:w="120" w:type="dxa"/>
            <w:right w:w="120" w:type="dxa"/>
          </w:tblCellMar>
          <w:tblLook w:val="0000"/>
        </w:tblPrEx>
        <w:trPr>
          <w:tblHeader/>
        </w:trPr>
        <w:tc>
          <w:tcPr>
            <w:tcW w:w="6840" w:type="dxa"/>
            <w:tcBorders>
              <w:top w:val="double" w:sz="4" w:space="0" w:color="auto"/>
              <w:bottom w:val="single" w:sz="6" w:space="0" w:color="auto"/>
            </w:tcBorders>
          </w:tcPr>
          <w:p w:rsidR="006F7AD6" w:rsidRPr="0067355D" w:rsidP="00886011" w14:paraId="04BC607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jc w:val="center"/>
              <w:rPr>
                <w:szCs w:val="22"/>
              </w:rPr>
            </w:pPr>
            <w:r>
              <w:rPr>
                <w:szCs w:val="22"/>
              </w:rPr>
              <w:fldChar w:fldCharType="begin"/>
            </w:r>
            <w:r w:rsidRPr="0067355D">
              <w:rPr>
                <w:szCs w:val="22"/>
              </w:rPr>
              <w:instrText xml:space="preserve">PRIVATE </w:instrText>
            </w:r>
            <w:r>
              <w:rPr>
                <w:szCs w:val="22"/>
              </w:rPr>
              <w:fldChar w:fldCharType="end"/>
            </w:r>
          </w:p>
          <w:p w:rsidR="006F7AD6" w:rsidRPr="0067355D" w:rsidP="00886011" w14:paraId="49CE416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Cs w:val="22"/>
              </w:rPr>
            </w:pPr>
            <w:r w:rsidRPr="0067355D">
              <w:rPr>
                <w:b/>
                <w:szCs w:val="22"/>
              </w:rPr>
              <w:t>Fee Category</w:t>
            </w:r>
          </w:p>
          <w:p w:rsidR="006F7AD6" w:rsidRPr="0067355D" w:rsidP="00886011" w14:paraId="08AFC36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54"/>
              <w:rPr>
                <w:b/>
                <w:szCs w:val="22"/>
              </w:rPr>
            </w:pPr>
          </w:p>
        </w:tc>
        <w:tc>
          <w:tcPr>
            <w:tcW w:w="1747" w:type="dxa"/>
            <w:tcBorders>
              <w:top w:val="double" w:sz="4" w:space="0" w:color="auto"/>
              <w:bottom w:val="single" w:sz="6" w:space="0" w:color="auto"/>
            </w:tcBorders>
          </w:tcPr>
          <w:p w:rsidR="006F7AD6" w:rsidRPr="0067355D" w:rsidP="00886011" w14:paraId="59E89FC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jc w:val="center"/>
              <w:rPr>
                <w:b/>
                <w:szCs w:val="22"/>
              </w:rPr>
            </w:pPr>
            <w:r w:rsidRPr="0067355D">
              <w:rPr>
                <w:b/>
                <w:szCs w:val="22"/>
              </w:rPr>
              <w:t>Annual Regulatory Fee</w:t>
            </w:r>
          </w:p>
          <w:p w:rsidR="006F7AD6" w:rsidRPr="0067355D" w:rsidP="00886011" w14:paraId="4C46B989" w14:textId="77777777">
            <w:pPr>
              <w:tabs>
                <w:tab w:val="center" w:pos="850"/>
              </w:tabs>
              <w:suppressAutoHyphens/>
              <w:spacing w:after="54"/>
              <w:jc w:val="center"/>
              <w:rPr>
                <w:b/>
                <w:szCs w:val="22"/>
              </w:rPr>
            </w:pPr>
            <w:r w:rsidRPr="0067355D">
              <w:rPr>
                <w:b/>
                <w:szCs w:val="22"/>
              </w:rPr>
              <w:t>(U.S. $'s)</w:t>
            </w:r>
          </w:p>
        </w:tc>
      </w:tr>
      <w:tr w14:paraId="17AF1CDF" w14:textId="77777777" w:rsidTr="00886011">
        <w:tblPrEx>
          <w:tblW w:w="8587" w:type="dxa"/>
          <w:tblInd w:w="210" w:type="dxa"/>
          <w:tblLayout w:type="fixed"/>
          <w:tblCellMar>
            <w:left w:w="120" w:type="dxa"/>
            <w:right w:w="120" w:type="dxa"/>
          </w:tblCellMar>
          <w:tblLook w:val="0000"/>
        </w:tblPrEx>
        <w:tc>
          <w:tcPr>
            <w:tcW w:w="6840" w:type="dxa"/>
            <w:tcBorders>
              <w:top w:val="single" w:sz="6" w:space="0" w:color="auto"/>
            </w:tcBorders>
            <w:shd w:val="clear" w:color="auto" w:fill="C0C0C0"/>
          </w:tcPr>
          <w:p w:rsidR="006F7AD6" w:rsidRPr="003C5186" w:rsidP="00886011" w14:paraId="0CACA60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ind w:left="4680" w:hanging="4680"/>
              <w:rPr>
                <w:szCs w:val="22"/>
              </w:rPr>
            </w:pPr>
            <w:r w:rsidRPr="003C5186">
              <w:rPr>
                <w:szCs w:val="22"/>
              </w:rPr>
              <w:t>PLMRS (per license) (Exclusive Use) (47 CFR part 90)</w:t>
            </w:r>
          </w:p>
        </w:tc>
        <w:tc>
          <w:tcPr>
            <w:tcW w:w="1747" w:type="dxa"/>
            <w:tcBorders>
              <w:top w:val="single" w:sz="6" w:space="0" w:color="auto"/>
            </w:tcBorders>
            <w:shd w:val="clear" w:color="auto" w:fill="C0C0C0"/>
          </w:tcPr>
          <w:p w:rsidR="006F7AD6" w:rsidRPr="003C5186" w:rsidP="00886011" w14:paraId="5669109C" w14:textId="77777777">
            <w:pPr>
              <w:tabs>
                <w:tab w:val="left" w:pos="-1440"/>
                <w:tab w:val="left" w:pos="-720"/>
                <w:tab w:val="left" w:pos="0"/>
                <w:tab w:val="left" w:pos="720"/>
                <w:tab w:val="left" w:pos="1440"/>
                <w:tab w:val="left" w:pos="2160"/>
                <w:tab w:val="left" w:pos="2880"/>
                <w:tab w:val="right" w:pos="3461"/>
                <w:tab w:val="left" w:pos="3600"/>
              </w:tabs>
              <w:suppressAutoHyphens/>
              <w:spacing w:before="90" w:after="54"/>
              <w:jc w:val="center"/>
              <w:rPr>
                <w:szCs w:val="22"/>
              </w:rPr>
            </w:pPr>
            <w:r w:rsidRPr="003C5186">
              <w:rPr>
                <w:szCs w:val="22"/>
              </w:rPr>
              <w:t>25</w:t>
            </w:r>
          </w:p>
        </w:tc>
      </w:tr>
      <w:tr w14:paraId="02D089D7" w14:textId="77777777" w:rsidTr="00886011">
        <w:tblPrEx>
          <w:tblW w:w="8587" w:type="dxa"/>
          <w:tblInd w:w="210" w:type="dxa"/>
          <w:tblLayout w:type="fixed"/>
          <w:tblCellMar>
            <w:left w:w="120" w:type="dxa"/>
            <w:right w:w="120" w:type="dxa"/>
          </w:tblCellMar>
          <w:tblLook w:val="0000"/>
        </w:tblPrEx>
        <w:tc>
          <w:tcPr>
            <w:tcW w:w="6840" w:type="dxa"/>
            <w:shd w:val="clear" w:color="auto" w:fill="C0C0C0"/>
          </w:tcPr>
          <w:p w:rsidR="006F7AD6" w:rsidRPr="003C5186" w:rsidP="00886011" w14:paraId="33F35594" w14:textId="77777777">
            <w:pPr>
              <w:tabs>
                <w:tab w:val="left" w:pos="-1440"/>
                <w:tab w:val="left" w:pos="-720"/>
                <w:tab w:val="left" w:pos="0"/>
                <w:tab w:val="left" w:pos="720"/>
                <w:tab w:val="left" w:pos="1440"/>
                <w:tab w:val="left" w:pos="2160"/>
                <w:tab w:val="left" w:pos="2880"/>
                <w:tab w:val="right" w:pos="3461"/>
                <w:tab w:val="left" w:pos="3600"/>
              </w:tabs>
              <w:suppressAutoHyphens/>
              <w:spacing w:before="90" w:after="54"/>
              <w:ind w:left="4320" w:hanging="4320"/>
              <w:rPr>
                <w:szCs w:val="22"/>
              </w:rPr>
            </w:pPr>
            <w:r w:rsidRPr="003C5186">
              <w:rPr>
                <w:szCs w:val="22"/>
              </w:rPr>
              <w:t>Microwave (per license) (47 CFR part 101)</w:t>
            </w:r>
            <w:r w:rsidRPr="003C5186">
              <w:rPr>
                <w:szCs w:val="22"/>
              </w:rPr>
              <w:tab/>
            </w:r>
          </w:p>
        </w:tc>
        <w:tc>
          <w:tcPr>
            <w:tcW w:w="1747" w:type="dxa"/>
            <w:shd w:val="clear" w:color="auto" w:fill="C0C0C0"/>
          </w:tcPr>
          <w:p w:rsidR="006F7AD6" w:rsidRPr="003C5186" w:rsidP="00886011" w14:paraId="1926DBF2" w14:textId="77777777">
            <w:pPr>
              <w:tabs>
                <w:tab w:val="left" w:pos="-1440"/>
                <w:tab w:val="left" w:pos="-720"/>
                <w:tab w:val="left" w:pos="0"/>
                <w:tab w:val="left" w:pos="720"/>
                <w:tab w:val="left" w:pos="1440"/>
                <w:tab w:val="left" w:pos="2160"/>
                <w:tab w:val="left" w:pos="2880"/>
                <w:tab w:val="right" w:pos="3461"/>
                <w:tab w:val="left" w:pos="3600"/>
              </w:tabs>
              <w:suppressAutoHyphens/>
              <w:spacing w:before="90" w:after="54"/>
              <w:jc w:val="center"/>
              <w:rPr>
                <w:szCs w:val="22"/>
              </w:rPr>
            </w:pPr>
            <w:r w:rsidRPr="003C5186">
              <w:rPr>
                <w:szCs w:val="22"/>
              </w:rPr>
              <w:t>25</w:t>
            </w:r>
          </w:p>
        </w:tc>
      </w:tr>
      <w:tr w14:paraId="59607BE2" w14:textId="77777777" w:rsidTr="00886011">
        <w:tblPrEx>
          <w:tblW w:w="8587" w:type="dxa"/>
          <w:tblInd w:w="210" w:type="dxa"/>
          <w:tblLayout w:type="fixed"/>
          <w:tblCellMar>
            <w:left w:w="120" w:type="dxa"/>
            <w:right w:w="120" w:type="dxa"/>
          </w:tblCellMar>
          <w:tblLook w:val="0000"/>
        </w:tblPrEx>
        <w:tc>
          <w:tcPr>
            <w:tcW w:w="6840" w:type="dxa"/>
            <w:shd w:val="clear" w:color="auto" w:fill="C0C0C0"/>
          </w:tcPr>
          <w:p w:rsidR="006F7AD6" w:rsidRPr="003C5186" w:rsidP="00886011" w14:paraId="1544B60E" w14:textId="77777777">
            <w:pPr>
              <w:tabs>
                <w:tab w:val="left" w:pos="-1440"/>
                <w:tab w:val="left" w:pos="-720"/>
              </w:tabs>
              <w:suppressAutoHyphens/>
              <w:spacing w:before="90" w:after="54"/>
              <w:rPr>
                <w:szCs w:val="22"/>
              </w:rPr>
            </w:pPr>
            <w:r w:rsidRPr="003C5186">
              <w:rPr>
                <w:szCs w:val="22"/>
              </w:rPr>
              <w:t>Marine (Ship) (per station) (47 CFR part 80)</w:t>
            </w:r>
          </w:p>
        </w:tc>
        <w:tc>
          <w:tcPr>
            <w:tcW w:w="1747" w:type="dxa"/>
            <w:shd w:val="clear" w:color="auto" w:fill="C0C0C0"/>
          </w:tcPr>
          <w:p w:rsidR="006F7AD6" w:rsidRPr="003C5186" w:rsidP="00886011" w14:paraId="0808EC5E" w14:textId="77777777">
            <w:pPr>
              <w:tabs>
                <w:tab w:val="left" w:pos="-1440"/>
                <w:tab w:val="left" w:pos="-720"/>
              </w:tabs>
              <w:suppressAutoHyphens/>
              <w:spacing w:before="90" w:after="54"/>
              <w:jc w:val="center"/>
              <w:rPr>
                <w:szCs w:val="22"/>
              </w:rPr>
            </w:pPr>
            <w:r w:rsidRPr="003C5186">
              <w:rPr>
                <w:szCs w:val="22"/>
              </w:rPr>
              <w:t>15</w:t>
            </w:r>
          </w:p>
        </w:tc>
      </w:tr>
      <w:tr w14:paraId="73941D5D" w14:textId="77777777" w:rsidTr="00886011">
        <w:tblPrEx>
          <w:tblW w:w="8587" w:type="dxa"/>
          <w:tblInd w:w="210" w:type="dxa"/>
          <w:tblLayout w:type="fixed"/>
          <w:tblCellMar>
            <w:left w:w="120" w:type="dxa"/>
            <w:right w:w="120" w:type="dxa"/>
          </w:tblCellMar>
          <w:tblLook w:val="0000"/>
        </w:tblPrEx>
        <w:tc>
          <w:tcPr>
            <w:tcW w:w="6840" w:type="dxa"/>
            <w:shd w:val="clear" w:color="auto" w:fill="C0C0C0"/>
          </w:tcPr>
          <w:p w:rsidR="006F7AD6" w:rsidRPr="003C5186" w:rsidP="00886011" w14:paraId="657D6D9B" w14:textId="77777777">
            <w:pPr>
              <w:tabs>
                <w:tab w:val="left" w:pos="-1440"/>
                <w:tab w:val="left" w:pos="-720"/>
              </w:tabs>
              <w:suppressAutoHyphens/>
              <w:spacing w:before="90" w:after="54"/>
              <w:rPr>
                <w:szCs w:val="22"/>
              </w:rPr>
            </w:pPr>
            <w:r w:rsidRPr="003C5186">
              <w:rPr>
                <w:szCs w:val="22"/>
              </w:rPr>
              <w:t>Marine (Coast) (per license) (47 CFR part 80)</w:t>
            </w:r>
          </w:p>
        </w:tc>
        <w:tc>
          <w:tcPr>
            <w:tcW w:w="1747" w:type="dxa"/>
            <w:shd w:val="clear" w:color="auto" w:fill="C0C0C0"/>
          </w:tcPr>
          <w:p w:rsidR="006F7AD6" w:rsidRPr="003C5186" w:rsidP="00886011" w14:paraId="17E2D1B7" w14:textId="77777777">
            <w:pPr>
              <w:tabs>
                <w:tab w:val="left" w:pos="-1440"/>
                <w:tab w:val="left" w:pos="-720"/>
              </w:tabs>
              <w:suppressAutoHyphens/>
              <w:spacing w:before="90" w:after="54"/>
              <w:jc w:val="center"/>
              <w:rPr>
                <w:szCs w:val="22"/>
              </w:rPr>
            </w:pPr>
            <w:r w:rsidRPr="003C5186">
              <w:rPr>
                <w:szCs w:val="22"/>
              </w:rPr>
              <w:t>40</w:t>
            </w:r>
          </w:p>
        </w:tc>
      </w:tr>
      <w:tr w14:paraId="3E6B60AA" w14:textId="77777777" w:rsidTr="00886011">
        <w:tblPrEx>
          <w:tblW w:w="8587" w:type="dxa"/>
          <w:tblInd w:w="210" w:type="dxa"/>
          <w:tblLayout w:type="fixed"/>
          <w:tblCellMar>
            <w:left w:w="120" w:type="dxa"/>
            <w:right w:w="120" w:type="dxa"/>
          </w:tblCellMar>
          <w:tblLook w:val="0000"/>
        </w:tblPrEx>
        <w:tc>
          <w:tcPr>
            <w:tcW w:w="6840" w:type="dxa"/>
            <w:shd w:val="clear" w:color="auto" w:fill="C0C0C0"/>
          </w:tcPr>
          <w:p w:rsidR="006F7AD6" w:rsidRPr="003C5186" w:rsidP="00886011" w14:paraId="1437685B" w14:textId="77777777">
            <w:pPr>
              <w:tabs>
                <w:tab w:val="left" w:pos="-1440"/>
                <w:tab w:val="left" w:pos="-720"/>
              </w:tabs>
              <w:suppressAutoHyphens/>
              <w:spacing w:before="90" w:after="54"/>
              <w:rPr>
                <w:szCs w:val="22"/>
              </w:rPr>
            </w:pPr>
            <w:r w:rsidRPr="003C5186">
              <w:rPr>
                <w:szCs w:val="22"/>
              </w:rPr>
              <w:t>Rural Radio (47 CFR part 22) (previously listed under the Land Mobile category)</w:t>
            </w:r>
          </w:p>
        </w:tc>
        <w:tc>
          <w:tcPr>
            <w:tcW w:w="1747" w:type="dxa"/>
            <w:shd w:val="clear" w:color="auto" w:fill="C0C0C0"/>
          </w:tcPr>
          <w:p w:rsidR="006F7AD6" w:rsidRPr="003C5186" w:rsidP="00886011" w14:paraId="2CAB305E" w14:textId="77777777">
            <w:pPr>
              <w:tabs>
                <w:tab w:val="left" w:pos="-1440"/>
                <w:tab w:val="left" w:pos="-720"/>
              </w:tabs>
              <w:suppressAutoHyphens/>
              <w:spacing w:before="90" w:after="54"/>
              <w:jc w:val="center"/>
              <w:rPr>
                <w:szCs w:val="22"/>
              </w:rPr>
            </w:pPr>
            <w:r w:rsidRPr="003C5186">
              <w:rPr>
                <w:szCs w:val="22"/>
              </w:rPr>
              <w:t>10</w:t>
            </w:r>
          </w:p>
        </w:tc>
      </w:tr>
      <w:tr w14:paraId="0879955F" w14:textId="77777777" w:rsidTr="00886011">
        <w:tblPrEx>
          <w:tblW w:w="8587" w:type="dxa"/>
          <w:tblInd w:w="210" w:type="dxa"/>
          <w:tblLayout w:type="fixed"/>
          <w:tblCellMar>
            <w:left w:w="120" w:type="dxa"/>
            <w:right w:w="120" w:type="dxa"/>
          </w:tblCellMar>
          <w:tblLook w:val="0000"/>
        </w:tblPrEx>
        <w:tc>
          <w:tcPr>
            <w:tcW w:w="6840" w:type="dxa"/>
            <w:shd w:val="clear" w:color="auto" w:fill="C0C0C0"/>
          </w:tcPr>
          <w:p w:rsidR="006F7AD6" w:rsidRPr="003C5186" w:rsidP="00886011" w14:paraId="38681D6B" w14:textId="77777777">
            <w:pPr>
              <w:tabs>
                <w:tab w:val="left" w:pos="-1440"/>
                <w:tab w:val="left" w:pos="-720"/>
              </w:tabs>
              <w:suppressAutoHyphens/>
              <w:spacing w:before="90" w:after="54"/>
              <w:rPr>
                <w:szCs w:val="22"/>
              </w:rPr>
            </w:pPr>
            <w:r w:rsidRPr="003C5186">
              <w:rPr>
                <w:szCs w:val="22"/>
              </w:rPr>
              <w:t>PLMRS (Shared Use) (per license) (47 CFR part 90)</w:t>
            </w:r>
          </w:p>
        </w:tc>
        <w:tc>
          <w:tcPr>
            <w:tcW w:w="1747" w:type="dxa"/>
            <w:shd w:val="clear" w:color="auto" w:fill="C0C0C0"/>
          </w:tcPr>
          <w:p w:rsidR="006F7AD6" w:rsidRPr="003C5186" w:rsidP="00886011" w14:paraId="0D3D6C8A" w14:textId="77777777">
            <w:pPr>
              <w:tabs>
                <w:tab w:val="left" w:pos="-1440"/>
                <w:tab w:val="left" w:pos="-720"/>
              </w:tabs>
              <w:suppressAutoHyphens/>
              <w:spacing w:before="90" w:after="54"/>
              <w:jc w:val="center"/>
              <w:rPr>
                <w:szCs w:val="22"/>
              </w:rPr>
            </w:pPr>
            <w:r w:rsidRPr="003C5186">
              <w:rPr>
                <w:szCs w:val="22"/>
              </w:rPr>
              <w:t>10</w:t>
            </w:r>
          </w:p>
        </w:tc>
      </w:tr>
      <w:tr w14:paraId="5078B958" w14:textId="77777777" w:rsidTr="00886011">
        <w:tblPrEx>
          <w:tblW w:w="8587" w:type="dxa"/>
          <w:tblInd w:w="210" w:type="dxa"/>
          <w:tblLayout w:type="fixed"/>
          <w:tblCellMar>
            <w:left w:w="120" w:type="dxa"/>
            <w:right w:w="120" w:type="dxa"/>
          </w:tblCellMar>
          <w:tblLook w:val="0000"/>
        </w:tblPrEx>
        <w:tc>
          <w:tcPr>
            <w:tcW w:w="6840" w:type="dxa"/>
            <w:shd w:val="clear" w:color="auto" w:fill="C0C0C0"/>
          </w:tcPr>
          <w:p w:rsidR="006F7AD6" w:rsidRPr="003C5186" w:rsidP="00886011" w14:paraId="3B640992" w14:textId="77777777">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Cs w:val="22"/>
              </w:rPr>
            </w:pPr>
            <w:r w:rsidRPr="003C5186">
              <w:rPr>
                <w:szCs w:val="22"/>
              </w:rPr>
              <w:t>Aviation (Aircraft) (per station) (47 CFR part 87)</w:t>
            </w:r>
            <w:r w:rsidRPr="003C5186">
              <w:rPr>
                <w:szCs w:val="22"/>
              </w:rPr>
              <w:tab/>
            </w:r>
            <w:r w:rsidRPr="003C5186">
              <w:rPr>
                <w:szCs w:val="22"/>
              </w:rPr>
              <w:tab/>
            </w:r>
            <w:r w:rsidRPr="003C5186">
              <w:rPr>
                <w:szCs w:val="22"/>
              </w:rPr>
              <w:tab/>
            </w:r>
          </w:p>
        </w:tc>
        <w:tc>
          <w:tcPr>
            <w:tcW w:w="1747" w:type="dxa"/>
            <w:shd w:val="clear" w:color="auto" w:fill="C0C0C0"/>
          </w:tcPr>
          <w:p w:rsidR="006F7AD6" w:rsidRPr="003C5186" w:rsidP="00886011" w14:paraId="07CFF864" w14:textId="77777777">
            <w:pPr>
              <w:tabs>
                <w:tab w:val="left" w:pos="-1440"/>
                <w:tab w:val="left" w:pos="-720"/>
              </w:tabs>
              <w:suppressAutoHyphens/>
              <w:spacing w:before="90" w:after="54"/>
              <w:jc w:val="center"/>
              <w:rPr>
                <w:szCs w:val="22"/>
              </w:rPr>
            </w:pPr>
            <w:r w:rsidRPr="003C5186">
              <w:rPr>
                <w:szCs w:val="22"/>
              </w:rPr>
              <w:t>10</w:t>
            </w:r>
          </w:p>
        </w:tc>
      </w:tr>
      <w:tr w14:paraId="1EE39B7E" w14:textId="77777777" w:rsidTr="00886011">
        <w:tblPrEx>
          <w:tblW w:w="8587" w:type="dxa"/>
          <w:tblInd w:w="210" w:type="dxa"/>
          <w:tblLayout w:type="fixed"/>
          <w:tblCellMar>
            <w:left w:w="120" w:type="dxa"/>
            <w:right w:w="120" w:type="dxa"/>
          </w:tblCellMar>
          <w:tblLook w:val="0000"/>
        </w:tblPrEx>
        <w:tc>
          <w:tcPr>
            <w:tcW w:w="6840" w:type="dxa"/>
            <w:shd w:val="clear" w:color="auto" w:fill="C0C0C0"/>
          </w:tcPr>
          <w:p w:rsidR="006F7AD6" w:rsidRPr="003C5186" w:rsidP="00886011" w14:paraId="426B3478" w14:textId="77777777">
            <w:pPr>
              <w:tabs>
                <w:tab w:val="left" w:pos="-1440"/>
                <w:tab w:val="left" w:pos="-720"/>
                <w:tab w:val="left" w:pos="0"/>
                <w:tab w:val="left" w:pos="720"/>
                <w:tab w:val="left" w:pos="1440"/>
                <w:tab w:val="left" w:pos="2160"/>
                <w:tab w:val="left" w:pos="2880"/>
                <w:tab w:val="left" w:pos="3600"/>
              </w:tabs>
              <w:suppressAutoHyphens/>
              <w:spacing w:before="90" w:after="54"/>
              <w:ind w:left="4320" w:hanging="4320"/>
              <w:rPr>
                <w:szCs w:val="22"/>
              </w:rPr>
            </w:pPr>
            <w:r w:rsidRPr="003C5186">
              <w:rPr>
                <w:szCs w:val="22"/>
              </w:rPr>
              <w:t>Aviation (Ground) (per license) (47 CFR part 87)</w:t>
            </w:r>
            <w:r w:rsidRPr="003C5186">
              <w:rPr>
                <w:szCs w:val="22"/>
              </w:rPr>
              <w:tab/>
            </w:r>
          </w:p>
        </w:tc>
        <w:tc>
          <w:tcPr>
            <w:tcW w:w="1747" w:type="dxa"/>
            <w:shd w:val="clear" w:color="auto" w:fill="C0C0C0"/>
          </w:tcPr>
          <w:p w:rsidR="006F7AD6" w:rsidRPr="003C5186" w:rsidP="00886011" w14:paraId="25C8AEB8" w14:textId="77777777">
            <w:pPr>
              <w:tabs>
                <w:tab w:val="left" w:pos="-1440"/>
                <w:tab w:val="left" w:pos="-720"/>
              </w:tabs>
              <w:suppressAutoHyphens/>
              <w:spacing w:before="90" w:after="54"/>
              <w:jc w:val="center"/>
              <w:rPr>
                <w:szCs w:val="22"/>
              </w:rPr>
            </w:pPr>
            <w:r w:rsidRPr="003C5186">
              <w:rPr>
                <w:szCs w:val="22"/>
              </w:rPr>
              <w:t>20</w:t>
            </w:r>
          </w:p>
        </w:tc>
      </w:tr>
      <w:tr w14:paraId="55570D8D" w14:textId="77777777" w:rsidTr="00886011">
        <w:tblPrEx>
          <w:tblW w:w="8587" w:type="dxa"/>
          <w:tblInd w:w="210" w:type="dxa"/>
          <w:tblLayout w:type="fixed"/>
          <w:tblCellMar>
            <w:left w:w="120" w:type="dxa"/>
            <w:right w:w="120" w:type="dxa"/>
          </w:tblCellMar>
          <w:tblLook w:val="0000"/>
        </w:tblPrEx>
        <w:tc>
          <w:tcPr>
            <w:tcW w:w="6840" w:type="dxa"/>
          </w:tcPr>
          <w:p w:rsidR="006F7AD6" w:rsidRPr="0067355D" w:rsidP="00886011" w14:paraId="1CD0F1AA" w14:textId="77777777">
            <w:pPr>
              <w:tabs>
                <w:tab w:val="left" w:pos="-1440"/>
                <w:tab w:val="left" w:pos="-720"/>
              </w:tabs>
              <w:suppressAutoHyphens/>
              <w:spacing w:before="90" w:after="54"/>
              <w:rPr>
                <w:szCs w:val="22"/>
              </w:rPr>
            </w:pPr>
            <w:r w:rsidRPr="0067355D">
              <w:rPr>
                <w:szCs w:val="22"/>
              </w:rPr>
              <w:t>CMRS Mobile/Cellular Services (per unit) (47 CFR parts 20, 22, 24, 27, 80 and 90)</w:t>
            </w:r>
          </w:p>
        </w:tc>
        <w:tc>
          <w:tcPr>
            <w:tcW w:w="1747" w:type="dxa"/>
          </w:tcPr>
          <w:p w:rsidR="006F7AD6" w:rsidRPr="0067355D" w:rsidP="00886011" w14:paraId="16D3C5C6" w14:textId="77777777">
            <w:pPr>
              <w:tabs>
                <w:tab w:val="left" w:pos="-1440"/>
                <w:tab w:val="left" w:pos="-720"/>
              </w:tabs>
              <w:suppressAutoHyphens/>
              <w:spacing w:before="90" w:after="54"/>
              <w:jc w:val="center"/>
              <w:rPr>
                <w:szCs w:val="22"/>
              </w:rPr>
            </w:pPr>
            <w:r w:rsidRPr="0067355D">
              <w:rPr>
                <w:szCs w:val="22"/>
              </w:rPr>
              <w:t>.</w:t>
            </w:r>
            <w:r>
              <w:rPr>
                <w:szCs w:val="22"/>
              </w:rPr>
              <w:t>19</w:t>
            </w:r>
          </w:p>
        </w:tc>
      </w:tr>
      <w:tr w14:paraId="755F0C81" w14:textId="77777777" w:rsidTr="00886011">
        <w:tblPrEx>
          <w:tblW w:w="8587" w:type="dxa"/>
          <w:tblInd w:w="210" w:type="dxa"/>
          <w:tblLayout w:type="fixed"/>
          <w:tblCellMar>
            <w:left w:w="120" w:type="dxa"/>
            <w:right w:w="120" w:type="dxa"/>
          </w:tblCellMar>
          <w:tblLook w:val="0000"/>
        </w:tblPrEx>
        <w:tc>
          <w:tcPr>
            <w:tcW w:w="6840" w:type="dxa"/>
          </w:tcPr>
          <w:p w:rsidR="006F7AD6" w:rsidRPr="0067355D" w:rsidP="00886011" w14:paraId="07AFC526" w14:textId="77777777">
            <w:pPr>
              <w:tabs>
                <w:tab w:val="left" w:pos="-1440"/>
                <w:tab w:val="left" w:pos="-720"/>
              </w:tabs>
              <w:suppressAutoHyphens/>
              <w:spacing w:before="90" w:after="54"/>
              <w:rPr>
                <w:szCs w:val="22"/>
              </w:rPr>
            </w:pPr>
            <w:r w:rsidRPr="0067355D">
              <w:rPr>
                <w:szCs w:val="22"/>
              </w:rPr>
              <w:t>CMRS Messaging Services (per unit) (47 CFR parts 20, 22, 24 and 90)</w:t>
            </w:r>
          </w:p>
        </w:tc>
        <w:tc>
          <w:tcPr>
            <w:tcW w:w="1747" w:type="dxa"/>
          </w:tcPr>
          <w:p w:rsidR="006F7AD6" w:rsidRPr="0067355D" w:rsidP="00886011" w14:paraId="7D2AFDFF" w14:textId="77777777">
            <w:pPr>
              <w:tabs>
                <w:tab w:val="left" w:pos="-1440"/>
                <w:tab w:val="left" w:pos="-720"/>
              </w:tabs>
              <w:suppressAutoHyphens/>
              <w:spacing w:before="90" w:after="54"/>
              <w:jc w:val="center"/>
              <w:rPr>
                <w:szCs w:val="22"/>
              </w:rPr>
            </w:pPr>
            <w:r w:rsidRPr="0067355D">
              <w:rPr>
                <w:szCs w:val="22"/>
              </w:rPr>
              <w:t>.08</w:t>
            </w:r>
          </w:p>
        </w:tc>
      </w:tr>
      <w:tr w14:paraId="4DBFDFF1" w14:textId="77777777" w:rsidTr="00886011">
        <w:tblPrEx>
          <w:tblW w:w="8587" w:type="dxa"/>
          <w:tblInd w:w="210" w:type="dxa"/>
          <w:tblLayout w:type="fixed"/>
          <w:tblCellMar>
            <w:left w:w="120" w:type="dxa"/>
            <w:right w:w="120" w:type="dxa"/>
          </w:tblCellMar>
          <w:tblLook w:val="0000"/>
        </w:tblPrEx>
        <w:tc>
          <w:tcPr>
            <w:tcW w:w="6840" w:type="dxa"/>
          </w:tcPr>
          <w:p w:rsidR="006F7AD6" w:rsidRPr="0067355D" w:rsidP="00886011" w14:paraId="5A6FAE38" w14:textId="77777777">
            <w:pPr>
              <w:tabs>
                <w:tab w:val="left" w:pos="-1440"/>
                <w:tab w:val="left" w:pos="-720"/>
              </w:tabs>
              <w:suppressAutoHyphens/>
              <w:spacing w:before="90" w:after="54"/>
              <w:rPr>
                <w:szCs w:val="22"/>
              </w:rPr>
            </w:pPr>
            <w:r w:rsidRPr="0067355D">
              <w:rPr>
                <w:szCs w:val="22"/>
              </w:rPr>
              <w:t>Broadband Radio Service (formerly MMDS/ MDS) (per license) (47 CFR part 27)</w:t>
            </w:r>
          </w:p>
          <w:p w:rsidR="006F7AD6" w:rsidRPr="0067355D" w:rsidP="00886011" w14:paraId="097B6FD7" w14:textId="77777777">
            <w:pPr>
              <w:tabs>
                <w:tab w:val="left" w:pos="-1440"/>
                <w:tab w:val="left" w:pos="-720"/>
              </w:tabs>
              <w:suppressAutoHyphens/>
              <w:spacing w:before="90" w:after="54"/>
              <w:rPr>
                <w:szCs w:val="22"/>
              </w:rPr>
            </w:pPr>
            <w:r w:rsidRPr="0067355D">
              <w:rPr>
                <w:szCs w:val="22"/>
              </w:rPr>
              <w:t>Local Multipoint Distribution Service (per call sign) (47 CFR, part 101)</w:t>
            </w:r>
          </w:p>
          <w:p w:rsidR="006F7AD6" w:rsidRPr="0067355D" w:rsidP="00886011" w14:paraId="5F7E483F" w14:textId="77777777">
            <w:pPr>
              <w:tabs>
                <w:tab w:val="left" w:pos="-1440"/>
                <w:tab w:val="left" w:pos="-720"/>
              </w:tabs>
              <w:suppressAutoHyphens/>
              <w:spacing w:before="90" w:after="54"/>
              <w:rPr>
                <w:szCs w:val="22"/>
              </w:rPr>
            </w:pPr>
          </w:p>
        </w:tc>
        <w:tc>
          <w:tcPr>
            <w:tcW w:w="1747" w:type="dxa"/>
          </w:tcPr>
          <w:p w:rsidR="006F7AD6" w:rsidRPr="0067355D" w:rsidP="00886011" w14:paraId="0AA67B1F" w14:textId="77777777">
            <w:pPr>
              <w:tabs>
                <w:tab w:val="left" w:pos="-1440"/>
                <w:tab w:val="left" w:pos="-720"/>
              </w:tabs>
              <w:suppressAutoHyphens/>
              <w:spacing w:before="90" w:after="54"/>
              <w:jc w:val="center"/>
              <w:rPr>
                <w:szCs w:val="22"/>
              </w:rPr>
            </w:pPr>
            <w:r w:rsidRPr="0067355D">
              <w:rPr>
                <w:szCs w:val="22"/>
              </w:rPr>
              <w:t>6</w:t>
            </w:r>
            <w:r>
              <w:rPr>
                <w:szCs w:val="22"/>
              </w:rPr>
              <w:t>9</w:t>
            </w:r>
            <w:r w:rsidRPr="0067355D">
              <w:rPr>
                <w:szCs w:val="22"/>
              </w:rPr>
              <w:t>0</w:t>
            </w:r>
          </w:p>
          <w:p w:rsidR="006F7AD6" w:rsidRPr="0067355D" w:rsidP="00886011" w14:paraId="2FCE0CC2" w14:textId="77777777">
            <w:pPr>
              <w:tabs>
                <w:tab w:val="left" w:pos="-1440"/>
                <w:tab w:val="left" w:pos="-720"/>
              </w:tabs>
              <w:suppressAutoHyphens/>
              <w:spacing w:before="90" w:after="54"/>
              <w:jc w:val="center"/>
              <w:rPr>
                <w:szCs w:val="22"/>
              </w:rPr>
            </w:pPr>
          </w:p>
          <w:p w:rsidR="006F7AD6" w:rsidRPr="0067355D" w:rsidP="00886011" w14:paraId="0ECC46AC" w14:textId="77777777">
            <w:pPr>
              <w:tabs>
                <w:tab w:val="left" w:pos="-1440"/>
                <w:tab w:val="left" w:pos="-720"/>
              </w:tabs>
              <w:suppressAutoHyphens/>
              <w:spacing w:before="90" w:after="54"/>
              <w:jc w:val="center"/>
              <w:rPr>
                <w:szCs w:val="22"/>
              </w:rPr>
            </w:pPr>
            <w:r w:rsidRPr="0067355D">
              <w:rPr>
                <w:szCs w:val="22"/>
              </w:rPr>
              <w:t>6</w:t>
            </w:r>
            <w:r>
              <w:rPr>
                <w:szCs w:val="22"/>
              </w:rPr>
              <w:t>9</w:t>
            </w:r>
            <w:r w:rsidRPr="0067355D">
              <w:rPr>
                <w:szCs w:val="22"/>
              </w:rPr>
              <w:t>0</w:t>
            </w:r>
          </w:p>
        </w:tc>
      </w:tr>
      <w:tr w14:paraId="1F016DB6" w14:textId="77777777" w:rsidTr="00886011">
        <w:tblPrEx>
          <w:tblW w:w="8587" w:type="dxa"/>
          <w:tblInd w:w="210" w:type="dxa"/>
          <w:tblLayout w:type="fixed"/>
          <w:tblCellMar>
            <w:left w:w="120" w:type="dxa"/>
            <w:right w:w="120" w:type="dxa"/>
          </w:tblCellMar>
          <w:tblLook w:val="0000"/>
        </w:tblPrEx>
        <w:tc>
          <w:tcPr>
            <w:tcW w:w="6840" w:type="dxa"/>
          </w:tcPr>
          <w:p w:rsidR="006F7AD6" w:rsidRPr="0067355D" w:rsidP="00886011" w14:paraId="54FF07E0" w14:textId="77777777">
            <w:pPr>
              <w:tabs>
                <w:tab w:val="left" w:pos="-1440"/>
                <w:tab w:val="left" w:pos="-720"/>
              </w:tabs>
              <w:suppressAutoHyphens/>
              <w:spacing w:before="90" w:after="54"/>
              <w:rPr>
                <w:szCs w:val="22"/>
              </w:rPr>
            </w:pPr>
            <w:r w:rsidRPr="0067355D">
              <w:rPr>
                <w:szCs w:val="22"/>
              </w:rPr>
              <w:t>AM Radio Construction Permits</w:t>
            </w:r>
          </w:p>
        </w:tc>
        <w:tc>
          <w:tcPr>
            <w:tcW w:w="1747" w:type="dxa"/>
          </w:tcPr>
          <w:p w:rsidR="006F7AD6" w:rsidRPr="0067355D" w:rsidP="00886011" w14:paraId="56DE08B8" w14:textId="77777777">
            <w:pPr>
              <w:tabs>
                <w:tab w:val="left" w:pos="-1440"/>
                <w:tab w:val="left" w:pos="-720"/>
              </w:tabs>
              <w:suppressAutoHyphens/>
              <w:spacing w:before="90" w:after="54"/>
              <w:jc w:val="center"/>
              <w:rPr>
                <w:szCs w:val="22"/>
              </w:rPr>
            </w:pPr>
            <w:r>
              <w:rPr>
                <w:szCs w:val="22"/>
              </w:rPr>
              <w:t>660</w:t>
            </w:r>
          </w:p>
        </w:tc>
      </w:tr>
      <w:tr w14:paraId="492A3EBE" w14:textId="77777777" w:rsidTr="00886011">
        <w:tblPrEx>
          <w:tblW w:w="8587" w:type="dxa"/>
          <w:tblInd w:w="210" w:type="dxa"/>
          <w:tblLayout w:type="fixed"/>
          <w:tblCellMar>
            <w:left w:w="120" w:type="dxa"/>
            <w:right w:w="120" w:type="dxa"/>
          </w:tblCellMar>
          <w:tblLook w:val="0000"/>
        </w:tblPrEx>
        <w:tc>
          <w:tcPr>
            <w:tcW w:w="6840" w:type="dxa"/>
          </w:tcPr>
          <w:p w:rsidR="006F7AD6" w:rsidRPr="0067355D" w:rsidP="00886011" w14:paraId="14DAA40E" w14:textId="77777777">
            <w:pPr>
              <w:tabs>
                <w:tab w:val="left" w:pos="-1440"/>
                <w:tab w:val="left" w:pos="-720"/>
              </w:tabs>
              <w:suppressAutoHyphens/>
              <w:spacing w:before="90" w:after="54"/>
              <w:rPr>
                <w:szCs w:val="22"/>
              </w:rPr>
            </w:pPr>
            <w:r w:rsidRPr="0067355D">
              <w:rPr>
                <w:szCs w:val="22"/>
              </w:rPr>
              <w:t>FM Radio Construction Permits</w:t>
            </w:r>
          </w:p>
        </w:tc>
        <w:tc>
          <w:tcPr>
            <w:tcW w:w="1747" w:type="dxa"/>
          </w:tcPr>
          <w:p w:rsidR="006F7AD6" w:rsidRPr="0067355D" w:rsidP="00886011" w14:paraId="22D464C3" w14:textId="77777777">
            <w:pPr>
              <w:tabs>
                <w:tab w:val="left" w:pos="-1440"/>
                <w:tab w:val="left" w:pos="-720"/>
              </w:tabs>
              <w:suppressAutoHyphens/>
              <w:spacing w:before="90" w:after="54"/>
              <w:jc w:val="center"/>
              <w:rPr>
                <w:szCs w:val="22"/>
              </w:rPr>
            </w:pPr>
            <w:r>
              <w:rPr>
                <w:szCs w:val="22"/>
              </w:rPr>
              <w:t>1,150</w:t>
            </w:r>
          </w:p>
        </w:tc>
      </w:tr>
      <w:tr w14:paraId="4FC030EC" w14:textId="77777777" w:rsidTr="00886011">
        <w:tblPrEx>
          <w:tblW w:w="8587" w:type="dxa"/>
          <w:tblInd w:w="210" w:type="dxa"/>
          <w:tblLayout w:type="fixed"/>
          <w:tblCellMar>
            <w:left w:w="120" w:type="dxa"/>
            <w:right w:w="120" w:type="dxa"/>
          </w:tblCellMar>
          <w:tblLook w:val="0000"/>
        </w:tblPrEx>
        <w:tc>
          <w:tcPr>
            <w:tcW w:w="6840" w:type="dxa"/>
          </w:tcPr>
          <w:p w:rsidR="006F7AD6" w:rsidRPr="0067355D" w:rsidP="00886011" w14:paraId="74B5D7D0" w14:textId="77777777">
            <w:pPr>
              <w:tabs>
                <w:tab w:val="left" w:pos="-1440"/>
                <w:tab w:val="left" w:pos="-720"/>
              </w:tabs>
              <w:suppressAutoHyphens/>
              <w:spacing w:before="90" w:after="54"/>
              <w:rPr>
                <w:szCs w:val="22"/>
              </w:rPr>
            </w:pPr>
            <w:r>
              <w:rPr>
                <w:szCs w:val="22"/>
              </w:rPr>
              <w:t>AM and FM Broadcast Radio Station Fees</w:t>
            </w:r>
          </w:p>
        </w:tc>
        <w:tc>
          <w:tcPr>
            <w:tcW w:w="1747" w:type="dxa"/>
          </w:tcPr>
          <w:p w:rsidR="006F7AD6" w:rsidP="00886011" w14:paraId="7F2529C4" w14:textId="77777777">
            <w:pPr>
              <w:tabs>
                <w:tab w:val="left" w:pos="-1440"/>
                <w:tab w:val="left" w:pos="-720"/>
              </w:tabs>
              <w:suppressAutoHyphens/>
              <w:spacing w:before="90" w:after="54"/>
              <w:jc w:val="center"/>
              <w:rPr>
                <w:szCs w:val="22"/>
              </w:rPr>
            </w:pPr>
            <w:r>
              <w:rPr>
                <w:szCs w:val="22"/>
              </w:rPr>
              <w:t>See Table Below</w:t>
            </w:r>
          </w:p>
        </w:tc>
      </w:tr>
      <w:tr w14:paraId="4A0F6CED" w14:textId="77777777" w:rsidTr="00886011">
        <w:tblPrEx>
          <w:tblW w:w="8587" w:type="dxa"/>
          <w:tblInd w:w="210" w:type="dxa"/>
          <w:tblLayout w:type="fixed"/>
          <w:tblCellMar>
            <w:left w:w="120" w:type="dxa"/>
            <w:right w:w="120" w:type="dxa"/>
          </w:tblCellMar>
          <w:tblLook w:val="0000"/>
        </w:tblPrEx>
        <w:tc>
          <w:tcPr>
            <w:tcW w:w="6840" w:type="dxa"/>
          </w:tcPr>
          <w:p w:rsidR="006F7AD6" w:rsidRPr="0067355D" w:rsidP="00886011" w14:paraId="1B21BD28" w14:textId="77777777">
            <w:pPr>
              <w:tabs>
                <w:tab w:val="left" w:pos="-1440"/>
                <w:tab w:val="left" w:pos="-720"/>
              </w:tabs>
              <w:suppressAutoHyphens/>
              <w:spacing w:before="90" w:after="54"/>
              <w:rPr>
                <w:szCs w:val="22"/>
              </w:rPr>
            </w:pPr>
            <w:r w:rsidRPr="0067355D">
              <w:rPr>
                <w:szCs w:val="22"/>
              </w:rPr>
              <w:t>Digital TV (47 CFR part 73) VHF and UHF Commercial</w:t>
            </w:r>
          </w:p>
        </w:tc>
        <w:tc>
          <w:tcPr>
            <w:tcW w:w="1747" w:type="dxa"/>
          </w:tcPr>
          <w:p w:rsidR="006F7AD6" w:rsidP="00886011" w14:paraId="78625ED3" w14:textId="77777777">
            <w:pPr>
              <w:tabs>
                <w:tab w:val="left" w:pos="-1440"/>
                <w:tab w:val="left" w:pos="-720"/>
              </w:tabs>
              <w:suppressAutoHyphens/>
              <w:spacing w:before="90" w:after="54"/>
              <w:jc w:val="right"/>
              <w:rPr>
                <w:szCs w:val="22"/>
              </w:rPr>
            </w:pPr>
            <w:r>
              <w:rPr>
                <w:szCs w:val="22"/>
              </w:rPr>
              <w:t>See Appendix C;</w:t>
            </w:r>
          </w:p>
          <w:p w:rsidR="006F7AD6" w:rsidRPr="00D90EF6" w:rsidP="00886011" w14:paraId="70DCC6CD" w14:textId="77777777">
            <w:pPr>
              <w:tabs>
                <w:tab w:val="left" w:pos="-1440"/>
                <w:tab w:val="left" w:pos="-720"/>
              </w:tabs>
              <w:suppressAutoHyphens/>
              <w:spacing w:before="90" w:after="54"/>
              <w:rPr>
                <w:i/>
                <w:szCs w:val="22"/>
              </w:rPr>
            </w:pPr>
            <w:r w:rsidRPr="00D90EF6">
              <w:rPr>
                <w:i/>
                <w:szCs w:val="22"/>
              </w:rPr>
              <w:t>also available at</w:t>
            </w:r>
          </w:p>
          <w:p w:rsidR="006F7AD6" w:rsidRPr="0067355D" w:rsidP="00886011" w14:paraId="60C393F1" w14:textId="77777777">
            <w:pPr>
              <w:rPr>
                <w:szCs w:val="22"/>
              </w:rPr>
            </w:pPr>
            <w:hyperlink r:id="rId20" w:history="1">
              <w:r w:rsidR="004A6A5A">
                <w:rPr>
                  <w:rStyle w:val="Hyperlink"/>
                </w:rPr>
                <w:t>https://www.fcc.gov/licensing-databases/fees/regulatory-fees</w:t>
              </w:r>
            </w:hyperlink>
          </w:p>
        </w:tc>
      </w:tr>
      <w:tr w14:paraId="4678FAE4" w14:textId="77777777" w:rsidTr="00886011">
        <w:tblPrEx>
          <w:tblW w:w="8587" w:type="dxa"/>
          <w:tblInd w:w="210" w:type="dxa"/>
          <w:tblLayout w:type="fixed"/>
          <w:tblCellMar>
            <w:left w:w="120" w:type="dxa"/>
            <w:right w:w="120" w:type="dxa"/>
          </w:tblCellMar>
          <w:tblLook w:val="0000"/>
        </w:tblPrEx>
        <w:tc>
          <w:tcPr>
            <w:tcW w:w="6840" w:type="dxa"/>
          </w:tcPr>
          <w:p w:rsidR="006F7AD6" w:rsidRPr="0067355D" w:rsidP="00886011" w14:paraId="4CD29AE9" w14:textId="77777777">
            <w:pPr>
              <w:tabs>
                <w:tab w:val="left" w:pos="-1440"/>
                <w:tab w:val="left" w:pos="-720"/>
                <w:tab w:val="left" w:pos="0"/>
              </w:tabs>
              <w:suppressAutoHyphens/>
              <w:spacing w:before="90" w:after="54"/>
              <w:ind w:left="720" w:hanging="720"/>
              <w:rPr>
                <w:szCs w:val="22"/>
              </w:rPr>
            </w:pPr>
            <w:r w:rsidRPr="0067355D">
              <w:rPr>
                <w:szCs w:val="22"/>
              </w:rPr>
              <w:tab/>
              <w:t>Construction Permits</w:t>
            </w:r>
          </w:p>
        </w:tc>
        <w:tc>
          <w:tcPr>
            <w:tcW w:w="1747" w:type="dxa"/>
          </w:tcPr>
          <w:p w:rsidR="006F7AD6" w:rsidRPr="0067355D" w:rsidP="00886011" w14:paraId="468DBC2E" w14:textId="77777777">
            <w:pPr>
              <w:tabs>
                <w:tab w:val="left" w:pos="-1440"/>
                <w:tab w:val="left" w:pos="-720"/>
              </w:tabs>
              <w:suppressAutoHyphens/>
              <w:spacing w:before="90" w:after="54"/>
              <w:jc w:val="center"/>
              <w:rPr>
                <w:szCs w:val="22"/>
              </w:rPr>
            </w:pPr>
            <w:r w:rsidRPr="0067355D">
              <w:rPr>
                <w:szCs w:val="22"/>
              </w:rPr>
              <w:t>4,</w:t>
            </w:r>
            <w:r>
              <w:rPr>
                <w:szCs w:val="22"/>
              </w:rPr>
              <w:t>450</w:t>
            </w:r>
          </w:p>
        </w:tc>
      </w:tr>
      <w:tr w14:paraId="63B21DF9" w14:textId="77777777" w:rsidTr="00886011">
        <w:tblPrEx>
          <w:tblW w:w="8587" w:type="dxa"/>
          <w:tblInd w:w="210" w:type="dxa"/>
          <w:tblLayout w:type="fixed"/>
          <w:tblCellMar>
            <w:left w:w="120" w:type="dxa"/>
            <w:right w:w="120" w:type="dxa"/>
          </w:tblCellMar>
          <w:tblLook w:val="0000"/>
        </w:tblPrEx>
        <w:tc>
          <w:tcPr>
            <w:tcW w:w="6840" w:type="dxa"/>
          </w:tcPr>
          <w:p w:rsidR="006F7AD6" w:rsidRPr="0067355D" w:rsidP="00886011" w14:paraId="2A3DCFED" w14:textId="77777777">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Cs w:val="22"/>
              </w:rPr>
            </w:pPr>
            <w:r w:rsidRPr="0067355D">
              <w:rPr>
                <w:szCs w:val="22"/>
              </w:rPr>
              <w:t>Low Power TV, Class A TV, TV/FM Translators &amp; Boosters (47 CFR part 74)</w:t>
            </w:r>
          </w:p>
        </w:tc>
        <w:tc>
          <w:tcPr>
            <w:tcW w:w="1747" w:type="dxa"/>
          </w:tcPr>
          <w:p w:rsidR="006F7AD6" w:rsidRPr="0067355D" w:rsidP="00886011" w14:paraId="205E7B6F" w14:textId="77777777">
            <w:pPr>
              <w:tabs>
                <w:tab w:val="left" w:pos="-1440"/>
                <w:tab w:val="left" w:pos="-720"/>
              </w:tabs>
              <w:suppressAutoHyphens/>
              <w:spacing w:before="90" w:after="54"/>
              <w:jc w:val="center"/>
              <w:rPr>
                <w:szCs w:val="22"/>
              </w:rPr>
            </w:pPr>
            <w:r w:rsidRPr="0067355D">
              <w:rPr>
                <w:szCs w:val="22"/>
              </w:rPr>
              <w:t>3</w:t>
            </w:r>
            <w:r>
              <w:rPr>
                <w:szCs w:val="22"/>
              </w:rPr>
              <w:t>45</w:t>
            </w:r>
          </w:p>
        </w:tc>
      </w:tr>
      <w:tr w14:paraId="4187BFBC" w14:textId="77777777" w:rsidTr="00886011">
        <w:tblPrEx>
          <w:tblW w:w="8587" w:type="dxa"/>
          <w:tblInd w:w="210" w:type="dxa"/>
          <w:tblLayout w:type="fixed"/>
          <w:tblCellMar>
            <w:left w:w="120" w:type="dxa"/>
            <w:right w:w="120" w:type="dxa"/>
          </w:tblCellMar>
          <w:tblLook w:val="0000"/>
        </w:tblPrEx>
        <w:tc>
          <w:tcPr>
            <w:tcW w:w="6840" w:type="dxa"/>
          </w:tcPr>
          <w:p w:rsidR="006F7AD6" w:rsidRPr="0067355D" w:rsidP="00886011" w14:paraId="4334D2B1" w14:textId="77777777">
            <w:pPr>
              <w:tabs>
                <w:tab w:val="left" w:pos="-1440"/>
                <w:tab w:val="left" w:pos="-720"/>
                <w:tab w:val="left" w:pos="0"/>
                <w:tab w:val="left" w:pos="720"/>
                <w:tab w:val="left" w:pos="1440"/>
                <w:tab w:val="left" w:pos="2160"/>
                <w:tab w:val="left" w:pos="2880"/>
                <w:tab w:val="left" w:pos="3600"/>
              </w:tabs>
              <w:suppressAutoHyphens/>
              <w:spacing w:before="90" w:after="54"/>
              <w:ind w:left="4320" w:hanging="4320"/>
              <w:rPr>
                <w:szCs w:val="22"/>
              </w:rPr>
            </w:pPr>
            <w:r w:rsidRPr="0067355D">
              <w:rPr>
                <w:szCs w:val="22"/>
              </w:rPr>
              <w:t>CARS (47 CFR part 78)</w:t>
            </w:r>
            <w:r w:rsidRPr="0067355D">
              <w:rPr>
                <w:szCs w:val="22"/>
              </w:rPr>
              <w:tab/>
            </w:r>
          </w:p>
        </w:tc>
        <w:tc>
          <w:tcPr>
            <w:tcW w:w="1747" w:type="dxa"/>
          </w:tcPr>
          <w:p w:rsidR="006F7AD6" w:rsidRPr="0067355D" w:rsidP="00886011" w14:paraId="5C83A618" w14:textId="77777777">
            <w:pPr>
              <w:tabs>
                <w:tab w:val="left" w:pos="-1440"/>
                <w:tab w:val="left" w:pos="-720"/>
              </w:tabs>
              <w:suppressAutoHyphens/>
              <w:spacing w:before="90" w:after="54"/>
              <w:jc w:val="center"/>
              <w:rPr>
                <w:szCs w:val="22"/>
              </w:rPr>
            </w:pPr>
            <w:r w:rsidRPr="0067355D">
              <w:rPr>
                <w:szCs w:val="22"/>
              </w:rPr>
              <w:t>1,</w:t>
            </w:r>
            <w:r>
              <w:rPr>
                <w:szCs w:val="22"/>
              </w:rPr>
              <w:t>225</w:t>
            </w:r>
          </w:p>
        </w:tc>
      </w:tr>
      <w:tr w14:paraId="71D94429" w14:textId="77777777" w:rsidTr="00886011">
        <w:tblPrEx>
          <w:tblW w:w="8587" w:type="dxa"/>
          <w:tblInd w:w="210" w:type="dxa"/>
          <w:tblLayout w:type="fixed"/>
          <w:tblCellMar>
            <w:left w:w="120" w:type="dxa"/>
            <w:right w:w="120" w:type="dxa"/>
          </w:tblCellMar>
          <w:tblLook w:val="0000"/>
        </w:tblPrEx>
        <w:tc>
          <w:tcPr>
            <w:tcW w:w="6840" w:type="dxa"/>
          </w:tcPr>
          <w:p w:rsidR="006F7AD6" w:rsidRPr="0067355D" w:rsidP="00886011" w14:paraId="0FD3610C" w14:textId="77777777">
            <w:pPr>
              <w:tabs>
                <w:tab w:val="left" w:pos="-1440"/>
                <w:tab w:val="left" w:pos="-720"/>
              </w:tabs>
              <w:suppressAutoHyphens/>
              <w:spacing w:before="90" w:after="54"/>
              <w:rPr>
                <w:szCs w:val="22"/>
              </w:rPr>
            </w:pPr>
            <w:r w:rsidRPr="0067355D">
              <w:rPr>
                <w:szCs w:val="22"/>
              </w:rPr>
              <w:t>Cable Television Systems (per subscriber) (47 CFR part 76), Including IPTV</w:t>
            </w:r>
          </w:p>
        </w:tc>
        <w:tc>
          <w:tcPr>
            <w:tcW w:w="1747" w:type="dxa"/>
          </w:tcPr>
          <w:p w:rsidR="006F7AD6" w:rsidRPr="0067355D" w:rsidP="00886011" w14:paraId="3B3EC35B" w14:textId="77777777">
            <w:pPr>
              <w:tabs>
                <w:tab w:val="left" w:pos="-1440"/>
                <w:tab w:val="left" w:pos="-720"/>
              </w:tabs>
              <w:suppressAutoHyphens/>
              <w:spacing w:before="90" w:after="54"/>
              <w:jc w:val="center"/>
              <w:rPr>
                <w:szCs w:val="22"/>
              </w:rPr>
            </w:pPr>
            <w:r w:rsidRPr="0067355D">
              <w:rPr>
                <w:szCs w:val="22"/>
              </w:rPr>
              <w:t>.</w:t>
            </w:r>
            <w:r>
              <w:rPr>
                <w:szCs w:val="22"/>
              </w:rPr>
              <w:t>86</w:t>
            </w:r>
          </w:p>
        </w:tc>
      </w:tr>
      <w:tr w14:paraId="12EFC484" w14:textId="77777777" w:rsidTr="00886011">
        <w:tblPrEx>
          <w:tblW w:w="8587" w:type="dxa"/>
          <w:tblInd w:w="210" w:type="dxa"/>
          <w:tblLayout w:type="fixed"/>
          <w:tblCellMar>
            <w:left w:w="120" w:type="dxa"/>
            <w:right w:w="120" w:type="dxa"/>
          </w:tblCellMar>
          <w:tblLook w:val="0000"/>
        </w:tblPrEx>
        <w:tc>
          <w:tcPr>
            <w:tcW w:w="6840" w:type="dxa"/>
          </w:tcPr>
          <w:p w:rsidR="006F7AD6" w:rsidRPr="0067355D" w:rsidP="00886011" w14:paraId="3718CB63" w14:textId="77777777">
            <w:pPr>
              <w:tabs>
                <w:tab w:val="left" w:pos="-1440"/>
                <w:tab w:val="left" w:pos="-720"/>
              </w:tabs>
              <w:suppressAutoHyphens/>
              <w:spacing w:before="90" w:after="54"/>
              <w:rPr>
                <w:szCs w:val="22"/>
              </w:rPr>
            </w:pPr>
            <w:r w:rsidRPr="0067355D">
              <w:rPr>
                <w:szCs w:val="22"/>
              </w:rPr>
              <w:t>Direct Broadcast Service (DBS) (per subscriber) (as defined by section 602(13) of the Act)</w:t>
            </w:r>
          </w:p>
        </w:tc>
        <w:tc>
          <w:tcPr>
            <w:tcW w:w="1747" w:type="dxa"/>
          </w:tcPr>
          <w:p w:rsidR="006F7AD6" w:rsidRPr="0067355D" w:rsidP="00886011" w14:paraId="4D3F5D6C" w14:textId="77777777">
            <w:pPr>
              <w:tabs>
                <w:tab w:val="left" w:pos="-1440"/>
                <w:tab w:val="left" w:pos="-720"/>
              </w:tabs>
              <w:suppressAutoHyphens/>
              <w:spacing w:before="90" w:after="54"/>
              <w:jc w:val="center"/>
              <w:rPr>
                <w:szCs w:val="22"/>
              </w:rPr>
            </w:pPr>
            <w:r w:rsidRPr="0067355D">
              <w:rPr>
                <w:szCs w:val="22"/>
              </w:rPr>
              <w:t>.</w:t>
            </w:r>
            <w:r>
              <w:rPr>
                <w:szCs w:val="22"/>
              </w:rPr>
              <w:t>60</w:t>
            </w:r>
          </w:p>
        </w:tc>
      </w:tr>
      <w:tr w14:paraId="45AF7945" w14:textId="77777777" w:rsidTr="00886011">
        <w:tblPrEx>
          <w:tblW w:w="8587" w:type="dxa"/>
          <w:tblInd w:w="210" w:type="dxa"/>
          <w:tblLayout w:type="fixed"/>
          <w:tblCellMar>
            <w:left w:w="120" w:type="dxa"/>
            <w:right w:w="120" w:type="dxa"/>
          </w:tblCellMar>
          <w:tblLook w:val="0000"/>
        </w:tblPrEx>
        <w:tc>
          <w:tcPr>
            <w:tcW w:w="6840" w:type="dxa"/>
          </w:tcPr>
          <w:p w:rsidR="006F7AD6" w:rsidRPr="0067355D" w:rsidP="00886011" w14:paraId="1352ABFC" w14:textId="77777777">
            <w:pPr>
              <w:tabs>
                <w:tab w:val="left" w:pos="-1440"/>
                <w:tab w:val="left" w:pos="-720"/>
              </w:tabs>
              <w:suppressAutoHyphens/>
              <w:spacing w:before="90" w:after="54"/>
              <w:rPr>
                <w:szCs w:val="22"/>
              </w:rPr>
            </w:pPr>
            <w:r w:rsidRPr="0067355D">
              <w:rPr>
                <w:szCs w:val="22"/>
              </w:rPr>
              <w:t>Interstate Telecommunication Service Providers (per revenue dollar)</w:t>
            </w:r>
          </w:p>
        </w:tc>
        <w:tc>
          <w:tcPr>
            <w:tcW w:w="1747" w:type="dxa"/>
          </w:tcPr>
          <w:p w:rsidR="006F7AD6" w:rsidRPr="0067355D" w:rsidP="00886011" w14:paraId="659CA694" w14:textId="77777777">
            <w:pPr>
              <w:tabs>
                <w:tab w:val="left" w:pos="-1440"/>
                <w:tab w:val="left" w:pos="-720"/>
              </w:tabs>
              <w:suppressAutoHyphens/>
              <w:spacing w:before="90" w:after="54"/>
              <w:jc w:val="center"/>
              <w:rPr>
                <w:szCs w:val="22"/>
              </w:rPr>
            </w:pPr>
            <w:r>
              <w:rPr>
                <w:szCs w:val="22"/>
              </w:rPr>
              <w:t>.00319</w:t>
            </w:r>
          </w:p>
        </w:tc>
      </w:tr>
      <w:tr w14:paraId="22212039" w14:textId="77777777" w:rsidTr="00886011">
        <w:tblPrEx>
          <w:tblW w:w="8587" w:type="dxa"/>
          <w:tblInd w:w="210" w:type="dxa"/>
          <w:tblLayout w:type="fixed"/>
          <w:tblCellMar>
            <w:left w:w="120" w:type="dxa"/>
            <w:right w:w="120" w:type="dxa"/>
          </w:tblCellMar>
          <w:tblLook w:val="0000"/>
        </w:tblPrEx>
        <w:tc>
          <w:tcPr>
            <w:tcW w:w="6840" w:type="dxa"/>
          </w:tcPr>
          <w:p w:rsidR="006F7AD6" w:rsidRPr="0067355D" w:rsidP="00886011" w14:paraId="77CC2F6B" w14:textId="77777777">
            <w:pPr>
              <w:tabs>
                <w:tab w:val="left" w:pos="-1440"/>
                <w:tab w:val="left" w:pos="-720"/>
              </w:tabs>
              <w:suppressAutoHyphens/>
              <w:spacing w:before="90" w:after="54"/>
              <w:rPr>
                <w:szCs w:val="22"/>
              </w:rPr>
            </w:pPr>
            <w:r w:rsidRPr="0067355D">
              <w:rPr>
                <w:szCs w:val="22"/>
              </w:rPr>
              <w:t>Toll Free (per toll free subscriber) (47 C.F.R. section 52.101 (f) of the rules)</w:t>
            </w:r>
          </w:p>
        </w:tc>
        <w:tc>
          <w:tcPr>
            <w:tcW w:w="1747" w:type="dxa"/>
          </w:tcPr>
          <w:p w:rsidR="006F7AD6" w:rsidRPr="0067355D" w:rsidP="00886011" w14:paraId="6F441687" w14:textId="77777777">
            <w:pPr>
              <w:tabs>
                <w:tab w:val="left" w:pos="-1440"/>
                <w:tab w:val="left" w:pos="-720"/>
              </w:tabs>
              <w:suppressAutoHyphens/>
              <w:spacing w:before="90" w:after="54"/>
              <w:jc w:val="center"/>
              <w:rPr>
                <w:szCs w:val="22"/>
              </w:rPr>
            </w:pPr>
            <w:r w:rsidRPr="0067355D">
              <w:rPr>
                <w:szCs w:val="22"/>
              </w:rPr>
              <w:t>.1</w:t>
            </w:r>
            <w:r>
              <w:rPr>
                <w:szCs w:val="22"/>
              </w:rPr>
              <w:t>2</w:t>
            </w:r>
          </w:p>
        </w:tc>
      </w:tr>
      <w:tr w14:paraId="392F57FF" w14:textId="77777777" w:rsidTr="00886011">
        <w:tblPrEx>
          <w:tblW w:w="8587" w:type="dxa"/>
          <w:tblInd w:w="210" w:type="dxa"/>
          <w:tblLayout w:type="fixed"/>
          <w:tblCellMar>
            <w:left w:w="120" w:type="dxa"/>
            <w:right w:w="120" w:type="dxa"/>
          </w:tblCellMar>
          <w:tblLook w:val="0000"/>
        </w:tblPrEx>
        <w:tc>
          <w:tcPr>
            <w:tcW w:w="6840" w:type="dxa"/>
          </w:tcPr>
          <w:p w:rsidR="006F7AD6" w:rsidRPr="0067355D" w:rsidP="00886011" w14:paraId="6BDDE2D3" w14:textId="77777777">
            <w:pPr>
              <w:tabs>
                <w:tab w:val="left" w:pos="-1440"/>
                <w:tab w:val="left" w:pos="-720"/>
              </w:tabs>
              <w:suppressAutoHyphens/>
              <w:spacing w:before="90" w:after="54"/>
              <w:rPr>
                <w:szCs w:val="22"/>
              </w:rPr>
            </w:pPr>
            <w:r w:rsidRPr="0067355D">
              <w:rPr>
                <w:szCs w:val="22"/>
              </w:rPr>
              <w:t>Earth Stations (47 CFR part 25)</w:t>
            </w:r>
          </w:p>
        </w:tc>
        <w:tc>
          <w:tcPr>
            <w:tcW w:w="1747" w:type="dxa"/>
          </w:tcPr>
          <w:p w:rsidR="006F7AD6" w:rsidRPr="0067355D" w:rsidP="00886011" w14:paraId="3A53BABB" w14:textId="77777777">
            <w:pPr>
              <w:tabs>
                <w:tab w:val="left" w:pos="-1440"/>
                <w:tab w:val="left" w:pos="-720"/>
              </w:tabs>
              <w:suppressAutoHyphens/>
              <w:spacing w:before="90" w:after="54"/>
              <w:jc w:val="center"/>
              <w:rPr>
                <w:szCs w:val="22"/>
              </w:rPr>
            </w:pPr>
            <w:r>
              <w:rPr>
                <w:szCs w:val="22"/>
              </w:rPr>
              <w:t>4</w:t>
            </w:r>
            <w:r w:rsidRPr="0067355D">
              <w:rPr>
                <w:szCs w:val="22"/>
              </w:rPr>
              <w:t>25</w:t>
            </w:r>
          </w:p>
        </w:tc>
      </w:tr>
      <w:tr w14:paraId="2A75746A" w14:textId="77777777" w:rsidTr="00886011">
        <w:tblPrEx>
          <w:tblW w:w="8587" w:type="dxa"/>
          <w:tblInd w:w="210" w:type="dxa"/>
          <w:tblLayout w:type="fixed"/>
          <w:tblCellMar>
            <w:left w:w="120" w:type="dxa"/>
            <w:right w:w="120" w:type="dxa"/>
          </w:tblCellMar>
          <w:tblLook w:val="0000"/>
        </w:tblPrEx>
        <w:tc>
          <w:tcPr>
            <w:tcW w:w="6840" w:type="dxa"/>
          </w:tcPr>
          <w:p w:rsidR="006F7AD6" w:rsidRPr="0067355D" w:rsidP="00886011" w14:paraId="684FB716" w14:textId="77777777">
            <w:pPr>
              <w:tabs>
                <w:tab w:val="left" w:pos="-1440"/>
                <w:tab w:val="left" w:pos="-720"/>
              </w:tabs>
              <w:suppressAutoHyphens/>
              <w:spacing w:before="90" w:after="54"/>
              <w:rPr>
                <w:szCs w:val="22"/>
              </w:rPr>
            </w:pPr>
            <w:r w:rsidRPr="0067355D">
              <w:rPr>
                <w:szCs w:val="22"/>
              </w:rPr>
              <w:t>Space Stations (per operational station in geostationary orbit) (47 CFR part 25) also includes DBS Service (per operational station) (47 CFR part 100)</w:t>
            </w:r>
          </w:p>
        </w:tc>
        <w:tc>
          <w:tcPr>
            <w:tcW w:w="1747" w:type="dxa"/>
          </w:tcPr>
          <w:p w:rsidR="006F7AD6" w:rsidRPr="0067355D" w:rsidP="00886011" w14:paraId="552FC4F2" w14:textId="77777777">
            <w:pPr>
              <w:tabs>
                <w:tab w:val="left" w:pos="-1440"/>
                <w:tab w:val="left" w:pos="-720"/>
              </w:tabs>
              <w:suppressAutoHyphens/>
              <w:spacing w:before="90"/>
              <w:jc w:val="center"/>
              <w:rPr>
                <w:szCs w:val="22"/>
              </w:rPr>
            </w:pPr>
          </w:p>
          <w:p w:rsidR="006F7AD6" w:rsidRPr="0067355D" w:rsidP="00886011" w14:paraId="24A35EB8" w14:textId="77777777">
            <w:pPr>
              <w:tabs>
                <w:tab w:val="left" w:pos="-1440"/>
                <w:tab w:val="left" w:pos="-720"/>
              </w:tabs>
              <w:suppressAutoHyphens/>
              <w:spacing w:after="54"/>
              <w:jc w:val="center"/>
              <w:rPr>
                <w:szCs w:val="22"/>
              </w:rPr>
            </w:pPr>
            <w:r w:rsidRPr="0067355D">
              <w:rPr>
                <w:szCs w:val="22"/>
              </w:rPr>
              <w:t>1</w:t>
            </w:r>
            <w:r>
              <w:rPr>
                <w:szCs w:val="22"/>
              </w:rPr>
              <w:t>59</w:t>
            </w:r>
            <w:r w:rsidRPr="0067355D">
              <w:rPr>
                <w:szCs w:val="22"/>
              </w:rPr>
              <w:t>,</w:t>
            </w:r>
            <w:r>
              <w:rPr>
                <w:szCs w:val="22"/>
              </w:rPr>
              <w:t>625</w:t>
            </w:r>
          </w:p>
        </w:tc>
      </w:tr>
      <w:tr w14:paraId="6AE03F2C" w14:textId="77777777" w:rsidTr="00886011">
        <w:tblPrEx>
          <w:tblW w:w="8587" w:type="dxa"/>
          <w:tblInd w:w="210" w:type="dxa"/>
          <w:tblLayout w:type="fixed"/>
          <w:tblCellMar>
            <w:left w:w="120" w:type="dxa"/>
            <w:right w:w="120" w:type="dxa"/>
          </w:tblCellMar>
          <w:tblLook w:val="0000"/>
        </w:tblPrEx>
        <w:tc>
          <w:tcPr>
            <w:tcW w:w="6840" w:type="dxa"/>
          </w:tcPr>
          <w:p w:rsidR="006F7AD6" w:rsidRPr="0067355D" w:rsidP="00886011" w14:paraId="76FFC97E" w14:textId="77777777">
            <w:pPr>
              <w:tabs>
                <w:tab w:val="left" w:pos="-1440"/>
                <w:tab w:val="left" w:pos="-720"/>
              </w:tabs>
              <w:suppressAutoHyphens/>
              <w:spacing w:before="90" w:after="54"/>
              <w:rPr>
                <w:szCs w:val="22"/>
              </w:rPr>
            </w:pPr>
            <w:r w:rsidRPr="0067355D">
              <w:rPr>
                <w:szCs w:val="22"/>
              </w:rPr>
              <w:t>Space Stations (per operational system in non-geostationary orbit) (47 CFR part 25)</w:t>
            </w:r>
          </w:p>
        </w:tc>
        <w:tc>
          <w:tcPr>
            <w:tcW w:w="1747" w:type="dxa"/>
          </w:tcPr>
          <w:p w:rsidR="006F7AD6" w:rsidRPr="0067355D" w:rsidP="00886011" w14:paraId="4DE1CF73" w14:textId="77777777">
            <w:pPr>
              <w:tabs>
                <w:tab w:val="left" w:pos="-1440"/>
                <w:tab w:val="left" w:pos="-720"/>
              </w:tabs>
              <w:suppressAutoHyphens/>
              <w:spacing w:before="90" w:after="54"/>
              <w:jc w:val="center"/>
              <w:rPr>
                <w:szCs w:val="22"/>
              </w:rPr>
            </w:pPr>
            <w:r w:rsidRPr="0067355D">
              <w:rPr>
                <w:szCs w:val="22"/>
              </w:rPr>
              <w:t>1</w:t>
            </w:r>
            <w:r>
              <w:rPr>
                <w:szCs w:val="22"/>
              </w:rPr>
              <w:t>54</w:t>
            </w:r>
            <w:r w:rsidRPr="0067355D">
              <w:rPr>
                <w:szCs w:val="22"/>
              </w:rPr>
              <w:t>,</w:t>
            </w:r>
            <w:r>
              <w:rPr>
                <w:szCs w:val="22"/>
              </w:rPr>
              <w:t>875</w:t>
            </w:r>
          </w:p>
        </w:tc>
      </w:tr>
      <w:tr w14:paraId="47F49D23" w14:textId="77777777" w:rsidTr="00886011">
        <w:tblPrEx>
          <w:tblW w:w="8587" w:type="dxa"/>
          <w:tblInd w:w="210" w:type="dxa"/>
          <w:tblLayout w:type="fixed"/>
          <w:tblCellMar>
            <w:left w:w="120" w:type="dxa"/>
            <w:right w:w="120" w:type="dxa"/>
          </w:tblCellMar>
          <w:tblLook w:val="0000"/>
        </w:tblPrEx>
        <w:tc>
          <w:tcPr>
            <w:tcW w:w="6840" w:type="dxa"/>
            <w:tcBorders>
              <w:bottom w:val="single" w:sz="6" w:space="0" w:color="auto"/>
            </w:tcBorders>
          </w:tcPr>
          <w:p w:rsidR="006F7AD6" w:rsidRPr="00DB0537" w:rsidP="00886011" w14:paraId="37E4775E" w14:textId="77777777">
            <w:pPr>
              <w:tabs>
                <w:tab w:val="left" w:pos="-1440"/>
                <w:tab w:val="left" w:pos="-720"/>
              </w:tabs>
              <w:suppressAutoHyphens/>
              <w:spacing w:before="90" w:after="54"/>
            </w:pPr>
            <w:r w:rsidRPr="00686D69">
              <w:t xml:space="preserve">International Bearer Circuits - Terrestrial/Satellites (per </w:t>
            </w:r>
            <w:r>
              <w:t>Gbps</w:t>
            </w:r>
            <w:r w:rsidRPr="00686D69">
              <w:t xml:space="preserve"> circuit)</w:t>
            </w:r>
          </w:p>
        </w:tc>
        <w:tc>
          <w:tcPr>
            <w:tcW w:w="1747" w:type="dxa"/>
            <w:tcBorders>
              <w:bottom w:val="single" w:sz="6" w:space="0" w:color="auto"/>
            </w:tcBorders>
          </w:tcPr>
          <w:p w:rsidR="006F7AD6" w:rsidRPr="0067355D" w:rsidP="00886011" w14:paraId="52C418B4" w14:textId="77777777">
            <w:pPr>
              <w:tabs>
                <w:tab w:val="left" w:pos="-1440"/>
                <w:tab w:val="left" w:pos="-720"/>
              </w:tabs>
              <w:suppressAutoHyphens/>
              <w:spacing w:before="90" w:after="54"/>
              <w:jc w:val="center"/>
              <w:rPr>
                <w:szCs w:val="22"/>
              </w:rPr>
            </w:pPr>
            <w:r>
              <w:rPr>
                <w:szCs w:val="22"/>
              </w:rPr>
              <w:t>121</w:t>
            </w:r>
          </w:p>
        </w:tc>
      </w:tr>
      <w:tr w14:paraId="6499EC36" w14:textId="77777777" w:rsidTr="00886011">
        <w:tblPrEx>
          <w:tblW w:w="8587" w:type="dxa"/>
          <w:tblInd w:w="210" w:type="dxa"/>
          <w:tblLayout w:type="fixed"/>
          <w:tblCellMar>
            <w:left w:w="120" w:type="dxa"/>
            <w:right w:w="120" w:type="dxa"/>
          </w:tblCellMar>
          <w:tblLook w:val="0000"/>
        </w:tblPrEx>
        <w:tc>
          <w:tcPr>
            <w:tcW w:w="6840" w:type="dxa"/>
            <w:tcBorders>
              <w:bottom w:val="double" w:sz="4" w:space="0" w:color="auto"/>
            </w:tcBorders>
          </w:tcPr>
          <w:p w:rsidR="006F7AD6" w:rsidRPr="0067355D" w:rsidP="00886011" w14:paraId="0E3D2933" w14:textId="77777777">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Cs w:val="22"/>
              </w:rPr>
            </w:pPr>
            <w:r w:rsidRPr="0067355D">
              <w:rPr>
                <w:szCs w:val="22"/>
              </w:rPr>
              <w:t xml:space="preserve">Submarine Cable Landing Licenses Fee (per cable system) </w:t>
            </w:r>
          </w:p>
        </w:tc>
        <w:tc>
          <w:tcPr>
            <w:tcW w:w="1747" w:type="dxa"/>
            <w:tcBorders>
              <w:bottom w:val="double" w:sz="4" w:space="0" w:color="auto"/>
            </w:tcBorders>
          </w:tcPr>
          <w:p w:rsidR="006F7AD6" w:rsidRPr="0067355D" w:rsidP="00886011" w14:paraId="5B624911" w14:textId="77777777">
            <w:pPr>
              <w:tabs>
                <w:tab w:val="left" w:pos="-1440"/>
                <w:tab w:val="left" w:pos="-720"/>
              </w:tabs>
              <w:suppressAutoHyphens/>
              <w:spacing w:before="90" w:after="54"/>
              <w:jc w:val="center"/>
              <w:rPr>
                <w:szCs w:val="22"/>
              </w:rPr>
            </w:pPr>
            <w:r w:rsidRPr="0067355D">
              <w:rPr>
                <w:szCs w:val="22"/>
              </w:rPr>
              <w:t>See Table Below</w:t>
            </w:r>
          </w:p>
        </w:tc>
      </w:tr>
    </w:tbl>
    <w:p w:rsidR="006F7AD6" w:rsidP="006F7AD6" w14:paraId="0007C80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outlineLvl w:val="0"/>
        <w:rPr>
          <w:b/>
          <w:szCs w:val="22"/>
        </w:rPr>
      </w:pPr>
    </w:p>
    <w:p w:rsidR="006F7AD6" w:rsidP="006F7AD6" w14:paraId="4592A544" w14:textId="77777777">
      <w:pPr>
        <w:widowControl/>
        <w:rPr>
          <w:b/>
          <w:szCs w:val="22"/>
        </w:rPr>
      </w:pPr>
      <w:r>
        <w:rPr>
          <w:b/>
          <w:szCs w:val="22"/>
        </w:rPr>
        <w:br w:type="page"/>
      </w:r>
    </w:p>
    <w:p w:rsidR="006F7AD6" w:rsidRPr="0067355D" w:rsidP="006F7AD6" w14:paraId="25DAF5E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outlineLvl w:val="0"/>
        <w:rPr>
          <w:b/>
          <w:szCs w:val="22"/>
        </w:rPr>
      </w:pPr>
    </w:p>
    <w:p w:rsidR="006F7AD6" w:rsidRPr="0067355D" w:rsidP="006F7AD6" w14:paraId="5C194C8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ind w:left="450"/>
        <w:rPr>
          <w:b/>
          <w:szCs w:val="22"/>
        </w:rPr>
      </w:pPr>
    </w:p>
    <w:tbl>
      <w:tblPr>
        <w:tblW w:w="8550" w:type="dxa"/>
        <w:tblInd w:w="152" w:type="dxa"/>
        <w:tblLayout w:type="fixed"/>
        <w:tblCellMar>
          <w:left w:w="62" w:type="dxa"/>
          <w:right w:w="62" w:type="dxa"/>
        </w:tblCellMar>
        <w:tblLook w:val="0000"/>
      </w:tblPr>
      <w:tblGrid>
        <w:gridCol w:w="1890"/>
        <w:gridCol w:w="1080"/>
        <w:gridCol w:w="990"/>
        <w:gridCol w:w="900"/>
        <w:gridCol w:w="900"/>
        <w:gridCol w:w="1440"/>
        <w:gridCol w:w="1350"/>
      </w:tblGrid>
      <w:tr w14:paraId="6E3D8635" w14:textId="77777777" w:rsidTr="00886011">
        <w:tblPrEx>
          <w:tblW w:w="8550" w:type="dxa"/>
          <w:tblInd w:w="152" w:type="dxa"/>
          <w:tblLayout w:type="fixed"/>
          <w:tblCellMar>
            <w:left w:w="62" w:type="dxa"/>
            <w:right w:w="62" w:type="dxa"/>
          </w:tblCellMar>
          <w:tblLook w:val="0000"/>
        </w:tblPrEx>
        <w:tc>
          <w:tcPr>
            <w:tcW w:w="8550" w:type="dxa"/>
            <w:gridSpan w:val="7"/>
            <w:tcBorders>
              <w:top w:val="double" w:sz="6" w:space="0" w:color="auto"/>
              <w:left w:val="double" w:sz="6" w:space="0" w:color="auto"/>
              <w:right w:val="double" w:sz="6" w:space="0" w:color="auto"/>
            </w:tcBorders>
          </w:tcPr>
          <w:p w:rsidR="006F7AD6" w:rsidRPr="0067355D" w:rsidP="00886011" w14:paraId="5198CEA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Cs w:val="22"/>
              </w:rPr>
            </w:pPr>
            <w:r>
              <w:rPr>
                <w:b/>
                <w:szCs w:val="22"/>
              </w:rPr>
              <w:t xml:space="preserve">Proposed </w:t>
            </w:r>
            <w:r w:rsidRPr="0067355D">
              <w:rPr>
                <w:b/>
                <w:szCs w:val="22"/>
              </w:rPr>
              <w:t>FY 201</w:t>
            </w:r>
            <w:r>
              <w:rPr>
                <w:b/>
                <w:szCs w:val="22"/>
              </w:rPr>
              <w:t>9</w:t>
            </w:r>
            <w:r w:rsidRPr="0067355D">
              <w:rPr>
                <w:b/>
                <w:szCs w:val="22"/>
              </w:rPr>
              <w:t xml:space="preserve"> </w:t>
            </w:r>
            <w:r>
              <w:rPr>
                <w:b/>
                <w:szCs w:val="22"/>
              </w:rPr>
              <w:fldChar w:fldCharType="begin"/>
            </w:r>
            <w:r w:rsidRPr="0067355D">
              <w:rPr>
                <w:b/>
                <w:szCs w:val="22"/>
              </w:rPr>
              <w:instrText xml:space="preserve">PRIVATE </w:instrText>
            </w:r>
            <w:r>
              <w:rPr>
                <w:b/>
                <w:szCs w:val="22"/>
              </w:rPr>
              <w:fldChar w:fldCharType="end"/>
            </w:r>
            <w:r w:rsidRPr="0067355D">
              <w:rPr>
                <w:b/>
                <w:szCs w:val="22"/>
              </w:rPr>
              <w:t>RADIO STATION REGULATORY FEES</w:t>
            </w:r>
            <w:r>
              <w:rPr>
                <w:b/>
                <w:szCs w:val="22"/>
              </w:rPr>
              <w:t xml:space="preserve"> </w:t>
            </w:r>
          </w:p>
        </w:tc>
      </w:tr>
      <w:tr w14:paraId="5495B637" w14:textId="77777777" w:rsidTr="00886011">
        <w:tblPrEx>
          <w:tblW w:w="8550" w:type="dxa"/>
          <w:tblInd w:w="152" w:type="dxa"/>
          <w:tblLayout w:type="fixed"/>
          <w:tblCellMar>
            <w:left w:w="62" w:type="dxa"/>
            <w:right w:w="62" w:type="dxa"/>
          </w:tblCellMar>
          <w:tblLook w:val="0000"/>
        </w:tblPrEx>
        <w:tc>
          <w:tcPr>
            <w:tcW w:w="1890" w:type="dxa"/>
            <w:tcBorders>
              <w:top w:val="single" w:sz="6" w:space="0" w:color="auto"/>
              <w:left w:val="double" w:sz="6" w:space="0" w:color="auto"/>
            </w:tcBorders>
          </w:tcPr>
          <w:p w:rsidR="006F7AD6" w:rsidRPr="0067355D" w:rsidP="00886011" w14:paraId="4952846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jc w:val="center"/>
              <w:rPr>
                <w:b/>
                <w:szCs w:val="22"/>
              </w:rPr>
            </w:pPr>
            <w:r w:rsidRPr="0067355D">
              <w:rPr>
                <w:b/>
                <w:szCs w:val="22"/>
              </w:rPr>
              <w:t xml:space="preserve">Population </w:t>
            </w:r>
          </w:p>
          <w:p w:rsidR="006F7AD6" w:rsidRPr="0067355D" w:rsidP="00886011" w14:paraId="7DAE6C0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04"/>
              <w:jc w:val="center"/>
              <w:rPr>
                <w:b/>
                <w:szCs w:val="22"/>
              </w:rPr>
            </w:pPr>
            <w:r w:rsidRPr="0067355D">
              <w:rPr>
                <w:b/>
                <w:szCs w:val="22"/>
              </w:rPr>
              <w:t>Served</w:t>
            </w:r>
          </w:p>
        </w:tc>
        <w:tc>
          <w:tcPr>
            <w:tcW w:w="1080" w:type="dxa"/>
            <w:tcBorders>
              <w:top w:val="single" w:sz="6" w:space="0" w:color="auto"/>
              <w:left w:val="single" w:sz="6" w:space="0" w:color="auto"/>
            </w:tcBorders>
          </w:tcPr>
          <w:p w:rsidR="006F7AD6" w:rsidRPr="0067355D" w:rsidP="00886011" w14:paraId="27728DF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Cs w:val="22"/>
              </w:rPr>
            </w:pPr>
            <w:r w:rsidRPr="0067355D">
              <w:rPr>
                <w:b/>
                <w:szCs w:val="22"/>
              </w:rPr>
              <w:t>AM Class A</w:t>
            </w:r>
          </w:p>
        </w:tc>
        <w:tc>
          <w:tcPr>
            <w:tcW w:w="990" w:type="dxa"/>
            <w:tcBorders>
              <w:top w:val="single" w:sz="6" w:space="0" w:color="auto"/>
              <w:left w:val="single" w:sz="6" w:space="0" w:color="auto"/>
            </w:tcBorders>
          </w:tcPr>
          <w:p w:rsidR="006F7AD6" w:rsidRPr="0067355D" w:rsidP="00886011" w14:paraId="70BC7B9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Cs w:val="22"/>
              </w:rPr>
            </w:pPr>
            <w:r w:rsidRPr="0067355D">
              <w:rPr>
                <w:b/>
                <w:szCs w:val="22"/>
              </w:rPr>
              <w:t>AM Class B</w:t>
            </w:r>
          </w:p>
        </w:tc>
        <w:tc>
          <w:tcPr>
            <w:tcW w:w="900" w:type="dxa"/>
            <w:tcBorders>
              <w:top w:val="single" w:sz="6" w:space="0" w:color="auto"/>
              <w:left w:val="single" w:sz="6" w:space="0" w:color="auto"/>
            </w:tcBorders>
          </w:tcPr>
          <w:p w:rsidR="006F7AD6" w:rsidRPr="0067355D" w:rsidP="00886011" w14:paraId="09DF3C2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Cs w:val="22"/>
              </w:rPr>
            </w:pPr>
            <w:r w:rsidRPr="0067355D">
              <w:rPr>
                <w:b/>
                <w:szCs w:val="22"/>
              </w:rPr>
              <w:t>AM Class C</w:t>
            </w:r>
          </w:p>
        </w:tc>
        <w:tc>
          <w:tcPr>
            <w:tcW w:w="900" w:type="dxa"/>
            <w:tcBorders>
              <w:top w:val="single" w:sz="6" w:space="0" w:color="auto"/>
              <w:left w:val="single" w:sz="6" w:space="0" w:color="auto"/>
            </w:tcBorders>
          </w:tcPr>
          <w:p w:rsidR="006F7AD6" w:rsidRPr="0067355D" w:rsidP="00886011" w14:paraId="5413A9C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Cs w:val="22"/>
              </w:rPr>
            </w:pPr>
            <w:r w:rsidRPr="0067355D">
              <w:rPr>
                <w:b/>
                <w:szCs w:val="22"/>
              </w:rPr>
              <w:t>AM Class D</w:t>
            </w:r>
          </w:p>
        </w:tc>
        <w:tc>
          <w:tcPr>
            <w:tcW w:w="1440" w:type="dxa"/>
            <w:tcBorders>
              <w:top w:val="single" w:sz="6" w:space="0" w:color="auto"/>
              <w:left w:val="single" w:sz="6" w:space="0" w:color="auto"/>
            </w:tcBorders>
          </w:tcPr>
          <w:p w:rsidR="006F7AD6" w:rsidRPr="0067355D" w:rsidP="00886011" w14:paraId="116498E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jc w:val="center"/>
              <w:rPr>
                <w:b/>
                <w:szCs w:val="22"/>
                <w:lang w:val="pt-BR"/>
              </w:rPr>
            </w:pPr>
            <w:r w:rsidRPr="0067355D">
              <w:rPr>
                <w:b/>
                <w:szCs w:val="22"/>
                <w:lang w:val="pt-BR"/>
              </w:rPr>
              <w:t>FM Classes</w:t>
            </w:r>
          </w:p>
          <w:p w:rsidR="006F7AD6" w:rsidRPr="0067355D" w:rsidP="00886011" w14:paraId="5B49869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04"/>
              <w:jc w:val="center"/>
              <w:rPr>
                <w:b/>
                <w:szCs w:val="22"/>
                <w:lang w:val="pt-BR"/>
              </w:rPr>
            </w:pPr>
            <w:r w:rsidRPr="0067355D">
              <w:rPr>
                <w:b/>
                <w:szCs w:val="22"/>
                <w:lang w:val="pt-BR"/>
              </w:rPr>
              <w:t>A, B1 &amp; C3</w:t>
            </w:r>
          </w:p>
        </w:tc>
        <w:tc>
          <w:tcPr>
            <w:tcW w:w="1350" w:type="dxa"/>
            <w:tcBorders>
              <w:top w:val="single" w:sz="6" w:space="0" w:color="auto"/>
              <w:left w:val="single" w:sz="6" w:space="0" w:color="auto"/>
              <w:right w:val="double" w:sz="6" w:space="0" w:color="auto"/>
            </w:tcBorders>
          </w:tcPr>
          <w:p w:rsidR="006F7AD6" w:rsidRPr="0067355D" w:rsidP="00886011" w14:paraId="2EBD380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jc w:val="center"/>
              <w:rPr>
                <w:b/>
                <w:szCs w:val="22"/>
                <w:lang w:val="pt-BR"/>
              </w:rPr>
            </w:pPr>
            <w:r w:rsidRPr="0067355D">
              <w:rPr>
                <w:b/>
                <w:szCs w:val="22"/>
                <w:lang w:val="pt-BR"/>
              </w:rPr>
              <w:t>FM Classes</w:t>
            </w:r>
          </w:p>
          <w:p w:rsidR="006F7AD6" w:rsidRPr="0067355D" w:rsidP="00886011" w14:paraId="2C1C4BD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04"/>
              <w:jc w:val="center"/>
              <w:rPr>
                <w:b/>
                <w:szCs w:val="22"/>
                <w:lang w:val="pt-BR"/>
              </w:rPr>
            </w:pPr>
            <w:r w:rsidRPr="0067355D">
              <w:rPr>
                <w:b/>
                <w:szCs w:val="22"/>
                <w:lang w:val="pt-BR"/>
              </w:rPr>
              <w:t>B, C, C0, C1 &amp; C2</w:t>
            </w:r>
          </w:p>
        </w:tc>
      </w:tr>
      <w:tr w14:paraId="4FEEA1FE" w14:textId="77777777" w:rsidTr="00886011">
        <w:tblPrEx>
          <w:tblW w:w="8550" w:type="dxa"/>
          <w:tblInd w:w="152" w:type="dxa"/>
          <w:tblLayout w:type="fixed"/>
          <w:tblCellMar>
            <w:left w:w="62" w:type="dxa"/>
            <w:right w:w="62" w:type="dxa"/>
          </w:tblCellMar>
          <w:tblLook w:val="0000"/>
        </w:tblPrEx>
        <w:tc>
          <w:tcPr>
            <w:tcW w:w="1890" w:type="dxa"/>
            <w:tcBorders>
              <w:top w:val="single" w:sz="6" w:space="0" w:color="auto"/>
              <w:left w:val="double" w:sz="6" w:space="0" w:color="auto"/>
            </w:tcBorders>
          </w:tcPr>
          <w:p w:rsidR="006F7AD6" w:rsidRPr="0067355D" w:rsidP="00886011" w14:paraId="0E7C50A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Cs w:val="22"/>
              </w:rPr>
            </w:pPr>
            <w:r w:rsidRPr="0067355D">
              <w:rPr>
                <w:b/>
                <w:szCs w:val="22"/>
              </w:rPr>
              <w:t>&lt;=25,000</w:t>
            </w:r>
          </w:p>
        </w:tc>
        <w:tc>
          <w:tcPr>
            <w:tcW w:w="1080" w:type="dxa"/>
            <w:tcBorders>
              <w:top w:val="single" w:sz="6" w:space="0" w:color="auto"/>
              <w:left w:val="single" w:sz="6" w:space="0" w:color="auto"/>
            </w:tcBorders>
          </w:tcPr>
          <w:p w:rsidR="006F7AD6" w:rsidRPr="0067355D" w:rsidP="00886011" w14:paraId="522E9CA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w:t>
            </w:r>
            <w:r>
              <w:rPr>
                <w:szCs w:val="22"/>
              </w:rPr>
              <w:t>1,000</w:t>
            </w:r>
          </w:p>
        </w:tc>
        <w:tc>
          <w:tcPr>
            <w:tcW w:w="990" w:type="dxa"/>
            <w:tcBorders>
              <w:top w:val="single" w:sz="6" w:space="0" w:color="auto"/>
              <w:left w:val="single" w:sz="6" w:space="0" w:color="auto"/>
            </w:tcBorders>
          </w:tcPr>
          <w:p w:rsidR="006F7AD6" w:rsidRPr="0067355D" w:rsidP="00886011" w14:paraId="613CED9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w:t>
            </w:r>
            <w:r>
              <w:rPr>
                <w:szCs w:val="22"/>
              </w:rPr>
              <w:t>760</w:t>
            </w:r>
          </w:p>
        </w:tc>
        <w:tc>
          <w:tcPr>
            <w:tcW w:w="900" w:type="dxa"/>
            <w:tcBorders>
              <w:top w:val="single" w:sz="6" w:space="0" w:color="auto"/>
              <w:left w:val="single" w:sz="6" w:space="0" w:color="auto"/>
            </w:tcBorders>
          </w:tcPr>
          <w:p w:rsidR="006F7AD6" w:rsidRPr="0067355D" w:rsidP="00886011" w14:paraId="7974814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w:t>
            </w:r>
            <w:r>
              <w:rPr>
                <w:szCs w:val="22"/>
              </w:rPr>
              <w:t>660</w:t>
            </w:r>
          </w:p>
        </w:tc>
        <w:tc>
          <w:tcPr>
            <w:tcW w:w="900" w:type="dxa"/>
            <w:tcBorders>
              <w:top w:val="single" w:sz="6" w:space="0" w:color="auto"/>
              <w:left w:val="single" w:sz="6" w:space="0" w:color="auto"/>
            </w:tcBorders>
          </w:tcPr>
          <w:p w:rsidR="006F7AD6" w:rsidRPr="0067355D" w:rsidP="00886011" w14:paraId="0590EB3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w:t>
            </w:r>
            <w:r>
              <w:rPr>
                <w:szCs w:val="22"/>
              </w:rPr>
              <w:t>725</w:t>
            </w:r>
          </w:p>
        </w:tc>
        <w:tc>
          <w:tcPr>
            <w:tcW w:w="1440" w:type="dxa"/>
            <w:tcBorders>
              <w:top w:val="single" w:sz="6" w:space="0" w:color="auto"/>
              <w:left w:val="single" w:sz="6" w:space="0" w:color="auto"/>
            </w:tcBorders>
          </w:tcPr>
          <w:p w:rsidR="006F7AD6" w:rsidRPr="0067355D" w:rsidP="00886011" w14:paraId="239D910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w:t>
            </w:r>
            <w:r>
              <w:rPr>
                <w:szCs w:val="22"/>
              </w:rPr>
              <w:t>1,150</w:t>
            </w:r>
          </w:p>
        </w:tc>
        <w:tc>
          <w:tcPr>
            <w:tcW w:w="1350" w:type="dxa"/>
            <w:tcBorders>
              <w:top w:val="single" w:sz="6" w:space="0" w:color="auto"/>
              <w:left w:val="single" w:sz="6" w:space="0" w:color="auto"/>
              <w:right w:val="double" w:sz="6" w:space="0" w:color="auto"/>
            </w:tcBorders>
          </w:tcPr>
          <w:p w:rsidR="006F7AD6" w:rsidRPr="0067355D" w:rsidP="00886011" w14:paraId="6ED080E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$1,</w:t>
            </w:r>
            <w:r>
              <w:rPr>
                <w:szCs w:val="22"/>
              </w:rPr>
              <w:t>325</w:t>
            </w:r>
          </w:p>
        </w:tc>
      </w:tr>
      <w:tr w14:paraId="21E04E32" w14:textId="77777777" w:rsidTr="00886011">
        <w:tblPrEx>
          <w:tblW w:w="8550" w:type="dxa"/>
          <w:tblInd w:w="152" w:type="dxa"/>
          <w:tblLayout w:type="fixed"/>
          <w:tblCellMar>
            <w:left w:w="62" w:type="dxa"/>
            <w:right w:w="62" w:type="dxa"/>
          </w:tblCellMar>
          <w:tblLook w:val="0000"/>
        </w:tblPrEx>
        <w:tc>
          <w:tcPr>
            <w:tcW w:w="1890" w:type="dxa"/>
            <w:tcBorders>
              <w:top w:val="single" w:sz="6" w:space="0" w:color="auto"/>
              <w:left w:val="double" w:sz="6" w:space="0" w:color="auto"/>
            </w:tcBorders>
          </w:tcPr>
          <w:p w:rsidR="006F7AD6" w:rsidRPr="0067355D" w:rsidP="00886011" w14:paraId="10C9796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Cs w:val="22"/>
              </w:rPr>
            </w:pPr>
            <w:r w:rsidRPr="0067355D">
              <w:rPr>
                <w:b/>
                <w:szCs w:val="22"/>
              </w:rPr>
              <w:t>25,001 – 75,000</w:t>
            </w:r>
          </w:p>
        </w:tc>
        <w:tc>
          <w:tcPr>
            <w:tcW w:w="1080" w:type="dxa"/>
            <w:tcBorders>
              <w:top w:val="single" w:sz="6" w:space="0" w:color="auto"/>
              <w:left w:val="single" w:sz="6" w:space="0" w:color="auto"/>
            </w:tcBorders>
          </w:tcPr>
          <w:p w:rsidR="006F7AD6" w:rsidRPr="0067355D" w:rsidP="00886011" w14:paraId="1C42F5A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$1,</w:t>
            </w:r>
            <w:r>
              <w:rPr>
                <w:szCs w:val="22"/>
              </w:rPr>
              <w:t>575</w:t>
            </w:r>
          </w:p>
        </w:tc>
        <w:tc>
          <w:tcPr>
            <w:tcW w:w="990" w:type="dxa"/>
            <w:tcBorders>
              <w:top w:val="single" w:sz="6" w:space="0" w:color="auto"/>
              <w:left w:val="single" w:sz="6" w:space="0" w:color="auto"/>
            </w:tcBorders>
          </w:tcPr>
          <w:p w:rsidR="006F7AD6" w:rsidRPr="0067355D" w:rsidP="00886011" w14:paraId="4FD6D8F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w:t>
            </w:r>
            <w:r>
              <w:rPr>
                <w:szCs w:val="22"/>
              </w:rPr>
              <w:t>1,150</w:t>
            </w:r>
          </w:p>
        </w:tc>
        <w:tc>
          <w:tcPr>
            <w:tcW w:w="900" w:type="dxa"/>
            <w:tcBorders>
              <w:top w:val="single" w:sz="6" w:space="0" w:color="auto"/>
              <w:left w:val="single" w:sz="6" w:space="0" w:color="auto"/>
            </w:tcBorders>
          </w:tcPr>
          <w:p w:rsidR="006F7AD6" w:rsidRPr="0067355D" w:rsidP="00886011" w14:paraId="004E58A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w:t>
            </w:r>
            <w:r>
              <w:rPr>
                <w:szCs w:val="22"/>
              </w:rPr>
              <w:t>990</w:t>
            </w:r>
          </w:p>
        </w:tc>
        <w:tc>
          <w:tcPr>
            <w:tcW w:w="900" w:type="dxa"/>
            <w:tcBorders>
              <w:top w:val="single" w:sz="6" w:space="0" w:color="auto"/>
              <w:left w:val="single" w:sz="6" w:space="0" w:color="auto"/>
            </w:tcBorders>
          </w:tcPr>
          <w:p w:rsidR="006F7AD6" w:rsidRPr="0067355D" w:rsidP="00886011" w14:paraId="58AB6E6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w:t>
            </w:r>
            <w:r>
              <w:rPr>
                <w:szCs w:val="22"/>
              </w:rPr>
              <w:t>1,000</w:t>
            </w:r>
          </w:p>
        </w:tc>
        <w:tc>
          <w:tcPr>
            <w:tcW w:w="1440" w:type="dxa"/>
            <w:tcBorders>
              <w:top w:val="single" w:sz="6" w:space="0" w:color="auto"/>
              <w:left w:val="single" w:sz="6" w:space="0" w:color="auto"/>
            </w:tcBorders>
          </w:tcPr>
          <w:p w:rsidR="006F7AD6" w:rsidRPr="0067355D" w:rsidP="00886011" w14:paraId="43B77C0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$1,</w:t>
            </w:r>
            <w:r>
              <w:rPr>
                <w:szCs w:val="22"/>
              </w:rPr>
              <w:t>725</w:t>
            </w:r>
          </w:p>
        </w:tc>
        <w:tc>
          <w:tcPr>
            <w:tcW w:w="1350" w:type="dxa"/>
            <w:tcBorders>
              <w:top w:val="single" w:sz="6" w:space="0" w:color="auto"/>
              <w:left w:val="single" w:sz="6" w:space="0" w:color="auto"/>
              <w:right w:val="double" w:sz="6" w:space="0" w:color="auto"/>
            </w:tcBorders>
          </w:tcPr>
          <w:p w:rsidR="006F7AD6" w:rsidRPr="0067355D" w:rsidP="00886011" w14:paraId="711DDE2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w:t>
            </w:r>
            <w:r>
              <w:rPr>
                <w:szCs w:val="22"/>
              </w:rPr>
              <w:t>2,000</w:t>
            </w:r>
          </w:p>
        </w:tc>
      </w:tr>
      <w:tr w14:paraId="658C362A" w14:textId="77777777" w:rsidTr="00886011">
        <w:tblPrEx>
          <w:tblW w:w="8550" w:type="dxa"/>
          <w:tblInd w:w="152" w:type="dxa"/>
          <w:tblLayout w:type="fixed"/>
          <w:tblCellMar>
            <w:left w:w="62" w:type="dxa"/>
            <w:right w:w="62" w:type="dxa"/>
          </w:tblCellMar>
          <w:tblLook w:val="0000"/>
        </w:tblPrEx>
        <w:tc>
          <w:tcPr>
            <w:tcW w:w="1890" w:type="dxa"/>
            <w:tcBorders>
              <w:top w:val="single" w:sz="6" w:space="0" w:color="auto"/>
              <w:left w:val="double" w:sz="6" w:space="0" w:color="auto"/>
            </w:tcBorders>
          </w:tcPr>
          <w:p w:rsidR="006F7AD6" w:rsidRPr="0067355D" w:rsidP="00886011" w14:paraId="3524875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Cs w:val="22"/>
              </w:rPr>
            </w:pPr>
            <w:r w:rsidRPr="0067355D">
              <w:rPr>
                <w:b/>
                <w:szCs w:val="22"/>
              </w:rPr>
              <w:t>75,001 – 150,000</w:t>
            </w:r>
          </w:p>
        </w:tc>
        <w:tc>
          <w:tcPr>
            <w:tcW w:w="1080" w:type="dxa"/>
            <w:tcBorders>
              <w:top w:val="single" w:sz="6" w:space="0" w:color="auto"/>
              <w:left w:val="single" w:sz="6" w:space="0" w:color="auto"/>
            </w:tcBorders>
          </w:tcPr>
          <w:p w:rsidR="006F7AD6" w:rsidRPr="0067355D" w:rsidP="00886011" w14:paraId="5568F0C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w:t>
            </w:r>
            <w:r>
              <w:rPr>
                <w:szCs w:val="22"/>
              </w:rPr>
              <w:t>2</w:t>
            </w:r>
            <w:r w:rsidRPr="0067355D">
              <w:rPr>
                <w:szCs w:val="22"/>
              </w:rPr>
              <w:t>,</w:t>
            </w:r>
            <w:r>
              <w:rPr>
                <w:szCs w:val="22"/>
              </w:rPr>
              <w:t>375</w:t>
            </w:r>
          </w:p>
        </w:tc>
        <w:tc>
          <w:tcPr>
            <w:tcW w:w="990" w:type="dxa"/>
            <w:tcBorders>
              <w:top w:val="single" w:sz="6" w:space="0" w:color="auto"/>
              <w:left w:val="single" w:sz="6" w:space="0" w:color="auto"/>
            </w:tcBorders>
          </w:tcPr>
          <w:p w:rsidR="006F7AD6" w:rsidRPr="0067355D" w:rsidP="00886011" w14:paraId="35E9791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$1,</w:t>
            </w:r>
            <w:r>
              <w:rPr>
                <w:szCs w:val="22"/>
              </w:rPr>
              <w:t>700</w:t>
            </w:r>
          </w:p>
        </w:tc>
        <w:tc>
          <w:tcPr>
            <w:tcW w:w="900" w:type="dxa"/>
            <w:tcBorders>
              <w:top w:val="single" w:sz="6" w:space="0" w:color="auto"/>
              <w:left w:val="single" w:sz="6" w:space="0" w:color="auto"/>
            </w:tcBorders>
          </w:tcPr>
          <w:p w:rsidR="006F7AD6" w:rsidRPr="0067355D" w:rsidP="00886011" w14:paraId="58D6C0F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$1,</w:t>
            </w:r>
            <w:r>
              <w:rPr>
                <w:szCs w:val="22"/>
              </w:rPr>
              <w:t>475</w:t>
            </w:r>
          </w:p>
        </w:tc>
        <w:tc>
          <w:tcPr>
            <w:tcW w:w="900" w:type="dxa"/>
            <w:tcBorders>
              <w:top w:val="single" w:sz="6" w:space="0" w:color="auto"/>
              <w:left w:val="single" w:sz="6" w:space="0" w:color="auto"/>
            </w:tcBorders>
          </w:tcPr>
          <w:p w:rsidR="006F7AD6" w:rsidRPr="0067355D" w:rsidP="00886011" w14:paraId="41B6AA1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$1,</w:t>
            </w:r>
            <w:r>
              <w:rPr>
                <w:szCs w:val="22"/>
              </w:rPr>
              <w:t>625</w:t>
            </w:r>
          </w:p>
        </w:tc>
        <w:tc>
          <w:tcPr>
            <w:tcW w:w="1440" w:type="dxa"/>
            <w:tcBorders>
              <w:top w:val="single" w:sz="6" w:space="0" w:color="auto"/>
              <w:left w:val="single" w:sz="6" w:space="0" w:color="auto"/>
            </w:tcBorders>
          </w:tcPr>
          <w:p w:rsidR="006F7AD6" w:rsidRPr="0067355D" w:rsidP="00886011" w14:paraId="17A8EC3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$2,</w:t>
            </w:r>
            <w:r>
              <w:rPr>
                <w:szCs w:val="22"/>
              </w:rPr>
              <w:t>600</w:t>
            </w:r>
          </w:p>
        </w:tc>
        <w:tc>
          <w:tcPr>
            <w:tcW w:w="1350" w:type="dxa"/>
            <w:tcBorders>
              <w:top w:val="single" w:sz="6" w:space="0" w:color="auto"/>
              <w:left w:val="single" w:sz="6" w:space="0" w:color="auto"/>
              <w:right w:val="double" w:sz="6" w:space="0" w:color="auto"/>
            </w:tcBorders>
          </w:tcPr>
          <w:p w:rsidR="006F7AD6" w:rsidRPr="0067355D" w:rsidP="00886011" w14:paraId="467A86A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$2,</w:t>
            </w:r>
            <w:r>
              <w:rPr>
                <w:szCs w:val="22"/>
              </w:rPr>
              <w:t>975</w:t>
            </w:r>
          </w:p>
        </w:tc>
      </w:tr>
      <w:tr w14:paraId="7909C08A" w14:textId="77777777" w:rsidTr="00886011">
        <w:tblPrEx>
          <w:tblW w:w="8550" w:type="dxa"/>
          <w:tblInd w:w="152" w:type="dxa"/>
          <w:tblLayout w:type="fixed"/>
          <w:tblCellMar>
            <w:left w:w="62" w:type="dxa"/>
            <w:right w:w="62" w:type="dxa"/>
          </w:tblCellMar>
          <w:tblLook w:val="0000"/>
        </w:tblPrEx>
        <w:tc>
          <w:tcPr>
            <w:tcW w:w="1890" w:type="dxa"/>
            <w:tcBorders>
              <w:top w:val="single" w:sz="6" w:space="0" w:color="auto"/>
              <w:left w:val="double" w:sz="6" w:space="0" w:color="auto"/>
            </w:tcBorders>
          </w:tcPr>
          <w:p w:rsidR="006F7AD6" w:rsidRPr="0067355D" w:rsidP="00886011" w14:paraId="4F06DB5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Cs w:val="22"/>
              </w:rPr>
            </w:pPr>
            <w:r w:rsidRPr="0067355D">
              <w:rPr>
                <w:b/>
                <w:szCs w:val="22"/>
              </w:rPr>
              <w:t>150,001 – 500,000</w:t>
            </w:r>
          </w:p>
        </w:tc>
        <w:tc>
          <w:tcPr>
            <w:tcW w:w="1080" w:type="dxa"/>
            <w:tcBorders>
              <w:top w:val="single" w:sz="6" w:space="0" w:color="auto"/>
              <w:left w:val="single" w:sz="6" w:space="0" w:color="auto"/>
            </w:tcBorders>
          </w:tcPr>
          <w:p w:rsidR="006F7AD6" w:rsidRPr="0067355D" w:rsidP="00886011" w14:paraId="551ABDD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w:t>
            </w:r>
            <w:r>
              <w:rPr>
                <w:szCs w:val="22"/>
              </w:rPr>
              <w:t>3</w:t>
            </w:r>
            <w:r w:rsidRPr="0067355D">
              <w:rPr>
                <w:szCs w:val="22"/>
              </w:rPr>
              <w:t>,</w:t>
            </w:r>
            <w:r>
              <w:rPr>
                <w:szCs w:val="22"/>
              </w:rPr>
              <w:t>550</w:t>
            </w:r>
          </w:p>
        </w:tc>
        <w:tc>
          <w:tcPr>
            <w:tcW w:w="990" w:type="dxa"/>
            <w:tcBorders>
              <w:top w:val="single" w:sz="6" w:space="0" w:color="auto"/>
              <w:left w:val="single" w:sz="6" w:space="0" w:color="auto"/>
            </w:tcBorders>
          </w:tcPr>
          <w:p w:rsidR="006F7AD6" w:rsidRPr="0067355D" w:rsidP="00886011" w14:paraId="7DF2351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$2,</w:t>
            </w:r>
            <w:r>
              <w:rPr>
                <w:szCs w:val="22"/>
              </w:rPr>
              <w:t>575</w:t>
            </w:r>
          </w:p>
        </w:tc>
        <w:tc>
          <w:tcPr>
            <w:tcW w:w="900" w:type="dxa"/>
            <w:tcBorders>
              <w:top w:val="single" w:sz="6" w:space="0" w:color="auto"/>
              <w:left w:val="single" w:sz="6" w:space="0" w:color="auto"/>
            </w:tcBorders>
          </w:tcPr>
          <w:p w:rsidR="006F7AD6" w:rsidRPr="0067355D" w:rsidP="00886011" w14:paraId="4FEB14C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w:t>
            </w:r>
            <w:r>
              <w:rPr>
                <w:szCs w:val="22"/>
              </w:rPr>
              <w:t>2</w:t>
            </w:r>
            <w:r w:rsidRPr="0067355D">
              <w:rPr>
                <w:szCs w:val="22"/>
              </w:rPr>
              <w:t>,</w:t>
            </w:r>
            <w:r>
              <w:rPr>
                <w:szCs w:val="22"/>
              </w:rPr>
              <w:t>225</w:t>
            </w:r>
          </w:p>
        </w:tc>
        <w:tc>
          <w:tcPr>
            <w:tcW w:w="900" w:type="dxa"/>
            <w:tcBorders>
              <w:top w:val="single" w:sz="6" w:space="0" w:color="auto"/>
              <w:left w:val="single" w:sz="6" w:space="0" w:color="auto"/>
            </w:tcBorders>
          </w:tcPr>
          <w:p w:rsidR="006F7AD6" w:rsidRPr="0067355D" w:rsidP="00886011" w14:paraId="088938A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$2,</w:t>
            </w:r>
            <w:r>
              <w:rPr>
                <w:szCs w:val="22"/>
              </w:rPr>
              <w:t>450</w:t>
            </w:r>
          </w:p>
        </w:tc>
        <w:tc>
          <w:tcPr>
            <w:tcW w:w="1440" w:type="dxa"/>
            <w:tcBorders>
              <w:top w:val="single" w:sz="6" w:space="0" w:color="auto"/>
              <w:left w:val="single" w:sz="6" w:space="0" w:color="auto"/>
            </w:tcBorders>
          </w:tcPr>
          <w:p w:rsidR="006F7AD6" w:rsidRPr="0067355D" w:rsidP="00886011" w14:paraId="134F9CD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$3,</w:t>
            </w:r>
            <w:r>
              <w:rPr>
                <w:szCs w:val="22"/>
              </w:rPr>
              <w:t>875</w:t>
            </w:r>
          </w:p>
        </w:tc>
        <w:tc>
          <w:tcPr>
            <w:tcW w:w="1350" w:type="dxa"/>
            <w:tcBorders>
              <w:top w:val="single" w:sz="6" w:space="0" w:color="auto"/>
              <w:left w:val="single" w:sz="6" w:space="0" w:color="auto"/>
              <w:right w:val="double" w:sz="6" w:space="0" w:color="auto"/>
            </w:tcBorders>
          </w:tcPr>
          <w:p w:rsidR="006F7AD6" w:rsidRPr="0067355D" w:rsidP="00886011" w14:paraId="704097B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w:t>
            </w:r>
            <w:r>
              <w:rPr>
                <w:szCs w:val="22"/>
              </w:rPr>
              <w:t>4</w:t>
            </w:r>
            <w:r w:rsidRPr="0067355D">
              <w:rPr>
                <w:szCs w:val="22"/>
              </w:rPr>
              <w:t>,</w:t>
            </w:r>
            <w:r>
              <w:rPr>
                <w:szCs w:val="22"/>
              </w:rPr>
              <w:t>475</w:t>
            </w:r>
          </w:p>
        </w:tc>
      </w:tr>
      <w:tr w14:paraId="07DDD847" w14:textId="77777777" w:rsidTr="00886011">
        <w:tblPrEx>
          <w:tblW w:w="8550" w:type="dxa"/>
          <w:tblInd w:w="152" w:type="dxa"/>
          <w:tblLayout w:type="fixed"/>
          <w:tblCellMar>
            <w:left w:w="62" w:type="dxa"/>
            <w:right w:w="62" w:type="dxa"/>
          </w:tblCellMar>
          <w:tblLook w:val="0000"/>
        </w:tblPrEx>
        <w:tc>
          <w:tcPr>
            <w:tcW w:w="1890" w:type="dxa"/>
            <w:tcBorders>
              <w:top w:val="single" w:sz="6" w:space="0" w:color="auto"/>
              <w:left w:val="double" w:sz="6" w:space="0" w:color="auto"/>
            </w:tcBorders>
          </w:tcPr>
          <w:p w:rsidR="006F7AD6" w:rsidRPr="0067355D" w:rsidP="00886011" w14:paraId="062C65A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Cs w:val="22"/>
              </w:rPr>
            </w:pPr>
            <w:r w:rsidRPr="0067355D">
              <w:rPr>
                <w:b/>
                <w:szCs w:val="22"/>
              </w:rPr>
              <w:t>500,001 – 1,200,000</w:t>
            </w:r>
          </w:p>
        </w:tc>
        <w:tc>
          <w:tcPr>
            <w:tcW w:w="1080" w:type="dxa"/>
            <w:tcBorders>
              <w:top w:val="single" w:sz="6" w:space="0" w:color="auto"/>
              <w:left w:val="single" w:sz="6" w:space="0" w:color="auto"/>
            </w:tcBorders>
          </w:tcPr>
          <w:p w:rsidR="006F7AD6" w:rsidRPr="0067355D" w:rsidP="00886011" w14:paraId="704439F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w:t>
            </w:r>
            <w:r>
              <w:rPr>
                <w:szCs w:val="22"/>
              </w:rPr>
              <w:t>5</w:t>
            </w:r>
            <w:r w:rsidRPr="0067355D">
              <w:rPr>
                <w:szCs w:val="22"/>
              </w:rPr>
              <w:t>,</w:t>
            </w:r>
            <w:r>
              <w:rPr>
                <w:szCs w:val="22"/>
              </w:rPr>
              <w:t>325</w:t>
            </w:r>
          </w:p>
        </w:tc>
        <w:tc>
          <w:tcPr>
            <w:tcW w:w="990" w:type="dxa"/>
            <w:tcBorders>
              <w:top w:val="single" w:sz="6" w:space="0" w:color="auto"/>
              <w:left w:val="single" w:sz="6" w:space="0" w:color="auto"/>
            </w:tcBorders>
          </w:tcPr>
          <w:p w:rsidR="006F7AD6" w:rsidRPr="0067355D" w:rsidP="00886011" w14:paraId="047190F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$3,</w:t>
            </w:r>
            <w:r>
              <w:rPr>
                <w:szCs w:val="22"/>
              </w:rPr>
              <w:t>850</w:t>
            </w:r>
          </w:p>
        </w:tc>
        <w:tc>
          <w:tcPr>
            <w:tcW w:w="900" w:type="dxa"/>
            <w:tcBorders>
              <w:top w:val="single" w:sz="6" w:space="0" w:color="auto"/>
              <w:left w:val="single" w:sz="6" w:space="0" w:color="auto"/>
            </w:tcBorders>
          </w:tcPr>
          <w:p w:rsidR="006F7AD6" w:rsidRPr="0067355D" w:rsidP="00886011" w14:paraId="13D2A5C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w:t>
            </w:r>
            <w:r>
              <w:rPr>
                <w:szCs w:val="22"/>
              </w:rPr>
              <w:t>3</w:t>
            </w:r>
            <w:r w:rsidRPr="0067355D">
              <w:rPr>
                <w:szCs w:val="22"/>
              </w:rPr>
              <w:t>,</w:t>
            </w:r>
            <w:r>
              <w:rPr>
                <w:szCs w:val="22"/>
              </w:rPr>
              <w:t>350</w:t>
            </w:r>
          </w:p>
        </w:tc>
        <w:tc>
          <w:tcPr>
            <w:tcW w:w="900" w:type="dxa"/>
            <w:tcBorders>
              <w:top w:val="single" w:sz="6" w:space="0" w:color="auto"/>
              <w:left w:val="single" w:sz="6" w:space="0" w:color="auto"/>
            </w:tcBorders>
          </w:tcPr>
          <w:p w:rsidR="006F7AD6" w:rsidRPr="0067355D" w:rsidP="00886011" w14:paraId="132F760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$3,</w:t>
            </w:r>
            <w:r>
              <w:rPr>
                <w:szCs w:val="22"/>
              </w:rPr>
              <w:t>675</w:t>
            </w:r>
          </w:p>
        </w:tc>
        <w:tc>
          <w:tcPr>
            <w:tcW w:w="1440" w:type="dxa"/>
            <w:tcBorders>
              <w:top w:val="single" w:sz="6" w:space="0" w:color="auto"/>
              <w:left w:val="single" w:sz="6" w:space="0" w:color="auto"/>
            </w:tcBorders>
          </w:tcPr>
          <w:p w:rsidR="006F7AD6" w:rsidRPr="0067355D" w:rsidP="00886011" w14:paraId="1ED09CA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w:t>
            </w:r>
            <w:r>
              <w:rPr>
                <w:szCs w:val="22"/>
              </w:rPr>
              <w:t>5</w:t>
            </w:r>
            <w:r w:rsidRPr="0067355D">
              <w:rPr>
                <w:szCs w:val="22"/>
              </w:rPr>
              <w:t>,</w:t>
            </w:r>
            <w:r>
              <w:rPr>
                <w:szCs w:val="22"/>
              </w:rPr>
              <w:t>825</w:t>
            </w:r>
          </w:p>
        </w:tc>
        <w:tc>
          <w:tcPr>
            <w:tcW w:w="1350" w:type="dxa"/>
            <w:tcBorders>
              <w:top w:val="single" w:sz="6" w:space="0" w:color="auto"/>
              <w:left w:val="single" w:sz="6" w:space="0" w:color="auto"/>
              <w:right w:val="double" w:sz="6" w:space="0" w:color="auto"/>
            </w:tcBorders>
          </w:tcPr>
          <w:p w:rsidR="006F7AD6" w:rsidRPr="0067355D" w:rsidP="00886011" w14:paraId="4415800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w:t>
            </w:r>
            <w:r>
              <w:rPr>
                <w:szCs w:val="22"/>
              </w:rPr>
              <w:t>6</w:t>
            </w:r>
            <w:r w:rsidRPr="0067355D">
              <w:rPr>
                <w:szCs w:val="22"/>
              </w:rPr>
              <w:t>,</w:t>
            </w:r>
            <w:r>
              <w:rPr>
                <w:szCs w:val="22"/>
              </w:rPr>
              <w:t>700</w:t>
            </w:r>
          </w:p>
        </w:tc>
      </w:tr>
      <w:tr w14:paraId="4C5144C2" w14:textId="77777777" w:rsidTr="00886011">
        <w:tblPrEx>
          <w:tblW w:w="8550" w:type="dxa"/>
          <w:tblInd w:w="152" w:type="dxa"/>
          <w:tblLayout w:type="fixed"/>
          <w:tblCellMar>
            <w:left w:w="62" w:type="dxa"/>
            <w:right w:w="62" w:type="dxa"/>
          </w:tblCellMar>
          <w:tblLook w:val="0000"/>
        </w:tblPrEx>
        <w:trPr>
          <w:trHeight w:val="361"/>
        </w:trPr>
        <w:tc>
          <w:tcPr>
            <w:tcW w:w="1890" w:type="dxa"/>
            <w:tcBorders>
              <w:top w:val="single" w:sz="6" w:space="0" w:color="auto"/>
              <w:left w:val="double" w:sz="6" w:space="0" w:color="auto"/>
              <w:bottom w:val="single" w:sz="6" w:space="0" w:color="auto"/>
            </w:tcBorders>
          </w:tcPr>
          <w:p w:rsidR="006F7AD6" w:rsidRPr="0067355D" w:rsidP="00886011" w14:paraId="64BECAB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Cs w:val="22"/>
              </w:rPr>
            </w:pPr>
            <w:r w:rsidRPr="0067355D">
              <w:rPr>
                <w:b/>
                <w:szCs w:val="22"/>
              </w:rPr>
              <w:t>1,200,001 – 3,000,00</w:t>
            </w:r>
          </w:p>
        </w:tc>
        <w:tc>
          <w:tcPr>
            <w:tcW w:w="1080" w:type="dxa"/>
            <w:tcBorders>
              <w:top w:val="single" w:sz="6" w:space="0" w:color="auto"/>
              <w:left w:val="single" w:sz="6" w:space="0" w:color="auto"/>
              <w:bottom w:val="single" w:sz="6" w:space="0" w:color="auto"/>
            </w:tcBorders>
          </w:tcPr>
          <w:p w:rsidR="006F7AD6" w:rsidRPr="0067355D" w:rsidP="00886011" w14:paraId="067303A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w:t>
            </w:r>
            <w:r>
              <w:rPr>
                <w:szCs w:val="22"/>
              </w:rPr>
              <w:t>7</w:t>
            </w:r>
            <w:r w:rsidRPr="0067355D">
              <w:rPr>
                <w:szCs w:val="22"/>
              </w:rPr>
              <w:t>,</w:t>
            </w:r>
            <w:r>
              <w:rPr>
                <w:szCs w:val="22"/>
              </w:rPr>
              <w:t>975</w:t>
            </w:r>
          </w:p>
        </w:tc>
        <w:tc>
          <w:tcPr>
            <w:tcW w:w="990" w:type="dxa"/>
            <w:tcBorders>
              <w:top w:val="single" w:sz="6" w:space="0" w:color="auto"/>
              <w:left w:val="single" w:sz="6" w:space="0" w:color="auto"/>
              <w:bottom w:val="single" w:sz="6" w:space="0" w:color="auto"/>
            </w:tcBorders>
          </w:tcPr>
          <w:p w:rsidR="006F7AD6" w:rsidRPr="0067355D" w:rsidP="00886011" w14:paraId="055EFFB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w:t>
            </w:r>
            <w:r>
              <w:rPr>
                <w:szCs w:val="22"/>
              </w:rPr>
              <w:t>5</w:t>
            </w:r>
            <w:r w:rsidRPr="0067355D">
              <w:rPr>
                <w:szCs w:val="22"/>
              </w:rPr>
              <w:t>,</w:t>
            </w:r>
            <w:r>
              <w:rPr>
                <w:szCs w:val="22"/>
              </w:rPr>
              <w:t>775</w:t>
            </w:r>
          </w:p>
        </w:tc>
        <w:tc>
          <w:tcPr>
            <w:tcW w:w="900" w:type="dxa"/>
            <w:tcBorders>
              <w:top w:val="single" w:sz="6" w:space="0" w:color="auto"/>
              <w:left w:val="single" w:sz="6" w:space="0" w:color="auto"/>
              <w:bottom w:val="single" w:sz="6" w:space="0" w:color="auto"/>
            </w:tcBorders>
          </w:tcPr>
          <w:p w:rsidR="006F7AD6" w:rsidRPr="0067355D" w:rsidP="00886011" w14:paraId="2885139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w:t>
            </w:r>
            <w:r>
              <w:rPr>
                <w:szCs w:val="22"/>
              </w:rPr>
              <w:t>5,025</w:t>
            </w:r>
          </w:p>
        </w:tc>
        <w:tc>
          <w:tcPr>
            <w:tcW w:w="900" w:type="dxa"/>
            <w:tcBorders>
              <w:top w:val="single" w:sz="6" w:space="0" w:color="auto"/>
              <w:left w:val="single" w:sz="6" w:space="0" w:color="auto"/>
              <w:bottom w:val="single" w:sz="6" w:space="0" w:color="auto"/>
            </w:tcBorders>
          </w:tcPr>
          <w:p w:rsidR="006F7AD6" w:rsidRPr="0067355D" w:rsidP="00886011" w14:paraId="144CF78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w:t>
            </w:r>
            <w:r>
              <w:rPr>
                <w:szCs w:val="22"/>
              </w:rPr>
              <w:t>5</w:t>
            </w:r>
            <w:r w:rsidRPr="0067355D">
              <w:rPr>
                <w:szCs w:val="22"/>
              </w:rPr>
              <w:t>,</w:t>
            </w:r>
            <w:r>
              <w:rPr>
                <w:szCs w:val="22"/>
              </w:rPr>
              <w:t>500</w:t>
            </w:r>
          </w:p>
        </w:tc>
        <w:tc>
          <w:tcPr>
            <w:tcW w:w="1440" w:type="dxa"/>
            <w:tcBorders>
              <w:top w:val="single" w:sz="6" w:space="0" w:color="auto"/>
              <w:left w:val="single" w:sz="6" w:space="0" w:color="auto"/>
              <w:bottom w:val="single" w:sz="6" w:space="0" w:color="auto"/>
            </w:tcBorders>
          </w:tcPr>
          <w:p w:rsidR="006F7AD6" w:rsidRPr="0067355D" w:rsidP="00886011" w14:paraId="67C0929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w:t>
            </w:r>
            <w:r>
              <w:rPr>
                <w:szCs w:val="22"/>
              </w:rPr>
              <w:t>8</w:t>
            </w:r>
            <w:r w:rsidRPr="0067355D">
              <w:rPr>
                <w:szCs w:val="22"/>
              </w:rPr>
              <w:t>,</w:t>
            </w:r>
            <w:r>
              <w:rPr>
                <w:szCs w:val="22"/>
              </w:rPr>
              <w:t>750</w:t>
            </w:r>
          </w:p>
        </w:tc>
        <w:tc>
          <w:tcPr>
            <w:tcW w:w="1350" w:type="dxa"/>
            <w:tcBorders>
              <w:top w:val="single" w:sz="6" w:space="0" w:color="auto"/>
              <w:left w:val="single" w:sz="6" w:space="0" w:color="auto"/>
              <w:bottom w:val="single" w:sz="6" w:space="0" w:color="auto"/>
              <w:right w:val="double" w:sz="6" w:space="0" w:color="auto"/>
            </w:tcBorders>
          </w:tcPr>
          <w:p w:rsidR="006F7AD6" w:rsidRPr="0067355D" w:rsidP="00886011" w14:paraId="61C48C8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w:t>
            </w:r>
            <w:r>
              <w:rPr>
                <w:szCs w:val="22"/>
              </w:rPr>
              <w:t>10,075</w:t>
            </w:r>
          </w:p>
        </w:tc>
      </w:tr>
      <w:tr w14:paraId="2A29AD82" w14:textId="77777777" w:rsidTr="00886011">
        <w:tblPrEx>
          <w:tblW w:w="8550" w:type="dxa"/>
          <w:tblInd w:w="152" w:type="dxa"/>
          <w:tblLayout w:type="fixed"/>
          <w:tblCellMar>
            <w:left w:w="62" w:type="dxa"/>
            <w:right w:w="62" w:type="dxa"/>
          </w:tblCellMar>
          <w:tblLook w:val="0000"/>
        </w:tblPrEx>
        <w:tc>
          <w:tcPr>
            <w:tcW w:w="1890" w:type="dxa"/>
            <w:tcBorders>
              <w:top w:val="single" w:sz="6" w:space="0" w:color="auto"/>
              <w:left w:val="double" w:sz="6" w:space="0" w:color="auto"/>
              <w:bottom w:val="single" w:sz="6" w:space="0" w:color="auto"/>
            </w:tcBorders>
          </w:tcPr>
          <w:p w:rsidR="006F7AD6" w:rsidRPr="0067355D" w:rsidP="00886011" w14:paraId="64C7952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Cs w:val="22"/>
              </w:rPr>
            </w:pPr>
            <w:r w:rsidRPr="0067355D">
              <w:rPr>
                <w:b/>
                <w:szCs w:val="22"/>
              </w:rPr>
              <w:t>3,000,001 – 6,000,00</w:t>
            </w:r>
          </w:p>
        </w:tc>
        <w:tc>
          <w:tcPr>
            <w:tcW w:w="1080" w:type="dxa"/>
            <w:tcBorders>
              <w:top w:val="single" w:sz="6" w:space="0" w:color="auto"/>
              <w:left w:val="single" w:sz="6" w:space="0" w:color="auto"/>
              <w:bottom w:val="single" w:sz="6" w:space="0" w:color="auto"/>
            </w:tcBorders>
          </w:tcPr>
          <w:p w:rsidR="006F7AD6" w:rsidRPr="0067355D" w:rsidP="00886011" w14:paraId="57B1C85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$1</w:t>
            </w:r>
            <w:r>
              <w:rPr>
                <w:szCs w:val="22"/>
              </w:rPr>
              <w:t>1</w:t>
            </w:r>
            <w:r w:rsidRPr="0067355D">
              <w:rPr>
                <w:szCs w:val="22"/>
              </w:rPr>
              <w:t>,</w:t>
            </w:r>
            <w:r>
              <w:rPr>
                <w:szCs w:val="22"/>
              </w:rPr>
              <w:t>950</w:t>
            </w:r>
          </w:p>
        </w:tc>
        <w:tc>
          <w:tcPr>
            <w:tcW w:w="990" w:type="dxa"/>
            <w:tcBorders>
              <w:top w:val="single" w:sz="6" w:space="0" w:color="auto"/>
              <w:left w:val="single" w:sz="6" w:space="0" w:color="auto"/>
              <w:bottom w:val="single" w:sz="6" w:space="0" w:color="auto"/>
            </w:tcBorders>
          </w:tcPr>
          <w:p w:rsidR="006F7AD6" w:rsidRPr="0067355D" w:rsidP="00886011" w14:paraId="5A6097C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w:t>
            </w:r>
            <w:r>
              <w:rPr>
                <w:szCs w:val="22"/>
              </w:rPr>
              <w:t>8</w:t>
            </w:r>
            <w:r w:rsidRPr="0067355D">
              <w:rPr>
                <w:szCs w:val="22"/>
              </w:rPr>
              <w:t>,</w:t>
            </w:r>
            <w:r>
              <w:rPr>
                <w:szCs w:val="22"/>
              </w:rPr>
              <w:t>650</w:t>
            </w:r>
          </w:p>
        </w:tc>
        <w:tc>
          <w:tcPr>
            <w:tcW w:w="900" w:type="dxa"/>
            <w:tcBorders>
              <w:top w:val="single" w:sz="6" w:space="0" w:color="auto"/>
              <w:left w:val="single" w:sz="6" w:space="0" w:color="auto"/>
              <w:bottom w:val="single" w:sz="6" w:space="0" w:color="auto"/>
            </w:tcBorders>
          </w:tcPr>
          <w:p w:rsidR="006F7AD6" w:rsidRPr="0067355D" w:rsidP="00886011" w14:paraId="46AAF6F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w:t>
            </w:r>
            <w:r>
              <w:rPr>
                <w:szCs w:val="22"/>
              </w:rPr>
              <w:t>7</w:t>
            </w:r>
            <w:r w:rsidRPr="0067355D">
              <w:rPr>
                <w:szCs w:val="22"/>
              </w:rPr>
              <w:t>,</w:t>
            </w:r>
            <w:r>
              <w:rPr>
                <w:szCs w:val="22"/>
              </w:rPr>
              <w:t>525</w:t>
            </w:r>
          </w:p>
        </w:tc>
        <w:tc>
          <w:tcPr>
            <w:tcW w:w="900" w:type="dxa"/>
            <w:tcBorders>
              <w:top w:val="single" w:sz="6" w:space="0" w:color="auto"/>
              <w:left w:val="single" w:sz="6" w:space="0" w:color="auto"/>
              <w:bottom w:val="single" w:sz="6" w:space="0" w:color="auto"/>
            </w:tcBorders>
          </w:tcPr>
          <w:p w:rsidR="006F7AD6" w:rsidRPr="0067355D" w:rsidP="00886011" w14:paraId="27D16DD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w:t>
            </w:r>
            <w:r>
              <w:rPr>
                <w:szCs w:val="22"/>
              </w:rPr>
              <w:t>8</w:t>
            </w:r>
            <w:r w:rsidRPr="0067355D">
              <w:rPr>
                <w:szCs w:val="22"/>
              </w:rPr>
              <w:t>,</w:t>
            </w:r>
            <w:r>
              <w:rPr>
                <w:szCs w:val="22"/>
              </w:rPr>
              <w:t>250</w:t>
            </w:r>
          </w:p>
        </w:tc>
        <w:tc>
          <w:tcPr>
            <w:tcW w:w="1440" w:type="dxa"/>
            <w:tcBorders>
              <w:top w:val="single" w:sz="6" w:space="0" w:color="auto"/>
              <w:left w:val="single" w:sz="6" w:space="0" w:color="auto"/>
              <w:bottom w:val="single" w:sz="6" w:space="0" w:color="auto"/>
            </w:tcBorders>
          </w:tcPr>
          <w:p w:rsidR="006F7AD6" w:rsidRPr="0067355D" w:rsidP="00886011" w14:paraId="286FEAE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$1</w:t>
            </w:r>
            <w:r>
              <w:rPr>
                <w:szCs w:val="22"/>
              </w:rPr>
              <w:t>3</w:t>
            </w:r>
            <w:r w:rsidRPr="0067355D">
              <w:rPr>
                <w:szCs w:val="22"/>
              </w:rPr>
              <w:t>,</w:t>
            </w:r>
            <w:r>
              <w:rPr>
                <w:szCs w:val="22"/>
              </w:rPr>
              <w:t>100</w:t>
            </w:r>
          </w:p>
        </w:tc>
        <w:tc>
          <w:tcPr>
            <w:tcW w:w="1350" w:type="dxa"/>
            <w:tcBorders>
              <w:top w:val="single" w:sz="6" w:space="0" w:color="auto"/>
              <w:left w:val="single" w:sz="6" w:space="0" w:color="auto"/>
              <w:bottom w:val="single" w:sz="6" w:space="0" w:color="auto"/>
              <w:right w:val="double" w:sz="6" w:space="0" w:color="auto"/>
            </w:tcBorders>
          </w:tcPr>
          <w:p w:rsidR="006F7AD6" w:rsidRPr="0067355D" w:rsidP="00886011" w14:paraId="6894A92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$1</w:t>
            </w:r>
            <w:r>
              <w:rPr>
                <w:szCs w:val="22"/>
              </w:rPr>
              <w:t>5,100</w:t>
            </w:r>
          </w:p>
        </w:tc>
      </w:tr>
      <w:tr w14:paraId="37FB598B" w14:textId="77777777" w:rsidTr="00886011">
        <w:tblPrEx>
          <w:tblW w:w="8550" w:type="dxa"/>
          <w:tblInd w:w="152" w:type="dxa"/>
          <w:tblLayout w:type="fixed"/>
          <w:tblCellMar>
            <w:left w:w="62" w:type="dxa"/>
            <w:right w:w="62" w:type="dxa"/>
          </w:tblCellMar>
          <w:tblLook w:val="0000"/>
        </w:tblPrEx>
        <w:tc>
          <w:tcPr>
            <w:tcW w:w="1890" w:type="dxa"/>
            <w:tcBorders>
              <w:top w:val="single" w:sz="6" w:space="0" w:color="auto"/>
              <w:left w:val="double" w:sz="6" w:space="0" w:color="auto"/>
              <w:bottom w:val="double" w:sz="4" w:space="0" w:color="auto"/>
            </w:tcBorders>
          </w:tcPr>
          <w:p w:rsidR="006F7AD6" w:rsidRPr="0067355D" w:rsidP="00886011" w14:paraId="1BF22F7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Cs w:val="22"/>
              </w:rPr>
            </w:pPr>
            <w:r w:rsidRPr="0067355D">
              <w:rPr>
                <w:b/>
                <w:szCs w:val="22"/>
              </w:rPr>
              <w:t>&gt;6,000,000</w:t>
            </w:r>
          </w:p>
        </w:tc>
        <w:tc>
          <w:tcPr>
            <w:tcW w:w="1080" w:type="dxa"/>
            <w:tcBorders>
              <w:top w:val="single" w:sz="6" w:space="0" w:color="auto"/>
              <w:left w:val="single" w:sz="6" w:space="0" w:color="auto"/>
              <w:bottom w:val="double" w:sz="4" w:space="0" w:color="auto"/>
            </w:tcBorders>
          </w:tcPr>
          <w:p w:rsidR="006F7AD6" w:rsidRPr="0067355D" w:rsidP="00886011" w14:paraId="3514B16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$1</w:t>
            </w:r>
            <w:r>
              <w:rPr>
                <w:szCs w:val="22"/>
              </w:rPr>
              <w:t>7</w:t>
            </w:r>
            <w:r w:rsidRPr="0067355D">
              <w:rPr>
                <w:szCs w:val="22"/>
              </w:rPr>
              <w:t>,</w:t>
            </w:r>
            <w:r>
              <w:rPr>
                <w:szCs w:val="22"/>
              </w:rPr>
              <w:t>950</w:t>
            </w:r>
          </w:p>
        </w:tc>
        <w:tc>
          <w:tcPr>
            <w:tcW w:w="990" w:type="dxa"/>
            <w:tcBorders>
              <w:top w:val="single" w:sz="6" w:space="0" w:color="auto"/>
              <w:left w:val="single" w:sz="6" w:space="0" w:color="auto"/>
              <w:bottom w:val="double" w:sz="4" w:space="0" w:color="auto"/>
            </w:tcBorders>
          </w:tcPr>
          <w:p w:rsidR="006F7AD6" w:rsidRPr="0067355D" w:rsidP="00886011" w14:paraId="75E6212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$1</w:t>
            </w:r>
            <w:r>
              <w:rPr>
                <w:szCs w:val="22"/>
              </w:rPr>
              <w:t>3,000</w:t>
            </w:r>
          </w:p>
        </w:tc>
        <w:tc>
          <w:tcPr>
            <w:tcW w:w="900" w:type="dxa"/>
            <w:tcBorders>
              <w:top w:val="single" w:sz="6" w:space="0" w:color="auto"/>
              <w:left w:val="single" w:sz="6" w:space="0" w:color="auto"/>
              <w:bottom w:val="double" w:sz="4" w:space="0" w:color="auto"/>
            </w:tcBorders>
          </w:tcPr>
          <w:p w:rsidR="006F7AD6" w:rsidRPr="0067355D" w:rsidP="00886011" w14:paraId="18925DC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w:t>
            </w:r>
            <w:r>
              <w:rPr>
                <w:szCs w:val="22"/>
              </w:rPr>
              <w:t>11</w:t>
            </w:r>
            <w:r w:rsidRPr="0067355D">
              <w:rPr>
                <w:szCs w:val="22"/>
              </w:rPr>
              <w:t>,</w:t>
            </w:r>
            <w:r>
              <w:rPr>
                <w:szCs w:val="22"/>
              </w:rPr>
              <w:t>275</w:t>
            </w:r>
          </w:p>
        </w:tc>
        <w:tc>
          <w:tcPr>
            <w:tcW w:w="900" w:type="dxa"/>
            <w:tcBorders>
              <w:top w:val="single" w:sz="6" w:space="0" w:color="auto"/>
              <w:left w:val="single" w:sz="6" w:space="0" w:color="auto"/>
              <w:bottom w:val="double" w:sz="4" w:space="0" w:color="auto"/>
            </w:tcBorders>
          </w:tcPr>
          <w:p w:rsidR="006F7AD6" w:rsidRPr="0067355D" w:rsidP="00886011" w14:paraId="4224BDA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$1</w:t>
            </w:r>
            <w:r>
              <w:rPr>
                <w:szCs w:val="22"/>
              </w:rPr>
              <w:t>2</w:t>
            </w:r>
            <w:r w:rsidRPr="0067355D">
              <w:rPr>
                <w:szCs w:val="22"/>
              </w:rPr>
              <w:t>,</w:t>
            </w:r>
            <w:r>
              <w:rPr>
                <w:szCs w:val="22"/>
              </w:rPr>
              <w:t>400</w:t>
            </w:r>
          </w:p>
        </w:tc>
        <w:tc>
          <w:tcPr>
            <w:tcW w:w="1440" w:type="dxa"/>
            <w:tcBorders>
              <w:top w:val="single" w:sz="6" w:space="0" w:color="auto"/>
              <w:left w:val="single" w:sz="6" w:space="0" w:color="auto"/>
              <w:bottom w:val="double" w:sz="4" w:space="0" w:color="auto"/>
            </w:tcBorders>
          </w:tcPr>
          <w:p w:rsidR="006F7AD6" w:rsidRPr="0067355D" w:rsidP="00886011" w14:paraId="168CEDD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$1</w:t>
            </w:r>
            <w:r>
              <w:rPr>
                <w:szCs w:val="22"/>
              </w:rPr>
              <w:t>9</w:t>
            </w:r>
            <w:r w:rsidRPr="0067355D">
              <w:rPr>
                <w:szCs w:val="22"/>
              </w:rPr>
              <w:t>,</w:t>
            </w:r>
            <w:r>
              <w:rPr>
                <w:szCs w:val="22"/>
              </w:rPr>
              <w:t>650</w:t>
            </w:r>
          </w:p>
        </w:tc>
        <w:tc>
          <w:tcPr>
            <w:tcW w:w="1350" w:type="dxa"/>
            <w:tcBorders>
              <w:top w:val="single" w:sz="6" w:space="0" w:color="auto"/>
              <w:left w:val="single" w:sz="6" w:space="0" w:color="auto"/>
              <w:bottom w:val="double" w:sz="4" w:space="0" w:color="auto"/>
              <w:right w:val="double" w:sz="6" w:space="0" w:color="auto"/>
            </w:tcBorders>
          </w:tcPr>
          <w:p w:rsidR="006F7AD6" w:rsidRPr="0067355D" w:rsidP="00886011" w14:paraId="378D04B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w:t>
            </w:r>
            <w:r>
              <w:rPr>
                <w:szCs w:val="22"/>
              </w:rPr>
              <w:t>22</w:t>
            </w:r>
            <w:r w:rsidRPr="0067355D">
              <w:rPr>
                <w:szCs w:val="22"/>
              </w:rPr>
              <w:t>,</w:t>
            </w:r>
            <w:r>
              <w:rPr>
                <w:szCs w:val="22"/>
              </w:rPr>
              <w:t>650</w:t>
            </w:r>
          </w:p>
        </w:tc>
      </w:tr>
    </w:tbl>
    <w:p w:rsidR="006F7AD6" w:rsidP="006F7AD6" w14:paraId="40A6FAA5" w14:textId="77777777"/>
    <w:p w:rsidR="006F7AD6" w:rsidRPr="0067355D" w:rsidP="006F7AD6" w14:paraId="60EA5AEA" w14:textId="77777777">
      <w:pPr>
        <w:tabs>
          <w:tab w:val="right" w:pos="10080"/>
        </w:tabs>
        <w:suppressAutoHyphens/>
        <w:ind w:left="450"/>
        <w:jc w:val="center"/>
        <w:outlineLvl w:val="0"/>
        <w:rPr>
          <w:b/>
          <w:szCs w:val="22"/>
        </w:rPr>
      </w:pPr>
    </w:p>
    <w:p w:rsidR="006F7AD6" w:rsidRPr="0067355D" w:rsidP="006F7AD6" w14:paraId="19AEAE15" w14:textId="77777777">
      <w:pPr>
        <w:tabs>
          <w:tab w:val="right" w:pos="10080"/>
        </w:tabs>
        <w:suppressAutoHyphens/>
        <w:ind w:left="450"/>
        <w:jc w:val="center"/>
        <w:outlineLvl w:val="0"/>
        <w:rPr>
          <w:b/>
          <w:szCs w:val="22"/>
        </w:rPr>
      </w:pPr>
    </w:p>
    <w:p w:rsidR="006F7AD6" w:rsidRPr="0067355D" w:rsidP="006F7AD6" w14:paraId="5D5924C2" w14:textId="77777777">
      <w:pPr>
        <w:tabs>
          <w:tab w:val="right" w:pos="10080"/>
        </w:tabs>
        <w:suppressAutoHyphens/>
        <w:ind w:left="450"/>
        <w:jc w:val="center"/>
        <w:outlineLvl w:val="0"/>
        <w:rPr>
          <w:b/>
          <w:szCs w:val="22"/>
        </w:rPr>
      </w:pPr>
      <w:bookmarkStart w:id="36" w:name="_Toc394672333"/>
      <w:r>
        <w:rPr>
          <w:b/>
          <w:szCs w:val="22"/>
        </w:rPr>
        <w:t xml:space="preserve">FY 2019 </w:t>
      </w:r>
      <w:r w:rsidRPr="0067355D">
        <w:rPr>
          <w:b/>
          <w:szCs w:val="22"/>
        </w:rPr>
        <w:t>International Bearer Circuits - Submarine Cable</w:t>
      </w:r>
      <w:bookmarkEnd w:id="36"/>
      <w:r>
        <w:rPr>
          <w:b/>
          <w:szCs w:val="22"/>
        </w:rPr>
        <w:t xml:space="preserve"> Systems</w:t>
      </w:r>
    </w:p>
    <w:p w:rsidR="006F7AD6" w:rsidRPr="0067355D" w:rsidP="006F7AD6" w14:paraId="3FE40B1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zCs w:val="2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3780"/>
      </w:tblGrid>
      <w:tr w14:paraId="0AB24CF7" w14:textId="77777777" w:rsidTr="00886011">
        <w:tblPrEx>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860" w:type="dxa"/>
          </w:tcPr>
          <w:p w:rsidR="006F7AD6" w:rsidRPr="006E1769" w:rsidP="00886011" w14:paraId="2A8AE27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pacing w:val="-3"/>
                <w:szCs w:val="22"/>
              </w:rPr>
            </w:pPr>
            <w:r w:rsidRPr="006E1769">
              <w:rPr>
                <w:b/>
                <w:spacing w:val="-3"/>
                <w:szCs w:val="22"/>
              </w:rPr>
              <w:t>Submarine Cable Systems</w:t>
            </w:r>
          </w:p>
          <w:p w:rsidR="006F7AD6" w:rsidRPr="006E1769" w:rsidP="00886011" w14:paraId="2D1F29B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pacing w:val="-3"/>
                <w:szCs w:val="22"/>
              </w:rPr>
            </w:pPr>
            <w:r w:rsidRPr="006E1769">
              <w:rPr>
                <w:b/>
                <w:szCs w:val="22"/>
              </w:rPr>
              <w:t>(capacity as of December 31, 201</w:t>
            </w:r>
            <w:r>
              <w:rPr>
                <w:b/>
                <w:szCs w:val="22"/>
              </w:rPr>
              <w:t>8</w:t>
            </w:r>
            <w:r w:rsidRPr="006E1769">
              <w:rPr>
                <w:b/>
                <w:szCs w:val="22"/>
              </w:rPr>
              <w:t>)</w:t>
            </w:r>
          </w:p>
        </w:tc>
        <w:tc>
          <w:tcPr>
            <w:tcW w:w="3780" w:type="dxa"/>
          </w:tcPr>
          <w:p w:rsidR="006F7AD6" w:rsidRPr="006E1769" w:rsidP="00886011" w14:paraId="1F90A26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pacing w:val="-3"/>
                <w:szCs w:val="22"/>
              </w:rPr>
            </w:pPr>
            <w:r>
              <w:rPr>
                <w:b/>
                <w:spacing w:val="-3"/>
                <w:szCs w:val="22"/>
              </w:rPr>
              <w:t>Proposed f</w:t>
            </w:r>
            <w:r w:rsidRPr="006E1769">
              <w:rPr>
                <w:b/>
                <w:spacing w:val="-3"/>
                <w:szCs w:val="22"/>
              </w:rPr>
              <w:t>ee amount</w:t>
            </w:r>
            <w:r>
              <w:rPr>
                <w:b/>
                <w:spacing w:val="-3"/>
                <w:szCs w:val="22"/>
              </w:rPr>
              <w:t xml:space="preserve"> for FY 2019</w:t>
            </w:r>
          </w:p>
        </w:tc>
      </w:tr>
      <w:tr w14:paraId="1C207220" w14:textId="77777777" w:rsidTr="00886011">
        <w:tblPrEx>
          <w:tblW w:w="0" w:type="auto"/>
          <w:tblInd w:w="175" w:type="dxa"/>
          <w:tblLook w:val="01E0"/>
        </w:tblPrEx>
        <w:trPr>
          <w:trHeight w:val="764"/>
        </w:trPr>
        <w:tc>
          <w:tcPr>
            <w:tcW w:w="4860" w:type="dxa"/>
          </w:tcPr>
          <w:p w:rsidR="006F7AD6" w:rsidRPr="0072247C" w:rsidP="00886011" w14:paraId="753F5E8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zCs w:val="22"/>
              </w:rPr>
            </w:pPr>
          </w:p>
          <w:p w:rsidR="006F7AD6" w:rsidRPr="0072247C" w:rsidP="00886011" w14:paraId="1B19F66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r w:rsidRPr="0072247C">
              <w:rPr>
                <w:szCs w:val="22"/>
              </w:rPr>
              <w:t>Less than 50 Gbps</w:t>
            </w:r>
          </w:p>
        </w:tc>
        <w:tc>
          <w:tcPr>
            <w:tcW w:w="3780" w:type="dxa"/>
            <w:vAlign w:val="center"/>
          </w:tcPr>
          <w:p w:rsidR="006F7AD6" w:rsidRPr="0072247C" w:rsidP="00886011" w14:paraId="4E0E780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r w:rsidRPr="0072247C">
              <w:rPr>
                <w:bCs/>
                <w:szCs w:val="22"/>
              </w:rPr>
              <w:t>$</w:t>
            </w:r>
            <w:r>
              <w:rPr>
                <w:bCs/>
                <w:szCs w:val="22"/>
              </w:rPr>
              <w:t>12</w:t>
            </w:r>
            <w:r w:rsidRPr="0072247C">
              <w:rPr>
                <w:bCs/>
                <w:szCs w:val="22"/>
              </w:rPr>
              <w:t>,</w:t>
            </w:r>
            <w:r>
              <w:rPr>
                <w:bCs/>
                <w:szCs w:val="22"/>
              </w:rPr>
              <w:t>575</w:t>
            </w:r>
          </w:p>
        </w:tc>
      </w:tr>
      <w:tr w14:paraId="28F49E0D" w14:textId="77777777" w:rsidTr="00886011">
        <w:tblPrEx>
          <w:tblW w:w="0" w:type="auto"/>
          <w:tblInd w:w="175" w:type="dxa"/>
          <w:tblLook w:val="01E0"/>
        </w:tblPrEx>
        <w:trPr>
          <w:trHeight w:val="701"/>
        </w:trPr>
        <w:tc>
          <w:tcPr>
            <w:tcW w:w="4860" w:type="dxa"/>
          </w:tcPr>
          <w:p w:rsidR="006F7AD6" w:rsidRPr="0072247C" w:rsidP="00886011" w14:paraId="23C7029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r w:rsidRPr="0072247C">
              <w:rPr>
                <w:szCs w:val="22"/>
              </w:rPr>
              <w:t>50 Gbps or greater, but less than 250 Gbps</w:t>
            </w:r>
          </w:p>
        </w:tc>
        <w:tc>
          <w:tcPr>
            <w:tcW w:w="3780" w:type="dxa"/>
            <w:vAlign w:val="center"/>
          </w:tcPr>
          <w:p w:rsidR="006F7AD6" w:rsidRPr="0072247C" w:rsidP="00886011" w14:paraId="24BAB026" w14:textId="77777777">
            <w:pPr>
              <w:jc w:val="center"/>
              <w:rPr>
                <w:bCs/>
                <w:szCs w:val="22"/>
              </w:rPr>
            </w:pPr>
            <w:r w:rsidRPr="0072247C">
              <w:rPr>
                <w:bCs/>
                <w:szCs w:val="22"/>
              </w:rPr>
              <w:t>$</w:t>
            </w:r>
            <w:r>
              <w:rPr>
                <w:bCs/>
                <w:szCs w:val="22"/>
              </w:rPr>
              <w:t>25</w:t>
            </w:r>
            <w:r w:rsidRPr="0072247C">
              <w:rPr>
                <w:bCs/>
                <w:szCs w:val="22"/>
              </w:rPr>
              <w:t>,</w:t>
            </w:r>
            <w:r>
              <w:rPr>
                <w:bCs/>
                <w:szCs w:val="22"/>
              </w:rPr>
              <w:t>150</w:t>
            </w:r>
          </w:p>
          <w:p w:rsidR="006F7AD6" w:rsidRPr="0072247C" w:rsidP="00886011" w14:paraId="2904671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p>
        </w:tc>
      </w:tr>
      <w:tr w14:paraId="4E3C8109" w14:textId="77777777" w:rsidTr="00886011">
        <w:tblPrEx>
          <w:tblW w:w="0" w:type="auto"/>
          <w:tblInd w:w="175" w:type="dxa"/>
          <w:tblLook w:val="01E0"/>
        </w:tblPrEx>
        <w:tc>
          <w:tcPr>
            <w:tcW w:w="4860" w:type="dxa"/>
          </w:tcPr>
          <w:p w:rsidR="006F7AD6" w:rsidRPr="0072247C" w:rsidP="00886011" w14:paraId="4B601C6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r w:rsidRPr="0072247C">
              <w:rPr>
                <w:szCs w:val="22"/>
              </w:rPr>
              <w:t>250 Gbps or greater, but less than 1,000 Gbps</w:t>
            </w:r>
          </w:p>
        </w:tc>
        <w:tc>
          <w:tcPr>
            <w:tcW w:w="3780" w:type="dxa"/>
            <w:vAlign w:val="center"/>
          </w:tcPr>
          <w:p w:rsidR="006F7AD6" w:rsidRPr="0072247C" w:rsidP="00886011" w14:paraId="412DB644" w14:textId="77777777">
            <w:pPr>
              <w:jc w:val="center"/>
              <w:rPr>
                <w:bCs/>
                <w:szCs w:val="22"/>
              </w:rPr>
            </w:pPr>
          </w:p>
          <w:p w:rsidR="006F7AD6" w:rsidRPr="0072247C" w:rsidP="00886011" w14:paraId="11B6204E" w14:textId="77777777">
            <w:pPr>
              <w:jc w:val="center"/>
              <w:rPr>
                <w:bCs/>
                <w:szCs w:val="22"/>
              </w:rPr>
            </w:pPr>
            <w:r w:rsidRPr="0072247C">
              <w:rPr>
                <w:bCs/>
                <w:szCs w:val="22"/>
              </w:rPr>
              <w:t>$</w:t>
            </w:r>
            <w:r>
              <w:rPr>
                <w:bCs/>
                <w:szCs w:val="22"/>
              </w:rPr>
              <w:t>50</w:t>
            </w:r>
            <w:r w:rsidRPr="0072247C">
              <w:rPr>
                <w:bCs/>
                <w:szCs w:val="22"/>
              </w:rPr>
              <w:t>,</w:t>
            </w:r>
            <w:r>
              <w:rPr>
                <w:bCs/>
                <w:szCs w:val="22"/>
              </w:rPr>
              <w:t>300</w:t>
            </w:r>
          </w:p>
          <w:p w:rsidR="006F7AD6" w:rsidRPr="0072247C" w:rsidP="00886011" w14:paraId="1301FC66" w14:textId="77777777">
            <w:pPr>
              <w:jc w:val="center"/>
              <w:rPr>
                <w:spacing w:val="-3"/>
                <w:szCs w:val="22"/>
              </w:rPr>
            </w:pPr>
          </w:p>
        </w:tc>
      </w:tr>
      <w:tr w14:paraId="58DA73D5" w14:textId="77777777" w:rsidTr="00886011">
        <w:tblPrEx>
          <w:tblW w:w="0" w:type="auto"/>
          <w:tblInd w:w="175" w:type="dxa"/>
          <w:tblLook w:val="01E0"/>
        </w:tblPrEx>
        <w:trPr>
          <w:trHeight w:val="782"/>
        </w:trPr>
        <w:tc>
          <w:tcPr>
            <w:tcW w:w="4860" w:type="dxa"/>
          </w:tcPr>
          <w:p w:rsidR="006F7AD6" w:rsidRPr="0072247C" w:rsidP="00886011" w14:paraId="022F280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zCs w:val="22"/>
              </w:rPr>
            </w:pPr>
            <w:r w:rsidRPr="0072247C">
              <w:rPr>
                <w:szCs w:val="22"/>
              </w:rPr>
              <w:t>1,000 Gbps or greater, but less than 4,000 Gbps</w:t>
            </w:r>
          </w:p>
          <w:p w:rsidR="006F7AD6" w:rsidRPr="0072247C" w:rsidP="00886011" w14:paraId="661ECA9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p>
        </w:tc>
        <w:tc>
          <w:tcPr>
            <w:tcW w:w="3780" w:type="dxa"/>
            <w:vAlign w:val="center"/>
          </w:tcPr>
          <w:p w:rsidR="006F7AD6" w:rsidRPr="0072247C" w:rsidP="00886011" w14:paraId="464ED1FB" w14:textId="77777777">
            <w:pPr>
              <w:jc w:val="center"/>
              <w:rPr>
                <w:spacing w:val="-3"/>
                <w:szCs w:val="22"/>
              </w:rPr>
            </w:pPr>
            <w:r w:rsidRPr="0072247C">
              <w:rPr>
                <w:bCs/>
                <w:szCs w:val="22"/>
              </w:rPr>
              <w:t>$</w:t>
            </w:r>
            <w:r>
              <w:rPr>
                <w:bCs/>
                <w:szCs w:val="22"/>
              </w:rPr>
              <w:t>100</w:t>
            </w:r>
            <w:r w:rsidRPr="0072247C">
              <w:rPr>
                <w:bCs/>
                <w:szCs w:val="22"/>
              </w:rPr>
              <w:t>,</w:t>
            </w:r>
            <w:r>
              <w:rPr>
                <w:bCs/>
                <w:szCs w:val="22"/>
              </w:rPr>
              <w:t>600</w:t>
            </w:r>
          </w:p>
        </w:tc>
      </w:tr>
      <w:tr w14:paraId="2F5EFBB1" w14:textId="77777777" w:rsidTr="00886011">
        <w:tblPrEx>
          <w:tblW w:w="0" w:type="auto"/>
          <w:tblInd w:w="175" w:type="dxa"/>
          <w:tblLook w:val="01E0"/>
        </w:tblPrEx>
        <w:trPr>
          <w:trHeight w:val="692"/>
        </w:trPr>
        <w:tc>
          <w:tcPr>
            <w:tcW w:w="4860" w:type="dxa"/>
          </w:tcPr>
          <w:p w:rsidR="006F7AD6" w:rsidRPr="0072247C" w:rsidP="00886011" w14:paraId="4F9A909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zCs w:val="22"/>
              </w:rPr>
            </w:pPr>
          </w:p>
          <w:p w:rsidR="006F7AD6" w:rsidRPr="0072247C" w:rsidP="00886011" w14:paraId="77A8CA8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zCs w:val="22"/>
              </w:rPr>
            </w:pPr>
            <w:r w:rsidRPr="0072247C">
              <w:rPr>
                <w:szCs w:val="22"/>
              </w:rPr>
              <w:t>4,000 Gbps or greater</w:t>
            </w:r>
          </w:p>
          <w:p w:rsidR="006F7AD6" w:rsidRPr="0072247C" w:rsidP="00886011" w14:paraId="216DFA8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zCs w:val="22"/>
              </w:rPr>
            </w:pPr>
          </w:p>
        </w:tc>
        <w:tc>
          <w:tcPr>
            <w:tcW w:w="3780" w:type="dxa"/>
            <w:vAlign w:val="center"/>
          </w:tcPr>
          <w:p w:rsidR="006F7AD6" w:rsidRPr="0072247C" w:rsidP="00886011" w14:paraId="132FE488" w14:textId="77777777">
            <w:pPr>
              <w:jc w:val="center"/>
              <w:rPr>
                <w:szCs w:val="22"/>
              </w:rPr>
            </w:pPr>
            <w:r w:rsidRPr="0072247C">
              <w:rPr>
                <w:bCs/>
                <w:szCs w:val="22"/>
              </w:rPr>
              <w:t>$</w:t>
            </w:r>
            <w:r>
              <w:rPr>
                <w:bCs/>
                <w:szCs w:val="22"/>
              </w:rPr>
              <w:t>201</w:t>
            </w:r>
            <w:r w:rsidRPr="0072247C">
              <w:rPr>
                <w:bCs/>
                <w:szCs w:val="22"/>
              </w:rPr>
              <w:t>,</w:t>
            </w:r>
            <w:r>
              <w:rPr>
                <w:bCs/>
                <w:szCs w:val="22"/>
              </w:rPr>
              <w:t>225</w:t>
            </w:r>
          </w:p>
        </w:tc>
      </w:tr>
    </w:tbl>
    <w:p w:rsidR="006F7AD6" w:rsidRPr="0067355D" w:rsidP="006F7AD6" w14:paraId="69EA774F" w14:textId="77777777">
      <w:pPr>
        <w:tabs>
          <w:tab w:val="left" w:pos="3629"/>
        </w:tabs>
        <w:jc w:val="center"/>
        <w:rPr>
          <w:b/>
          <w:szCs w:val="22"/>
        </w:rPr>
      </w:pPr>
    </w:p>
    <w:p w:rsidR="006F7AD6" w:rsidRPr="0067355D" w:rsidP="006F7AD6" w14:paraId="62F012E0" w14:textId="77777777">
      <w:pPr>
        <w:widowControl/>
        <w:rPr>
          <w:b/>
          <w:szCs w:val="22"/>
        </w:rPr>
      </w:pPr>
    </w:p>
    <w:p w:rsidR="006F7AD6" w:rsidP="006F7AD6" w14:paraId="2F10FAE9" w14:textId="77777777">
      <w:pPr>
        <w:widowControl/>
        <w:jc w:val="center"/>
        <w:rPr>
          <w:b/>
          <w:szCs w:val="22"/>
        </w:rPr>
        <w:sectPr w:rsidSect="00886011">
          <w:endnotePr>
            <w:numFmt w:val="decimal"/>
          </w:endnotePr>
          <w:pgSz w:w="12240" w:h="15840" w:code="1"/>
          <w:pgMar w:top="1440" w:right="1440" w:bottom="720" w:left="1440" w:header="720" w:footer="720" w:gutter="0"/>
          <w:cols w:space="720"/>
          <w:noEndnote/>
          <w:titlePg/>
          <w:docGrid w:linePitch="299"/>
        </w:sectPr>
      </w:pPr>
    </w:p>
    <w:p w:rsidR="006F7AD6" w:rsidP="006F7AD6" w14:paraId="397686D3" w14:textId="77777777">
      <w:pPr>
        <w:widowControl/>
        <w:jc w:val="center"/>
        <w:rPr>
          <w:b/>
          <w:szCs w:val="22"/>
        </w:rPr>
      </w:pPr>
      <w:r>
        <w:rPr>
          <w:b/>
          <w:szCs w:val="22"/>
        </w:rPr>
        <w:t>APPENDIX C</w:t>
      </w:r>
      <w:r>
        <w:rPr>
          <w:rStyle w:val="FootnoteReference"/>
          <w:b/>
          <w:szCs w:val="22"/>
        </w:rPr>
        <w:footnoteReference w:id="116"/>
      </w:r>
    </w:p>
    <w:p w:rsidR="006F7AD6" w:rsidP="006F7AD6" w14:paraId="131F1FC0" w14:textId="77777777">
      <w:pPr>
        <w:jc w:val="center"/>
        <w:rPr>
          <w:b/>
        </w:rPr>
      </w:pPr>
      <w:r w:rsidRPr="00C04F7A">
        <w:rPr>
          <w:b/>
        </w:rPr>
        <w:t xml:space="preserve">FY 2019 </w:t>
      </w:r>
      <w:r>
        <w:rPr>
          <w:b/>
        </w:rPr>
        <w:t xml:space="preserve">FULL-POWER BROADCAST </w:t>
      </w:r>
      <w:r w:rsidRPr="00C04F7A">
        <w:rPr>
          <w:b/>
        </w:rPr>
        <w:t>TELEVISION REGULATORY FEES BY CALL SIGN</w:t>
      </w:r>
    </w:p>
    <w:p w:rsidR="006F7AD6" w:rsidRPr="00C04F7A" w:rsidP="006F7AD6" w14:paraId="2C11CD16" w14:textId="77777777">
      <w:pPr>
        <w:jc w:val="center"/>
        <w:rPr>
          <w:b/>
        </w:rPr>
      </w:pPr>
    </w:p>
    <w:tbl>
      <w:tblPr>
        <w:tblW w:w="13388" w:type="dxa"/>
        <w:jc w:val="center"/>
        <w:tblLook w:val="04A0"/>
      </w:tblPr>
      <w:tblGrid>
        <w:gridCol w:w="1241"/>
        <w:gridCol w:w="1488"/>
        <w:gridCol w:w="1217"/>
        <w:gridCol w:w="1340"/>
        <w:gridCol w:w="1279"/>
        <w:gridCol w:w="266"/>
        <w:gridCol w:w="1041"/>
        <w:gridCol w:w="1300"/>
        <w:gridCol w:w="1217"/>
        <w:gridCol w:w="1396"/>
        <w:gridCol w:w="1603"/>
      </w:tblGrid>
      <w:tr w14:paraId="5DB04F00" w14:textId="77777777" w:rsidTr="00886011">
        <w:tblPrEx>
          <w:tblW w:w="13388" w:type="dxa"/>
          <w:jc w:val="center"/>
          <w:tblLook w:val="04A0"/>
        </w:tblPrEx>
        <w:trPr>
          <w:trHeight w:val="870"/>
          <w:tblHeader/>
          <w:jc w:val="center"/>
        </w:trPr>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41F591A5" w14:textId="77777777">
            <w:pPr>
              <w:widowControl/>
              <w:jc w:val="center"/>
              <w:rPr>
                <w:rFonts w:ascii="Calibri" w:hAnsi="Calibri" w:cs="Calibri"/>
                <w:b/>
                <w:snapToGrid/>
                <w:kern w:val="0"/>
                <w:szCs w:val="22"/>
                <w:u w:val="single"/>
              </w:rPr>
            </w:pPr>
            <w:r w:rsidRPr="00A032ED">
              <w:rPr>
                <w:rFonts w:ascii="Calibri" w:hAnsi="Calibri" w:cs="Calibri"/>
                <w:b/>
                <w:snapToGrid/>
                <w:kern w:val="0"/>
                <w:szCs w:val="22"/>
                <w:u w:val="single"/>
              </w:rPr>
              <w:t>Call Sign</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6F7AD6" w:rsidRPr="00A032ED" w:rsidP="00886011" w14:paraId="04E139D1" w14:textId="77777777">
            <w:pPr>
              <w:widowControl/>
              <w:rPr>
                <w:rFonts w:ascii="Calibri" w:hAnsi="Calibri" w:cs="Calibri"/>
                <w:b/>
                <w:snapToGrid/>
                <w:kern w:val="0"/>
                <w:szCs w:val="22"/>
                <w:u w:val="single"/>
              </w:rPr>
            </w:pPr>
            <w:r w:rsidRPr="00A032ED">
              <w:rPr>
                <w:rFonts w:ascii="Calibri" w:hAnsi="Calibri" w:cs="Calibri"/>
                <w:b/>
                <w:snapToGrid/>
                <w:kern w:val="0"/>
                <w:szCs w:val="22"/>
                <w:u w:val="single"/>
              </w:rPr>
              <w:t>Population</w:t>
            </w:r>
          </w:p>
        </w:tc>
        <w:tc>
          <w:tcPr>
            <w:tcW w:w="1217" w:type="dxa"/>
            <w:tcBorders>
              <w:top w:val="single" w:sz="4" w:space="0" w:color="auto"/>
              <w:left w:val="nil"/>
              <w:bottom w:val="single" w:sz="4" w:space="0" w:color="auto"/>
              <w:right w:val="single" w:sz="4" w:space="0" w:color="auto"/>
            </w:tcBorders>
            <w:shd w:val="clear" w:color="auto" w:fill="auto"/>
            <w:vAlign w:val="bottom"/>
            <w:hideMark/>
          </w:tcPr>
          <w:p w:rsidR="006F7AD6" w:rsidRPr="00A032ED" w:rsidP="00886011" w14:paraId="4F73B65B" w14:textId="77777777">
            <w:pPr>
              <w:widowControl/>
              <w:jc w:val="center"/>
              <w:rPr>
                <w:rFonts w:ascii="Calibri" w:hAnsi="Calibri" w:cs="Calibri"/>
                <w:b/>
                <w:bCs/>
                <w:snapToGrid/>
                <w:kern w:val="0"/>
                <w:szCs w:val="22"/>
                <w:u w:val="single"/>
              </w:rPr>
            </w:pPr>
            <w:r w:rsidRPr="00A032ED">
              <w:rPr>
                <w:rFonts w:ascii="Calibri" w:hAnsi="Calibri" w:cs="Calibri"/>
                <w:b/>
                <w:bCs/>
                <w:snapToGrid/>
                <w:kern w:val="0"/>
                <w:szCs w:val="22"/>
                <w:u w:val="single"/>
              </w:rPr>
              <w:t>Population</w:t>
            </w:r>
            <w:r w:rsidRPr="00A032ED">
              <w:rPr>
                <w:rFonts w:ascii="Calibri" w:hAnsi="Calibri" w:cs="Calibri"/>
                <w:b/>
                <w:bCs/>
                <w:snapToGrid/>
                <w:kern w:val="0"/>
                <w:szCs w:val="22"/>
                <w:u w:val="single"/>
              </w:rPr>
              <w:br/>
              <w:t>Based Fee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6F7AD6" w:rsidRPr="00A032ED" w:rsidP="00886011" w14:paraId="25279A13" w14:textId="77777777">
            <w:pPr>
              <w:widowControl/>
              <w:jc w:val="center"/>
              <w:rPr>
                <w:rFonts w:ascii="Calibri" w:hAnsi="Calibri" w:cs="Calibri"/>
                <w:b/>
                <w:bCs/>
                <w:snapToGrid/>
                <w:kern w:val="0"/>
                <w:szCs w:val="22"/>
                <w:u w:val="single"/>
              </w:rPr>
            </w:pPr>
            <w:r w:rsidRPr="00A032ED">
              <w:rPr>
                <w:rFonts w:ascii="Calibri" w:hAnsi="Calibri" w:cs="Calibri"/>
                <w:b/>
                <w:bCs/>
                <w:snapToGrid/>
                <w:kern w:val="0"/>
                <w:szCs w:val="22"/>
                <w:u w:val="single"/>
              </w:rPr>
              <w:t>DMA Based Fee</w:t>
            </w:r>
          </w:p>
        </w:tc>
        <w:tc>
          <w:tcPr>
            <w:tcW w:w="1279" w:type="dxa"/>
            <w:tcBorders>
              <w:top w:val="single" w:sz="4" w:space="0" w:color="auto"/>
              <w:left w:val="nil"/>
              <w:bottom w:val="single" w:sz="4" w:space="0" w:color="auto"/>
              <w:right w:val="single" w:sz="4" w:space="0" w:color="auto"/>
            </w:tcBorders>
            <w:shd w:val="clear" w:color="auto" w:fill="auto"/>
            <w:vAlign w:val="bottom"/>
            <w:hideMark/>
          </w:tcPr>
          <w:p w:rsidR="006F7AD6" w:rsidRPr="00A032ED" w:rsidP="00886011" w14:paraId="7B4E9CA5" w14:textId="77777777">
            <w:pPr>
              <w:widowControl/>
              <w:jc w:val="center"/>
              <w:rPr>
                <w:rFonts w:ascii="Calibri" w:hAnsi="Calibri" w:cs="Calibri"/>
                <w:b/>
                <w:bCs/>
                <w:snapToGrid/>
                <w:kern w:val="0"/>
                <w:szCs w:val="22"/>
                <w:u w:val="single"/>
              </w:rPr>
            </w:pPr>
            <w:r w:rsidRPr="00A032ED">
              <w:rPr>
                <w:rFonts w:ascii="Calibri" w:hAnsi="Calibri" w:cs="Calibri"/>
                <w:b/>
                <w:bCs/>
                <w:snapToGrid/>
                <w:kern w:val="0"/>
                <w:szCs w:val="22"/>
                <w:u w:val="single"/>
              </w:rPr>
              <w:t xml:space="preserve">Blended: </w:t>
            </w:r>
            <w:r w:rsidRPr="00A032ED">
              <w:rPr>
                <w:rFonts w:ascii="Calibri" w:hAnsi="Calibri" w:cs="Calibri"/>
                <w:b/>
                <w:bCs/>
                <w:snapToGrid/>
                <w:kern w:val="0"/>
                <w:szCs w:val="22"/>
                <w:u w:val="single"/>
              </w:rPr>
              <w:br/>
              <w:t xml:space="preserve">½ Pop. Fee </w:t>
            </w:r>
            <w:r w:rsidRPr="00A032ED">
              <w:rPr>
                <w:rFonts w:ascii="Calibri" w:hAnsi="Calibri" w:cs="Calibri"/>
                <w:b/>
                <w:bCs/>
                <w:snapToGrid/>
                <w:kern w:val="0"/>
                <w:szCs w:val="22"/>
                <w:u w:val="single"/>
              </w:rPr>
              <w:br/>
              <w:t>½ DMA Fee</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6F7AD6" w:rsidRPr="00A032ED" w:rsidP="00886011" w14:paraId="11DC6CAA" w14:textId="77777777">
            <w:pPr>
              <w:widowControl/>
              <w:rPr>
                <w:rFonts w:ascii="Calibri" w:hAnsi="Calibri" w:cs="Calibri"/>
                <w:b/>
                <w:snapToGrid/>
                <w:kern w:val="0"/>
                <w:szCs w:val="22"/>
              </w:rPr>
            </w:pPr>
            <w:r w:rsidRPr="00A032ED">
              <w:rPr>
                <w:rFonts w:ascii="Calibri" w:hAnsi="Calibri" w:cs="Calibri"/>
                <w:b/>
                <w:snapToGrid/>
                <w:kern w:val="0"/>
                <w:szCs w:val="22"/>
              </w:rPr>
              <w:t> </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F7AD6" w:rsidRPr="00A032ED" w:rsidP="00886011" w14:paraId="50418003" w14:textId="77777777">
            <w:pPr>
              <w:widowControl/>
              <w:jc w:val="center"/>
              <w:rPr>
                <w:rFonts w:ascii="Calibri" w:hAnsi="Calibri" w:cs="Calibri"/>
                <w:b/>
                <w:snapToGrid/>
                <w:kern w:val="0"/>
                <w:szCs w:val="22"/>
                <w:u w:val="single"/>
              </w:rPr>
            </w:pPr>
            <w:r w:rsidRPr="00A032ED">
              <w:rPr>
                <w:rFonts w:ascii="Calibri" w:hAnsi="Calibri" w:cs="Calibri"/>
                <w:b/>
                <w:snapToGrid/>
                <w:kern w:val="0"/>
                <w:szCs w:val="22"/>
                <w:u w:val="single"/>
              </w:rPr>
              <w:t>Call Sign</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6F7AD6" w:rsidRPr="00A032ED" w:rsidP="00886011" w14:paraId="7BD8CD26" w14:textId="77777777">
            <w:pPr>
              <w:widowControl/>
              <w:rPr>
                <w:rFonts w:ascii="Calibri" w:hAnsi="Calibri" w:cs="Calibri"/>
                <w:b/>
                <w:snapToGrid/>
                <w:kern w:val="0"/>
                <w:szCs w:val="22"/>
                <w:u w:val="single"/>
              </w:rPr>
            </w:pPr>
            <w:r w:rsidRPr="00A032ED">
              <w:rPr>
                <w:rFonts w:ascii="Calibri" w:hAnsi="Calibri" w:cs="Calibri"/>
                <w:b/>
                <w:snapToGrid/>
                <w:kern w:val="0"/>
                <w:szCs w:val="22"/>
                <w:u w:val="single"/>
              </w:rPr>
              <w:t>Population</w:t>
            </w:r>
          </w:p>
        </w:tc>
        <w:tc>
          <w:tcPr>
            <w:tcW w:w="1217" w:type="dxa"/>
            <w:tcBorders>
              <w:top w:val="single" w:sz="4" w:space="0" w:color="auto"/>
              <w:left w:val="nil"/>
              <w:bottom w:val="single" w:sz="4" w:space="0" w:color="auto"/>
              <w:right w:val="single" w:sz="4" w:space="0" w:color="auto"/>
            </w:tcBorders>
            <w:shd w:val="clear" w:color="auto" w:fill="auto"/>
            <w:vAlign w:val="bottom"/>
            <w:hideMark/>
          </w:tcPr>
          <w:p w:rsidR="006F7AD6" w:rsidRPr="00A032ED" w:rsidP="00886011" w14:paraId="474337BF" w14:textId="77777777">
            <w:pPr>
              <w:widowControl/>
              <w:jc w:val="center"/>
              <w:rPr>
                <w:rFonts w:ascii="Calibri" w:hAnsi="Calibri" w:cs="Calibri"/>
                <w:b/>
                <w:bCs/>
                <w:snapToGrid/>
                <w:kern w:val="0"/>
                <w:szCs w:val="22"/>
                <w:u w:val="single"/>
              </w:rPr>
            </w:pPr>
            <w:r w:rsidRPr="00A032ED">
              <w:rPr>
                <w:rFonts w:ascii="Calibri" w:hAnsi="Calibri" w:cs="Calibri"/>
                <w:b/>
                <w:bCs/>
                <w:snapToGrid/>
                <w:kern w:val="0"/>
                <w:szCs w:val="22"/>
                <w:u w:val="single"/>
              </w:rPr>
              <w:t>Population</w:t>
            </w:r>
            <w:r w:rsidRPr="00A032ED">
              <w:rPr>
                <w:rFonts w:ascii="Calibri" w:hAnsi="Calibri" w:cs="Calibri"/>
                <w:b/>
                <w:bCs/>
                <w:snapToGrid/>
                <w:kern w:val="0"/>
                <w:szCs w:val="22"/>
                <w:u w:val="single"/>
              </w:rPr>
              <w:br/>
              <w:t>Based Fee</w:t>
            </w:r>
          </w:p>
        </w:tc>
        <w:tc>
          <w:tcPr>
            <w:tcW w:w="1396" w:type="dxa"/>
            <w:tcBorders>
              <w:top w:val="single" w:sz="4" w:space="0" w:color="auto"/>
              <w:left w:val="nil"/>
              <w:bottom w:val="single" w:sz="4" w:space="0" w:color="auto"/>
              <w:right w:val="single" w:sz="4" w:space="0" w:color="auto"/>
            </w:tcBorders>
            <w:shd w:val="clear" w:color="auto" w:fill="auto"/>
            <w:noWrap/>
            <w:vAlign w:val="bottom"/>
            <w:hideMark/>
          </w:tcPr>
          <w:p w:rsidR="006F7AD6" w:rsidRPr="00A032ED" w:rsidP="00886011" w14:paraId="78BE677C" w14:textId="77777777">
            <w:pPr>
              <w:widowControl/>
              <w:jc w:val="center"/>
              <w:rPr>
                <w:rFonts w:ascii="Calibri" w:hAnsi="Calibri" w:cs="Calibri"/>
                <w:b/>
                <w:bCs/>
                <w:snapToGrid/>
                <w:kern w:val="0"/>
                <w:szCs w:val="22"/>
                <w:u w:val="single"/>
              </w:rPr>
            </w:pPr>
            <w:r w:rsidRPr="00A032ED">
              <w:rPr>
                <w:rFonts w:ascii="Calibri" w:hAnsi="Calibri" w:cs="Calibri"/>
                <w:b/>
                <w:bCs/>
                <w:snapToGrid/>
                <w:kern w:val="0"/>
                <w:szCs w:val="22"/>
                <w:u w:val="single"/>
              </w:rPr>
              <w:t>DMA Based Fee</w:t>
            </w:r>
          </w:p>
        </w:tc>
        <w:tc>
          <w:tcPr>
            <w:tcW w:w="1603" w:type="dxa"/>
            <w:tcBorders>
              <w:top w:val="single" w:sz="4" w:space="0" w:color="auto"/>
              <w:left w:val="nil"/>
              <w:bottom w:val="single" w:sz="4" w:space="0" w:color="auto"/>
              <w:right w:val="single" w:sz="4" w:space="0" w:color="auto"/>
            </w:tcBorders>
            <w:shd w:val="clear" w:color="auto" w:fill="auto"/>
            <w:vAlign w:val="bottom"/>
            <w:hideMark/>
          </w:tcPr>
          <w:p w:rsidR="006F7AD6" w:rsidRPr="00A032ED" w:rsidP="00886011" w14:paraId="3B94FCBA" w14:textId="77777777">
            <w:pPr>
              <w:widowControl/>
              <w:jc w:val="center"/>
              <w:rPr>
                <w:rFonts w:ascii="Calibri" w:hAnsi="Calibri" w:cs="Calibri"/>
                <w:b/>
                <w:bCs/>
                <w:snapToGrid/>
                <w:kern w:val="0"/>
                <w:szCs w:val="22"/>
                <w:u w:val="single"/>
              </w:rPr>
            </w:pPr>
            <w:r w:rsidRPr="00A032ED">
              <w:rPr>
                <w:rFonts w:ascii="Calibri" w:hAnsi="Calibri" w:cs="Calibri"/>
                <w:b/>
                <w:bCs/>
                <w:snapToGrid/>
                <w:kern w:val="0"/>
                <w:szCs w:val="22"/>
                <w:u w:val="single"/>
              </w:rPr>
              <w:t xml:space="preserve">Blended: </w:t>
            </w:r>
            <w:r w:rsidRPr="00A032ED">
              <w:rPr>
                <w:rFonts w:ascii="Calibri" w:hAnsi="Calibri" w:cs="Calibri"/>
                <w:b/>
                <w:bCs/>
                <w:snapToGrid/>
                <w:kern w:val="0"/>
                <w:szCs w:val="22"/>
                <w:u w:val="single"/>
              </w:rPr>
              <w:br/>
              <w:t xml:space="preserve">½ Pop. Fee </w:t>
            </w:r>
            <w:r w:rsidRPr="00A032ED">
              <w:rPr>
                <w:rFonts w:ascii="Calibri" w:hAnsi="Calibri" w:cs="Calibri"/>
                <w:b/>
                <w:bCs/>
                <w:snapToGrid/>
                <w:kern w:val="0"/>
                <w:szCs w:val="22"/>
                <w:u w:val="single"/>
              </w:rPr>
              <w:br/>
              <w:t>½ DMA Fee</w:t>
            </w:r>
          </w:p>
        </w:tc>
      </w:tr>
      <w:tr w14:paraId="0370DBDA"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FD38E43" w14:textId="77777777">
            <w:pPr>
              <w:widowControl/>
              <w:jc w:val="center"/>
              <w:rPr>
                <w:rFonts w:ascii="Calibri" w:hAnsi="Calibri" w:cs="Calibri"/>
                <w:snapToGrid/>
                <w:kern w:val="0"/>
                <w:szCs w:val="22"/>
              </w:rPr>
            </w:pPr>
            <w:r w:rsidRPr="00A032ED">
              <w:rPr>
                <w:rFonts w:ascii="Calibri" w:hAnsi="Calibri" w:cs="Calibri"/>
                <w:snapToGrid/>
                <w:kern w:val="0"/>
                <w:szCs w:val="22"/>
              </w:rPr>
              <w:t>KAAL</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205835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52,021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88BB89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$376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335E7A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604DE3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$2,413 </w:t>
            </w:r>
          </w:p>
        </w:tc>
        <w:tc>
          <w:tcPr>
            <w:tcW w:w="266" w:type="dxa"/>
            <w:tcBorders>
              <w:top w:val="nil"/>
              <w:left w:val="nil"/>
              <w:bottom w:val="nil"/>
              <w:right w:val="nil"/>
            </w:tcBorders>
            <w:shd w:val="clear" w:color="auto" w:fill="auto"/>
            <w:noWrap/>
            <w:vAlign w:val="bottom"/>
            <w:hideMark/>
          </w:tcPr>
          <w:p w:rsidR="006F7AD6" w:rsidRPr="00A032ED" w:rsidP="00886011" w14:paraId="53CEAB91"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A98B89C" w14:textId="77777777">
            <w:pPr>
              <w:widowControl/>
              <w:jc w:val="center"/>
              <w:rPr>
                <w:rFonts w:ascii="Calibri" w:hAnsi="Calibri" w:cs="Calibri"/>
                <w:snapToGrid/>
                <w:kern w:val="0"/>
                <w:szCs w:val="22"/>
              </w:rPr>
            </w:pPr>
            <w:r w:rsidRPr="00A032ED">
              <w:rPr>
                <w:rFonts w:ascii="Calibri" w:hAnsi="Calibri" w:cs="Calibri"/>
                <w:snapToGrid/>
                <w:kern w:val="0"/>
                <w:szCs w:val="22"/>
              </w:rPr>
              <w:t>KAUT-TV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FEF17D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1,608,476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272141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$11,620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D792AF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C722E8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$19,385 </w:t>
            </w:r>
          </w:p>
        </w:tc>
      </w:tr>
      <w:tr w14:paraId="486D5C78"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BAEDAA4" w14:textId="77777777">
            <w:pPr>
              <w:widowControl/>
              <w:jc w:val="center"/>
              <w:rPr>
                <w:rFonts w:ascii="Calibri" w:hAnsi="Calibri" w:cs="Calibri"/>
                <w:snapToGrid/>
                <w:kern w:val="0"/>
                <w:szCs w:val="22"/>
              </w:rPr>
            </w:pPr>
            <w:r w:rsidRPr="00A032ED">
              <w:rPr>
                <w:rFonts w:ascii="Calibri" w:hAnsi="Calibri" w:cs="Calibri"/>
                <w:snapToGrid/>
                <w:kern w:val="0"/>
                <w:szCs w:val="22"/>
              </w:rPr>
              <w:t>KAAS-TV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E06920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220,262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D1C14B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$1,591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952AC7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3AEDC8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$7,571 </w:t>
            </w:r>
          </w:p>
        </w:tc>
        <w:tc>
          <w:tcPr>
            <w:tcW w:w="266" w:type="dxa"/>
            <w:tcBorders>
              <w:top w:val="nil"/>
              <w:left w:val="nil"/>
              <w:bottom w:val="nil"/>
              <w:right w:val="nil"/>
            </w:tcBorders>
            <w:shd w:val="clear" w:color="auto" w:fill="auto"/>
            <w:noWrap/>
            <w:vAlign w:val="bottom"/>
            <w:hideMark/>
          </w:tcPr>
          <w:p w:rsidR="006F7AD6" w:rsidRPr="00A032ED" w:rsidP="00886011" w14:paraId="564FAABE"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9562A97" w14:textId="77777777">
            <w:pPr>
              <w:widowControl/>
              <w:jc w:val="center"/>
              <w:rPr>
                <w:rFonts w:ascii="Calibri" w:hAnsi="Calibri" w:cs="Calibri"/>
                <w:snapToGrid/>
                <w:kern w:val="0"/>
                <w:szCs w:val="22"/>
              </w:rPr>
            </w:pPr>
            <w:r w:rsidRPr="00A032ED">
              <w:rPr>
                <w:rFonts w:ascii="Calibri" w:hAnsi="Calibri" w:cs="Calibri"/>
                <w:snapToGrid/>
                <w:kern w:val="0"/>
                <w:szCs w:val="22"/>
              </w:rPr>
              <w:t>KAUZ-TV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9ACCE7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381,671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5790BB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$2,757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FC226B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6543B2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$3,604 </w:t>
            </w:r>
          </w:p>
        </w:tc>
      </w:tr>
      <w:tr w14:paraId="5730EA2F"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6814E9F" w14:textId="77777777">
            <w:pPr>
              <w:widowControl/>
              <w:jc w:val="center"/>
              <w:rPr>
                <w:rFonts w:ascii="Calibri" w:hAnsi="Calibri" w:cs="Calibri"/>
                <w:snapToGrid/>
                <w:kern w:val="0"/>
                <w:szCs w:val="22"/>
              </w:rPr>
            </w:pPr>
            <w:r w:rsidRPr="00A032ED">
              <w:rPr>
                <w:rFonts w:ascii="Calibri" w:hAnsi="Calibri" w:cs="Calibri"/>
                <w:snapToGrid/>
                <w:kern w:val="0"/>
                <w:szCs w:val="22"/>
              </w:rPr>
              <w:t>KABB</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9B1FA3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2,474,296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BD9ACC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$17,875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8C65E7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D22744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$22,513 </w:t>
            </w:r>
          </w:p>
        </w:tc>
        <w:tc>
          <w:tcPr>
            <w:tcW w:w="266" w:type="dxa"/>
            <w:tcBorders>
              <w:top w:val="nil"/>
              <w:left w:val="nil"/>
              <w:bottom w:val="nil"/>
              <w:right w:val="nil"/>
            </w:tcBorders>
            <w:shd w:val="clear" w:color="auto" w:fill="auto"/>
            <w:noWrap/>
            <w:vAlign w:val="bottom"/>
            <w:hideMark/>
          </w:tcPr>
          <w:p w:rsidR="006F7AD6" w:rsidRPr="00A032ED" w:rsidP="00886011" w14:paraId="5DD30C60"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48E9738" w14:textId="77777777">
            <w:pPr>
              <w:widowControl/>
              <w:jc w:val="center"/>
              <w:rPr>
                <w:rFonts w:ascii="Calibri" w:hAnsi="Calibri" w:cs="Calibri"/>
                <w:snapToGrid/>
                <w:kern w:val="0"/>
                <w:szCs w:val="22"/>
              </w:rPr>
            </w:pPr>
            <w:r w:rsidRPr="00A032ED">
              <w:rPr>
                <w:rFonts w:ascii="Calibri" w:hAnsi="Calibri" w:cs="Calibri"/>
                <w:snapToGrid/>
                <w:kern w:val="0"/>
                <w:szCs w:val="22"/>
              </w:rPr>
              <w:t>KAVU-TV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D4BF8B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320,484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69249B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$2,315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523EB3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E02A99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$3,383 </w:t>
            </w:r>
          </w:p>
        </w:tc>
      </w:tr>
      <w:tr w14:paraId="57C74397"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A94EF3C" w14:textId="77777777">
            <w:pPr>
              <w:widowControl/>
              <w:jc w:val="center"/>
              <w:rPr>
                <w:rFonts w:ascii="Calibri" w:hAnsi="Calibri" w:cs="Calibri"/>
                <w:snapToGrid/>
                <w:kern w:val="0"/>
                <w:szCs w:val="22"/>
              </w:rPr>
            </w:pPr>
            <w:r w:rsidRPr="00A032ED">
              <w:rPr>
                <w:rFonts w:ascii="Calibri" w:hAnsi="Calibri" w:cs="Calibri"/>
                <w:snapToGrid/>
                <w:kern w:val="0"/>
                <w:szCs w:val="22"/>
              </w:rPr>
              <w:t>KABC-TV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EAA825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17,791,505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E56867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$128,532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87154A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ECA5BB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$91,266 </w:t>
            </w:r>
          </w:p>
        </w:tc>
        <w:tc>
          <w:tcPr>
            <w:tcW w:w="266" w:type="dxa"/>
            <w:tcBorders>
              <w:top w:val="nil"/>
              <w:left w:val="nil"/>
              <w:bottom w:val="nil"/>
              <w:right w:val="nil"/>
            </w:tcBorders>
            <w:shd w:val="clear" w:color="auto" w:fill="auto"/>
            <w:noWrap/>
            <w:vAlign w:val="bottom"/>
            <w:hideMark/>
          </w:tcPr>
          <w:p w:rsidR="006F7AD6" w:rsidRPr="00A032ED" w:rsidP="00886011" w14:paraId="442C9641"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D8D063D" w14:textId="77777777">
            <w:pPr>
              <w:widowControl/>
              <w:jc w:val="center"/>
              <w:rPr>
                <w:rFonts w:ascii="Calibri" w:hAnsi="Calibri" w:cs="Calibri"/>
                <w:snapToGrid/>
                <w:kern w:val="0"/>
                <w:szCs w:val="22"/>
              </w:rPr>
            </w:pPr>
            <w:r w:rsidRPr="00A032ED">
              <w:rPr>
                <w:rFonts w:ascii="Calibri" w:hAnsi="Calibri" w:cs="Calibri"/>
                <w:snapToGrid/>
                <w:kern w:val="0"/>
                <w:szCs w:val="22"/>
              </w:rPr>
              <w:t>KAWE</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6354F1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136,033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627113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$983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3CC8D9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960206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$20,829 </w:t>
            </w:r>
          </w:p>
        </w:tc>
      </w:tr>
      <w:tr w14:paraId="78E64BB1"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278D897" w14:textId="77777777">
            <w:pPr>
              <w:widowControl/>
              <w:jc w:val="center"/>
              <w:rPr>
                <w:rFonts w:ascii="Calibri" w:hAnsi="Calibri" w:cs="Calibri"/>
                <w:snapToGrid/>
                <w:kern w:val="0"/>
                <w:szCs w:val="22"/>
              </w:rPr>
            </w:pPr>
            <w:r w:rsidRPr="00A032ED">
              <w:rPr>
                <w:rFonts w:ascii="Calibri" w:hAnsi="Calibri" w:cs="Calibri"/>
                <w:snapToGrid/>
                <w:kern w:val="0"/>
                <w:szCs w:val="22"/>
              </w:rPr>
              <w:t>KABY-TV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119DF7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137,331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89DA99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$992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37F36B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26384F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$2,721 </w:t>
            </w:r>
          </w:p>
        </w:tc>
        <w:tc>
          <w:tcPr>
            <w:tcW w:w="266" w:type="dxa"/>
            <w:tcBorders>
              <w:top w:val="nil"/>
              <w:left w:val="nil"/>
              <w:bottom w:val="nil"/>
              <w:right w:val="nil"/>
            </w:tcBorders>
            <w:shd w:val="clear" w:color="auto" w:fill="auto"/>
            <w:noWrap/>
            <w:vAlign w:val="bottom"/>
            <w:hideMark/>
          </w:tcPr>
          <w:p w:rsidR="006F7AD6" w:rsidRPr="00A032ED" w:rsidP="00886011" w14:paraId="6EF0DA42"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8F210C9" w14:textId="77777777">
            <w:pPr>
              <w:widowControl/>
              <w:jc w:val="center"/>
              <w:rPr>
                <w:rFonts w:ascii="Calibri" w:hAnsi="Calibri" w:cs="Calibri"/>
                <w:snapToGrid/>
                <w:kern w:val="0"/>
                <w:szCs w:val="22"/>
              </w:rPr>
            </w:pPr>
            <w:r w:rsidRPr="00A032ED">
              <w:rPr>
                <w:rFonts w:ascii="Calibri" w:hAnsi="Calibri" w:cs="Calibri"/>
                <w:snapToGrid/>
                <w:kern w:val="0"/>
                <w:szCs w:val="22"/>
              </w:rPr>
              <w:t>KAYU-TV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97ABDC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809,464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4CF04B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$5,848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4F575C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7B4A9E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$9,699 </w:t>
            </w:r>
          </w:p>
        </w:tc>
      </w:tr>
      <w:tr w14:paraId="79FA7C22"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5F2CA86" w14:textId="77777777">
            <w:pPr>
              <w:widowControl/>
              <w:jc w:val="center"/>
              <w:rPr>
                <w:rFonts w:ascii="Calibri" w:hAnsi="Calibri" w:cs="Calibri"/>
                <w:snapToGrid/>
                <w:kern w:val="0"/>
                <w:szCs w:val="22"/>
              </w:rPr>
            </w:pPr>
            <w:r w:rsidRPr="00A032ED">
              <w:rPr>
                <w:rFonts w:ascii="Calibri" w:hAnsi="Calibri" w:cs="Calibri"/>
                <w:snapToGrid/>
                <w:kern w:val="0"/>
                <w:szCs w:val="22"/>
              </w:rPr>
              <w:t>KADN-TV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E504F0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877,965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9F4529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$6,343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D10B07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44F722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$5,396 </w:t>
            </w:r>
          </w:p>
        </w:tc>
        <w:tc>
          <w:tcPr>
            <w:tcW w:w="266" w:type="dxa"/>
            <w:tcBorders>
              <w:top w:val="nil"/>
              <w:left w:val="nil"/>
              <w:bottom w:val="nil"/>
              <w:right w:val="nil"/>
            </w:tcBorders>
            <w:shd w:val="clear" w:color="auto" w:fill="auto"/>
            <w:noWrap/>
            <w:vAlign w:val="bottom"/>
            <w:hideMark/>
          </w:tcPr>
          <w:p w:rsidR="006F7AD6" w:rsidRPr="00A032ED" w:rsidP="00886011" w14:paraId="16DABAE7"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040F201" w14:textId="77777777">
            <w:pPr>
              <w:widowControl/>
              <w:jc w:val="center"/>
              <w:rPr>
                <w:rFonts w:ascii="Calibri" w:hAnsi="Calibri" w:cs="Calibri"/>
                <w:snapToGrid/>
                <w:kern w:val="0"/>
                <w:szCs w:val="22"/>
              </w:rPr>
            </w:pPr>
            <w:r w:rsidRPr="00A032ED">
              <w:rPr>
                <w:rFonts w:ascii="Calibri" w:hAnsi="Calibri" w:cs="Calibri"/>
                <w:snapToGrid/>
                <w:kern w:val="0"/>
                <w:szCs w:val="22"/>
              </w:rPr>
              <w:t>KAZD</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690F22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6,747,915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1A650D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$48,749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478AC1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46FA42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$26,600 </w:t>
            </w:r>
          </w:p>
        </w:tc>
      </w:tr>
      <w:tr w14:paraId="09D9FF29"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9791545" w14:textId="77777777">
            <w:pPr>
              <w:widowControl/>
              <w:jc w:val="center"/>
              <w:rPr>
                <w:rFonts w:ascii="Calibri" w:hAnsi="Calibri" w:cs="Calibri"/>
                <w:snapToGrid/>
                <w:kern w:val="0"/>
                <w:szCs w:val="22"/>
              </w:rPr>
            </w:pPr>
            <w:r w:rsidRPr="00A032ED">
              <w:rPr>
                <w:rFonts w:ascii="Calibri" w:hAnsi="Calibri" w:cs="Calibri"/>
                <w:snapToGrid/>
                <w:kern w:val="0"/>
                <w:szCs w:val="22"/>
              </w:rPr>
              <w:t>KAEF-TV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531C7B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138,085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1C7948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$998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09A62E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DD0F9A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$2,724 </w:t>
            </w:r>
          </w:p>
        </w:tc>
        <w:tc>
          <w:tcPr>
            <w:tcW w:w="266" w:type="dxa"/>
            <w:tcBorders>
              <w:top w:val="nil"/>
              <w:left w:val="nil"/>
              <w:bottom w:val="nil"/>
              <w:right w:val="nil"/>
            </w:tcBorders>
            <w:shd w:val="clear" w:color="auto" w:fill="auto"/>
            <w:noWrap/>
            <w:vAlign w:val="bottom"/>
            <w:hideMark/>
          </w:tcPr>
          <w:p w:rsidR="006F7AD6" w:rsidRPr="00A032ED" w:rsidP="00886011" w14:paraId="25057ACB"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E448766" w14:textId="77777777">
            <w:pPr>
              <w:widowControl/>
              <w:jc w:val="center"/>
              <w:rPr>
                <w:rFonts w:ascii="Calibri" w:hAnsi="Calibri" w:cs="Calibri"/>
                <w:snapToGrid/>
                <w:kern w:val="0"/>
                <w:szCs w:val="22"/>
              </w:rPr>
            </w:pPr>
            <w:r w:rsidRPr="00A032ED">
              <w:rPr>
                <w:rFonts w:ascii="Calibri" w:hAnsi="Calibri" w:cs="Calibri"/>
                <w:snapToGrid/>
                <w:kern w:val="0"/>
                <w:szCs w:val="22"/>
              </w:rPr>
              <w:t>KAZQ</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60B431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1,097,010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919F74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$7,925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42FB5B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55BB27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$17,538 </w:t>
            </w:r>
          </w:p>
        </w:tc>
      </w:tr>
      <w:tr w14:paraId="5BE4FA93"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B1E7468" w14:textId="77777777">
            <w:pPr>
              <w:widowControl/>
              <w:jc w:val="center"/>
              <w:rPr>
                <w:rFonts w:ascii="Calibri" w:hAnsi="Calibri" w:cs="Calibri"/>
                <w:snapToGrid/>
                <w:kern w:val="0"/>
                <w:szCs w:val="22"/>
              </w:rPr>
            </w:pPr>
            <w:r w:rsidRPr="00A032ED">
              <w:rPr>
                <w:rFonts w:ascii="Calibri" w:hAnsi="Calibri" w:cs="Calibri"/>
                <w:snapToGrid/>
                <w:kern w:val="0"/>
                <w:szCs w:val="22"/>
              </w:rPr>
              <w:t>KAII-TV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A64693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188,810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92515A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$1,364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EBBB99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2CC02F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$7,457 </w:t>
            </w:r>
          </w:p>
        </w:tc>
        <w:tc>
          <w:tcPr>
            <w:tcW w:w="266" w:type="dxa"/>
            <w:tcBorders>
              <w:top w:val="nil"/>
              <w:left w:val="nil"/>
              <w:bottom w:val="nil"/>
              <w:right w:val="nil"/>
            </w:tcBorders>
            <w:shd w:val="clear" w:color="auto" w:fill="auto"/>
            <w:noWrap/>
            <w:vAlign w:val="bottom"/>
            <w:hideMark/>
          </w:tcPr>
          <w:p w:rsidR="006F7AD6" w:rsidRPr="00A032ED" w:rsidP="00886011" w14:paraId="3799A1A8"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BDB7629" w14:textId="77777777">
            <w:pPr>
              <w:widowControl/>
              <w:jc w:val="center"/>
              <w:rPr>
                <w:rFonts w:ascii="Calibri" w:hAnsi="Calibri" w:cs="Calibri"/>
                <w:snapToGrid/>
                <w:kern w:val="0"/>
                <w:szCs w:val="22"/>
              </w:rPr>
            </w:pPr>
            <w:r w:rsidRPr="00A032ED">
              <w:rPr>
                <w:rFonts w:ascii="Calibri" w:hAnsi="Calibri" w:cs="Calibri"/>
                <w:snapToGrid/>
                <w:kern w:val="0"/>
                <w:szCs w:val="22"/>
              </w:rPr>
              <w:t>KAZT-TV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D50CB5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436,925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F9607F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$3,157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9BCB1D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6FFBC3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$21,916 </w:t>
            </w:r>
          </w:p>
        </w:tc>
      </w:tr>
      <w:tr w14:paraId="05525916"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A6DBCC1" w14:textId="77777777">
            <w:pPr>
              <w:widowControl/>
              <w:jc w:val="center"/>
              <w:rPr>
                <w:rFonts w:ascii="Calibri" w:hAnsi="Calibri" w:cs="Calibri"/>
                <w:snapToGrid/>
                <w:kern w:val="0"/>
                <w:szCs w:val="22"/>
              </w:rPr>
            </w:pPr>
            <w:r w:rsidRPr="00A032ED">
              <w:rPr>
                <w:rFonts w:ascii="Calibri" w:hAnsi="Calibri" w:cs="Calibri"/>
                <w:snapToGrid/>
                <w:kern w:val="0"/>
                <w:szCs w:val="22"/>
              </w:rPr>
              <w:t>KAIL</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EEF32C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1,967,744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97B96B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$14,216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552D56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5D2D81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$13,883 </w:t>
            </w:r>
          </w:p>
        </w:tc>
        <w:tc>
          <w:tcPr>
            <w:tcW w:w="266" w:type="dxa"/>
            <w:tcBorders>
              <w:top w:val="nil"/>
              <w:left w:val="nil"/>
              <w:bottom w:val="nil"/>
              <w:right w:val="nil"/>
            </w:tcBorders>
            <w:shd w:val="clear" w:color="auto" w:fill="auto"/>
            <w:noWrap/>
            <w:vAlign w:val="bottom"/>
            <w:hideMark/>
          </w:tcPr>
          <w:p w:rsidR="006F7AD6" w:rsidRPr="00A032ED" w:rsidP="00886011" w14:paraId="44B7EEB9"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F4E1449" w14:textId="77777777">
            <w:pPr>
              <w:widowControl/>
              <w:jc w:val="center"/>
              <w:rPr>
                <w:rFonts w:ascii="Calibri" w:hAnsi="Calibri" w:cs="Calibri"/>
                <w:snapToGrid/>
                <w:kern w:val="0"/>
                <w:szCs w:val="22"/>
              </w:rPr>
            </w:pPr>
            <w:r w:rsidRPr="00A032ED">
              <w:rPr>
                <w:rFonts w:ascii="Calibri" w:hAnsi="Calibri" w:cs="Calibri"/>
                <w:snapToGrid/>
                <w:kern w:val="0"/>
                <w:szCs w:val="22"/>
              </w:rPr>
              <w:t>KBAK-TV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16D0FA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1,510,400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FFD8EE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$10,912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D5FC74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E6BB6D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$7,681 </w:t>
            </w:r>
          </w:p>
        </w:tc>
      </w:tr>
      <w:tr w14:paraId="7895EA8D"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3304196" w14:textId="77777777">
            <w:pPr>
              <w:widowControl/>
              <w:jc w:val="center"/>
              <w:rPr>
                <w:rFonts w:ascii="Calibri" w:hAnsi="Calibri" w:cs="Calibri"/>
                <w:snapToGrid/>
                <w:kern w:val="0"/>
                <w:szCs w:val="22"/>
              </w:rPr>
            </w:pPr>
            <w:r w:rsidRPr="00A032ED">
              <w:rPr>
                <w:rFonts w:ascii="Calibri" w:hAnsi="Calibri" w:cs="Calibri"/>
                <w:snapToGrid/>
                <w:kern w:val="0"/>
                <w:szCs w:val="22"/>
              </w:rPr>
              <w:t>KAIT</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D50F1D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861,149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55B3AA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$6,221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7E5AED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1718BA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$5,336 </w:t>
            </w:r>
          </w:p>
        </w:tc>
        <w:tc>
          <w:tcPr>
            <w:tcW w:w="266" w:type="dxa"/>
            <w:tcBorders>
              <w:top w:val="nil"/>
              <w:left w:val="nil"/>
              <w:bottom w:val="nil"/>
              <w:right w:val="nil"/>
            </w:tcBorders>
            <w:shd w:val="clear" w:color="auto" w:fill="auto"/>
            <w:noWrap/>
            <w:vAlign w:val="bottom"/>
            <w:hideMark/>
          </w:tcPr>
          <w:p w:rsidR="006F7AD6" w:rsidRPr="00A032ED" w:rsidP="00886011" w14:paraId="2C086BAD"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A17A131" w14:textId="77777777">
            <w:pPr>
              <w:widowControl/>
              <w:jc w:val="center"/>
              <w:rPr>
                <w:rFonts w:ascii="Calibri" w:hAnsi="Calibri" w:cs="Calibri"/>
                <w:snapToGrid/>
                <w:kern w:val="0"/>
                <w:szCs w:val="22"/>
              </w:rPr>
            </w:pPr>
            <w:r w:rsidRPr="00A032ED">
              <w:rPr>
                <w:rFonts w:ascii="Calibri" w:hAnsi="Calibri" w:cs="Calibri"/>
                <w:snapToGrid/>
                <w:kern w:val="0"/>
                <w:szCs w:val="22"/>
              </w:rPr>
              <w:t>KBCA</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78FAA5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463,075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D87C29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$3,345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C422BE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199E93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$3,898 </w:t>
            </w:r>
          </w:p>
        </w:tc>
      </w:tr>
      <w:tr w14:paraId="798F5D5A"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A542D2B" w14:textId="77777777">
            <w:pPr>
              <w:widowControl/>
              <w:jc w:val="center"/>
              <w:rPr>
                <w:rFonts w:ascii="Calibri" w:hAnsi="Calibri" w:cs="Calibri"/>
                <w:snapToGrid/>
                <w:kern w:val="0"/>
                <w:szCs w:val="22"/>
              </w:rPr>
            </w:pPr>
            <w:r w:rsidRPr="00A032ED">
              <w:rPr>
                <w:rFonts w:ascii="Calibri" w:hAnsi="Calibri" w:cs="Calibri"/>
                <w:snapToGrid/>
                <w:kern w:val="0"/>
                <w:szCs w:val="22"/>
              </w:rPr>
              <w:t>KAJB</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A558D8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383,886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F237C1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$2,773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F5D38F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65FC3D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$3,612 </w:t>
            </w:r>
          </w:p>
        </w:tc>
        <w:tc>
          <w:tcPr>
            <w:tcW w:w="266" w:type="dxa"/>
            <w:tcBorders>
              <w:top w:val="nil"/>
              <w:left w:val="nil"/>
              <w:bottom w:val="nil"/>
              <w:right w:val="nil"/>
            </w:tcBorders>
            <w:shd w:val="clear" w:color="auto" w:fill="auto"/>
            <w:noWrap/>
            <w:vAlign w:val="bottom"/>
            <w:hideMark/>
          </w:tcPr>
          <w:p w:rsidR="006F7AD6" w:rsidRPr="00A032ED" w:rsidP="00886011" w14:paraId="62E99E1F"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763E4E0" w14:textId="77777777">
            <w:pPr>
              <w:widowControl/>
              <w:jc w:val="center"/>
              <w:rPr>
                <w:rFonts w:ascii="Calibri" w:hAnsi="Calibri" w:cs="Calibri"/>
                <w:snapToGrid/>
                <w:kern w:val="0"/>
                <w:szCs w:val="22"/>
              </w:rPr>
            </w:pPr>
            <w:r w:rsidRPr="00A032ED">
              <w:rPr>
                <w:rFonts w:ascii="Calibri" w:hAnsi="Calibri" w:cs="Calibri"/>
                <w:snapToGrid/>
                <w:kern w:val="0"/>
                <w:szCs w:val="22"/>
              </w:rPr>
              <w:t>KBCB</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E50488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1,256,193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8FA629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$9,075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8A6147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66D48D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$24,875 </w:t>
            </w:r>
          </w:p>
        </w:tc>
      </w:tr>
      <w:tr w14:paraId="26F86AD6"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BFD4753" w14:textId="77777777">
            <w:pPr>
              <w:widowControl/>
              <w:jc w:val="center"/>
              <w:rPr>
                <w:rFonts w:ascii="Calibri" w:hAnsi="Calibri" w:cs="Calibri"/>
                <w:snapToGrid/>
                <w:kern w:val="0"/>
                <w:szCs w:val="22"/>
              </w:rPr>
            </w:pPr>
            <w:r w:rsidRPr="00A032ED">
              <w:rPr>
                <w:rFonts w:ascii="Calibri" w:hAnsi="Calibri" w:cs="Calibri"/>
                <w:snapToGrid/>
                <w:kern w:val="0"/>
                <w:szCs w:val="22"/>
              </w:rPr>
              <w:t>KAKE</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EA5F7E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803,937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024D82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$5,808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08410B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58285E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$9,679 </w:t>
            </w:r>
          </w:p>
        </w:tc>
        <w:tc>
          <w:tcPr>
            <w:tcW w:w="266" w:type="dxa"/>
            <w:tcBorders>
              <w:top w:val="nil"/>
              <w:left w:val="nil"/>
              <w:bottom w:val="nil"/>
              <w:right w:val="nil"/>
            </w:tcBorders>
            <w:shd w:val="clear" w:color="auto" w:fill="auto"/>
            <w:noWrap/>
            <w:vAlign w:val="bottom"/>
            <w:hideMark/>
          </w:tcPr>
          <w:p w:rsidR="006F7AD6" w:rsidRPr="00A032ED" w:rsidP="00886011" w14:paraId="4B5738E5"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C2E8474" w14:textId="77777777">
            <w:pPr>
              <w:widowControl/>
              <w:jc w:val="center"/>
              <w:rPr>
                <w:rFonts w:ascii="Calibri" w:hAnsi="Calibri" w:cs="Calibri"/>
                <w:snapToGrid/>
                <w:kern w:val="0"/>
                <w:szCs w:val="22"/>
              </w:rPr>
            </w:pPr>
            <w:r w:rsidRPr="00A032ED">
              <w:rPr>
                <w:rFonts w:ascii="Calibri" w:hAnsi="Calibri" w:cs="Calibri"/>
                <w:snapToGrid/>
                <w:kern w:val="0"/>
                <w:szCs w:val="22"/>
              </w:rPr>
              <w:t>KBCW</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F9C391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8,020,424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748322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$57,943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7B8DE7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A3BE62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$55,971 </w:t>
            </w:r>
          </w:p>
        </w:tc>
      </w:tr>
      <w:tr w14:paraId="1A63CC06"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3276E55" w14:textId="77777777">
            <w:pPr>
              <w:widowControl/>
              <w:jc w:val="center"/>
              <w:rPr>
                <w:rFonts w:ascii="Calibri" w:hAnsi="Calibri" w:cs="Calibri"/>
                <w:snapToGrid/>
                <w:kern w:val="0"/>
                <w:szCs w:val="22"/>
              </w:rPr>
            </w:pPr>
            <w:r w:rsidRPr="00A032ED">
              <w:rPr>
                <w:rFonts w:ascii="Calibri" w:hAnsi="Calibri" w:cs="Calibri"/>
                <w:snapToGrid/>
                <w:kern w:val="0"/>
                <w:szCs w:val="22"/>
              </w:rPr>
              <w:t>KAKW-DT</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AC07D8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2,615,956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59BBAC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$18,899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258E98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804220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$23,024 </w:t>
            </w:r>
          </w:p>
        </w:tc>
        <w:tc>
          <w:tcPr>
            <w:tcW w:w="266" w:type="dxa"/>
            <w:tcBorders>
              <w:top w:val="nil"/>
              <w:left w:val="nil"/>
              <w:bottom w:val="nil"/>
              <w:right w:val="nil"/>
            </w:tcBorders>
            <w:shd w:val="clear" w:color="auto" w:fill="auto"/>
            <w:noWrap/>
            <w:vAlign w:val="bottom"/>
            <w:hideMark/>
          </w:tcPr>
          <w:p w:rsidR="006F7AD6" w:rsidRPr="00A032ED" w:rsidP="00886011" w14:paraId="019A7104"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CEE4D58" w14:textId="77777777">
            <w:pPr>
              <w:widowControl/>
              <w:jc w:val="center"/>
              <w:rPr>
                <w:rFonts w:ascii="Calibri" w:hAnsi="Calibri" w:cs="Calibri"/>
                <w:snapToGrid/>
                <w:kern w:val="0"/>
                <w:szCs w:val="22"/>
              </w:rPr>
            </w:pPr>
            <w:r w:rsidRPr="00A032ED">
              <w:rPr>
                <w:rFonts w:ascii="Calibri" w:hAnsi="Calibri" w:cs="Calibri"/>
                <w:snapToGrid/>
                <w:kern w:val="0"/>
                <w:szCs w:val="22"/>
              </w:rPr>
              <w:t>KBFD-DT</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D19E6D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953,207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5BA6C9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$6,886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BE5877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F89F40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$10,218 </w:t>
            </w:r>
          </w:p>
        </w:tc>
      </w:tr>
      <w:tr w14:paraId="54EA2D92"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196B210" w14:textId="77777777">
            <w:pPr>
              <w:widowControl/>
              <w:jc w:val="center"/>
              <w:rPr>
                <w:rFonts w:ascii="Calibri" w:hAnsi="Calibri" w:cs="Calibri"/>
                <w:snapToGrid/>
                <w:kern w:val="0"/>
                <w:szCs w:val="22"/>
              </w:rPr>
            </w:pPr>
            <w:r w:rsidRPr="00A032ED">
              <w:rPr>
                <w:rFonts w:ascii="Calibri" w:hAnsi="Calibri" w:cs="Calibri"/>
                <w:snapToGrid/>
                <w:kern w:val="0"/>
                <w:szCs w:val="22"/>
              </w:rPr>
              <w:t>KALB-TV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D39C5E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943,307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C6A5B0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$6,815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73309A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C060F5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$5,632 </w:t>
            </w:r>
          </w:p>
        </w:tc>
        <w:tc>
          <w:tcPr>
            <w:tcW w:w="266" w:type="dxa"/>
            <w:tcBorders>
              <w:top w:val="nil"/>
              <w:left w:val="nil"/>
              <w:bottom w:val="nil"/>
              <w:right w:val="nil"/>
            </w:tcBorders>
            <w:shd w:val="clear" w:color="auto" w:fill="auto"/>
            <w:noWrap/>
            <w:vAlign w:val="bottom"/>
            <w:hideMark/>
          </w:tcPr>
          <w:p w:rsidR="006F7AD6" w:rsidRPr="00A032ED" w:rsidP="00886011" w14:paraId="2F86E42E"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4EC8A4E" w14:textId="77777777">
            <w:pPr>
              <w:widowControl/>
              <w:jc w:val="center"/>
              <w:rPr>
                <w:rFonts w:ascii="Calibri" w:hAnsi="Calibri" w:cs="Calibri"/>
                <w:snapToGrid/>
                <w:kern w:val="0"/>
                <w:szCs w:val="22"/>
              </w:rPr>
            </w:pPr>
            <w:r w:rsidRPr="00A032ED">
              <w:rPr>
                <w:rFonts w:ascii="Calibri" w:hAnsi="Calibri" w:cs="Calibri"/>
                <w:snapToGrid/>
                <w:kern w:val="0"/>
                <w:szCs w:val="22"/>
              </w:rPr>
              <w:t>KBIM-TV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182CB1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205,701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1B7369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$1,486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CB6CA0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B72245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$14,318 </w:t>
            </w:r>
          </w:p>
        </w:tc>
      </w:tr>
      <w:tr w14:paraId="10D208F5"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6E32ACF" w14:textId="77777777">
            <w:pPr>
              <w:widowControl/>
              <w:jc w:val="center"/>
              <w:rPr>
                <w:rFonts w:ascii="Calibri" w:hAnsi="Calibri" w:cs="Calibri"/>
                <w:snapToGrid/>
                <w:kern w:val="0"/>
                <w:szCs w:val="22"/>
              </w:rPr>
            </w:pPr>
            <w:r w:rsidRPr="00A032ED">
              <w:rPr>
                <w:rFonts w:ascii="Calibri" w:hAnsi="Calibri" w:cs="Calibri"/>
                <w:snapToGrid/>
                <w:kern w:val="0"/>
                <w:szCs w:val="22"/>
              </w:rPr>
              <w:t>KALO</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3EE08D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948,683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DD5D81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$6,854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FCF450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D987F4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$10,202 </w:t>
            </w:r>
          </w:p>
        </w:tc>
        <w:tc>
          <w:tcPr>
            <w:tcW w:w="266" w:type="dxa"/>
            <w:tcBorders>
              <w:top w:val="nil"/>
              <w:left w:val="nil"/>
              <w:bottom w:val="nil"/>
              <w:right w:val="nil"/>
            </w:tcBorders>
            <w:shd w:val="clear" w:color="auto" w:fill="auto"/>
            <w:noWrap/>
            <w:vAlign w:val="bottom"/>
            <w:hideMark/>
          </w:tcPr>
          <w:p w:rsidR="006F7AD6" w:rsidRPr="00A032ED" w:rsidP="00886011" w14:paraId="1E5891AE"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6D9787B" w14:textId="77777777">
            <w:pPr>
              <w:widowControl/>
              <w:jc w:val="center"/>
              <w:rPr>
                <w:rFonts w:ascii="Calibri" w:hAnsi="Calibri" w:cs="Calibri"/>
                <w:snapToGrid/>
                <w:kern w:val="0"/>
                <w:szCs w:val="22"/>
              </w:rPr>
            </w:pPr>
            <w:r w:rsidRPr="00A032ED">
              <w:rPr>
                <w:rFonts w:ascii="Calibri" w:hAnsi="Calibri" w:cs="Calibri"/>
                <w:snapToGrid/>
                <w:kern w:val="0"/>
                <w:szCs w:val="22"/>
              </w:rPr>
              <w:t>KBJR-TV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FEFF05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275,585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2E3CB1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$1,991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7F20B0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B9D690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$3,220 </w:t>
            </w:r>
          </w:p>
        </w:tc>
      </w:tr>
      <w:tr w14:paraId="7DA502E3"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4AE5E77" w14:textId="77777777">
            <w:pPr>
              <w:widowControl/>
              <w:jc w:val="center"/>
              <w:rPr>
                <w:rFonts w:ascii="Calibri" w:hAnsi="Calibri" w:cs="Calibri"/>
                <w:snapToGrid/>
                <w:kern w:val="0"/>
                <w:szCs w:val="22"/>
              </w:rPr>
            </w:pPr>
            <w:r w:rsidRPr="00A032ED">
              <w:rPr>
                <w:rFonts w:ascii="Calibri" w:hAnsi="Calibri" w:cs="Calibri"/>
                <w:snapToGrid/>
                <w:kern w:val="0"/>
                <w:szCs w:val="22"/>
              </w:rPr>
              <w:t>KAMC</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06AF5A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391,526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25F4CF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$2,829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D18107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F3BBD2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$3,639 </w:t>
            </w:r>
          </w:p>
        </w:tc>
        <w:tc>
          <w:tcPr>
            <w:tcW w:w="266" w:type="dxa"/>
            <w:tcBorders>
              <w:top w:val="nil"/>
              <w:left w:val="nil"/>
              <w:bottom w:val="nil"/>
              <w:right w:val="nil"/>
            </w:tcBorders>
            <w:shd w:val="clear" w:color="auto" w:fill="auto"/>
            <w:noWrap/>
            <w:vAlign w:val="bottom"/>
            <w:hideMark/>
          </w:tcPr>
          <w:p w:rsidR="006F7AD6" w:rsidRPr="00A032ED" w:rsidP="00886011" w14:paraId="21D475E9"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EBC1EF8" w14:textId="77777777">
            <w:pPr>
              <w:widowControl/>
              <w:jc w:val="center"/>
              <w:rPr>
                <w:rFonts w:ascii="Calibri" w:hAnsi="Calibri" w:cs="Calibri"/>
                <w:snapToGrid/>
                <w:kern w:val="0"/>
                <w:szCs w:val="22"/>
              </w:rPr>
            </w:pPr>
            <w:r w:rsidRPr="00A032ED">
              <w:rPr>
                <w:rFonts w:ascii="Calibri" w:hAnsi="Calibri" w:cs="Calibri"/>
                <w:snapToGrid/>
                <w:kern w:val="0"/>
                <w:szCs w:val="22"/>
              </w:rPr>
              <w:t>KBLN-TV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1FCFA3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297,384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1170B6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$2,148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C1E6EC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68D814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$3,299 </w:t>
            </w:r>
          </w:p>
        </w:tc>
      </w:tr>
      <w:tr w14:paraId="4E59617F"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E6CC1F7" w14:textId="77777777">
            <w:pPr>
              <w:widowControl/>
              <w:jc w:val="center"/>
              <w:rPr>
                <w:rFonts w:ascii="Calibri" w:hAnsi="Calibri" w:cs="Calibri"/>
                <w:snapToGrid/>
                <w:kern w:val="0"/>
                <w:szCs w:val="22"/>
              </w:rPr>
            </w:pPr>
            <w:r w:rsidRPr="00A032ED">
              <w:rPr>
                <w:rFonts w:ascii="Calibri" w:hAnsi="Calibri" w:cs="Calibri"/>
                <w:snapToGrid/>
                <w:kern w:val="0"/>
                <w:szCs w:val="22"/>
              </w:rPr>
              <w:t>KAME-TV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D59F22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611,981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EAC933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$4,421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D97BFE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1A9D97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$4,436 </w:t>
            </w:r>
          </w:p>
        </w:tc>
        <w:tc>
          <w:tcPr>
            <w:tcW w:w="266" w:type="dxa"/>
            <w:tcBorders>
              <w:top w:val="nil"/>
              <w:left w:val="nil"/>
              <w:bottom w:val="nil"/>
              <w:right w:val="nil"/>
            </w:tcBorders>
            <w:shd w:val="clear" w:color="auto" w:fill="auto"/>
            <w:noWrap/>
            <w:vAlign w:val="bottom"/>
            <w:hideMark/>
          </w:tcPr>
          <w:p w:rsidR="006F7AD6" w:rsidRPr="00A032ED" w:rsidP="00886011" w14:paraId="5C093858"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8C3810D" w14:textId="77777777">
            <w:pPr>
              <w:widowControl/>
              <w:jc w:val="center"/>
              <w:rPr>
                <w:rFonts w:ascii="Calibri" w:hAnsi="Calibri" w:cs="Calibri"/>
                <w:snapToGrid/>
                <w:kern w:val="0"/>
                <w:szCs w:val="22"/>
              </w:rPr>
            </w:pPr>
            <w:r w:rsidRPr="00A032ED">
              <w:rPr>
                <w:rFonts w:ascii="Calibri" w:hAnsi="Calibri" w:cs="Calibri"/>
                <w:snapToGrid/>
                <w:kern w:val="0"/>
                <w:szCs w:val="22"/>
              </w:rPr>
              <w:t>KBLR</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F3ABDF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1,964,979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B95A7C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$14,196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753813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99042A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$20,673 </w:t>
            </w:r>
          </w:p>
        </w:tc>
      </w:tr>
      <w:tr w14:paraId="55E639EB"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5FE2FC2" w14:textId="77777777">
            <w:pPr>
              <w:widowControl/>
              <w:jc w:val="center"/>
              <w:rPr>
                <w:rFonts w:ascii="Calibri" w:hAnsi="Calibri" w:cs="Calibri"/>
                <w:snapToGrid/>
                <w:kern w:val="0"/>
                <w:szCs w:val="22"/>
              </w:rPr>
            </w:pPr>
            <w:r w:rsidRPr="00A032ED">
              <w:rPr>
                <w:rFonts w:ascii="Calibri" w:hAnsi="Calibri" w:cs="Calibri"/>
                <w:snapToGrid/>
                <w:kern w:val="0"/>
                <w:szCs w:val="22"/>
              </w:rPr>
              <w:t>KAMR-TV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37B118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366,476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35C18A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$2,648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F2B53E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C3EA17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$3,549 </w:t>
            </w:r>
          </w:p>
        </w:tc>
        <w:tc>
          <w:tcPr>
            <w:tcW w:w="266" w:type="dxa"/>
            <w:tcBorders>
              <w:top w:val="nil"/>
              <w:left w:val="nil"/>
              <w:bottom w:val="nil"/>
              <w:right w:val="nil"/>
            </w:tcBorders>
            <w:shd w:val="clear" w:color="auto" w:fill="auto"/>
            <w:noWrap/>
            <w:vAlign w:val="bottom"/>
            <w:hideMark/>
          </w:tcPr>
          <w:p w:rsidR="006F7AD6" w:rsidRPr="00A032ED" w:rsidP="00886011" w14:paraId="79C4C57D"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CD95143" w14:textId="77777777">
            <w:pPr>
              <w:widowControl/>
              <w:jc w:val="center"/>
              <w:rPr>
                <w:rFonts w:ascii="Calibri" w:hAnsi="Calibri" w:cs="Calibri"/>
                <w:snapToGrid/>
                <w:kern w:val="0"/>
                <w:szCs w:val="22"/>
              </w:rPr>
            </w:pPr>
            <w:r w:rsidRPr="00A032ED">
              <w:rPr>
                <w:rFonts w:ascii="Calibri" w:hAnsi="Calibri" w:cs="Calibri"/>
                <w:snapToGrid/>
                <w:kern w:val="0"/>
                <w:szCs w:val="22"/>
              </w:rPr>
              <w:t>KBMT</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80F2CC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743,009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935223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$5,368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66F392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3EF7EF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$4,909 </w:t>
            </w:r>
          </w:p>
        </w:tc>
      </w:tr>
      <w:tr w14:paraId="6B677E3E"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C48E00F" w14:textId="77777777">
            <w:pPr>
              <w:widowControl/>
              <w:jc w:val="center"/>
              <w:rPr>
                <w:rFonts w:ascii="Calibri" w:hAnsi="Calibri" w:cs="Calibri"/>
                <w:snapToGrid/>
                <w:kern w:val="0"/>
                <w:szCs w:val="22"/>
              </w:rPr>
            </w:pPr>
            <w:r w:rsidRPr="00A032ED">
              <w:rPr>
                <w:rFonts w:ascii="Calibri" w:hAnsi="Calibri" w:cs="Calibri"/>
                <w:snapToGrid/>
                <w:kern w:val="0"/>
                <w:szCs w:val="22"/>
              </w:rPr>
              <w:t>KAPP</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2C88AA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319,797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27CBFA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$2,310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6D0407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E4682F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$3,380 </w:t>
            </w:r>
          </w:p>
        </w:tc>
        <w:tc>
          <w:tcPr>
            <w:tcW w:w="266" w:type="dxa"/>
            <w:tcBorders>
              <w:top w:val="nil"/>
              <w:left w:val="nil"/>
              <w:bottom w:val="nil"/>
              <w:right w:val="nil"/>
            </w:tcBorders>
            <w:shd w:val="clear" w:color="auto" w:fill="auto"/>
            <w:noWrap/>
            <w:vAlign w:val="bottom"/>
            <w:hideMark/>
          </w:tcPr>
          <w:p w:rsidR="006F7AD6" w:rsidRPr="00A032ED" w:rsidP="00886011" w14:paraId="621B97FF"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7A2F00C" w14:textId="77777777">
            <w:pPr>
              <w:widowControl/>
              <w:jc w:val="center"/>
              <w:rPr>
                <w:rFonts w:ascii="Calibri" w:hAnsi="Calibri" w:cs="Calibri"/>
                <w:snapToGrid/>
                <w:kern w:val="0"/>
                <w:szCs w:val="22"/>
              </w:rPr>
            </w:pPr>
            <w:r w:rsidRPr="00A032ED">
              <w:rPr>
                <w:rFonts w:ascii="Calibri" w:hAnsi="Calibri" w:cs="Calibri"/>
                <w:snapToGrid/>
                <w:kern w:val="0"/>
                <w:szCs w:val="22"/>
              </w:rPr>
              <w:t>KBMY</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0DFD11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119,993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565BCF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$867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B10415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9A7F4C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$2,658 </w:t>
            </w:r>
          </w:p>
        </w:tc>
      </w:tr>
      <w:tr w14:paraId="6367265E"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C62F094" w14:textId="77777777">
            <w:pPr>
              <w:widowControl/>
              <w:jc w:val="center"/>
              <w:rPr>
                <w:rFonts w:ascii="Calibri" w:hAnsi="Calibri" w:cs="Calibri"/>
                <w:snapToGrid/>
                <w:kern w:val="0"/>
                <w:szCs w:val="22"/>
              </w:rPr>
            </w:pPr>
            <w:r w:rsidRPr="00A032ED">
              <w:rPr>
                <w:rFonts w:ascii="Calibri" w:hAnsi="Calibri" w:cs="Calibri"/>
                <w:snapToGrid/>
                <w:kern w:val="0"/>
                <w:szCs w:val="22"/>
              </w:rPr>
              <w:t>KARD</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AB458D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703,234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3C24DA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$5,080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0292BF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688CD7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$4,765 </w:t>
            </w:r>
          </w:p>
        </w:tc>
        <w:tc>
          <w:tcPr>
            <w:tcW w:w="266" w:type="dxa"/>
            <w:tcBorders>
              <w:top w:val="nil"/>
              <w:left w:val="nil"/>
              <w:bottom w:val="nil"/>
              <w:right w:val="nil"/>
            </w:tcBorders>
            <w:shd w:val="clear" w:color="auto" w:fill="auto"/>
            <w:noWrap/>
            <w:vAlign w:val="bottom"/>
            <w:hideMark/>
          </w:tcPr>
          <w:p w:rsidR="006F7AD6" w:rsidRPr="00A032ED" w:rsidP="00886011" w14:paraId="0940330B"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EF2EDCE" w14:textId="77777777">
            <w:pPr>
              <w:widowControl/>
              <w:jc w:val="center"/>
              <w:rPr>
                <w:rFonts w:ascii="Calibri" w:hAnsi="Calibri" w:cs="Calibri"/>
                <w:snapToGrid/>
                <w:kern w:val="0"/>
                <w:szCs w:val="22"/>
              </w:rPr>
            </w:pPr>
            <w:r w:rsidRPr="00A032ED">
              <w:rPr>
                <w:rFonts w:ascii="Calibri" w:hAnsi="Calibri" w:cs="Calibri"/>
                <w:snapToGrid/>
                <w:kern w:val="0"/>
                <w:szCs w:val="22"/>
              </w:rPr>
              <w:t>KBOI-TV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899FC9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716,754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67CC16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$5,178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B14EA0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C64002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$4,814 </w:t>
            </w:r>
          </w:p>
        </w:tc>
      </w:tr>
      <w:tr w14:paraId="104DD457"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737DF8F" w14:textId="77777777">
            <w:pPr>
              <w:widowControl/>
              <w:jc w:val="center"/>
              <w:rPr>
                <w:rFonts w:ascii="Calibri" w:hAnsi="Calibri" w:cs="Calibri"/>
                <w:snapToGrid/>
                <w:kern w:val="0"/>
                <w:szCs w:val="22"/>
              </w:rPr>
            </w:pPr>
            <w:r w:rsidRPr="00A032ED">
              <w:rPr>
                <w:rFonts w:ascii="Calibri" w:hAnsi="Calibri" w:cs="Calibri"/>
                <w:snapToGrid/>
                <w:kern w:val="0"/>
                <w:szCs w:val="22"/>
              </w:rPr>
              <w:t>KARE</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5882AA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3,924,944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3D8D08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$28,355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FC4F46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1E01A9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$34,515 </w:t>
            </w:r>
          </w:p>
        </w:tc>
        <w:tc>
          <w:tcPr>
            <w:tcW w:w="266" w:type="dxa"/>
            <w:tcBorders>
              <w:top w:val="nil"/>
              <w:left w:val="nil"/>
              <w:bottom w:val="nil"/>
              <w:right w:val="nil"/>
            </w:tcBorders>
            <w:shd w:val="clear" w:color="auto" w:fill="auto"/>
            <w:noWrap/>
            <w:vAlign w:val="bottom"/>
            <w:hideMark/>
          </w:tcPr>
          <w:p w:rsidR="006F7AD6" w:rsidRPr="00A032ED" w:rsidP="00886011" w14:paraId="0D67BA51"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F636B26" w14:textId="77777777">
            <w:pPr>
              <w:widowControl/>
              <w:jc w:val="center"/>
              <w:rPr>
                <w:rFonts w:ascii="Calibri" w:hAnsi="Calibri" w:cs="Calibri"/>
                <w:snapToGrid/>
                <w:kern w:val="0"/>
                <w:szCs w:val="22"/>
              </w:rPr>
            </w:pPr>
            <w:r w:rsidRPr="00A032ED">
              <w:rPr>
                <w:rFonts w:ascii="Calibri" w:hAnsi="Calibri" w:cs="Calibri"/>
                <w:snapToGrid/>
                <w:kern w:val="0"/>
                <w:szCs w:val="22"/>
              </w:rPr>
              <w:t>KBRR</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4128AB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149,869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660564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$1,083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8DA22A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36F4F9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$2,766 </w:t>
            </w:r>
          </w:p>
        </w:tc>
      </w:tr>
      <w:tr w14:paraId="2D3A56CA"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4D7B7CB" w14:textId="77777777">
            <w:pPr>
              <w:widowControl/>
              <w:jc w:val="center"/>
              <w:rPr>
                <w:rFonts w:ascii="Calibri" w:hAnsi="Calibri" w:cs="Calibri"/>
                <w:snapToGrid/>
                <w:kern w:val="0"/>
                <w:szCs w:val="22"/>
              </w:rPr>
            </w:pPr>
            <w:r w:rsidRPr="00A032ED">
              <w:rPr>
                <w:rFonts w:ascii="Calibri" w:hAnsi="Calibri" w:cs="Calibri"/>
                <w:snapToGrid/>
                <w:kern w:val="0"/>
                <w:szCs w:val="22"/>
              </w:rPr>
              <w:t>KARK-TV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2B2A45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1,212,038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A575CE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$8,756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4948FD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260121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$11,153 </w:t>
            </w:r>
          </w:p>
        </w:tc>
        <w:tc>
          <w:tcPr>
            <w:tcW w:w="266" w:type="dxa"/>
            <w:tcBorders>
              <w:top w:val="nil"/>
              <w:left w:val="nil"/>
              <w:bottom w:val="nil"/>
              <w:right w:val="nil"/>
            </w:tcBorders>
            <w:shd w:val="clear" w:color="auto" w:fill="auto"/>
            <w:noWrap/>
            <w:vAlign w:val="bottom"/>
            <w:hideMark/>
          </w:tcPr>
          <w:p w:rsidR="006F7AD6" w:rsidRPr="00A032ED" w:rsidP="00886011" w14:paraId="1AA2B90D"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FA1E024" w14:textId="77777777">
            <w:pPr>
              <w:widowControl/>
              <w:jc w:val="center"/>
              <w:rPr>
                <w:rFonts w:ascii="Calibri" w:hAnsi="Calibri" w:cs="Calibri"/>
                <w:snapToGrid/>
                <w:kern w:val="0"/>
                <w:szCs w:val="22"/>
              </w:rPr>
            </w:pPr>
            <w:r w:rsidRPr="00A032ED">
              <w:rPr>
                <w:rFonts w:ascii="Calibri" w:hAnsi="Calibri" w:cs="Calibri"/>
                <w:snapToGrid/>
                <w:kern w:val="0"/>
                <w:szCs w:val="22"/>
              </w:rPr>
              <w:t>KBSD-DT</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020BCA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155,012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2F29BB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$1,120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04C08F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0014ED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$7,335 </w:t>
            </w:r>
          </w:p>
        </w:tc>
      </w:tr>
      <w:tr w14:paraId="7890F650"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2203E34" w14:textId="77777777">
            <w:pPr>
              <w:widowControl/>
              <w:jc w:val="center"/>
              <w:rPr>
                <w:rFonts w:ascii="Calibri" w:hAnsi="Calibri" w:cs="Calibri"/>
                <w:snapToGrid/>
                <w:kern w:val="0"/>
                <w:szCs w:val="22"/>
              </w:rPr>
            </w:pPr>
            <w:r w:rsidRPr="00A032ED">
              <w:rPr>
                <w:rFonts w:ascii="Calibri" w:hAnsi="Calibri" w:cs="Calibri"/>
                <w:snapToGrid/>
                <w:kern w:val="0"/>
                <w:szCs w:val="22"/>
              </w:rPr>
              <w:t>KARZ-TV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9FF1AE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1,186,579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AB894E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$8,572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634E1C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5C60E7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$11,061 </w:t>
            </w:r>
          </w:p>
        </w:tc>
        <w:tc>
          <w:tcPr>
            <w:tcW w:w="266" w:type="dxa"/>
            <w:tcBorders>
              <w:top w:val="nil"/>
              <w:left w:val="nil"/>
              <w:bottom w:val="nil"/>
              <w:right w:val="nil"/>
            </w:tcBorders>
            <w:shd w:val="clear" w:color="auto" w:fill="auto"/>
            <w:noWrap/>
            <w:vAlign w:val="bottom"/>
            <w:hideMark/>
          </w:tcPr>
          <w:p w:rsidR="006F7AD6" w:rsidRPr="00A032ED" w:rsidP="00886011" w14:paraId="4A25EB82"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BC8B2DE" w14:textId="77777777">
            <w:pPr>
              <w:widowControl/>
              <w:jc w:val="center"/>
              <w:rPr>
                <w:rFonts w:ascii="Calibri" w:hAnsi="Calibri" w:cs="Calibri"/>
                <w:snapToGrid/>
                <w:kern w:val="0"/>
                <w:szCs w:val="22"/>
              </w:rPr>
            </w:pPr>
            <w:r w:rsidRPr="00A032ED">
              <w:rPr>
                <w:rFonts w:ascii="Calibri" w:hAnsi="Calibri" w:cs="Calibri"/>
                <w:snapToGrid/>
                <w:kern w:val="0"/>
                <w:szCs w:val="22"/>
              </w:rPr>
              <w:t>KBSH-DT</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D82C3E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102,781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CA2DCF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$743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F0404A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834B1A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$7,146 </w:t>
            </w:r>
          </w:p>
        </w:tc>
      </w:tr>
      <w:tr w14:paraId="451C8017"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C464B4D" w14:textId="77777777">
            <w:pPr>
              <w:widowControl/>
              <w:jc w:val="center"/>
              <w:rPr>
                <w:rFonts w:ascii="Calibri" w:hAnsi="Calibri" w:cs="Calibri"/>
                <w:snapToGrid/>
                <w:kern w:val="0"/>
                <w:szCs w:val="22"/>
              </w:rPr>
            </w:pPr>
            <w:r w:rsidRPr="00A032ED">
              <w:rPr>
                <w:rFonts w:ascii="Calibri" w:hAnsi="Calibri" w:cs="Calibri"/>
                <w:snapToGrid/>
                <w:kern w:val="0"/>
                <w:szCs w:val="22"/>
              </w:rPr>
              <w:t>KASA-TV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FC3CD1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1,161,789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59F0E5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$8,393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1F71C6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009061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$17,772 </w:t>
            </w:r>
          </w:p>
        </w:tc>
        <w:tc>
          <w:tcPr>
            <w:tcW w:w="266" w:type="dxa"/>
            <w:tcBorders>
              <w:top w:val="nil"/>
              <w:left w:val="nil"/>
              <w:bottom w:val="nil"/>
              <w:right w:val="nil"/>
            </w:tcBorders>
            <w:shd w:val="clear" w:color="auto" w:fill="auto"/>
            <w:noWrap/>
            <w:vAlign w:val="bottom"/>
            <w:hideMark/>
          </w:tcPr>
          <w:p w:rsidR="006F7AD6" w:rsidRPr="00A032ED" w:rsidP="00886011" w14:paraId="653A76A4"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EE661D3" w14:textId="77777777">
            <w:pPr>
              <w:widowControl/>
              <w:jc w:val="center"/>
              <w:rPr>
                <w:rFonts w:ascii="Calibri" w:hAnsi="Calibri" w:cs="Calibri"/>
                <w:snapToGrid/>
                <w:kern w:val="0"/>
                <w:szCs w:val="22"/>
              </w:rPr>
            </w:pPr>
            <w:r w:rsidRPr="00A032ED">
              <w:rPr>
                <w:rFonts w:ascii="Calibri" w:hAnsi="Calibri" w:cs="Calibri"/>
                <w:snapToGrid/>
                <w:kern w:val="0"/>
                <w:szCs w:val="22"/>
              </w:rPr>
              <w:t>KBSI</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74392E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752,366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666703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$5,435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2EAF95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B6B796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$9,493 </w:t>
            </w:r>
          </w:p>
        </w:tc>
      </w:tr>
      <w:tr w14:paraId="592320BA"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16AC3E0" w14:textId="77777777">
            <w:pPr>
              <w:widowControl/>
              <w:jc w:val="center"/>
              <w:rPr>
                <w:rFonts w:ascii="Calibri" w:hAnsi="Calibri" w:cs="Calibri"/>
                <w:snapToGrid/>
                <w:kern w:val="0"/>
                <w:szCs w:val="22"/>
              </w:rPr>
            </w:pPr>
            <w:r w:rsidRPr="00A032ED">
              <w:rPr>
                <w:rFonts w:ascii="Calibri" w:hAnsi="Calibri" w:cs="Calibri"/>
                <w:snapToGrid/>
                <w:kern w:val="0"/>
                <w:szCs w:val="22"/>
              </w:rPr>
              <w:t>KASN</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7E95A3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1,117,403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E35E05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$8,073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3EC61F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E76297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$10,811 </w:t>
            </w:r>
          </w:p>
        </w:tc>
        <w:tc>
          <w:tcPr>
            <w:tcW w:w="266" w:type="dxa"/>
            <w:tcBorders>
              <w:top w:val="nil"/>
              <w:left w:val="nil"/>
              <w:bottom w:val="nil"/>
              <w:right w:val="nil"/>
            </w:tcBorders>
            <w:shd w:val="clear" w:color="auto" w:fill="auto"/>
            <w:noWrap/>
            <w:vAlign w:val="bottom"/>
            <w:hideMark/>
          </w:tcPr>
          <w:p w:rsidR="006F7AD6" w:rsidRPr="00A032ED" w:rsidP="00886011" w14:paraId="662104E1"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BC51F5B" w14:textId="77777777">
            <w:pPr>
              <w:widowControl/>
              <w:jc w:val="center"/>
              <w:rPr>
                <w:rFonts w:ascii="Calibri" w:hAnsi="Calibri" w:cs="Calibri"/>
                <w:snapToGrid/>
                <w:kern w:val="0"/>
                <w:szCs w:val="22"/>
              </w:rPr>
            </w:pPr>
            <w:r w:rsidRPr="00A032ED">
              <w:rPr>
                <w:rFonts w:ascii="Calibri" w:hAnsi="Calibri" w:cs="Calibri"/>
                <w:snapToGrid/>
                <w:kern w:val="0"/>
                <w:szCs w:val="22"/>
              </w:rPr>
              <w:t>KBSL-DT</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450A3F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49,814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4AE7C7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$360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4E9BD5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610AF5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$6,955 </w:t>
            </w:r>
          </w:p>
        </w:tc>
      </w:tr>
      <w:tr w14:paraId="29F923F1"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3AB5909" w14:textId="77777777">
            <w:pPr>
              <w:widowControl/>
              <w:jc w:val="center"/>
              <w:rPr>
                <w:rFonts w:ascii="Calibri" w:hAnsi="Calibri" w:cs="Calibri"/>
                <w:snapToGrid/>
                <w:kern w:val="0"/>
                <w:szCs w:val="22"/>
              </w:rPr>
            </w:pPr>
            <w:r w:rsidRPr="00A032ED">
              <w:rPr>
                <w:rFonts w:ascii="Calibri" w:hAnsi="Calibri" w:cs="Calibri"/>
                <w:snapToGrid/>
                <w:kern w:val="0"/>
                <w:szCs w:val="22"/>
              </w:rPr>
              <w:t>KASW</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F83837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4,170,505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35733D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$30,129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36D71A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8AD579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$35,402 </w:t>
            </w:r>
          </w:p>
        </w:tc>
        <w:tc>
          <w:tcPr>
            <w:tcW w:w="266" w:type="dxa"/>
            <w:tcBorders>
              <w:top w:val="nil"/>
              <w:left w:val="nil"/>
              <w:bottom w:val="nil"/>
              <w:right w:val="nil"/>
            </w:tcBorders>
            <w:shd w:val="clear" w:color="auto" w:fill="auto"/>
            <w:noWrap/>
            <w:vAlign w:val="bottom"/>
            <w:hideMark/>
          </w:tcPr>
          <w:p w:rsidR="006F7AD6" w:rsidRPr="00A032ED" w:rsidP="00886011" w14:paraId="0D0588AF"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85952BB" w14:textId="77777777">
            <w:pPr>
              <w:widowControl/>
              <w:jc w:val="center"/>
              <w:rPr>
                <w:rFonts w:ascii="Calibri" w:hAnsi="Calibri" w:cs="Calibri"/>
                <w:snapToGrid/>
                <w:kern w:val="0"/>
                <w:szCs w:val="22"/>
              </w:rPr>
            </w:pPr>
            <w:r w:rsidRPr="00A032ED">
              <w:rPr>
                <w:rFonts w:ascii="Calibri" w:hAnsi="Calibri" w:cs="Calibri"/>
                <w:snapToGrid/>
                <w:kern w:val="0"/>
                <w:szCs w:val="22"/>
              </w:rPr>
              <w:t>KBSV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5C7896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1,352,166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2EF1A7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$9,769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9D7569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520E4E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$25,222 </w:t>
            </w:r>
          </w:p>
        </w:tc>
      </w:tr>
      <w:tr w14:paraId="42CE4804"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5E4A1BA" w14:textId="77777777">
            <w:pPr>
              <w:widowControl/>
              <w:jc w:val="center"/>
              <w:rPr>
                <w:rFonts w:ascii="Calibri" w:hAnsi="Calibri" w:cs="Calibri"/>
                <w:snapToGrid/>
                <w:kern w:val="0"/>
                <w:szCs w:val="22"/>
              </w:rPr>
            </w:pPr>
            <w:r w:rsidRPr="00A032ED">
              <w:rPr>
                <w:rFonts w:ascii="Calibri" w:hAnsi="Calibri" w:cs="Calibri"/>
                <w:snapToGrid/>
                <w:kern w:val="0"/>
                <w:szCs w:val="22"/>
              </w:rPr>
              <w:t>KASY-TV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F1D39D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1,140,916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F4165D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$8,242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AEDD14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082BCF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$17,696 </w:t>
            </w:r>
          </w:p>
        </w:tc>
        <w:tc>
          <w:tcPr>
            <w:tcW w:w="266" w:type="dxa"/>
            <w:tcBorders>
              <w:top w:val="nil"/>
              <w:left w:val="nil"/>
              <w:bottom w:val="nil"/>
              <w:right w:val="nil"/>
            </w:tcBorders>
            <w:shd w:val="clear" w:color="auto" w:fill="auto"/>
            <w:noWrap/>
            <w:vAlign w:val="bottom"/>
            <w:hideMark/>
          </w:tcPr>
          <w:p w:rsidR="006F7AD6" w:rsidRPr="00A032ED" w:rsidP="00886011" w14:paraId="7298AC8B"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62035A6" w14:textId="77777777">
            <w:pPr>
              <w:widowControl/>
              <w:jc w:val="center"/>
              <w:rPr>
                <w:rFonts w:ascii="Calibri" w:hAnsi="Calibri" w:cs="Calibri"/>
                <w:snapToGrid/>
                <w:kern w:val="0"/>
                <w:szCs w:val="22"/>
              </w:rPr>
            </w:pPr>
            <w:r w:rsidRPr="00A032ED">
              <w:rPr>
                <w:rFonts w:ascii="Calibri" w:hAnsi="Calibri" w:cs="Calibri"/>
                <w:snapToGrid/>
                <w:kern w:val="0"/>
                <w:szCs w:val="22"/>
              </w:rPr>
              <w:t>KBTV-TV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CB7038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734,008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40F7DA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$5,303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15361D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6DCE1C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$4,876 </w:t>
            </w:r>
          </w:p>
        </w:tc>
      </w:tr>
      <w:tr w14:paraId="6CD18C9B"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EAD882F" w14:textId="77777777">
            <w:pPr>
              <w:widowControl/>
              <w:jc w:val="center"/>
              <w:rPr>
                <w:rFonts w:ascii="Calibri" w:hAnsi="Calibri" w:cs="Calibri"/>
                <w:snapToGrid/>
                <w:kern w:val="0"/>
                <w:szCs w:val="22"/>
              </w:rPr>
            </w:pPr>
            <w:r w:rsidRPr="00A032ED">
              <w:rPr>
                <w:rFonts w:ascii="Calibri" w:hAnsi="Calibri" w:cs="Calibri"/>
                <w:snapToGrid/>
                <w:kern w:val="0"/>
                <w:szCs w:val="22"/>
              </w:rPr>
              <w:t>KATC</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24E5EE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1,348,897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39B5FB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$9,745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AB3D83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07B26E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$7,097 </w:t>
            </w:r>
          </w:p>
        </w:tc>
        <w:tc>
          <w:tcPr>
            <w:tcW w:w="266" w:type="dxa"/>
            <w:tcBorders>
              <w:top w:val="nil"/>
              <w:left w:val="nil"/>
              <w:bottom w:val="nil"/>
              <w:right w:val="nil"/>
            </w:tcBorders>
            <w:shd w:val="clear" w:color="auto" w:fill="auto"/>
            <w:noWrap/>
            <w:vAlign w:val="bottom"/>
            <w:hideMark/>
          </w:tcPr>
          <w:p w:rsidR="006F7AD6" w:rsidRPr="00A032ED" w:rsidP="00886011" w14:paraId="1F8F383E"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46D6655" w14:textId="77777777">
            <w:pPr>
              <w:widowControl/>
              <w:jc w:val="center"/>
              <w:rPr>
                <w:rFonts w:ascii="Calibri" w:hAnsi="Calibri" w:cs="Calibri"/>
                <w:snapToGrid/>
                <w:kern w:val="0"/>
                <w:szCs w:val="22"/>
              </w:rPr>
            </w:pPr>
            <w:r w:rsidRPr="00A032ED">
              <w:rPr>
                <w:rFonts w:ascii="Calibri" w:hAnsi="Calibri" w:cs="Calibri"/>
                <w:snapToGrid/>
                <w:kern w:val="0"/>
                <w:szCs w:val="22"/>
              </w:rPr>
              <w:t>KBTX-TV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3FBB37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4,048,516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A213F0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$29,248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87C35C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028EB2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$21,399 </w:t>
            </w:r>
          </w:p>
        </w:tc>
      </w:tr>
      <w:tr w14:paraId="267B3B0C"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E0C0FEB" w14:textId="77777777">
            <w:pPr>
              <w:widowControl/>
              <w:jc w:val="center"/>
              <w:rPr>
                <w:rFonts w:ascii="Calibri" w:hAnsi="Calibri" w:cs="Calibri"/>
                <w:snapToGrid/>
                <w:kern w:val="0"/>
                <w:szCs w:val="22"/>
              </w:rPr>
            </w:pPr>
            <w:r w:rsidRPr="00A032ED">
              <w:rPr>
                <w:rFonts w:ascii="Calibri" w:hAnsi="Calibri" w:cs="Calibri"/>
                <w:snapToGrid/>
                <w:kern w:val="0"/>
                <w:szCs w:val="22"/>
              </w:rPr>
              <w:t>KATN</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FCB7CB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97,466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C7C6A3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$704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C03DC5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B296C3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$2,577 </w:t>
            </w:r>
          </w:p>
        </w:tc>
        <w:tc>
          <w:tcPr>
            <w:tcW w:w="266" w:type="dxa"/>
            <w:tcBorders>
              <w:top w:val="nil"/>
              <w:left w:val="nil"/>
              <w:bottom w:val="nil"/>
              <w:right w:val="nil"/>
            </w:tcBorders>
            <w:shd w:val="clear" w:color="auto" w:fill="auto"/>
            <w:noWrap/>
            <w:vAlign w:val="bottom"/>
            <w:hideMark/>
          </w:tcPr>
          <w:p w:rsidR="006F7AD6" w:rsidRPr="00A032ED" w:rsidP="00886011" w14:paraId="3F288B9D"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180CA86" w14:textId="77777777">
            <w:pPr>
              <w:widowControl/>
              <w:jc w:val="center"/>
              <w:rPr>
                <w:rFonts w:ascii="Calibri" w:hAnsi="Calibri" w:cs="Calibri"/>
                <w:snapToGrid/>
                <w:kern w:val="0"/>
                <w:szCs w:val="22"/>
              </w:rPr>
            </w:pPr>
            <w:r w:rsidRPr="00A032ED">
              <w:rPr>
                <w:rFonts w:ascii="Calibri" w:hAnsi="Calibri" w:cs="Calibri"/>
                <w:snapToGrid/>
                <w:kern w:val="0"/>
                <w:szCs w:val="22"/>
              </w:rPr>
              <w:t>KBVO</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4E62AE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1,498,015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D08D0E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$10,822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643513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F8E706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$18,986 </w:t>
            </w:r>
          </w:p>
        </w:tc>
      </w:tr>
      <w:tr w14:paraId="550F0E3D"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094F919" w14:textId="77777777">
            <w:pPr>
              <w:widowControl/>
              <w:jc w:val="center"/>
              <w:rPr>
                <w:rFonts w:ascii="Calibri" w:hAnsi="Calibri" w:cs="Calibri"/>
                <w:snapToGrid/>
                <w:kern w:val="0"/>
                <w:szCs w:val="22"/>
              </w:rPr>
            </w:pPr>
            <w:r w:rsidRPr="00A032ED">
              <w:rPr>
                <w:rFonts w:ascii="Calibri" w:hAnsi="Calibri" w:cs="Calibri"/>
                <w:snapToGrid/>
                <w:kern w:val="0"/>
                <w:szCs w:val="22"/>
              </w:rPr>
              <w:t>KATU</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E2527B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2,978,043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270BBE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$21,514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9E6018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7D6A6F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$31,095 </w:t>
            </w:r>
          </w:p>
        </w:tc>
        <w:tc>
          <w:tcPr>
            <w:tcW w:w="266" w:type="dxa"/>
            <w:tcBorders>
              <w:top w:val="nil"/>
              <w:left w:val="nil"/>
              <w:bottom w:val="nil"/>
              <w:right w:val="nil"/>
            </w:tcBorders>
            <w:shd w:val="clear" w:color="auto" w:fill="auto"/>
            <w:noWrap/>
            <w:vAlign w:val="bottom"/>
            <w:hideMark/>
          </w:tcPr>
          <w:p w:rsidR="006F7AD6" w:rsidRPr="00A032ED" w:rsidP="00886011" w14:paraId="10D01E4F"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B27889B" w14:textId="77777777">
            <w:pPr>
              <w:widowControl/>
              <w:jc w:val="center"/>
              <w:rPr>
                <w:rFonts w:ascii="Calibri" w:hAnsi="Calibri" w:cs="Calibri"/>
                <w:snapToGrid/>
                <w:kern w:val="0"/>
                <w:szCs w:val="22"/>
              </w:rPr>
            </w:pPr>
            <w:r w:rsidRPr="00A032ED">
              <w:rPr>
                <w:rFonts w:ascii="Calibri" w:hAnsi="Calibri" w:cs="Calibri"/>
                <w:snapToGrid/>
                <w:kern w:val="0"/>
                <w:szCs w:val="22"/>
              </w:rPr>
              <w:t>KBVU</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6B055D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135,249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5DAB19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$977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1DAB69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E9B40B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$2,714 </w:t>
            </w:r>
          </w:p>
        </w:tc>
      </w:tr>
      <w:tr w14:paraId="33193814"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DA21EF0" w14:textId="77777777">
            <w:pPr>
              <w:widowControl/>
              <w:jc w:val="center"/>
              <w:rPr>
                <w:rFonts w:ascii="Calibri" w:hAnsi="Calibri" w:cs="Calibri"/>
                <w:snapToGrid/>
                <w:kern w:val="0"/>
                <w:szCs w:val="22"/>
              </w:rPr>
            </w:pPr>
            <w:r w:rsidRPr="00A032ED">
              <w:rPr>
                <w:rFonts w:ascii="Calibri" w:hAnsi="Calibri" w:cs="Calibri"/>
                <w:snapToGrid/>
                <w:kern w:val="0"/>
                <w:szCs w:val="22"/>
              </w:rPr>
              <w:t>KATV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F89C2C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1,257,777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302A4E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$9,087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77D5D3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F6D769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$11,318 </w:t>
            </w:r>
          </w:p>
        </w:tc>
        <w:tc>
          <w:tcPr>
            <w:tcW w:w="266" w:type="dxa"/>
            <w:tcBorders>
              <w:top w:val="nil"/>
              <w:left w:val="nil"/>
              <w:bottom w:val="nil"/>
              <w:right w:val="nil"/>
            </w:tcBorders>
            <w:shd w:val="clear" w:color="auto" w:fill="auto"/>
            <w:noWrap/>
            <w:vAlign w:val="bottom"/>
            <w:hideMark/>
          </w:tcPr>
          <w:p w:rsidR="006F7AD6" w:rsidRPr="00A032ED" w:rsidP="00886011" w14:paraId="556AA158"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6BC92CB" w14:textId="77777777">
            <w:pPr>
              <w:widowControl/>
              <w:jc w:val="center"/>
              <w:rPr>
                <w:rFonts w:ascii="Calibri" w:hAnsi="Calibri" w:cs="Calibri"/>
                <w:snapToGrid/>
                <w:kern w:val="0"/>
                <w:szCs w:val="22"/>
              </w:rPr>
            </w:pPr>
            <w:r w:rsidRPr="00A032ED">
              <w:rPr>
                <w:rFonts w:ascii="Calibri" w:hAnsi="Calibri" w:cs="Calibri"/>
                <w:snapToGrid/>
                <w:kern w:val="0"/>
                <w:szCs w:val="22"/>
              </w:rPr>
              <w:t>KBZK</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B58702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116,485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AD4670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$842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18275D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4EF158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$2,646 </w:t>
            </w:r>
          </w:p>
        </w:tc>
      </w:tr>
      <w:tr w14:paraId="6F91BECB"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98929E9" w14:textId="77777777">
            <w:pPr>
              <w:widowControl/>
              <w:jc w:val="center"/>
              <w:rPr>
                <w:rFonts w:ascii="Calibri" w:hAnsi="Calibri" w:cs="Calibri"/>
                <w:snapToGrid/>
                <w:kern w:val="0"/>
                <w:szCs w:val="22"/>
              </w:rPr>
            </w:pPr>
            <w:r w:rsidRPr="00A032ED">
              <w:rPr>
                <w:rFonts w:ascii="Calibri" w:hAnsi="Calibri" w:cs="Calibri"/>
                <w:snapToGrid/>
                <w:kern w:val="0"/>
                <w:szCs w:val="22"/>
              </w:rPr>
              <w:t>KCBD</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E19B6E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414,804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B8A549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$2,997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4DB35A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8A67F5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$3,723 </w:t>
            </w:r>
          </w:p>
        </w:tc>
        <w:tc>
          <w:tcPr>
            <w:tcW w:w="266" w:type="dxa"/>
            <w:tcBorders>
              <w:top w:val="nil"/>
              <w:left w:val="nil"/>
              <w:bottom w:val="nil"/>
              <w:right w:val="nil"/>
            </w:tcBorders>
            <w:shd w:val="clear" w:color="auto" w:fill="auto"/>
            <w:noWrap/>
            <w:vAlign w:val="bottom"/>
            <w:hideMark/>
          </w:tcPr>
          <w:p w:rsidR="006F7AD6" w:rsidRPr="00A032ED" w:rsidP="00886011" w14:paraId="666F27FB"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15DB50E" w14:textId="77777777">
            <w:pPr>
              <w:widowControl/>
              <w:jc w:val="center"/>
              <w:rPr>
                <w:rFonts w:ascii="Calibri" w:hAnsi="Calibri" w:cs="Calibri"/>
                <w:snapToGrid/>
                <w:kern w:val="0"/>
                <w:szCs w:val="22"/>
              </w:rPr>
            </w:pPr>
            <w:r w:rsidRPr="00A032ED">
              <w:rPr>
                <w:rFonts w:ascii="Calibri" w:hAnsi="Calibri" w:cs="Calibri"/>
                <w:snapToGrid/>
                <w:kern w:val="0"/>
                <w:szCs w:val="22"/>
              </w:rPr>
              <w:t>KCAL-TV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2F7B10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17,734,310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34E41D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$128,119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C3FA93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14BAF5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$91,060 </w:t>
            </w:r>
          </w:p>
        </w:tc>
      </w:tr>
      <w:tr w14:paraId="38256C93"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5516210" w14:textId="77777777">
            <w:pPr>
              <w:widowControl/>
              <w:jc w:val="center"/>
              <w:rPr>
                <w:rFonts w:ascii="Calibri" w:hAnsi="Calibri" w:cs="Calibri"/>
                <w:snapToGrid/>
                <w:kern w:val="0"/>
                <w:szCs w:val="22"/>
              </w:rPr>
            </w:pPr>
            <w:r w:rsidRPr="00A032ED">
              <w:rPr>
                <w:rFonts w:ascii="Calibri" w:hAnsi="Calibri" w:cs="Calibri"/>
                <w:snapToGrid/>
                <w:kern w:val="0"/>
                <w:szCs w:val="22"/>
              </w:rPr>
              <w:t>KDKA-TV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E2BE47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3,611,796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4E79AB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$26,093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4274C4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2A5111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$33,384 </w:t>
            </w:r>
          </w:p>
        </w:tc>
        <w:tc>
          <w:tcPr>
            <w:tcW w:w="266" w:type="dxa"/>
            <w:tcBorders>
              <w:top w:val="nil"/>
              <w:left w:val="nil"/>
              <w:bottom w:val="nil"/>
              <w:right w:val="nil"/>
            </w:tcBorders>
            <w:shd w:val="clear" w:color="auto" w:fill="auto"/>
            <w:noWrap/>
            <w:vAlign w:val="bottom"/>
            <w:hideMark/>
          </w:tcPr>
          <w:p w:rsidR="006F7AD6" w:rsidRPr="00A032ED" w:rsidP="00886011" w14:paraId="118C562D"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FD2BB24" w14:textId="77777777">
            <w:pPr>
              <w:widowControl/>
              <w:jc w:val="center"/>
              <w:rPr>
                <w:rFonts w:ascii="Calibri" w:hAnsi="Calibri" w:cs="Calibri"/>
                <w:snapToGrid/>
                <w:kern w:val="0"/>
                <w:szCs w:val="22"/>
              </w:rPr>
            </w:pPr>
            <w:r w:rsidRPr="00A032ED">
              <w:rPr>
                <w:rFonts w:ascii="Calibri" w:hAnsi="Calibri" w:cs="Calibri"/>
                <w:snapToGrid/>
                <w:kern w:val="0"/>
                <w:szCs w:val="22"/>
              </w:rPr>
              <w:t>KCAU-TV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26226C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783,655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A774E5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$5,661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E04CDC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956F5E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$5,056 </w:t>
            </w:r>
          </w:p>
        </w:tc>
      </w:tr>
      <w:tr w14:paraId="4E2C3F22"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EC31753" w14:textId="77777777">
            <w:pPr>
              <w:widowControl/>
              <w:jc w:val="center"/>
              <w:rPr>
                <w:rFonts w:ascii="Calibri" w:hAnsi="Calibri" w:cs="Calibri"/>
                <w:snapToGrid/>
                <w:kern w:val="0"/>
                <w:szCs w:val="22"/>
              </w:rPr>
            </w:pPr>
            <w:r w:rsidRPr="00A032ED">
              <w:rPr>
                <w:rFonts w:ascii="Calibri" w:hAnsi="Calibri" w:cs="Calibri"/>
                <w:snapToGrid/>
                <w:kern w:val="0"/>
                <w:szCs w:val="22"/>
              </w:rPr>
              <w:t>KDKF</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D628F6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71,413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9249B3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$516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C627DF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98669F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$2,483 </w:t>
            </w:r>
          </w:p>
        </w:tc>
        <w:tc>
          <w:tcPr>
            <w:tcW w:w="266" w:type="dxa"/>
            <w:tcBorders>
              <w:top w:val="nil"/>
              <w:left w:val="nil"/>
              <w:bottom w:val="nil"/>
              <w:right w:val="nil"/>
            </w:tcBorders>
            <w:shd w:val="clear" w:color="auto" w:fill="auto"/>
            <w:noWrap/>
            <w:vAlign w:val="bottom"/>
            <w:hideMark/>
          </w:tcPr>
          <w:p w:rsidR="006F7AD6" w:rsidRPr="00A032ED" w:rsidP="00886011" w14:paraId="749C9D72"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7510165" w14:textId="77777777">
            <w:pPr>
              <w:widowControl/>
              <w:jc w:val="center"/>
              <w:rPr>
                <w:rFonts w:ascii="Calibri" w:hAnsi="Calibri" w:cs="Calibri"/>
                <w:snapToGrid/>
                <w:kern w:val="0"/>
                <w:szCs w:val="22"/>
              </w:rPr>
            </w:pPr>
            <w:r w:rsidRPr="00A032ED">
              <w:rPr>
                <w:rFonts w:ascii="Calibri" w:hAnsi="Calibri" w:cs="Calibri"/>
                <w:snapToGrid/>
                <w:kern w:val="0"/>
                <w:szCs w:val="22"/>
              </w:rPr>
              <w:t>KCBA</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9AF579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3,094,778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6BFCB7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$22,358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6EC7F7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9E415F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$13,404 </w:t>
            </w:r>
          </w:p>
        </w:tc>
      </w:tr>
      <w:tr w14:paraId="01D19D79"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27EEC59" w14:textId="77777777">
            <w:pPr>
              <w:widowControl/>
              <w:jc w:val="center"/>
              <w:rPr>
                <w:rFonts w:ascii="Calibri" w:hAnsi="Calibri" w:cs="Calibri"/>
                <w:snapToGrid/>
                <w:kern w:val="0"/>
                <w:szCs w:val="22"/>
              </w:rPr>
            </w:pPr>
            <w:r w:rsidRPr="00A032ED">
              <w:rPr>
                <w:rFonts w:ascii="Calibri" w:hAnsi="Calibri" w:cs="Calibri"/>
                <w:snapToGrid/>
                <w:kern w:val="0"/>
                <w:szCs w:val="22"/>
              </w:rPr>
              <w:t>KDLH</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A3DC28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263,422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E5BED9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$1,903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7B57C3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86B07B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$3,177 </w:t>
            </w:r>
          </w:p>
        </w:tc>
        <w:tc>
          <w:tcPr>
            <w:tcW w:w="266" w:type="dxa"/>
            <w:tcBorders>
              <w:top w:val="nil"/>
              <w:left w:val="nil"/>
              <w:bottom w:val="nil"/>
              <w:right w:val="nil"/>
            </w:tcBorders>
            <w:shd w:val="clear" w:color="auto" w:fill="auto"/>
            <w:noWrap/>
            <w:vAlign w:val="bottom"/>
            <w:hideMark/>
          </w:tcPr>
          <w:p w:rsidR="006F7AD6" w:rsidRPr="00A032ED" w:rsidP="00886011" w14:paraId="5D141175"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5EE99C2" w14:textId="77777777">
            <w:pPr>
              <w:widowControl/>
              <w:jc w:val="center"/>
              <w:rPr>
                <w:rFonts w:ascii="Calibri" w:hAnsi="Calibri" w:cs="Calibri"/>
                <w:snapToGrid/>
                <w:kern w:val="0"/>
                <w:szCs w:val="22"/>
              </w:rPr>
            </w:pPr>
            <w:r w:rsidRPr="00A032ED">
              <w:rPr>
                <w:rFonts w:ascii="Calibri" w:hAnsi="Calibri" w:cs="Calibri"/>
                <w:snapToGrid/>
                <w:kern w:val="0"/>
                <w:szCs w:val="22"/>
              </w:rPr>
              <w:t>KCBS-TV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D8D82A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17,595,935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8DA8FC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$127,120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3CA548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418ADD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$90,560 </w:t>
            </w:r>
          </w:p>
        </w:tc>
      </w:tr>
      <w:tr w14:paraId="4518F896"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192DD4F" w14:textId="77777777">
            <w:pPr>
              <w:widowControl/>
              <w:jc w:val="center"/>
              <w:rPr>
                <w:rFonts w:ascii="Calibri" w:hAnsi="Calibri" w:cs="Calibri"/>
                <w:snapToGrid/>
                <w:kern w:val="0"/>
                <w:szCs w:val="22"/>
              </w:rPr>
            </w:pPr>
            <w:r w:rsidRPr="00A032ED">
              <w:rPr>
                <w:rFonts w:ascii="Calibri" w:hAnsi="Calibri" w:cs="Calibri"/>
                <w:snapToGrid/>
                <w:kern w:val="0"/>
                <w:szCs w:val="22"/>
              </w:rPr>
              <w:t>KDLO-TV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A40FBF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208,354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A0E07A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$1,505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749110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91EEE3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$2,978 </w:t>
            </w:r>
          </w:p>
        </w:tc>
        <w:tc>
          <w:tcPr>
            <w:tcW w:w="266" w:type="dxa"/>
            <w:tcBorders>
              <w:top w:val="nil"/>
              <w:left w:val="nil"/>
              <w:bottom w:val="nil"/>
              <w:right w:val="nil"/>
            </w:tcBorders>
            <w:shd w:val="clear" w:color="auto" w:fill="auto"/>
            <w:noWrap/>
            <w:vAlign w:val="bottom"/>
            <w:hideMark/>
          </w:tcPr>
          <w:p w:rsidR="006F7AD6" w:rsidRPr="00A032ED" w:rsidP="00886011" w14:paraId="22A5A86C"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83AF50D" w14:textId="77777777">
            <w:pPr>
              <w:widowControl/>
              <w:jc w:val="center"/>
              <w:rPr>
                <w:rFonts w:ascii="Calibri" w:hAnsi="Calibri" w:cs="Calibri"/>
                <w:snapToGrid/>
                <w:kern w:val="0"/>
                <w:szCs w:val="22"/>
              </w:rPr>
            </w:pPr>
            <w:r w:rsidRPr="00A032ED">
              <w:rPr>
                <w:rFonts w:ascii="Calibri" w:hAnsi="Calibri" w:cs="Calibri"/>
                <w:snapToGrid/>
                <w:kern w:val="0"/>
                <w:szCs w:val="22"/>
              </w:rPr>
              <w:t>KCBY-TV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8D7C7F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89,156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91E48A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$644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9D73D2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151403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$2,547 </w:t>
            </w:r>
          </w:p>
        </w:tc>
      </w:tr>
      <w:tr w14:paraId="1F816334"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A056955" w14:textId="77777777">
            <w:pPr>
              <w:widowControl/>
              <w:jc w:val="center"/>
              <w:rPr>
                <w:rFonts w:ascii="Calibri" w:hAnsi="Calibri" w:cs="Calibri"/>
                <w:snapToGrid/>
                <w:kern w:val="0"/>
                <w:szCs w:val="22"/>
              </w:rPr>
            </w:pPr>
            <w:r w:rsidRPr="00A032ED">
              <w:rPr>
                <w:rFonts w:ascii="Calibri" w:hAnsi="Calibri" w:cs="Calibri"/>
                <w:snapToGrid/>
                <w:kern w:val="0"/>
                <w:szCs w:val="22"/>
              </w:rPr>
              <w:t>KDLT-TV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CA6CFB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645,391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67BD0F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$4,663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70D393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1592C3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$4,556 </w:t>
            </w:r>
          </w:p>
        </w:tc>
        <w:tc>
          <w:tcPr>
            <w:tcW w:w="266" w:type="dxa"/>
            <w:tcBorders>
              <w:top w:val="nil"/>
              <w:left w:val="nil"/>
              <w:bottom w:val="nil"/>
              <w:right w:val="nil"/>
            </w:tcBorders>
            <w:shd w:val="clear" w:color="auto" w:fill="auto"/>
            <w:noWrap/>
            <w:vAlign w:val="bottom"/>
            <w:hideMark/>
          </w:tcPr>
          <w:p w:rsidR="006F7AD6" w:rsidRPr="00A032ED" w:rsidP="00886011" w14:paraId="5501A154"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A96F693" w14:textId="77777777">
            <w:pPr>
              <w:widowControl/>
              <w:jc w:val="center"/>
              <w:rPr>
                <w:rFonts w:ascii="Calibri" w:hAnsi="Calibri" w:cs="Calibri"/>
                <w:snapToGrid/>
                <w:kern w:val="0"/>
                <w:szCs w:val="22"/>
              </w:rPr>
            </w:pPr>
            <w:r w:rsidRPr="00A032ED">
              <w:rPr>
                <w:rFonts w:ascii="Calibri" w:hAnsi="Calibri" w:cs="Calibri"/>
                <w:snapToGrid/>
                <w:kern w:val="0"/>
                <w:szCs w:val="22"/>
              </w:rPr>
              <w:t>KCCI</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C7E294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1,102,130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F02C51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$7,962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84FC89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7CF1C6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$10,756 </w:t>
            </w:r>
          </w:p>
        </w:tc>
      </w:tr>
      <w:tr w14:paraId="1AD4EC40"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1C775D1" w14:textId="77777777">
            <w:pPr>
              <w:widowControl/>
              <w:jc w:val="center"/>
              <w:rPr>
                <w:rFonts w:ascii="Calibri" w:hAnsi="Calibri" w:cs="Calibri"/>
                <w:snapToGrid/>
                <w:kern w:val="0"/>
                <w:szCs w:val="22"/>
              </w:rPr>
            </w:pPr>
            <w:r w:rsidRPr="00A032ED">
              <w:rPr>
                <w:rFonts w:ascii="Calibri" w:hAnsi="Calibri" w:cs="Calibri"/>
                <w:snapToGrid/>
                <w:kern w:val="0"/>
                <w:szCs w:val="22"/>
              </w:rPr>
              <w:t>KDLV-TV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BFFA80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96,873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9DE950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$700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B07D7A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6E8FEA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$2,575 </w:t>
            </w:r>
          </w:p>
        </w:tc>
        <w:tc>
          <w:tcPr>
            <w:tcW w:w="266" w:type="dxa"/>
            <w:tcBorders>
              <w:top w:val="nil"/>
              <w:left w:val="nil"/>
              <w:bottom w:val="nil"/>
              <w:right w:val="nil"/>
            </w:tcBorders>
            <w:shd w:val="clear" w:color="auto" w:fill="auto"/>
            <w:noWrap/>
            <w:vAlign w:val="bottom"/>
            <w:hideMark/>
          </w:tcPr>
          <w:p w:rsidR="006F7AD6" w:rsidRPr="00A032ED" w:rsidP="00886011" w14:paraId="137E3678"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BFC5F5A" w14:textId="77777777">
            <w:pPr>
              <w:widowControl/>
              <w:jc w:val="center"/>
              <w:rPr>
                <w:rFonts w:ascii="Calibri" w:hAnsi="Calibri" w:cs="Calibri"/>
                <w:snapToGrid/>
                <w:kern w:val="0"/>
                <w:szCs w:val="22"/>
              </w:rPr>
            </w:pPr>
            <w:r w:rsidRPr="00A032ED">
              <w:rPr>
                <w:rFonts w:ascii="Calibri" w:hAnsi="Calibri" w:cs="Calibri"/>
                <w:snapToGrid/>
                <w:kern w:val="0"/>
                <w:szCs w:val="22"/>
              </w:rPr>
              <w:t>KCCW-TV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BE2DDA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284,280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95E477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$2,054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0E8FE2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56B923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$21,364 </w:t>
            </w:r>
          </w:p>
        </w:tc>
      </w:tr>
      <w:tr w14:paraId="7CDE994C"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578036D" w14:textId="77777777">
            <w:pPr>
              <w:widowControl/>
              <w:jc w:val="center"/>
              <w:rPr>
                <w:rFonts w:ascii="Calibri" w:hAnsi="Calibri" w:cs="Calibri"/>
                <w:snapToGrid/>
                <w:kern w:val="0"/>
                <w:szCs w:val="22"/>
              </w:rPr>
            </w:pPr>
            <w:r w:rsidRPr="00A032ED">
              <w:rPr>
                <w:rFonts w:ascii="Calibri" w:hAnsi="Calibri" w:cs="Calibri"/>
                <w:snapToGrid/>
                <w:kern w:val="0"/>
                <w:szCs w:val="22"/>
              </w:rPr>
              <w:t>KDMD</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82864E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374,951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0B4F3D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$2,709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8FCA40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F2E721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$3,579 </w:t>
            </w:r>
          </w:p>
        </w:tc>
        <w:tc>
          <w:tcPr>
            <w:tcW w:w="266" w:type="dxa"/>
            <w:tcBorders>
              <w:top w:val="nil"/>
              <w:left w:val="nil"/>
              <w:bottom w:val="nil"/>
              <w:right w:val="nil"/>
            </w:tcBorders>
            <w:shd w:val="clear" w:color="auto" w:fill="auto"/>
            <w:noWrap/>
            <w:vAlign w:val="bottom"/>
            <w:hideMark/>
          </w:tcPr>
          <w:p w:rsidR="006F7AD6" w:rsidRPr="00A032ED" w:rsidP="00886011" w14:paraId="23DBE7B9"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655785A" w14:textId="77777777">
            <w:pPr>
              <w:widowControl/>
              <w:jc w:val="center"/>
              <w:rPr>
                <w:rFonts w:ascii="Calibri" w:hAnsi="Calibri" w:cs="Calibri"/>
                <w:snapToGrid/>
                <w:kern w:val="0"/>
                <w:szCs w:val="22"/>
              </w:rPr>
            </w:pPr>
            <w:r w:rsidRPr="00A032ED">
              <w:rPr>
                <w:rFonts w:ascii="Calibri" w:hAnsi="Calibri" w:cs="Calibri"/>
                <w:snapToGrid/>
                <w:kern w:val="0"/>
                <w:szCs w:val="22"/>
              </w:rPr>
              <w:t>KCDO-TV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7F6EDD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2,798,103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70FF09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$20,215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98E426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1971A7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$30,445 </w:t>
            </w:r>
          </w:p>
        </w:tc>
      </w:tr>
      <w:tr w14:paraId="28498C04"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2ABEB8E" w14:textId="77777777">
            <w:pPr>
              <w:widowControl/>
              <w:jc w:val="center"/>
              <w:rPr>
                <w:rFonts w:ascii="Calibri" w:hAnsi="Calibri" w:cs="Calibri"/>
                <w:snapToGrid/>
                <w:kern w:val="0"/>
                <w:szCs w:val="22"/>
              </w:rPr>
            </w:pPr>
            <w:r w:rsidRPr="00A032ED">
              <w:rPr>
                <w:rFonts w:ascii="Calibri" w:hAnsi="Calibri" w:cs="Calibri"/>
                <w:snapToGrid/>
                <w:kern w:val="0"/>
                <w:szCs w:val="22"/>
              </w:rPr>
              <w:t>KDNL-TV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8784C4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2,987,219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A13014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$21,581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6250E8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6AC50E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$31,128 </w:t>
            </w:r>
          </w:p>
        </w:tc>
        <w:tc>
          <w:tcPr>
            <w:tcW w:w="266" w:type="dxa"/>
            <w:tcBorders>
              <w:top w:val="nil"/>
              <w:left w:val="nil"/>
              <w:bottom w:val="nil"/>
              <w:right w:val="nil"/>
            </w:tcBorders>
            <w:shd w:val="clear" w:color="auto" w:fill="auto"/>
            <w:noWrap/>
            <w:vAlign w:val="bottom"/>
            <w:hideMark/>
          </w:tcPr>
          <w:p w:rsidR="006F7AD6" w:rsidRPr="00A032ED" w:rsidP="00886011" w14:paraId="4BA8764C"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8CF2D6F" w14:textId="77777777">
            <w:pPr>
              <w:widowControl/>
              <w:jc w:val="center"/>
              <w:rPr>
                <w:rFonts w:ascii="Calibri" w:hAnsi="Calibri" w:cs="Calibri"/>
                <w:snapToGrid/>
                <w:kern w:val="0"/>
                <w:szCs w:val="22"/>
              </w:rPr>
            </w:pPr>
            <w:r w:rsidRPr="00A032ED">
              <w:rPr>
                <w:rFonts w:ascii="Calibri" w:hAnsi="Calibri" w:cs="Calibri"/>
                <w:snapToGrid/>
                <w:kern w:val="0"/>
                <w:szCs w:val="22"/>
              </w:rPr>
              <w:t>KCEB</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F0EBD6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1,163,228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38546E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$8,404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AFECD8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C1EE52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$10,977 </w:t>
            </w:r>
          </w:p>
        </w:tc>
      </w:tr>
      <w:tr w14:paraId="6B559FB2"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88D4B8C" w14:textId="77777777">
            <w:pPr>
              <w:widowControl/>
              <w:jc w:val="center"/>
              <w:rPr>
                <w:rFonts w:ascii="Calibri" w:hAnsi="Calibri" w:cs="Calibri"/>
                <w:snapToGrid/>
                <w:kern w:val="0"/>
                <w:szCs w:val="22"/>
              </w:rPr>
            </w:pPr>
            <w:r w:rsidRPr="00A032ED">
              <w:rPr>
                <w:rFonts w:ascii="Calibri" w:hAnsi="Calibri" w:cs="Calibri"/>
                <w:snapToGrid/>
                <w:kern w:val="0"/>
                <w:szCs w:val="22"/>
              </w:rPr>
              <w:t>KDOC-TV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F98086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17,564,367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6867F3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$126,891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0CBB5E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20F277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$90,446 </w:t>
            </w:r>
          </w:p>
        </w:tc>
        <w:tc>
          <w:tcPr>
            <w:tcW w:w="266" w:type="dxa"/>
            <w:tcBorders>
              <w:top w:val="nil"/>
              <w:left w:val="nil"/>
              <w:bottom w:val="nil"/>
              <w:right w:val="nil"/>
            </w:tcBorders>
            <w:shd w:val="clear" w:color="auto" w:fill="auto"/>
            <w:noWrap/>
            <w:vAlign w:val="bottom"/>
            <w:hideMark/>
          </w:tcPr>
          <w:p w:rsidR="006F7AD6" w:rsidRPr="00A032ED" w:rsidP="00886011" w14:paraId="7A6A601D"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DF62ED8" w14:textId="77777777">
            <w:pPr>
              <w:widowControl/>
              <w:jc w:val="center"/>
              <w:rPr>
                <w:rFonts w:ascii="Calibri" w:hAnsi="Calibri" w:cs="Calibri"/>
                <w:snapToGrid/>
                <w:kern w:val="0"/>
                <w:szCs w:val="22"/>
              </w:rPr>
            </w:pPr>
            <w:r w:rsidRPr="00A032ED">
              <w:rPr>
                <w:rFonts w:ascii="Calibri" w:hAnsi="Calibri" w:cs="Calibri"/>
                <w:snapToGrid/>
                <w:kern w:val="0"/>
                <w:szCs w:val="22"/>
              </w:rPr>
              <w:t>KCEC</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8700D7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3,874,159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DC1E89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$27,988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3040E6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DA9EF7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$34,332 </w:t>
            </w:r>
          </w:p>
        </w:tc>
      </w:tr>
      <w:tr w14:paraId="49B8A560"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EDC5138" w14:textId="77777777">
            <w:pPr>
              <w:widowControl/>
              <w:jc w:val="center"/>
              <w:rPr>
                <w:rFonts w:ascii="Calibri" w:hAnsi="Calibri" w:cs="Calibri"/>
                <w:snapToGrid/>
                <w:kern w:val="0"/>
                <w:szCs w:val="22"/>
              </w:rPr>
            </w:pPr>
            <w:r w:rsidRPr="00A032ED">
              <w:rPr>
                <w:rFonts w:ascii="Calibri" w:hAnsi="Calibri" w:cs="Calibri"/>
                <w:snapToGrid/>
                <w:kern w:val="0"/>
                <w:szCs w:val="22"/>
              </w:rPr>
              <w:t>KDRV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524BE5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519,706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DA7DAA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$3,755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B7B8BE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DB43F2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$4,102 </w:t>
            </w:r>
          </w:p>
        </w:tc>
        <w:tc>
          <w:tcPr>
            <w:tcW w:w="266" w:type="dxa"/>
            <w:tcBorders>
              <w:top w:val="nil"/>
              <w:left w:val="nil"/>
              <w:bottom w:val="nil"/>
              <w:right w:val="nil"/>
            </w:tcBorders>
            <w:shd w:val="clear" w:color="auto" w:fill="auto"/>
            <w:noWrap/>
            <w:vAlign w:val="bottom"/>
            <w:hideMark/>
          </w:tcPr>
          <w:p w:rsidR="006F7AD6" w:rsidRPr="00A032ED" w:rsidP="00886011" w14:paraId="66E82B50"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3D27BF8" w14:textId="77777777">
            <w:pPr>
              <w:widowControl/>
              <w:jc w:val="center"/>
              <w:rPr>
                <w:rFonts w:ascii="Calibri" w:hAnsi="Calibri" w:cs="Calibri"/>
                <w:snapToGrid/>
                <w:kern w:val="0"/>
                <w:szCs w:val="22"/>
              </w:rPr>
            </w:pPr>
            <w:r w:rsidRPr="00A032ED">
              <w:rPr>
                <w:rFonts w:ascii="Calibri" w:hAnsi="Calibri" w:cs="Calibri"/>
                <w:snapToGrid/>
                <w:kern w:val="0"/>
                <w:szCs w:val="22"/>
              </w:rPr>
              <w:t>KCEN-TV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CEAC61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1,795,767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5BF2B7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$12,973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1F3417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C23EFF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$13,262 </w:t>
            </w:r>
          </w:p>
        </w:tc>
      </w:tr>
      <w:tr w14:paraId="2F65E9DF"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BAD2FE3" w14:textId="77777777">
            <w:pPr>
              <w:widowControl/>
              <w:jc w:val="center"/>
              <w:rPr>
                <w:rFonts w:ascii="Calibri" w:hAnsi="Calibri" w:cs="Calibri"/>
                <w:snapToGrid/>
                <w:kern w:val="0"/>
                <w:szCs w:val="22"/>
              </w:rPr>
            </w:pPr>
            <w:r w:rsidRPr="00A032ED">
              <w:rPr>
                <w:rFonts w:ascii="Calibri" w:hAnsi="Calibri" w:cs="Calibri"/>
                <w:snapToGrid/>
                <w:kern w:val="0"/>
                <w:szCs w:val="22"/>
              </w:rPr>
              <w:t>KDSM-TV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E12F36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1,096,220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8108B6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$7,919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DC02E0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0B3A7C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$10,735 </w:t>
            </w:r>
          </w:p>
        </w:tc>
        <w:tc>
          <w:tcPr>
            <w:tcW w:w="266" w:type="dxa"/>
            <w:tcBorders>
              <w:top w:val="nil"/>
              <w:left w:val="nil"/>
              <w:bottom w:val="nil"/>
              <w:right w:val="nil"/>
            </w:tcBorders>
            <w:shd w:val="clear" w:color="auto" w:fill="auto"/>
            <w:noWrap/>
            <w:vAlign w:val="bottom"/>
            <w:hideMark/>
          </w:tcPr>
          <w:p w:rsidR="006F7AD6" w:rsidRPr="00A032ED" w:rsidP="00886011" w14:paraId="57393FB5"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A4DF398" w14:textId="77777777">
            <w:pPr>
              <w:widowControl/>
              <w:jc w:val="center"/>
              <w:rPr>
                <w:rFonts w:ascii="Calibri" w:hAnsi="Calibri" w:cs="Calibri"/>
                <w:snapToGrid/>
                <w:kern w:val="0"/>
                <w:szCs w:val="22"/>
              </w:rPr>
            </w:pPr>
            <w:r w:rsidRPr="00A032ED">
              <w:rPr>
                <w:rFonts w:ascii="Calibri" w:hAnsi="Calibri" w:cs="Calibri"/>
                <w:snapToGrid/>
                <w:kern w:val="0"/>
                <w:szCs w:val="22"/>
              </w:rPr>
              <w:t>KCET</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B86FD3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16,875,019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4ABF4A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$121,911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3D578D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F88D52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$87,956 </w:t>
            </w:r>
          </w:p>
        </w:tc>
      </w:tr>
      <w:tr w14:paraId="52AEE489"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3C9EC65" w14:textId="77777777">
            <w:pPr>
              <w:widowControl/>
              <w:jc w:val="center"/>
              <w:rPr>
                <w:rFonts w:ascii="Calibri" w:hAnsi="Calibri" w:cs="Calibri"/>
                <w:snapToGrid/>
                <w:kern w:val="0"/>
                <w:szCs w:val="22"/>
              </w:rPr>
            </w:pPr>
            <w:r w:rsidRPr="00A032ED">
              <w:rPr>
                <w:rFonts w:ascii="Calibri" w:hAnsi="Calibri" w:cs="Calibri"/>
                <w:snapToGrid/>
                <w:kern w:val="0"/>
                <w:szCs w:val="22"/>
              </w:rPr>
              <w:t>KDTV-DT</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47EDD7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7,921,124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2032B5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$57,225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EA1C3C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EDF8A3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$55,613 </w:t>
            </w:r>
          </w:p>
        </w:tc>
        <w:tc>
          <w:tcPr>
            <w:tcW w:w="266" w:type="dxa"/>
            <w:tcBorders>
              <w:top w:val="nil"/>
              <w:left w:val="nil"/>
              <w:bottom w:val="nil"/>
              <w:right w:val="nil"/>
            </w:tcBorders>
            <w:shd w:val="clear" w:color="auto" w:fill="auto"/>
            <w:noWrap/>
            <w:vAlign w:val="bottom"/>
            <w:hideMark/>
          </w:tcPr>
          <w:p w:rsidR="006F7AD6" w:rsidRPr="00A032ED" w:rsidP="00886011" w14:paraId="40C66EA5"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78F83CA" w14:textId="77777777">
            <w:pPr>
              <w:widowControl/>
              <w:jc w:val="center"/>
              <w:rPr>
                <w:rFonts w:ascii="Calibri" w:hAnsi="Calibri" w:cs="Calibri"/>
                <w:snapToGrid/>
                <w:kern w:val="0"/>
                <w:szCs w:val="22"/>
              </w:rPr>
            </w:pPr>
            <w:r w:rsidRPr="00A032ED">
              <w:rPr>
                <w:rFonts w:ascii="Calibri" w:hAnsi="Calibri" w:cs="Calibri"/>
                <w:snapToGrid/>
                <w:kern w:val="0"/>
                <w:szCs w:val="22"/>
              </w:rPr>
              <w:t>KCFW-TV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7BF99A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148,162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C774BA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$1,070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79E1C5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7B2D55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$2,760 </w:t>
            </w:r>
          </w:p>
        </w:tc>
      </w:tr>
      <w:tr w14:paraId="12C96FDA"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A8240A0" w14:textId="77777777">
            <w:pPr>
              <w:widowControl/>
              <w:jc w:val="center"/>
              <w:rPr>
                <w:rFonts w:ascii="Calibri" w:hAnsi="Calibri" w:cs="Calibri"/>
                <w:snapToGrid/>
                <w:kern w:val="0"/>
                <w:szCs w:val="22"/>
              </w:rPr>
            </w:pPr>
            <w:r w:rsidRPr="00A032ED">
              <w:rPr>
                <w:rFonts w:ascii="Calibri" w:hAnsi="Calibri" w:cs="Calibri"/>
                <w:snapToGrid/>
                <w:kern w:val="0"/>
                <w:szCs w:val="22"/>
              </w:rPr>
              <w:t>KDTX-TV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1F6005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6,593,327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5779E4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$47,633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900357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80F824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$50,816 </w:t>
            </w:r>
          </w:p>
        </w:tc>
        <w:tc>
          <w:tcPr>
            <w:tcW w:w="266" w:type="dxa"/>
            <w:tcBorders>
              <w:top w:val="nil"/>
              <w:left w:val="nil"/>
              <w:bottom w:val="nil"/>
              <w:right w:val="nil"/>
            </w:tcBorders>
            <w:shd w:val="clear" w:color="auto" w:fill="auto"/>
            <w:noWrap/>
            <w:vAlign w:val="bottom"/>
            <w:hideMark/>
          </w:tcPr>
          <w:p w:rsidR="006F7AD6" w:rsidRPr="00A032ED" w:rsidP="00886011" w14:paraId="260691D3"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5151AED" w14:textId="77777777">
            <w:pPr>
              <w:widowControl/>
              <w:jc w:val="center"/>
              <w:rPr>
                <w:rFonts w:ascii="Calibri" w:hAnsi="Calibri" w:cs="Calibri"/>
                <w:snapToGrid/>
                <w:kern w:val="0"/>
                <w:szCs w:val="22"/>
              </w:rPr>
            </w:pPr>
            <w:r w:rsidRPr="00A032ED">
              <w:rPr>
                <w:rFonts w:ascii="Calibri" w:hAnsi="Calibri" w:cs="Calibri"/>
                <w:snapToGrid/>
                <w:kern w:val="0"/>
                <w:szCs w:val="22"/>
              </w:rPr>
              <w:t>KCHF</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5B6D6A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1,118,671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256B03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$8,082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2B33A7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0D6FD8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$17,616 </w:t>
            </w:r>
          </w:p>
        </w:tc>
      </w:tr>
      <w:tr w14:paraId="491B1495"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4D4B411" w14:textId="77777777">
            <w:pPr>
              <w:widowControl/>
              <w:jc w:val="center"/>
              <w:rPr>
                <w:rFonts w:ascii="Calibri" w:hAnsi="Calibri" w:cs="Calibri"/>
                <w:snapToGrid/>
                <w:kern w:val="0"/>
                <w:szCs w:val="22"/>
              </w:rPr>
            </w:pPr>
            <w:r w:rsidRPr="00A032ED">
              <w:rPr>
                <w:rFonts w:ascii="Calibri" w:hAnsi="Calibri" w:cs="Calibri"/>
                <w:snapToGrid/>
                <w:kern w:val="0"/>
                <w:szCs w:val="22"/>
              </w:rPr>
              <w:t>KDVR</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F0CE10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3,430,717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C21456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$24,785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3711A8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5135BC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$32,730 </w:t>
            </w:r>
          </w:p>
        </w:tc>
        <w:tc>
          <w:tcPr>
            <w:tcW w:w="266" w:type="dxa"/>
            <w:tcBorders>
              <w:top w:val="nil"/>
              <w:left w:val="nil"/>
              <w:bottom w:val="nil"/>
              <w:right w:val="nil"/>
            </w:tcBorders>
            <w:shd w:val="clear" w:color="auto" w:fill="auto"/>
            <w:noWrap/>
            <w:vAlign w:val="bottom"/>
            <w:hideMark/>
          </w:tcPr>
          <w:p w:rsidR="006F7AD6" w:rsidRPr="00A032ED" w:rsidP="00886011" w14:paraId="02B58824"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9347744" w14:textId="77777777">
            <w:pPr>
              <w:widowControl/>
              <w:jc w:val="center"/>
              <w:rPr>
                <w:rFonts w:ascii="Calibri" w:hAnsi="Calibri" w:cs="Calibri"/>
                <w:snapToGrid/>
                <w:kern w:val="0"/>
                <w:szCs w:val="22"/>
              </w:rPr>
            </w:pPr>
            <w:r w:rsidRPr="00A032ED">
              <w:rPr>
                <w:rFonts w:ascii="Calibri" w:hAnsi="Calibri" w:cs="Calibri"/>
                <w:snapToGrid/>
                <w:kern w:val="0"/>
                <w:szCs w:val="22"/>
              </w:rPr>
              <w:t>KCIT</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CD0294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382,477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8CD1EE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$2,763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027F18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7692E1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$3,607 </w:t>
            </w:r>
          </w:p>
        </w:tc>
      </w:tr>
      <w:tr w14:paraId="52FF0BC4"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EF1703F" w14:textId="77777777">
            <w:pPr>
              <w:widowControl/>
              <w:jc w:val="center"/>
              <w:rPr>
                <w:rFonts w:ascii="Calibri" w:hAnsi="Calibri" w:cs="Calibri"/>
                <w:snapToGrid/>
                <w:kern w:val="0"/>
                <w:szCs w:val="22"/>
              </w:rPr>
            </w:pPr>
            <w:r w:rsidRPr="00A032ED">
              <w:rPr>
                <w:rFonts w:ascii="Calibri" w:hAnsi="Calibri" w:cs="Calibri"/>
                <w:snapToGrid/>
                <w:kern w:val="0"/>
                <w:szCs w:val="22"/>
              </w:rPr>
              <w:t>KECI-TV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F6BEBB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235,954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A3F9D1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$1,705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57B00E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ADF886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$3,077 </w:t>
            </w:r>
          </w:p>
        </w:tc>
        <w:tc>
          <w:tcPr>
            <w:tcW w:w="266" w:type="dxa"/>
            <w:tcBorders>
              <w:top w:val="nil"/>
              <w:left w:val="nil"/>
              <w:bottom w:val="nil"/>
              <w:right w:val="nil"/>
            </w:tcBorders>
            <w:shd w:val="clear" w:color="auto" w:fill="auto"/>
            <w:noWrap/>
            <w:vAlign w:val="bottom"/>
            <w:hideMark/>
          </w:tcPr>
          <w:p w:rsidR="006F7AD6" w:rsidRPr="00A032ED" w:rsidP="00886011" w14:paraId="6C816887"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B940665" w14:textId="77777777">
            <w:pPr>
              <w:widowControl/>
              <w:jc w:val="center"/>
              <w:rPr>
                <w:rFonts w:ascii="Calibri" w:hAnsi="Calibri" w:cs="Calibri"/>
                <w:snapToGrid/>
                <w:kern w:val="0"/>
                <w:szCs w:val="22"/>
              </w:rPr>
            </w:pPr>
            <w:r w:rsidRPr="00A032ED">
              <w:rPr>
                <w:rFonts w:ascii="Calibri" w:hAnsi="Calibri" w:cs="Calibri"/>
                <w:snapToGrid/>
                <w:kern w:val="0"/>
                <w:szCs w:val="22"/>
              </w:rPr>
              <w:t>KCLO-TV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8C6143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138,413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201DB9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$1,000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C53163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A88F3D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$2,725 </w:t>
            </w:r>
          </w:p>
        </w:tc>
      </w:tr>
      <w:tr w14:paraId="26257FCE"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D7352CB" w14:textId="77777777">
            <w:pPr>
              <w:widowControl/>
              <w:jc w:val="center"/>
              <w:rPr>
                <w:rFonts w:ascii="Calibri" w:hAnsi="Calibri" w:cs="Calibri"/>
                <w:snapToGrid/>
                <w:kern w:val="0"/>
                <w:szCs w:val="22"/>
              </w:rPr>
            </w:pPr>
            <w:r w:rsidRPr="00A032ED">
              <w:rPr>
                <w:rFonts w:ascii="Calibri" w:hAnsi="Calibri" w:cs="Calibri"/>
                <w:snapToGrid/>
                <w:kern w:val="0"/>
                <w:szCs w:val="22"/>
              </w:rPr>
              <w:t>KECY-TV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C3C017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399,372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512577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$2,885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BB2C45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423932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$3,668 </w:t>
            </w:r>
          </w:p>
        </w:tc>
        <w:tc>
          <w:tcPr>
            <w:tcW w:w="266" w:type="dxa"/>
            <w:tcBorders>
              <w:top w:val="nil"/>
              <w:left w:val="nil"/>
              <w:bottom w:val="nil"/>
              <w:right w:val="nil"/>
            </w:tcBorders>
            <w:shd w:val="clear" w:color="auto" w:fill="auto"/>
            <w:noWrap/>
            <w:vAlign w:val="bottom"/>
            <w:hideMark/>
          </w:tcPr>
          <w:p w:rsidR="006F7AD6" w:rsidRPr="00A032ED" w:rsidP="00886011" w14:paraId="73D10C91"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5DC08DE" w14:textId="77777777">
            <w:pPr>
              <w:widowControl/>
              <w:jc w:val="center"/>
              <w:rPr>
                <w:rFonts w:ascii="Calibri" w:hAnsi="Calibri" w:cs="Calibri"/>
                <w:snapToGrid/>
                <w:kern w:val="0"/>
                <w:szCs w:val="22"/>
              </w:rPr>
            </w:pPr>
            <w:r w:rsidRPr="00A032ED">
              <w:rPr>
                <w:rFonts w:ascii="Calibri" w:hAnsi="Calibri" w:cs="Calibri"/>
                <w:snapToGrid/>
                <w:kern w:val="0"/>
                <w:szCs w:val="22"/>
              </w:rPr>
              <w:t>KCNC-TV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54CFF9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3,794,400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5F646F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$27,412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40DE01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35A316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$34,044 </w:t>
            </w:r>
          </w:p>
        </w:tc>
      </w:tr>
      <w:tr w14:paraId="456759D9"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7A4B757" w14:textId="77777777">
            <w:pPr>
              <w:widowControl/>
              <w:jc w:val="center"/>
              <w:rPr>
                <w:rFonts w:ascii="Calibri" w:hAnsi="Calibri" w:cs="Calibri"/>
                <w:snapToGrid/>
                <w:kern w:val="0"/>
                <w:szCs w:val="22"/>
              </w:rPr>
            </w:pPr>
            <w:r w:rsidRPr="00A032ED">
              <w:rPr>
                <w:rFonts w:ascii="Calibri" w:hAnsi="Calibri" w:cs="Calibri"/>
                <w:snapToGrid/>
                <w:kern w:val="0"/>
                <w:szCs w:val="22"/>
              </w:rPr>
              <w:t>KELO-TV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51A2C3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705,364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82023B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$5,096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407BBA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7B63BF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$4,773 </w:t>
            </w:r>
          </w:p>
        </w:tc>
        <w:tc>
          <w:tcPr>
            <w:tcW w:w="266" w:type="dxa"/>
            <w:tcBorders>
              <w:top w:val="nil"/>
              <w:left w:val="nil"/>
              <w:bottom w:val="nil"/>
              <w:right w:val="nil"/>
            </w:tcBorders>
            <w:shd w:val="clear" w:color="auto" w:fill="auto"/>
            <w:noWrap/>
            <w:vAlign w:val="bottom"/>
            <w:hideMark/>
          </w:tcPr>
          <w:p w:rsidR="006F7AD6" w:rsidRPr="00A032ED" w:rsidP="00886011" w14:paraId="15279E8B"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BFA013B" w14:textId="77777777">
            <w:pPr>
              <w:widowControl/>
              <w:jc w:val="center"/>
              <w:rPr>
                <w:rFonts w:ascii="Calibri" w:hAnsi="Calibri" w:cs="Calibri"/>
                <w:snapToGrid/>
                <w:kern w:val="0"/>
                <w:szCs w:val="22"/>
              </w:rPr>
            </w:pPr>
            <w:r w:rsidRPr="00A032ED">
              <w:rPr>
                <w:rFonts w:ascii="Calibri" w:hAnsi="Calibri" w:cs="Calibri"/>
                <w:snapToGrid/>
                <w:kern w:val="0"/>
                <w:szCs w:val="22"/>
              </w:rPr>
              <w:t>KCNS</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10DF9E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8,048,427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038884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$58,145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3D0ED9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136FBD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$56,072 </w:t>
            </w:r>
          </w:p>
        </w:tc>
      </w:tr>
      <w:tr w14:paraId="589750C0"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8EEAC7B" w14:textId="77777777">
            <w:pPr>
              <w:widowControl/>
              <w:jc w:val="center"/>
              <w:rPr>
                <w:rFonts w:ascii="Calibri" w:hAnsi="Calibri" w:cs="Calibri"/>
                <w:snapToGrid/>
                <w:kern w:val="0"/>
                <w:szCs w:val="22"/>
              </w:rPr>
            </w:pPr>
            <w:r w:rsidRPr="00A032ED">
              <w:rPr>
                <w:rFonts w:ascii="Calibri" w:hAnsi="Calibri" w:cs="Calibri"/>
                <w:snapToGrid/>
                <w:kern w:val="0"/>
                <w:szCs w:val="22"/>
              </w:rPr>
              <w:t>KENS</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75BAB9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2,493,265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2D1E56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$18,012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95B0A7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4AE6EB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$22,581 </w:t>
            </w:r>
          </w:p>
        </w:tc>
        <w:tc>
          <w:tcPr>
            <w:tcW w:w="266" w:type="dxa"/>
            <w:tcBorders>
              <w:top w:val="nil"/>
              <w:left w:val="nil"/>
              <w:bottom w:val="nil"/>
              <w:right w:val="nil"/>
            </w:tcBorders>
            <w:shd w:val="clear" w:color="auto" w:fill="auto"/>
            <w:noWrap/>
            <w:vAlign w:val="bottom"/>
            <w:hideMark/>
          </w:tcPr>
          <w:p w:rsidR="006F7AD6" w:rsidRPr="00A032ED" w:rsidP="00886011" w14:paraId="32D98439"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DB24537" w14:textId="77777777">
            <w:pPr>
              <w:widowControl/>
              <w:jc w:val="center"/>
              <w:rPr>
                <w:rFonts w:ascii="Calibri" w:hAnsi="Calibri" w:cs="Calibri"/>
                <w:snapToGrid/>
                <w:kern w:val="0"/>
                <w:szCs w:val="22"/>
              </w:rPr>
            </w:pPr>
            <w:r w:rsidRPr="00A032ED">
              <w:rPr>
                <w:rFonts w:ascii="Calibri" w:hAnsi="Calibri" w:cs="Calibri"/>
                <w:snapToGrid/>
                <w:kern w:val="0"/>
                <w:szCs w:val="22"/>
              </w:rPr>
              <w:t>KCOP-TV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B1625E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17,976,764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BB8B70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$129,871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851820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9F5DFC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$91,935 </w:t>
            </w:r>
          </w:p>
        </w:tc>
      </w:tr>
      <w:tr w14:paraId="59720418"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001C611" w14:textId="77777777">
            <w:pPr>
              <w:widowControl/>
              <w:jc w:val="center"/>
              <w:rPr>
                <w:rFonts w:ascii="Calibri" w:hAnsi="Calibri" w:cs="Calibri"/>
                <w:snapToGrid/>
                <w:kern w:val="0"/>
                <w:szCs w:val="22"/>
              </w:rPr>
            </w:pPr>
            <w:r w:rsidRPr="00A032ED">
              <w:rPr>
                <w:rFonts w:ascii="Calibri" w:hAnsi="Calibri" w:cs="Calibri"/>
                <w:snapToGrid/>
                <w:kern w:val="0"/>
                <w:szCs w:val="22"/>
              </w:rPr>
              <w:t>KENV-DT</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F185EB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47,220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4F6FCA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$341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2469E6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A36CCA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$13,746 </w:t>
            </w:r>
          </w:p>
        </w:tc>
        <w:tc>
          <w:tcPr>
            <w:tcW w:w="266" w:type="dxa"/>
            <w:tcBorders>
              <w:top w:val="nil"/>
              <w:left w:val="nil"/>
              <w:bottom w:val="nil"/>
              <w:right w:val="nil"/>
            </w:tcBorders>
            <w:shd w:val="clear" w:color="auto" w:fill="auto"/>
            <w:noWrap/>
            <w:vAlign w:val="bottom"/>
            <w:hideMark/>
          </w:tcPr>
          <w:p w:rsidR="006F7AD6" w:rsidRPr="00A032ED" w:rsidP="00886011" w14:paraId="6356CFBA"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46C0C55" w14:textId="77777777">
            <w:pPr>
              <w:widowControl/>
              <w:jc w:val="center"/>
              <w:rPr>
                <w:rFonts w:ascii="Calibri" w:hAnsi="Calibri" w:cs="Calibri"/>
                <w:snapToGrid/>
                <w:kern w:val="0"/>
                <w:szCs w:val="22"/>
              </w:rPr>
            </w:pPr>
            <w:r w:rsidRPr="00A032ED">
              <w:rPr>
                <w:rFonts w:ascii="Calibri" w:hAnsi="Calibri" w:cs="Calibri"/>
                <w:snapToGrid/>
                <w:kern w:val="0"/>
                <w:szCs w:val="22"/>
              </w:rPr>
              <w:t>KCOY-TV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021D2B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664,655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C9DE5B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$4,802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083580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9D4F2C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$4,626 </w:t>
            </w:r>
          </w:p>
        </w:tc>
      </w:tr>
      <w:tr w14:paraId="527E9106"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6140415" w14:textId="77777777">
            <w:pPr>
              <w:widowControl/>
              <w:jc w:val="center"/>
              <w:rPr>
                <w:rFonts w:ascii="Calibri" w:hAnsi="Calibri" w:cs="Calibri"/>
                <w:snapToGrid/>
                <w:kern w:val="0"/>
                <w:szCs w:val="22"/>
              </w:rPr>
            </w:pPr>
            <w:r w:rsidRPr="00A032ED">
              <w:rPr>
                <w:rFonts w:ascii="Calibri" w:hAnsi="Calibri" w:cs="Calibri"/>
                <w:snapToGrid/>
                <w:kern w:val="0"/>
                <w:szCs w:val="22"/>
              </w:rPr>
              <w:t>KEPR-TV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8ED5AA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453,259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4BC1F1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$3,275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000E44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D4289D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$3,862 </w:t>
            </w:r>
          </w:p>
        </w:tc>
        <w:tc>
          <w:tcPr>
            <w:tcW w:w="266" w:type="dxa"/>
            <w:tcBorders>
              <w:top w:val="nil"/>
              <w:left w:val="nil"/>
              <w:bottom w:val="nil"/>
              <w:right w:val="nil"/>
            </w:tcBorders>
            <w:shd w:val="clear" w:color="auto" w:fill="auto"/>
            <w:noWrap/>
            <w:vAlign w:val="bottom"/>
            <w:hideMark/>
          </w:tcPr>
          <w:p w:rsidR="006F7AD6" w:rsidRPr="00A032ED" w:rsidP="00886011" w14:paraId="0CAE6488"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9537912" w14:textId="77777777">
            <w:pPr>
              <w:widowControl/>
              <w:jc w:val="center"/>
              <w:rPr>
                <w:rFonts w:ascii="Calibri" w:hAnsi="Calibri" w:cs="Calibri"/>
                <w:snapToGrid/>
                <w:kern w:val="0"/>
                <w:szCs w:val="22"/>
              </w:rPr>
            </w:pPr>
            <w:r w:rsidRPr="00A032ED">
              <w:rPr>
                <w:rFonts w:ascii="Calibri" w:hAnsi="Calibri" w:cs="Calibri"/>
                <w:snapToGrid/>
                <w:kern w:val="0"/>
                <w:szCs w:val="22"/>
              </w:rPr>
              <w:t>KCPM</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2585BD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90,266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2C818B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$652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16883D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19594E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$2,551 </w:t>
            </w:r>
          </w:p>
        </w:tc>
      </w:tr>
      <w:tr w14:paraId="1DCA417F"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C8E7FF9" w14:textId="77777777">
            <w:pPr>
              <w:widowControl/>
              <w:jc w:val="center"/>
              <w:rPr>
                <w:rFonts w:ascii="Calibri" w:hAnsi="Calibri" w:cs="Calibri"/>
                <w:snapToGrid/>
                <w:kern w:val="0"/>
                <w:szCs w:val="22"/>
              </w:rPr>
            </w:pPr>
            <w:r w:rsidRPr="00A032ED">
              <w:rPr>
                <w:rFonts w:ascii="Calibri" w:hAnsi="Calibri" w:cs="Calibri"/>
                <w:snapToGrid/>
                <w:kern w:val="0"/>
                <w:szCs w:val="22"/>
              </w:rPr>
              <w:t>KERO-TV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1D069C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1,285,357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3767D2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$9,286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3AB87F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68D2B2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$6,868 </w:t>
            </w:r>
          </w:p>
        </w:tc>
        <w:tc>
          <w:tcPr>
            <w:tcW w:w="266" w:type="dxa"/>
            <w:tcBorders>
              <w:top w:val="nil"/>
              <w:left w:val="nil"/>
              <w:bottom w:val="nil"/>
              <w:right w:val="nil"/>
            </w:tcBorders>
            <w:shd w:val="clear" w:color="auto" w:fill="auto"/>
            <w:noWrap/>
            <w:vAlign w:val="bottom"/>
            <w:hideMark/>
          </w:tcPr>
          <w:p w:rsidR="006F7AD6" w:rsidRPr="00A032ED" w:rsidP="00886011" w14:paraId="10BCADF7"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16AA4D0" w14:textId="77777777">
            <w:pPr>
              <w:widowControl/>
              <w:jc w:val="center"/>
              <w:rPr>
                <w:rFonts w:ascii="Calibri" w:hAnsi="Calibri" w:cs="Calibri"/>
                <w:snapToGrid/>
                <w:kern w:val="0"/>
                <w:szCs w:val="22"/>
              </w:rPr>
            </w:pPr>
            <w:r w:rsidRPr="00A032ED">
              <w:rPr>
                <w:rFonts w:ascii="Calibri" w:hAnsi="Calibri" w:cs="Calibri"/>
                <w:snapToGrid/>
                <w:kern w:val="0"/>
                <w:szCs w:val="22"/>
              </w:rPr>
              <w:t>KCPQ</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3418F5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4,439,875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525A76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$32,075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0949C6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040B77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$36,375 </w:t>
            </w:r>
          </w:p>
        </w:tc>
      </w:tr>
      <w:tr w14:paraId="71F8F283"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33F57A3" w14:textId="77777777">
            <w:pPr>
              <w:widowControl/>
              <w:jc w:val="center"/>
              <w:rPr>
                <w:rFonts w:ascii="Calibri" w:hAnsi="Calibri" w:cs="Calibri"/>
                <w:snapToGrid/>
                <w:kern w:val="0"/>
                <w:szCs w:val="22"/>
              </w:rPr>
            </w:pPr>
            <w:r w:rsidRPr="00A032ED">
              <w:rPr>
                <w:rFonts w:ascii="Calibri" w:hAnsi="Calibri" w:cs="Calibri"/>
                <w:snapToGrid/>
                <w:kern w:val="0"/>
                <w:szCs w:val="22"/>
              </w:rPr>
              <w:t>KESQ-TV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011F26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917,395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B8CA8A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$6,628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E2E6BE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5EE4BF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$5,539 </w:t>
            </w:r>
          </w:p>
        </w:tc>
        <w:tc>
          <w:tcPr>
            <w:tcW w:w="266" w:type="dxa"/>
            <w:tcBorders>
              <w:top w:val="nil"/>
              <w:left w:val="nil"/>
              <w:bottom w:val="nil"/>
              <w:right w:val="nil"/>
            </w:tcBorders>
            <w:shd w:val="clear" w:color="auto" w:fill="auto"/>
            <w:noWrap/>
            <w:vAlign w:val="bottom"/>
            <w:hideMark/>
          </w:tcPr>
          <w:p w:rsidR="006F7AD6" w:rsidRPr="00A032ED" w:rsidP="00886011" w14:paraId="01E534C7"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12654F0" w14:textId="77777777">
            <w:pPr>
              <w:widowControl/>
              <w:jc w:val="center"/>
              <w:rPr>
                <w:rFonts w:ascii="Calibri" w:hAnsi="Calibri" w:cs="Calibri"/>
                <w:snapToGrid/>
                <w:kern w:val="0"/>
                <w:szCs w:val="22"/>
              </w:rPr>
            </w:pPr>
            <w:r w:rsidRPr="00A032ED">
              <w:rPr>
                <w:rFonts w:ascii="Calibri" w:hAnsi="Calibri" w:cs="Calibri"/>
                <w:snapToGrid/>
                <w:kern w:val="0"/>
                <w:szCs w:val="22"/>
              </w:rPr>
              <w:t>KCRA-TV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695603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10,612,483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B9822F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$76,668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681946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426077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$58,672 </w:t>
            </w:r>
          </w:p>
        </w:tc>
      </w:tr>
      <w:tr w14:paraId="382203C3"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67C71B7" w14:textId="77777777">
            <w:pPr>
              <w:widowControl/>
              <w:jc w:val="center"/>
              <w:rPr>
                <w:rFonts w:ascii="Calibri" w:hAnsi="Calibri" w:cs="Calibri"/>
                <w:snapToGrid/>
                <w:kern w:val="0"/>
                <w:szCs w:val="22"/>
              </w:rPr>
            </w:pPr>
            <w:r w:rsidRPr="00A032ED">
              <w:rPr>
                <w:rFonts w:ascii="Calibri" w:hAnsi="Calibri" w:cs="Calibri"/>
                <w:snapToGrid/>
                <w:kern w:val="0"/>
                <w:szCs w:val="22"/>
              </w:rPr>
              <w:t>KETD</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F23698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3,098,889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C931C4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$22,388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2AFD1C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E0F121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$31,531 </w:t>
            </w:r>
          </w:p>
        </w:tc>
        <w:tc>
          <w:tcPr>
            <w:tcW w:w="266" w:type="dxa"/>
            <w:tcBorders>
              <w:top w:val="nil"/>
              <w:left w:val="nil"/>
              <w:bottom w:val="nil"/>
              <w:right w:val="nil"/>
            </w:tcBorders>
            <w:shd w:val="clear" w:color="auto" w:fill="auto"/>
            <w:noWrap/>
            <w:vAlign w:val="bottom"/>
            <w:hideMark/>
          </w:tcPr>
          <w:p w:rsidR="006F7AD6" w:rsidRPr="00A032ED" w:rsidP="00886011" w14:paraId="3336A812"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2DA8398" w14:textId="77777777">
            <w:pPr>
              <w:widowControl/>
              <w:jc w:val="center"/>
              <w:rPr>
                <w:rFonts w:ascii="Calibri" w:hAnsi="Calibri" w:cs="Calibri"/>
                <w:snapToGrid/>
                <w:kern w:val="0"/>
                <w:szCs w:val="22"/>
              </w:rPr>
            </w:pPr>
            <w:r w:rsidRPr="00A032ED">
              <w:rPr>
                <w:rFonts w:ascii="Calibri" w:hAnsi="Calibri" w:cs="Calibri"/>
                <w:snapToGrid/>
                <w:kern w:val="0"/>
                <w:szCs w:val="22"/>
              </w:rPr>
              <w:t>KCRG-TV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3F73BE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1,180,361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EC1028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$8,527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D8ABC1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E5E063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$11,039 </w:t>
            </w:r>
          </w:p>
        </w:tc>
      </w:tr>
      <w:tr w14:paraId="4AA64922"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BF73320" w14:textId="77777777">
            <w:pPr>
              <w:widowControl/>
              <w:jc w:val="center"/>
              <w:rPr>
                <w:rFonts w:ascii="Calibri" w:hAnsi="Calibri" w:cs="Calibri"/>
                <w:snapToGrid/>
                <w:kern w:val="0"/>
                <w:szCs w:val="22"/>
              </w:rPr>
            </w:pPr>
            <w:r w:rsidRPr="00A032ED">
              <w:rPr>
                <w:rFonts w:ascii="Calibri" w:hAnsi="Calibri" w:cs="Calibri"/>
                <w:snapToGrid/>
                <w:kern w:val="0"/>
                <w:szCs w:val="22"/>
              </w:rPr>
              <w:t>KETH-TV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570F99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6,088,821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A23DAB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$43,988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C8A758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6CC586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$48,994 </w:t>
            </w:r>
          </w:p>
        </w:tc>
        <w:tc>
          <w:tcPr>
            <w:tcW w:w="266" w:type="dxa"/>
            <w:tcBorders>
              <w:top w:val="nil"/>
              <w:left w:val="nil"/>
              <w:bottom w:val="nil"/>
              <w:right w:val="nil"/>
            </w:tcBorders>
            <w:shd w:val="clear" w:color="auto" w:fill="auto"/>
            <w:noWrap/>
            <w:vAlign w:val="bottom"/>
            <w:hideMark/>
          </w:tcPr>
          <w:p w:rsidR="006F7AD6" w:rsidRPr="00A032ED" w:rsidP="00886011" w14:paraId="1868010C"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8FCE1A1" w14:textId="77777777">
            <w:pPr>
              <w:widowControl/>
              <w:jc w:val="center"/>
              <w:rPr>
                <w:rFonts w:ascii="Calibri" w:hAnsi="Calibri" w:cs="Calibri"/>
                <w:snapToGrid/>
                <w:kern w:val="0"/>
                <w:szCs w:val="22"/>
              </w:rPr>
            </w:pPr>
            <w:r w:rsidRPr="00A032ED">
              <w:rPr>
                <w:rFonts w:ascii="Calibri" w:hAnsi="Calibri" w:cs="Calibri"/>
                <w:snapToGrid/>
                <w:kern w:val="0"/>
                <w:szCs w:val="22"/>
              </w:rPr>
              <w:t>KCSG</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868C72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174,814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6AC67E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$1,263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F1AC8C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1948B0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$14,206 </w:t>
            </w:r>
          </w:p>
        </w:tc>
      </w:tr>
      <w:tr w14:paraId="53B0365C"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8508307" w14:textId="77777777">
            <w:pPr>
              <w:widowControl/>
              <w:jc w:val="center"/>
              <w:rPr>
                <w:rFonts w:ascii="Calibri" w:hAnsi="Calibri" w:cs="Calibri"/>
                <w:snapToGrid/>
                <w:kern w:val="0"/>
                <w:szCs w:val="22"/>
              </w:rPr>
            </w:pPr>
            <w:r w:rsidRPr="00A032ED">
              <w:rPr>
                <w:rFonts w:ascii="Calibri" w:hAnsi="Calibri" w:cs="Calibri"/>
                <w:snapToGrid/>
                <w:kern w:val="0"/>
                <w:szCs w:val="22"/>
              </w:rPr>
              <w:t>KETK-TV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3BF900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1,031,567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705AA1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$7,452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F5A57A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7E220D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$5,951 </w:t>
            </w:r>
          </w:p>
        </w:tc>
        <w:tc>
          <w:tcPr>
            <w:tcW w:w="266" w:type="dxa"/>
            <w:tcBorders>
              <w:top w:val="nil"/>
              <w:left w:val="nil"/>
              <w:bottom w:val="nil"/>
              <w:right w:val="nil"/>
            </w:tcBorders>
            <w:shd w:val="clear" w:color="auto" w:fill="auto"/>
            <w:noWrap/>
            <w:vAlign w:val="bottom"/>
            <w:hideMark/>
          </w:tcPr>
          <w:p w:rsidR="006F7AD6" w:rsidRPr="00A032ED" w:rsidP="00886011" w14:paraId="1913FE7B"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F1664A4" w14:textId="77777777">
            <w:pPr>
              <w:widowControl/>
              <w:jc w:val="center"/>
              <w:rPr>
                <w:rFonts w:ascii="Calibri" w:hAnsi="Calibri" w:cs="Calibri"/>
                <w:snapToGrid/>
                <w:kern w:val="0"/>
                <w:szCs w:val="22"/>
              </w:rPr>
            </w:pPr>
            <w:r w:rsidRPr="00A032ED">
              <w:rPr>
                <w:rFonts w:ascii="Calibri" w:hAnsi="Calibri" w:cs="Calibri"/>
                <w:snapToGrid/>
                <w:kern w:val="0"/>
                <w:szCs w:val="22"/>
              </w:rPr>
              <w:t>KCTV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91FA4A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2,547,456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DFC293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$18,404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DC592D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FA04CD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$22,777 </w:t>
            </w:r>
          </w:p>
        </w:tc>
      </w:tr>
      <w:tr w14:paraId="131B3B19"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A223CFE" w14:textId="77777777">
            <w:pPr>
              <w:widowControl/>
              <w:jc w:val="center"/>
              <w:rPr>
                <w:rFonts w:ascii="Calibri" w:hAnsi="Calibri" w:cs="Calibri"/>
                <w:snapToGrid/>
                <w:kern w:val="0"/>
                <w:szCs w:val="22"/>
              </w:rPr>
            </w:pPr>
            <w:r w:rsidRPr="00A032ED">
              <w:rPr>
                <w:rFonts w:ascii="Calibri" w:hAnsi="Calibri" w:cs="Calibri"/>
                <w:snapToGrid/>
                <w:kern w:val="0"/>
                <w:szCs w:val="22"/>
              </w:rPr>
              <w:t>KETV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E8AA06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1,355,714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737ADB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$9,794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E0FFE5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69D975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$11,672 </w:t>
            </w:r>
          </w:p>
        </w:tc>
        <w:tc>
          <w:tcPr>
            <w:tcW w:w="266" w:type="dxa"/>
            <w:tcBorders>
              <w:top w:val="nil"/>
              <w:left w:val="nil"/>
              <w:bottom w:val="nil"/>
              <w:right w:val="nil"/>
            </w:tcBorders>
            <w:shd w:val="clear" w:color="auto" w:fill="auto"/>
            <w:noWrap/>
            <w:vAlign w:val="bottom"/>
            <w:hideMark/>
          </w:tcPr>
          <w:p w:rsidR="006F7AD6" w:rsidRPr="00A032ED" w:rsidP="00886011" w14:paraId="46C4AE5D"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2620EFD" w14:textId="77777777">
            <w:pPr>
              <w:widowControl/>
              <w:jc w:val="center"/>
              <w:rPr>
                <w:rFonts w:ascii="Calibri" w:hAnsi="Calibri" w:cs="Calibri"/>
                <w:snapToGrid/>
                <w:kern w:val="0"/>
                <w:szCs w:val="22"/>
              </w:rPr>
            </w:pPr>
            <w:r w:rsidRPr="00A032ED">
              <w:rPr>
                <w:rFonts w:ascii="Calibri" w:hAnsi="Calibri" w:cs="Calibri"/>
                <w:snapToGrid/>
                <w:kern w:val="0"/>
                <w:szCs w:val="22"/>
              </w:rPr>
              <w:t>KCVU</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6E5B44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630,068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5422D1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$4,552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6C88A4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66DF34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$4,501 </w:t>
            </w:r>
          </w:p>
        </w:tc>
      </w:tr>
      <w:tr w14:paraId="5811F6B3"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6B6E010" w14:textId="77777777">
            <w:pPr>
              <w:widowControl/>
              <w:jc w:val="center"/>
              <w:rPr>
                <w:rFonts w:ascii="Calibri" w:hAnsi="Calibri" w:cs="Calibri"/>
                <w:snapToGrid/>
                <w:kern w:val="0"/>
                <w:szCs w:val="22"/>
              </w:rPr>
            </w:pPr>
            <w:r w:rsidRPr="00A032ED">
              <w:rPr>
                <w:rFonts w:ascii="Calibri" w:hAnsi="Calibri" w:cs="Calibri"/>
                <w:snapToGrid/>
                <w:kern w:val="0"/>
                <w:szCs w:val="22"/>
              </w:rPr>
              <w:t>KEYC-TV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0BE7F3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544,900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722F35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$3,937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2DE175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D32359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$4,193 </w:t>
            </w:r>
          </w:p>
        </w:tc>
        <w:tc>
          <w:tcPr>
            <w:tcW w:w="266" w:type="dxa"/>
            <w:tcBorders>
              <w:top w:val="nil"/>
              <w:left w:val="nil"/>
              <w:bottom w:val="nil"/>
              <w:right w:val="nil"/>
            </w:tcBorders>
            <w:shd w:val="clear" w:color="auto" w:fill="auto"/>
            <w:noWrap/>
            <w:vAlign w:val="bottom"/>
            <w:hideMark/>
          </w:tcPr>
          <w:p w:rsidR="006F7AD6" w:rsidRPr="00A032ED" w:rsidP="00886011" w14:paraId="2A3DCC6A"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FD7D158" w14:textId="77777777">
            <w:pPr>
              <w:widowControl/>
              <w:jc w:val="center"/>
              <w:rPr>
                <w:rFonts w:ascii="Calibri" w:hAnsi="Calibri" w:cs="Calibri"/>
                <w:snapToGrid/>
                <w:kern w:val="0"/>
                <w:szCs w:val="22"/>
              </w:rPr>
            </w:pPr>
            <w:r w:rsidRPr="00A032ED">
              <w:rPr>
                <w:rFonts w:ascii="Calibri" w:hAnsi="Calibri" w:cs="Calibri"/>
                <w:snapToGrid/>
                <w:kern w:val="0"/>
                <w:szCs w:val="22"/>
              </w:rPr>
              <w:t>KCWE</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586DC1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2,460,172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1B672F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$17,773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F65B25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B77A56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$22,462 </w:t>
            </w:r>
          </w:p>
        </w:tc>
      </w:tr>
      <w:tr w14:paraId="1968397F"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4322265" w14:textId="77777777">
            <w:pPr>
              <w:widowControl/>
              <w:jc w:val="center"/>
              <w:rPr>
                <w:rFonts w:ascii="Calibri" w:hAnsi="Calibri" w:cs="Calibri"/>
                <w:snapToGrid/>
                <w:kern w:val="0"/>
                <w:szCs w:val="22"/>
              </w:rPr>
            </w:pPr>
            <w:r w:rsidRPr="00A032ED">
              <w:rPr>
                <w:rFonts w:ascii="Calibri" w:hAnsi="Calibri" w:cs="Calibri"/>
                <w:snapToGrid/>
                <w:kern w:val="0"/>
                <w:szCs w:val="22"/>
              </w:rPr>
              <w:t>KEYE-TV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25E4FB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2,588,622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724DCD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$18,701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C39419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B96A9C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$22,926 </w:t>
            </w:r>
          </w:p>
        </w:tc>
        <w:tc>
          <w:tcPr>
            <w:tcW w:w="266" w:type="dxa"/>
            <w:tcBorders>
              <w:top w:val="nil"/>
              <w:left w:val="nil"/>
              <w:bottom w:val="nil"/>
              <w:right w:val="nil"/>
            </w:tcBorders>
            <w:shd w:val="clear" w:color="auto" w:fill="auto"/>
            <w:noWrap/>
            <w:vAlign w:val="bottom"/>
            <w:hideMark/>
          </w:tcPr>
          <w:p w:rsidR="006F7AD6" w:rsidRPr="00A032ED" w:rsidP="00886011" w14:paraId="4DFD1D26"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254286E" w14:textId="77777777">
            <w:pPr>
              <w:widowControl/>
              <w:jc w:val="center"/>
              <w:rPr>
                <w:rFonts w:ascii="Calibri" w:hAnsi="Calibri" w:cs="Calibri"/>
                <w:snapToGrid/>
                <w:kern w:val="0"/>
                <w:szCs w:val="22"/>
              </w:rPr>
            </w:pPr>
            <w:r w:rsidRPr="00A032ED">
              <w:rPr>
                <w:rFonts w:ascii="Calibri" w:hAnsi="Calibri" w:cs="Calibri"/>
                <w:snapToGrid/>
                <w:kern w:val="0"/>
                <w:szCs w:val="22"/>
              </w:rPr>
              <w:t>KCWI-TV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19FAD7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1,043,811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5CEC69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$7,541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8A4575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3B81E1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$10,545 </w:t>
            </w:r>
          </w:p>
        </w:tc>
      </w:tr>
      <w:tr w14:paraId="3AAB5EDC"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E727362" w14:textId="77777777">
            <w:pPr>
              <w:widowControl/>
              <w:jc w:val="center"/>
              <w:rPr>
                <w:rFonts w:ascii="Calibri" w:hAnsi="Calibri" w:cs="Calibri"/>
                <w:snapToGrid/>
                <w:kern w:val="0"/>
                <w:szCs w:val="22"/>
              </w:rPr>
            </w:pPr>
            <w:r w:rsidRPr="00A032ED">
              <w:rPr>
                <w:rFonts w:ascii="Calibri" w:hAnsi="Calibri" w:cs="Calibri"/>
                <w:snapToGrid/>
                <w:kern w:val="0"/>
                <w:szCs w:val="22"/>
              </w:rPr>
              <w:t>KEYT-TV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7C163E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1,419,564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1232F1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$10,255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DD2AE2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6708A9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$7,353 </w:t>
            </w:r>
          </w:p>
        </w:tc>
        <w:tc>
          <w:tcPr>
            <w:tcW w:w="266" w:type="dxa"/>
            <w:tcBorders>
              <w:top w:val="nil"/>
              <w:left w:val="nil"/>
              <w:bottom w:val="nil"/>
              <w:right w:val="nil"/>
            </w:tcBorders>
            <w:shd w:val="clear" w:color="auto" w:fill="auto"/>
            <w:noWrap/>
            <w:vAlign w:val="bottom"/>
            <w:hideMark/>
          </w:tcPr>
          <w:p w:rsidR="006F7AD6" w:rsidRPr="00A032ED" w:rsidP="00886011" w14:paraId="66820DD6"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659A70E" w14:textId="77777777">
            <w:pPr>
              <w:widowControl/>
              <w:jc w:val="center"/>
              <w:rPr>
                <w:rFonts w:ascii="Calibri" w:hAnsi="Calibri" w:cs="Calibri"/>
                <w:snapToGrid/>
                <w:kern w:val="0"/>
                <w:szCs w:val="22"/>
              </w:rPr>
            </w:pPr>
            <w:r w:rsidRPr="00A032ED">
              <w:rPr>
                <w:rFonts w:ascii="Calibri" w:hAnsi="Calibri" w:cs="Calibri"/>
                <w:snapToGrid/>
                <w:kern w:val="0"/>
                <w:szCs w:val="22"/>
              </w:rPr>
              <w:t>KCWV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86A958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207,398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BF76D4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$1,498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E27313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097628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$2,974 </w:t>
            </w:r>
          </w:p>
        </w:tc>
      </w:tr>
      <w:tr w14:paraId="7CF5146F"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B62EFE4" w14:textId="77777777">
            <w:pPr>
              <w:widowControl/>
              <w:jc w:val="center"/>
              <w:rPr>
                <w:rFonts w:ascii="Calibri" w:hAnsi="Calibri" w:cs="Calibri"/>
                <w:snapToGrid/>
                <w:kern w:val="0"/>
                <w:szCs w:val="22"/>
              </w:rPr>
            </w:pPr>
            <w:r w:rsidRPr="00A032ED">
              <w:rPr>
                <w:rFonts w:ascii="Calibri" w:hAnsi="Calibri" w:cs="Calibri"/>
                <w:snapToGrid/>
                <w:kern w:val="0"/>
                <w:szCs w:val="22"/>
              </w:rPr>
              <w:t>KEYU</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D99F31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339,348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60F9D7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$2,452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018851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7B7B42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$3,451 </w:t>
            </w:r>
          </w:p>
        </w:tc>
        <w:tc>
          <w:tcPr>
            <w:tcW w:w="266" w:type="dxa"/>
            <w:tcBorders>
              <w:top w:val="nil"/>
              <w:left w:val="nil"/>
              <w:bottom w:val="nil"/>
              <w:right w:val="nil"/>
            </w:tcBorders>
            <w:shd w:val="clear" w:color="auto" w:fill="auto"/>
            <w:noWrap/>
            <w:vAlign w:val="bottom"/>
            <w:hideMark/>
          </w:tcPr>
          <w:p w:rsidR="006F7AD6" w:rsidRPr="00A032ED" w:rsidP="00886011" w14:paraId="5D871781"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29D99E4" w14:textId="77777777">
            <w:pPr>
              <w:widowControl/>
              <w:jc w:val="center"/>
              <w:rPr>
                <w:rFonts w:ascii="Calibri" w:hAnsi="Calibri" w:cs="Calibri"/>
                <w:snapToGrid/>
                <w:kern w:val="0"/>
                <w:szCs w:val="22"/>
              </w:rPr>
            </w:pPr>
            <w:r w:rsidRPr="00A032ED">
              <w:rPr>
                <w:rFonts w:ascii="Calibri" w:hAnsi="Calibri" w:cs="Calibri"/>
                <w:snapToGrid/>
                <w:kern w:val="0"/>
                <w:szCs w:val="22"/>
              </w:rPr>
              <w:t>KCWX</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325742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3,961,044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EE4E79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$28,616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E9537E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D8EDE5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$27,883 </w:t>
            </w:r>
          </w:p>
        </w:tc>
      </w:tr>
      <w:tr w14:paraId="6AAE9104"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11DDC2F" w14:textId="77777777">
            <w:pPr>
              <w:widowControl/>
              <w:jc w:val="center"/>
              <w:rPr>
                <w:rFonts w:ascii="Calibri" w:hAnsi="Calibri" w:cs="Calibri"/>
                <w:snapToGrid/>
                <w:kern w:val="0"/>
                <w:szCs w:val="22"/>
              </w:rPr>
            </w:pPr>
            <w:r w:rsidRPr="00A032ED">
              <w:rPr>
                <w:rFonts w:ascii="Calibri" w:hAnsi="Calibri" w:cs="Calibri"/>
                <w:snapToGrid/>
                <w:kern w:val="0"/>
                <w:szCs w:val="22"/>
              </w:rPr>
              <w:t>KEZI</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194ECA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885,667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94702D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$6,398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444622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E760B3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$5,424 </w:t>
            </w:r>
          </w:p>
        </w:tc>
        <w:tc>
          <w:tcPr>
            <w:tcW w:w="266" w:type="dxa"/>
            <w:tcBorders>
              <w:top w:val="nil"/>
              <w:left w:val="nil"/>
              <w:bottom w:val="nil"/>
              <w:right w:val="nil"/>
            </w:tcBorders>
            <w:shd w:val="clear" w:color="auto" w:fill="auto"/>
            <w:noWrap/>
            <w:vAlign w:val="bottom"/>
            <w:hideMark/>
          </w:tcPr>
          <w:p w:rsidR="006F7AD6" w:rsidRPr="00A032ED" w:rsidP="00886011" w14:paraId="31984A44"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A65E905" w14:textId="77777777">
            <w:pPr>
              <w:widowControl/>
              <w:jc w:val="center"/>
              <w:rPr>
                <w:rFonts w:ascii="Calibri" w:hAnsi="Calibri" w:cs="Calibri"/>
                <w:snapToGrid/>
                <w:kern w:val="0"/>
                <w:szCs w:val="22"/>
              </w:rPr>
            </w:pPr>
            <w:r w:rsidRPr="00A032ED">
              <w:rPr>
                <w:rFonts w:ascii="Calibri" w:hAnsi="Calibri" w:cs="Calibri"/>
                <w:snapToGrid/>
                <w:kern w:val="0"/>
                <w:szCs w:val="22"/>
              </w:rPr>
              <w:t>KCWY-DT</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2A9483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79,948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345742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$578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A85B8E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7148E9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$2,514 </w:t>
            </w:r>
          </w:p>
        </w:tc>
      </w:tr>
      <w:tr w14:paraId="36ED975A"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5FE2AC8" w14:textId="77777777">
            <w:pPr>
              <w:widowControl/>
              <w:jc w:val="center"/>
              <w:rPr>
                <w:rFonts w:ascii="Calibri" w:hAnsi="Calibri" w:cs="Calibri"/>
                <w:snapToGrid/>
                <w:kern w:val="0"/>
                <w:szCs w:val="22"/>
              </w:rPr>
            </w:pPr>
            <w:r w:rsidRPr="00A032ED">
              <w:rPr>
                <w:rFonts w:ascii="Calibri" w:hAnsi="Calibri" w:cs="Calibri"/>
                <w:snapToGrid/>
                <w:kern w:val="0"/>
                <w:szCs w:val="22"/>
              </w:rPr>
              <w:t>KFBB-TV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2BC1CD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93,519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5AA2F7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$676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CEB517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AA0A09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$2,563 </w:t>
            </w:r>
          </w:p>
        </w:tc>
        <w:tc>
          <w:tcPr>
            <w:tcW w:w="266" w:type="dxa"/>
            <w:tcBorders>
              <w:top w:val="nil"/>
              <w:left w:val="nil"/>
              <w:bottom w:val="nil"/>
              <w:right w:val="nil"/>
            </w:tcBorders>
            <w:shd w:val="clear" w:color="auto" w:fill="auto"/>
            <w:noWrap/>
            <w:vAlign w:val="bottom"/>
            <w:hideMark/>
          </w:tcPr>
          <w:p w:rsidR="006F7AD6" w:rsidRPr="00A032ED" w:rsidP="00886011" w14:paraId="5F3D8557"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6313531" w14:textId="77777777">
            <w:pPr>
              <w:widowControl/>
              <w:jc w:val="center"/>
              <w:rPr>
                <w:rFonts w:ascii="Calibri" w:hAnsi="Calibri" w:cs="Calibri"/>
                <w:snapToGrid/>
                <w:kern w:val="0"/>
                <w:szCs w:val="22"/>
              </w:rPr>
            </w:pPr>
            <w:r w:rsidRPr="00A032ED">
              <w:rPr>
                <w:rFonts w:ascii="Calibri" w:hAnsi="Calibri" w:cs="Calibri"/>
                <w:snapToGrid/>
                <w:kern w:val="0"/>
                <w:szCs w:val="22"/>
              </w:rPr>
              <w:t>KDAF</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8D289C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6,648,507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FFD074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$48,031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90D73D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422679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$51,016 </w:t>
            </w:r>
          </w:p>
        </w:tc>
      </w:tr>
      <w:tr w14:paraId="4375891B"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3D41CB4" w14:textId="77777777">
            <w:pPr>
              <w:widowControl/>
              <w:jc w:val="center"/>
              <w:rPr>
                <w:rFonts w:ascii="Calibri" w:hAnsi="Calibri" w:cs="Calibri"/>
                <w:snapToGrid/>
                <w:kern w:val="0"/>
                <w:szCs w:val="22"/>
              </w:rPr>
            </w:pPr>
            <w:r w:rsidRPr="00A032ED">
              <w:rPr>
                <w:rFonts w:ascii="Calibri" w:hAnsi="Calibri" w:cs="Calibri"/>
                <w:snapToGrid/>
                <w:kern w:val="0"/>
                <w:szCs w:val="22"/>
              </w:rPr>
              <w:t>KFCT</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B5E0A6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795,114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1C198D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$5,744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B1122E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B74FDF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$23,210 </w:t>
            </w:r>
          </w:p>
        </w:tc>
        <w:tc>
          <w:tcPr>
            <w:tcW w:w="266" w:type="dxa"/>
            <w:tcBorders>
              <w:top w:val="nil"/>
              <w:left w:val="nil"/>
              <w:bottom w:val="nil"/>
              <w:right w:val="nil"/>
            </w:tcBorders>
            <w:shd w:val="clear" w:color="auto" w:fill="auto"/>
            <w:noWrap/>
            <w:vAlign w:val="bottom"/>
            <w:hideMark/>
          </w:tcPr>
          <w:p w:rsidR="006F7AD6" w:rsidRPr="00A032ED" w:rsidP="00886011" w14:paraId="223FC4EC"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372638F" w14:textId="77777777">
            <w:pPr>
              <w:widowControl/>
              <w:jc w:val="center"/>
              <w:rPr>
                <w:rFonts w:ascii="Calibri" w:hAnsi="Calibri" w:cs="Calibri"/>
                <w:snapToGrid/>
                <w:kern w:val="0"/>
                <w:szCs w:val="22"/>
              </w:rPr>
            </w:pPr>
            <w:r w:rsidRPr="00A032ED">
              <w:rPr>
                <w:rFonts w:ascii="Calibri" w:hAnsi="Calibri" w:cs="Calibri"/>
                <w:snapToGrid/>
                <w:kern w:val="0"/>
                <w:szCs w:val="22"/>
              </w:rPr>
              <w:t>KDBC-TV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66225E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1,015,564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E5547F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$7,337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8B7A7C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8AC423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$10,443 </w:t>
            </w:r>
          </w:p>
        </w:tc>
      </w:tr>
      <w:tr w14:paraId="70DB8653"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F19A914" w14:textId="77777777">
            <w:pPr>
              <w:widowControl/>
              <w:jc w:val="center"/>
              <w:rPr>
                <w:rFonts w:ascii="Calibri" w:hAnsi="Calibri" w:cs="Calibri"/>
                <w:snapToGrid/>
                <w:kern w:val="0"/>
                <w:szCs w:val="22"/>
              </w:rPr>
            </w:pPr>
            <w:r w:rsidRPr="00A032ED">
              <w:rPr>
                <w:rFonts w:ascii="Calibri" w:hAnsi="Calibri" w:cs="Calibri"/>
                <w:snapToGrid/>
                <w:kern w:val="0"/>
                <w:szCs w:val="22"/>
              </w:rPr>
              <w:t>KFDA-TV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67816B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385,064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80B678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$2,782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88EAC9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47FBF7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$3,616 </w:t>
            </w:r>
          </w:p>
        </w:tc>
        <w:tc>
          <w:tcPr>
            <w:tcW w:w="266" w:type="dxa"/>
            <w:tcBorders>
              <w:top w:val="nil"/>
              <w:left w:val="nil"/>
              <w:bottom w:val="nil"/>
              <w:right w:val="nil"/>
            </w:tcBorders>
            <w:shd w:val="clear" w:color="auto" w:fill="auto"/>
            <w:noWrap/>
            <w:vAlign w:val="bottom"/>
            <w:hideMark/>
          </w:tcPr>
          <w:p w:rsidR="006F7AD6" w:rsidRPr="00A032ED" w:rsidP="00886011" w14:paraId="63E15BA6"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785CF49" w14:textId="77777777">
            <w:pPr>
              <w:widowControl/>
              <w:jc w:val="center"/>
              <w:rPr>
                <w:rFonts w:ascii="Calibri" w:hAnsi="Calibri" w:cs="Calibri"/>
                <w:snapToGrid/>
                <w:kern w:val="0"/>
                <w:szCs w:val="22"/>
              </w:rPr>
            </w:pPr>
            <w:r w:rsidRPr="00A032ED">
              <w:rPr>
                <w:rFonts w:ascii="Calibri" w:hAnsi="Calibri" w:cs="Calibri"/>
                <w:snapToGrid/>
                <w:kern w:val="0"/>
                <w:szCs w:val="22"/>
              </w:rPr>
              <w:t>KDCU-DT</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36E178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796,251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188B6F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$5,752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4DFC1F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720655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$9,651 </w:t>
            </w:r>
          </w:p>
        </w:tc>
      </w:tr>
      <w:tr w14:paraId="35D2FE45"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0BD1D4F" w14:textId="77777777">
            <w:pPr>
              <w:widowControl/>
              <w:jc w:val="center"/>
              <w:rPr>
                <w:rFonts w:ascii="Calibri" w:hAnsi="Calibri" w:cs="Calibri"/>
                <w:snapToGrid/>
                <w:kern w:val="0"/>
                <w:szCs w:val="22"/>
              </w:rPr>
            </w:pPr>
            <w:r w:rsidRPr="00A032ED">
              <w:rPr>
                <w:rFonts w:ascii="Calibri" w:hAnsi="Calibri" w:cs="Calibri"/>
                <w:snapToGrid/>
                <w:kern w:val="0"/>
                <w:szCs w:val="22"/>
              </w:rPr>
              <w:t>KFDM</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21A1C9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732,665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EC8A6B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$5,293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2B0F26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9513D0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$4,872 </w:t>
            </w:r>
          </w:p>
        </w:tc>
        <w:tc>
          <w:tcPr>
            <w:tcW w:w="266" w:type="dxa"/>
            <w:tcBorders>
              <w:top w:val="nil"/>
              <w:left w:val="nil"/>
              <w:bottom w:val="nil"/>
              <w:right w:val="nil"/>
            </w:tcBorders>
            <w:shd w:val="clear" w:color="auto" w:fill="auto"/>
            <w:noWrap/>
            <w:vAlign w:val="bottom"/>
            <w:hideMark/>
          </w:tcPr>
          <w:p w:rsidR="006F7AD6" w:rsidRPr="00A032ED" w:rsidP="00886011" w14:paraId="2C9F11EE"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D7FAFE0" w14:textId="77777777">
            <w:pPr>
              <w:widowControl/>
              <w:jc w:val="center"/>
              <w:rPr>
                <w:rFonts w:ascii="Calibri" w:hAnsi="Calibri" w:cs="Calibri"/>
                <w:snapToGrid/>
                <w:kern w:val="0"/>
                <w:szCs w:val="22"/>
              </w:rPr>
            </w:pPr>
            <w:r w:rsidRPr="00A032ED">
              <w:rPr>
                <w:rFonts w:ascii="Calibri" w:hAnsi="Calibri" w:cs="Calibri"/>
                <w:snapToGrid/>
                <w:kern w:val="0"/>
                <w:szCs w:val="22"/>
              </w:rPr>
              <w:t>KDEN-TV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68B0B1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3,376,799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F35BF7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$24,395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BFFC61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E60777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$32,535 </w:t>
            </w:r>
          </w:p>
        </w:tc>
      </w:tr>
      <w:tr w14:paraId="7FAA387B"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A717D32" w14:textId="77777777">
            <w:pPr>
              <w:widowControl/>
              <w:jc w:val="center"/>
              <w:rPr>
                <w:rFonts w:ascii="Calibri" w:hAnsi="Calibri" w:cs="Calibri"/>
                <w:snapToGrid/>
                <w:kern w:val="0"/>
                <w:szCs w:val="22"/>
              </w:rPr>
            </w:pPr>
            <w:r w:rsidRPr="00A032ED">
              <w:rPr>
                <w:rFonts w:ascii="Calibri" w:hAnsi="Calibri" w:cs="Calibri"/>
                <w:snapToGrid/>
                <w:kern w:val="0"/>
                <w:szCs w:val="22"/>
              </w:rPr>
              <w:t>KICU-TV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EDCE91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8,233,041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BE6EFF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$59,479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591DEF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82418C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$56,739 </w:t>
            </w:r>
          </w:p>
        </w:tc>
        <w:tc>
          <w:tcPr>
            <w:tcW w:w="266" w:type="dxa"/>
            <w:tcBorders>
              <w:top w:val="nil"/>
              <w:left w:val="nil"/>
              <w:bottom w:val="nil"/>
              <w:right w:val="nil"/>
            </w:tcBorders>
            <w:shd w:val="clear" w:color="auto" w:fill="auto"/>
            <w:noWrap/>
            <w:vAlign w:val="bottom"/>
            <w:hideMark/>
          </w:tcPr>
          <w:p w:rsidR="006F7AD6" w:rsidRPr="00A032ED" w:rsidP="00886011" w14:paraId="7BD66838"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B6930D1" w14:textId="77777777">
            <w:pPr>
              <w:widowControl/>
              <w:jc w:val="center"/>
              <w:rPr>
                <w:rFonts w:ascii="Calibri" w:hAnsi="Calibri" w:cs="Calibri"/>
                <w:snapToGrid/>
                <w:kern w:val="0"/>
                <w:szCs w:val="22"/>
              </w:rPr>
            </w:pPr>
            <w:r w:rsidRPr="00A032ED">
              <w:rPr>
                <w:rFonts w:ascii="Calibri" w:hAnsi="Calibri" w:cs="Calibri"/>
                <w:snapToGrid/>
                <w:kern w:val="0"/>
                <w:szCs w:val="22"/>
              </w:rPr>
              <w:t>KDFI</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D82A12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6,605,830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76D76A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$47,723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D6D35C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1B45EE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$50,861 </w:t>
            </w:r>
          </w:p>
        </w:tc>
      </w:tr>
      <w:tr w14:paraId="21EAA3BE"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045C218" w14:textId="77777777">
            <w:pPr>
              <w:widowControl/>
              <w:jc w:val="center"/>
              <w:rPr>
                <w:rFonts w:ascii="Calibri" w:hAnsi="Calibri" w:cs="Calibri"/>
                <w:snapToGrid/>
                <w:kern w:val="0"/>
                <w:szCs w:val="22"/>
              </w:rPr>
            </w:pPr>
            <w:r w:rsidRPr="00A032ED">
              <w:rPr>
                <w:rFonts w:ascii="Calibri" w:hAnsi="Calibri" w:cs="Calibri"/>
                <w:snapToGrid/>
                <w:kern w:val="0"/>
                <w:szCs w:val="22"/>
              </w:rPr>
              <w:t>KIDK</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F33E36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              305,509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4A84B6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$2,207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761657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E7F59A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$3,329 </w:t>
            </w:r>
          </w:p>
        </w:tc>
        <w:tc>
          <w:tcPr>
            <w:tcW w:w="266" w:type="dxa"/>
            <w:tcBorders>
              <w:top w:val="nil"/>
              <w:left w:val="nil"/>
              <w:bottom w:val="nil"/>
              <w:right w:val="nil"/>
            </w:tcBorders>
            <w:shd w:val="clear" w:color="auto" w:fill="auto"/>
            <w:noWrap/>
            <w:vAlign w:val="bottom"/>
            <w:hideMark/>
          </w:tcPr>
          <w:p w:rsidR="006F7AD6" w:rsidRPr="00A032ED" w:rsidP="00886011" w14:paraId="469F556D"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99D16CE" w14:textId="77777777">
            <w:pPr>
              <w:widowControl/>
              <w:jc w:val="center"/>
              <w:rPr>
                <w:rFonts w:ascii="Calibri" w:hAnsi="Calibri" w:cs="Calibri"/>
                <w:snapToGrid/>
                <w:kern w:val="0"/>
                <w:szCs w:val="22"/>
              </w:rPr>
            </w:pPr>
            <w:r w:rsidRPr="00A032ED">
              <w:rPr>
                <w:rFonts w:ascii="Calibri" w:hAnsi="Calibri" w:cs="Calibri"/>
                <w:snapToGrid/>
                <w:kern w:val="0"/>
                <w:szCs w:val="22"/>
              </w:rPr>
              <w:t>KDFW</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A80BF5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6,658,976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83A4D8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$48,107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FBCAF0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4934C8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$51,053 </w:t>
            </w:r>
          </w:p>
        </w:tc>
      </w:tr>
      <w:tr w14:paraId="7AABC61A"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1987050" w14:textId="77777777">
            <w:pPr>
              <w:widowControl/>
              <w:jc w:val="center"/>
              <w:rPr>
                <w:rFonts w:ascii="Calibri" w:hAnsi="Calibri" w:cs="Calibri"/>
                <w:snapToGrid/>
                <w:kern w:val="0"/>
                <w:szCs w:val="22"/>
              </w:rPr>
            </w:pPr>
            <w:r w:rsidRPr="00A032ED">
              <w:rPr>
                <w:rFonts w:ascii="Calibri" w:hAnsi="Calibri" w:cs="Calibri"/>
                <w:snapToGrid/>
                <w:kern w:val="0"/>
                <w:szCs w:val="22"/>
              </w:rPr>
              <w:t>KIDY</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019810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              116,614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D78E7A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$842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25CBFC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B35E64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$2,646 </w:t>
            </w:r>
          </w:p>
        </w:tc>
        <w:tc>
          <w:tcPr>
            <w:tcW w:w="266" w:type="dxa"/>
            <w:tcBorders>
              <w:top w:val="nil"/>
              <w:left w:val="nil"/>
              <w:bottom w:val="nil"/>
              <w:right w:val="nil"/>
            </w:tcBorders>
            <w:shd w:val="clear" w:color="auto" w:fill="auto"/>
            <w:noWrap/>
            <w:vAlign w:val="bottom"/>
            <w:hideMark/>
          </w:tcPr>
          <w:p w:rsidR="006F7AD6" w:rsidRPr="00A032ED" w:rsidP="00886011" w14:paraId="7DD0C381"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CE91A28" w14:textId="77777777">
            <w:pPr>
              <w:widowControl/>
              <w:jc w:val="center"/>
              <w:rPr>
                <w:rFonts w:ascii="Calibri" w:hAnsi="Calibri" w:cs="Calibri"/>
                <w:snapToGrid/>
                <w:kern w:val="0"/>
                <w:szCs w:val="22"/>
              </w:rPr>
            </w:pPr>
            <w:r w:rsidRPr="00A032ED">
              <w:rPr>
                <w:rFonts w:ascii="Calibri" w:hAnsi="Calibri" w:cs="Calibri"/>
                <w:snapToGrid/>
                <w:kern w:val="0"/>
                <w:szCs w:val="22"/>
              </w:rPr>
              <w:t>KFDX-TV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59D58C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          381,703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062D75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$2,758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AEC7F7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DE30E6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$3,604 </w:t>
            </w:r>
          </w:p>
        </w:tc>
      </w:tr>
      <w:tr w14:paraId="5571F943"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ADBC0FE" w14:textId="77777777">
            <w:pPr>
              <w:widowControl/>
              <w:jc w:val="center"/>
              <w:rPr>
                <w:rFonts w:ascii="Calibri" w:hAnsi="Calibri" w:cs="Calibri"/>
                <w:snapToGrid/>
                <w:kern w:val="0"/>
                <w:szCs w:val="22"/>
              </w:rPr>
            </w:pPr>
            <w:r w:rsidRPr="00A032ED">
              <w:rPr>
                <w:rFonts w:ascii="Calibri" w:hAnsi="Calibri" w:cs="Calibri"/>
                <w:snapToGrid/>
                <w:kern w:val="0"/>
                <w:szCs w:val="22"/>
              </w:rPr>
              <w:t>KIEM-TV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B87995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174,390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C12092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$1,260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AF6DF2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BDB08B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$2,855 </w:t>
            </w:r>
          </w:p>
        </w:tc>
        <w:tc>
          <w:tcPr>
            <w:tcW w:w="266" w:type="dxa"/>
            <w:tcBorders>
              <w:top w:val="nil"/>
              <w:left w:val="nil"/>
              <w:bottom w:val="nil"/>
              <w:right w:val="nil"/>
            </w:tcBorders>
            <w:shd w:val="clear" w:color="auto" w:fill="auto"/>
            <w:noWrap/>
            <w:vAlign w:val="bottom"/>
            <w:hideMark/>
          </w:tcPr>
          <w:p w:rsidR="006F7AD6" w:rsidRPr="00A032ED" w:rsidP="00886011" w14:paraId="1CEB68B9"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E1D32E3" w14:textId="77777777">
            <w:pPr>
              <w:widowControl/>
              <w:jc w:val="center"/>
              <w:rPr>
                <w:rFonts w:ascii="Calibri" w:hAnsi="Calibri" w:cs="Calibri"/>
                <w:snapToGrid/>
                <w:kern w:val="0"/>
                <w:szCs w:val="22"/>
              </w:rPr>
            </w:pPr>
            <w:r w:rsidRPr="00A032ED">
              <w:rPr>
                <w:rFonts w:ascii="Calibri" w:hAnsi="Calibri" w:cs="Calibri"/>
                <w:snapToGrid/>
                <w:kern w:val="0"/>
                <w:szCs w:val="22"/>
              </w:rPr>
              <w:t>KFFV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135F25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3,783,380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D9F2FE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$27,333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EFD762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CAA89B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$34,004 </w:t>
            </w:r>
          </w:p>
        </w:tc>
      </w:tr>
      <w:tr w14:paraId="4084A8E7"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07459A2" w14:textId="77777777">
            <w:pPr>
              <w:widowControl/>
              <w:jc w:val="center"/>
              <w:rPr>
                <w:rFonts w:ascii="Calibri" w:hAnsi="Calibri" w:cs="Calibri"/>
                <w:snapToGrid/>
                <w:kern w:val="0"/>
                <w:szCs w:val="22"/>
              </w:rPr>
            </w:pPr>
            <w:r w:rsidRPr="00A032ED">
              <w:rPr>
                <w:rFonts w:ascii="Calibri" w:hAnsi="Calibri" w:cs="Calibri"/>
                <w:snapToGrid/>
                <w:kern w:val="0"/>
                <w:szCs w:val="22"/>
              </w:rPr>
              <w:t>KIFI-TV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A9F4A9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325,086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BFE035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$2,349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AD2CAB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3B7AB7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$3,399 </w:t>
            </w:r>
          </w:p>
        </w:tc>
        <w:tc>
          <w:tcPr>
            <w:tcW w:w="266" w:type="dxa"/>
            <w:tcBorders>
              <w:top w:val="nil"/>
              <w:left w:val="nil"/>
              <w:bottom w:val="nil"/>
              <w:right w:val="nil"/>
            </w:tcBorders>
            <w:shd w:val="clear" w:color="auto" w:fill="auto"/>
            <w:noWrap/>
            <w:vAlign w:val="bottom"/>
            <w:hideMark/>
          </w:tcPr>
          <w:p w:rsidR="006F7AD6" w:rsidRPr="00A032ED" w:rsidP="00886011" w14:paraId="0839DE08"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F079EAA" w14:textId="77777777">
            <w:pPr>
              <w:widowControl/>
              <w:jc w:val="center"/>
              <w:rPr>
                <w:rFonts w:ascii="Calibri" w:hAnsi="Calibri" w:cs="Calibri"/>
                <w:snapToGrid/>
                <w:kern w:val="0"/>
                <w:szCs w:val="22"/>
              </w:rPr>
            </w:pPr>
            <w:r w:rsidRPr="00A032ED">
              <w:rPr>
                <w:rFonts w:ascii="Calibri" w:hAnsi="Calibri" w:cs="Calibri"/>
                <w:snapToGrid/>
                <w:kern w:val="0"/>
                <w:szCs w:val="22"/>
              </w:rPr>
              <w:t>KFFX-TV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25EBDB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409,952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7A10D2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$2,962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881FAF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D869EB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$3,706 </w:t>
            </w:r>
          </w:p>
        </w:tc>
      </w:tr>
      <w:tr w14:paraId="0BDB574E"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C508381" w14:textId="77777777">
            <w:pPr>
              <w:widowControl/>
              <w:jc w:val="center"/>
              <w:rPr>
                <w:rFonts w:ascii="Calibri" w:hAnsi="Calibri" w:cs="Calibri"/>
                <w:snapToGrid/>
                <w:kern w:val="0"/>
                <w:szCs w:val="22"/>
              </w:rPr>
            </w:pPr>
            <w:r w:rsidRPr="00A032ED">
              <w:rPr>
                <w:rFonts w:ascii="Calibri" w:hAnsi="Calibri" w:cs="Calibri"/>
                <w:snapToGrid/>
                <w:kern w:val="0"/>
                <w:szCs w:val="22"/>
              </w:rPr>
              <w:t>KIII</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7D1C0A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569,864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4D9C4B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$4,117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15CF49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6209A6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$4,283 </w:t>
            </w:r>
          </w:p>
        </w:tc>
        <w:tc>
          <w:tcPr>
            <w:tcW w:w="266" w:type="dxa"/>
            <w:tcBorders>
              <w:top w:val="nil"/>
              <w:left w:val="nil"/>
              <w:bottom w:val="nil"/>
              <w:right w:val="nil"/>
            </w:tcBorders>
            <w:shd w:val="clear" w:color="auto" w:fill="auto"/>
            <w:noWrap/>
            <w:vAlign w:val="bottom"/>
            <w:hideMark/>
          </w:tcPr>
          <w:p w:rsidR="006F7AD6" w:rsidRPr="00A032ED" w:rsidP="00886011" w14:paraId="7BD02EF7"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CA6B9DB" w14:textId="77777777">
            <w:pPr>
              <w:widowControl/>
              <w:jc w:val="center"/>
              <w:rPr>
                <w:rFonts w:ascii="Calibri" w:hAnsi="Calibri" w:cs="Calibri"/>
                <w:snapToGrid/>
                <w:kern w:val="0"/>
                <w:szCs w:val="22"/>
              </w:rPr>
            </w:pPr>
            <w:r w:rsidRPr="00A032ED">
              <w:rPr>
                <w:rFonts w:ascii="Calibri" w:hAnsi="Calibri" w:cs="Calibri"/>
                <w:snapToGrid/>
                <w:kern w:val="0"/>
                <w:szCs w:val="22"/>
              </w:rPr>
              <w:t>KFJX</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334F7C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515,708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212527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$3,726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3F1F8B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4DF76C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$4,088 </w:t>
            </w:r>
          </w:p>
        </w:tc>
      </w:tr>
      <w:tr w14:paraId="78D1052D"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8B0FD9C" w14:textId="77777777">
            <w:pPr>
              <w:widowControl/>
              <w:jc w:val="center"/>
              <w:rPr>
                <w:rFonts w:ascii="Calibri" w:hAnsi="Calibri" w:cs="Calibri"/>
                <w:snapToGrid/>
                <w:kern w:val="0"/>
                <w:szCs w:val="22"/>
              </w:rPr>
            </w:pPr>
            <w:r w:rsidRPr="00A032ED">
              <w:rPr>
                <w:rFonts w:ascii="Calibri" w:hAnsi="Calibri" w:cs="Calibri"/>
                <w:snapToGrid/>
                <w:kern w:val="0"/>
                <w:szCs w:val="22"/>
              </w:rPr>
              <w:t>KIKU</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8FE454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953,896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DB5901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$6,891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965722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3D9646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$10,221 </w:t>
            </w:r>
          </w:p>
        </w:tc>
        <w:tc>
          <w:tcPr>
            <w:tcW w:w="266" w:type="dxa"/>
            <w:tcBorders>
              <w:top w:val="nil"/>
              <w:left w:val="nil"/>
              <w:bottom w:val="nil"/>
              <w:right w:val="nil"/>
            </w:tcBorders>
            <w:shd w:val="clear" w:color="auto" w:fill="auto"/>
            <w:noWrap/>
            <w:vAlign w:val="bottom"/>
            <w:hideMark/>
          </w:tcPr>
          <w:p w:rsidR="006F7AD6" w:rsidRPr="00A032ED" w:rsidP="00886011" w14:paraId="15ED0D79"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22A96D3" w14:textId="77777777">
            <w:pPr>
              <w:widowControl/>
              <w:jc w:val="center"/>
              <w:rPr>
                <w:rFonts w:ascii="Calibri" w:hAnsi="Calibri" w:cs="Calibri"/>
                <w:snapToGrid/>
                <w:kern w:val="0"/>
                <w:szCs w:val="22"/>
              </w:rPr>
            </w:pPr>
            <w:r w:rsidRPr="00A032ED">
              <w:rPr>
                <w:rFonts w:ascii="Calibri" w:hAnsi="Calibri" w:cs="Calibri"/>
                <w:snapToGrid/>
                <w:kern w:val="0"/>
                <w:szCs w:val="22"/>
              </w:rPr>
              <w:t>KFMB-TV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6E8FB8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3,947,735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305A8C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$28,520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B28D28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822598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$27,835 </w:t>
            </w:r>
          </w:p>
        </w:tc>
      </w:tr>
      <w:tr w14:paraId="20B3B7DC"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5C08297" w14:textId="77777777">
            <w:pPr>
              <w:widowControl/>
              <w:jc w:val="center"/>
              <w:rPr>
                <w:rFonts w:ascii="Calibri" w:hAnsi="Calibri" w:cs="Calibri"/>
                <w:snapToGrid/>
                <w:kern w:val="0"/>
                <w:szCs w:val="22"/>
              </w:rPr>
            </w:pPr>
            <w:r w:rsidRPr="00A032ED">
              <w:rPr>
                <w:rFonts w:ascii="Calibri" w:hAnsi="Calibri" w:cs="Calibri"/>
                <w:snapToGrid/>
                <w:kern w:val="0"/>
                <w:szCs w:val="22"/>
              </w:rPr>
              <w:t>KILM</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55E9C6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17,058,741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9A38C3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$123,239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247D20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852516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$88,619 </w:t>
            </w:r>
          </w:p>
        </w:tc>
        <w:tc>
          <w:tcPr>
            <w:tcW w:w="266" w:type="dxa"/>
            <w:tcBorders>
              <w:top w:val="nil"/>
              <w:left w:val="nil"/>
              <w:bottom w:val="nil"/>
              <w:right w:val="nil"/>
            </w:tcBorders>
            <w:shd w:val="clear" w:color="auto" w:fill="auto"/>
            <w:noWrap/>
            <w:vAlign w:val="bottom"/>
            <w:hideMark/>
          </w:tcPr>
          <w:p w:rsidR="006F7AD6" w:rsidRPr="00A032ED" w:rsidP="00886011" w14:paraId="1908DE77"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44B481C" w14:textId="77777777">
            <w:pPr>
              <w:widowControl/>
              <w:jc w:val="center"/>
              <w:rPr>
                <w:rFonts w:ascii="Calibri" w:hAnsi="Calibri" w:cs="Calibri"/>
                <w:snapToGrid/>
                <w:kern w:val="0"/>
                <w:szCs w:val="22"/>
              </w:rPr>
            </w:pPr>
            <w:r w:rsidRPr="00A032ED">
              <w:rPr>
                <w:rFonts w:ascii="Calibri" w:hAnsi="Calibri" w:cs="Calibri"/>
                <w:snapToGrid/>
                <w:kern w:val="0"/>
                <w:szCs w:val="22"/>
              </w:rPr>
              <w:t>KFNB</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71A1B9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80,382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FA112E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$581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15FC1E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19D758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$2,515 </w:t>
            </w:r>
          </w:p>
        </w:tc>
      </w:tr>
      <w:tr w14:paraId="45B8C9CE"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9A127BF" w14:textId="77777777">
            <w:pPr>
              <w:widowControl/>
              <w:jc w:val="center"/>
              <w:rPr>
                <w:rFonts w:ascii="Calibri" w:hAnsi="Calibri" w:cs="Calibri"/>
                <w:snapToGrid/>
                <w:kern w:val="0"/>
                <w:szCs w:val="22"/>
              </w:rPr>
            </w:pPr>
            <w:r w:rsidRPr="00A032ED">
              <w:rPr>
                <w:rFonts w:ascii="Calibri" w:hAnsi="Calibri" w:cs="Calibri"/>
                <w:snapToGrid/>
                <w:kern w:val="0"/>
                <w:szCs w:val="22"/>
              </w:rPr>
              <w:t>KIMA-TV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67EA66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308,604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3C272F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$2,229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5C24F3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A66D69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$3,340 </w:t>
            </w:r>
          </w:p>
        </w:tc>
        <w:tc>
          <w:tcPr>
            <w:tcW w:w="266" w:type="dxa"/>
            <w:tcBorders>
              <w:top w:val="nil"/>
              <w:left w:val="nil"/>
              <w:bottom w:val="nil"/>
              <w:right w:val="nil"/>
            </w:tcBorders>
            <w:shd w:val="clear" w:color="auto" w:fill="auto"/>
            <w:noWrap/>
            <w:vAlign w:val="bottom"/>
            <w:hideMark/>
          </w:tcPr>
          <w:p w:rsidR="006F7AD6" w:rsidRPr="00A032ED" w:rsidP="00886011" w14:paraId="56441DC0"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E362AFD" w14:textId="77777777">
            <w:pPr>
              <w:widowControl/>
              <w:jc w:val="center"/>
              <w:rPr>
                <w:rFonts w:ascii="Calibri" w:hAnsi="Calibri" w:cs="Calibri"/>
                <w:snapToGrid/>
                <w:kern w:val="0"/>
                <w:szCs w:val="22"/>
              </w:rPr>
            </w:pPr>
            <w:r w:rsidRPr="00A032ED">
              <w:rPr>
                <w:rFonts w:ascii="Calibri" w:hAnsi="Calibri" w:cs="Calibri"/>
                <w:snapToGrid/>
                <w:kern w:val="0"/>
                <w:szCs w:val="22"/>
              </w:rPr>
              <w:t>KFNE</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F1BF66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54,988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EC822E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$397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EF1050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F5B1EC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$2,424 </w:t>
            </w:r>
          </w:p>
        </w:tc>
      </w:tr>
      <w:tr w14:paraId="10CA88DF"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D22B3EF" w14:textId="77777777">
            <w:pPr>
              <w:widowControl/>
              <w:jc w:val="center"/>
              <w:rPr>
                <w:rFonts w:ascii="Calibri" w:hAnsi="Calibri" w:cs="Calibri"/>
                <w:snapToGrid/>
                <w:kern w:val="0"/>
                <w:szCs w:val="22"/>
              </w:rPr>
            </w:pPr>
            <w:r w:rsidRPr="00A032ED">
              <w:rPr>
                <w:rFonts w:ascii="Calibri" w:hAnsi="Calibri" w:cs="Calibri"/>
                <w:snapToGrid/>
                <w:kern w:val="0"/>
                <w:szCs w:val="22"/>
              </w:rPr>
              <w:t>KIMT</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75DB85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702,390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1756CE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$5,074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0E05D9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A7465F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$4,762 </w:t>
            </w:r>
          </w:p>
        </w:tc>
        <w:tc>
          <w:tcPr>
            <w:tcW w:w="266" w:type="dxa"/>
            <w:tcBorders>
              <w:top w:val="nil"/>
              <w:left w:val="nil"/>
              <w:bottom w:val="nil"/>
              <w:right w:val="nil"/>
            </w:tcBorders>
            <w:shd w:val="clear" w:color="auto" w:fill="auto"/>
            <w:noWrap/>
            <w:vAlign w:val="bottom"/>
            <w:hideMark/>
          </w:tcPr>
          <w:p w:rsidR="006F7AD6" w:rsidRPr="00A032ED" w:rsidP="00886011" w14:paraId="2E78ABD5"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664C635" w14:textId="77777777">
            <w:pPr>
              <w:widowControl/>
              <w:jc w:val="center"/>
              <w:rPr>
                <w:rFonts w:ascii="Calibri" w:hAnsi="Calibri" w:cs="Calibri"/>
                <w:snapToGrid/>
                <w:kern w:val="0"/>
                <w:szCs w:val="22"/>
              </w:rPr>
            </w:pPr>
            <w:r w:rsidRPr="00A032ED">
              <w:rPr>
                <w:rFonts w:ascii="Calibri" w:hAnsi="Calibri" w:cs="Calibri"/>
                <w:snapToGrid/>
                <w:kern w:val="0"/>
                <w:szCs w:val="22"/>
              </w:rPr>
              <w:t>KFNR</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314CDD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10,988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0286B9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$79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9B4878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DC1043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$2,265 </w:t>
            </w:r>
          </w:p>
        </w:tc>
      </w:tr>
      <w:tr w14:paraId="5CB0DCAE"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4F187E9" w14:textId="77777777">
            <w:pPr>
              <w:widowControl/>
              <w:jc w:val="center"/>
              <w:rPr>
                <w:rFonts w:ascii="Calibri" w:hAnsi="Calibri" w:cs="Calibri"/>
                <w:snapToGrid/>
                <w:kern w:val="0"/>
                <w:szCs w:val="22"/>
              </w:rPr>
            </w:pPr>
            <w:r w:rsidRPr="00A032ED">
              <w:rPr>
                <w:rFonts w:ascii="Calibri" w:hAnsi="Calibri" w:cs="Calibri"/>
                <w:snapToGrid/>
                <w:kern w:val="0"/>
                <w:szCs w:val="22"/>
              </w:rPr>
              <w:t>KINC</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0F7D8A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2,002,066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F3E49F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$14,464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3A777E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AAF6D3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$20,807 </w:t>
            </w:r>
          </w:p>
        </w:tc>
        <w:tc>
          <w:tcPr>
            <w:tcW w:w="266" w:type="dxa"/>
            <w:tcBorders>
              <w:top w:val="nil"/>
              <w:left w:val="nil"/>
              <w:bottom w:val="nil"/>
              <w:right w:val="nil"/>
            </w:tcBorders>
            <w:shd w:val="clear" w:color="auto" w:fill="auto"/>
            <w:noWrap/>
            <w:vAlign w:val="bottom"/>
            <w:hideMark/>
          </w:tcPr>
          <w:p w:rsidR="006F7AD6" w:rsidRPr="00A032ED" w:rsidP="00886011" w14:paraId="16FE062A"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A3F46A9" w14:textId="77777777">
            <w:pPr>
              <w:widowControl/>
              <w:jc w:val="center"/>
              <w:rPr>
                <w:rFonts w:ascii="Calibri" w:hAnsi="Calibri" w:cs="Calibri"/>
                <w:snapToGrid/>
                <w:kern w:val="0"/>
                <w:szCs w:val="22"/>
              </w:rPr>
            </w:pPr>
            <w:r w:rsidRPr="00A032ED">
              <w:rPr>
                <w:rFonts w:ascii="Calibri" w:hAnsi="Calibri" w:cs="Calibri"/>
                <w:snapToGrid/>
                <w:kern w:val="0"/>
                <w:szCs w:val="22"/>
              </w:rPr>
              <w:t>KFOR-TV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8868D3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1,639,592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CE496A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$11,845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874616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3CA8DD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$19,498 </w:t>
            </w:r>
          </w:p>
        </w:tc>
      </w:tr>
      <w:tr w14:paraId="601A77CF"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80EDC0D" w14:textId="77777777">
            <w:pPr>
              <w:widowControl/>
              <w:jc w:val="center"/>
              <w:rPr>
                <w:rFonts w:ascii="Calibri" w:hAnsi="Calibri" w:cs="Calibri"/>
                <w:snapToGrid/>
                <w:kern w:val="0"/>
                <w:szCs w:val="22"/>
              </w:rPr>
            </w:pPr>
            <w:r w:rsidRPr="00A032ED">
              <w:rPr>
                <w:rFonts w:ascii="Calibri" w:hAnsi="Calibri" w:cs="Calibri"/>
                <w:snapToGrid/>
                <w:kern w:val="0"/>
                <w:szCs w:val="22"/>
              </w:rPr>
              <w:t>KING-TV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D1C943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4,063,674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C6F1CB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$29,357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DAD28F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709641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$35,016 </w:t>
            </w:r>
          </w:p>
        </w:tc>
        <w:tc>
          <w:tcPr>
            <w:tcW w:w="266" w:type="dxa"/>
            <w:tcBorders>
              <w:top w:val="nil"/>
              <w:left w:val="nil"/>
              <w:bottom w:val="nil"/>
              <w:right w:val="nil"/>
            </w:tcBorders>
            <w:shd w:val="clear" w:color="auto" w:fill="auto"/>
            <w:noWrap/>
            <w:vAlign w:val="bottom"/>
            <w:hideMark/>
          </w:tcPr>
          <w:p w:rsidR="006F7AD6" w:rsidRPr="00A032ED" w:rsidP="00886011" w14:paraId="5E50E64C"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09FD0B1" w14:textId="77777777">
            <w:pPr>
              <w:widowControl/>
              <w:jc w:val="center"/>
              <w:rPr>
                <w:rFonts w:ascii="Calibri" w:hAnsi="Calibri" w:cs="Calibri"/>
                <w:snapToGrid/>
                <w:kern w:val="0"/>
                <w:szCs w:val="22"/>
              </w:rPr>
            </w:pPr>
            <w:r w:rsidRPr="00A032ED">
              <w:rPr>
                <w:rFonts w:ascii="Calibri" w:hAnsi="Calibri" w:cs="Calibri"/>
                <w:snapToGrid/>
                <w:kern w:val="0"/>
                <w:szCs w:val="22"/>
              </w:rPr>
              <w:t>KFOX-TV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E16036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1,023,999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D8D258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$7,398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AE4FB1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D82704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$10,474 </w:t>
            </w:r>
          </w:p>
        </w:tc>
      </w:tr>
      <w:tr w14:paraId="2436EDBC"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273317D" w14:textId="77777777">
            <w:pPr>
              <w:widowControl/>
              <w:jc w:val="center"/>
              <w:rPr>
                <w:rFonts w:ascii="Calibri" w:hAnsi="Calibri" w:cs="Calibri"/>
                <w:snapToGrid/>
                <w:kern w:val="0"/>
                <w:szCs w:val="22"/>
              </w:rPr>
            </w:pPr>
            <w:r w:rsidRPr="00A032ED">
              <w:rPr>
                <w:rFonts w:ascii="Calibri" w:hAnsi="Calibri" w:cs="Calibri"/>
                <w:snapToGrid/>
                <w:kern w:val="0"/>
                <w:szCs w:val="22"/>
              </w:rPr>
              <w:t>KINT-TV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83E7AD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1,015,582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FFAD89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$7,337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5537D2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EF4534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$10,443 </w:t>
            </w:r>
          </w:p>
        </w:tc>
        <w:tc>
          <w:tcPr>
            <w:tcW w:w="266" w:type="dxa"/>
            <w:tcBorders>
              <w:top w:val="nil"/>
              <w:left w:val="nil"/>
              <w:bottom w:val="nil"/>
              <w:right w:val="nil"/>
            </w:tcBorders>
            <w:shd w:val="clear" w:color="auto" w:fill="auto"/>
            <w:noWrap/>
            <w:vAlign w:val="bottom"/>
            <w:hideMark/>
          </w:tcPr>
          <w:p w:rsidR="006F7AD6" w:rsidRPr="00A032ED" w:rsidP="00886011" w14:paraId="1E2A8642"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06D5ACE" w14:textId="77777777">
            <w:pPr>
              <w:widowControl/>
              <w:jc w:val="center"/>
              <w:rPr>
                <w:rFonts w:ascii="Calibri" w:hAnsi="Calibri" w:cs="Calibri"/>
                <w:snapToGrid/>
                <w:kern w:val="0"/>
                <w:szCs w:val="22"/>
              </w:rPr>
            </w:pPr>
            <w:r w:rsidRPr="00A032ED">
              <w:rPr>
                <w:rFonts w:ascii="Calibri" w:hAnsi="Calibri" w:cs="Calibri"/>
                <w:snapToGrid/>
                <w:kern w:val="0"/>
                <w:szCs w:val="22"/>
              </w:rPr>
              <w:t>KFPH-DT</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E417FF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347,579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1D69BC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$2,511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12380A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A0B729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$21,593 </w:t>
            </w:r>
          </w:p>
        </w:tc>
      </w:tr>
      <w:tr w14:paraId="3042ABD3"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A4AFCAB" w14:textId="77777777">
            <w:pPr>
              <w:widowControl/>
              <w:jc w:val="center"/>
              <w:rPr>
                <w:rFonts w:ascii="Calibri" w:hAnsi="Calibri" w:cs="Calibri"/>
                <w:snapToGrid/>
                <w:kern w:val="0"/>
                <w:szCs w:val="22"/>
              </w:rPr>
            </w:pPr>
            <w:r w:rsidRPr="00A032ED">
              <w:rPr>
                <w:rFonts w:ascii="Calibri" w:hAnsi="Calibri" w:cs="Calibri"/>
                <w:snapToGrid/>
                <w:kern w:val="0"/>
                <w:szCs w:val="22"/>
              </w:rPr>
              <w:t>KION-TV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9CC0EE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2,400,317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46390A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$17,341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AB1120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60CD18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$10,895 </w:t>
            </w:r>
          </w:p>
        </w:tc>
        <w:tc>
          <w:tcPr>
            <w:tcW w:w="266" w:type="dxa"/>
            <w:tcBorders>
              <w:top w:val="nil"/>
              <w:left w:val="nil"/>
              <w:bottom w:val="nil"/>
              <w:right w:val="nil"/>
            </w:tcBorders>
            <w:shd w:val="clear" w:color="auto" w:fill="auto"/>
            <w:noWrap/>
            <w:vAlign w:val="bottom"/>
            <w:hideMark/>
          </w:tcPr>
          <w:p w:rsidR="006F7AD6" w:rsidRPr="00A032ED" w:rsidP="00886011" w14:paraId="64CF4384"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E5E1B8E" w14:textId="77777777">
            <w:pPr>
              <w:widowControl/>
              <w:jc w:val="center"/>
              <w:rPr>
                <w:rFonts w:ascii="Calibri" w:hAnsi="Calibri" w:cs="Calibri"/>
                <w:snapToGrid/>
                <w:kern w:val="0"/>
                <w:szCs w:val="22"/>
              </w:rPr>
            </w:pPr>
            <w:r w:rsidRPr="00A032ED">
              <w:rPr>
                <w:rFonts w:ascii="Calibri" w:hAnsi="Calibri" w:cs="Calibri"/>
                <w:snapToGrid/>
                <w:kern w:val="0"/>
                <w:szCs w:val="22"/>
              </w:rPr>
              <w:t>KFPX-TV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B54196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963,969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45FB0A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$6,964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609CD7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11C284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$10,257 </w:t>
            </w:r>
          </w:p>
        </w:tc>
      </w:tr>
      <w:tr w14:paraId="038B974D"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8C68AAF" w14:textId="77777777">
            <w:pPr>
              <w:widowControl/>
              <w:jc w:val="center"/>
              <w:rPr>
                <w:rFonts w:ascii="Calibri" w:hAnsi="Calibri" w:cs="Calibri"/>
                <w:snapToGrid/>
                <w:kern w:val="0"/>
                <w:szCs w:val="22"/>
              </w:rPr>
            </w:pPr>
            <w:r w:rsidRPr="00A032ED">
              <w:rPr>
                <w:rFonts w:ascii="Calibri" w:hAnsi="Calibri" w:cs="Calibri"/>
                <w:snapToGrid/>
                <w:kern w:val="0"/>
                <w:szCs w:val="22"/>
              </w:rPr>
              <w:t>KIRO-TV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3C3101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95,004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D4C05A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$686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8818C9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CFA79A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$20,681 </w:t>
            </w:r>
          </w:p>
        </w:tc>
        <w:tc>
          <w:tcPr>
            <w:tcW w:w="266" w:type="dxa"/>
            <w:tcBorders>
              <w:top w:val="nil"/>
              <w:left w:val="nil"/>
              <w:bottom w:val="nil"/>
              <w:right w:val="nil"/>
            </w:tcBorders>
            <w:shd w:val="clear" w:color="auto" w:fill="auto"/>
            <w:noWrap/>
            <w:vAlign w:val="bottom"/>
            <w:hideMark/>
          </w:tcPr>
          <w:p w:rsidR="006F7AD6" w:rsidRPr="00A032ED" w:rsidP="00886011" w14:paraId="3019F9D9"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F92CF2C" w14:textId="77777777">
            <w:pPr>
              <w:widowControl/>
              <w:jc w:val="center"/>
              <w:rPr>
                <w:rFonts w:ascii="Calibri" w:hAnsi="Calibri" w:cs="Calibri"/>
                <w:snapToGrid/>
                <w:kern w:val="0"/>
                <w:szCs w:val="22"/>
              </w:rPr>
            </w:pPr>
            <w:r w:rsidRPr="00A032ED">
              <w:rPr>
                <w:rFonts w:ascii="Calibri" w:hAnsi="Calibri" w:cs="Calibri"/>
                <w:snapToGrid/>
                <w:kern w:val="0"/>
                <w:szCs w:val="22"/>
              </w:rPr>
              <w:t>KFQX</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E22C6E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186,473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735E9A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$1,347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A50B19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4BA8BA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$2,899 </w:t>
            </w:r>
          </w:p>
        </w:tc>
      </w:tr>
      <w:tr w14:paraId="6729C2BA"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D382976" w14:textId="77777777">
            <w:pPr>
              <w:widowControl/>
              <w:jc w:val="center"/>
              <w:rPr>
                <w:rFonts w:ascii="Calibri" w:hAnsi="Calibri" w:cs="Calibri"/>
                <w:snapToGrid/>
                <w:kern w:val="0"/>
                <w:szCs w:val="22"/>
              </w:rPr>
            </w:pPr>
            <w:r w:rsidRPr="00A032ED">
              <w:rPr>
                <w:rFonts w:ascii="Calibri" w:hAnsi="Calibri" w:cs="Calibri"/>
                <w:snapToGrid/>
                <w:kern w:val="0"/>
                <w:szCs w:val="22"/>
              </w:rPr>
              <w:t>KITV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E9B481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953,207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6298B5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$6,886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2D3ABE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D75826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$10,218 </w:t>
            </w:r>
          </w:p>
        </w:tc>
        <w:tc>
          <w:tcPr>
            <w:tcW w:w="266" w:type="dxa"/>
            <w:tcBorders>
              <w:top w:val="nil"/>
              <w:left w:val="nil"/>
              <w:bottom w:val="nil"/>
              <w:right w:val="nil"/>
            </w:tcBorders>
            <w:shd w:val="clear" w:color="auto" w:fill="auto"/>
            <w:noWrap/>
            <w:vAlign w:val="bottom"/>
            <w:hideMark/>
          </w:tcPr>
          <w:p w:rsidR="006F7AD6" w:rsidRPr="00A032ED" w:rsidP="00886011" w14:paraId="20193F1B"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396A895" w14:textId="77777777">
            <w:pPr>
              <w:widowControl/>
              <w:jc w:val="center"/>
              <w:rPr>
                <w:rFonts w:ascii="Calibri" w:hAnsi="Calibri" w:cs="Calibri"/>
                <w:snapToGrid/>
                <w:kern w:val="0"/>
                <w:szCs w:val="22"/>
              </w:rPr>
            </w:pPr>
            <w:r w:rsidRPr="00A032ED">
              <w:rPr>
                <w:rFonts w:ascii="Calibri" w:hAnsi="Calibri" w:cs="Calibri"/>
                <w:snapToGrid/>
                <w:kern w:val="0"/>
                <w:szCs w:val="22"/>
              </w:rPr>
              <w:t>KFRE-TV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5CE115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1,721,275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D7B9C0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$12,435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A1CC00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C00D64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$12,993 </w:t>
            </w:r>
          </w:p>
        </w:tc>
      </w:tr>
      <w:tr w14:paraId="5EB9BCFE"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8203E59" w14:textId="77777777">
            <w:pPr>
              <w:widowControl/>
              <w:jc w:val="center"/>
              <w:rPr>
                <w:rFonts w:ascii="Calibri" w:hAnsi="Calibri" w:cs="Calibri"/>
                <w:snapToGrid/>
                <w:kern w:val="0"/>
                <w:szCs w:val="22"/>
              </w:rPr>
            </w:pPr>
            <w:r w:rsidRPr="00A032ED">
              <w:rPr>
                <w:rFonts w:ascii="Calibri" w:hAnsi="Calibri" w:cs="Calibri"/>
                <w:snapToGrid/>
                <w:kern w:val="0"/>
                <w:szCs w:val="22"/>
              </w:rPr>
              <w:t>KIVI-TV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804C1F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710,819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990D35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$5,135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409024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8A85A4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$4,793 </w:t>
            </w:r>
          </w:p>
        </w:tc>
        <w:tc>
          <w:tcPr>
            <w:tcW w:w="266" w:type="dxa"/>
            <w:tcBorders>
              <w:top w:val="nil"/>
              <w:left w:val="nil"/>
              <w:bottom w:val="nil"/>
              <w:right w:val="nil"/>
            </w:tcBorders>
            <w:shd w:val="clear" w:color="auto" w:fill="auto"/>
            <w:noWrap/>
            <w:vAlign w:val="bottom"/>
            <w:hideMark/>
          </w:tcPr>
          <w:p w:rsidR="006F7AD6" w:rsidRPr="00A032ED" w:rsidP="00886011" w14:paraId="2D9CD18E"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41FF40C" w14:textId="77777777">
            <w:pPr>
              <w:widowControl/>
              <w:jc w:val="center"/>
              <w:rPr>
                <w:rFonts w:ascii="Calibri" w:hAnsi="Calibri" w:cs="Calibri"/>
                <w:snapToGrid/>
                <w:kern w:val="0"/>
                <w:szCs w:val="22"/>
              </w:rPr>
            </w:pPr>
            <w:r w:rsidRPr="00A032ED">
              <w:rPr>
                <w:rFonts w:ascii="Calibri" w:hAnsi="Calibri" w:cs="Calibri"/>
                <w:snapToGrid/>
                <w:kern w:val="0"/>
                <w:szCs w:val="22"/>
              </w:rPr>
              <w:t>KFSF-DT</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8E26AC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7,348,828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127C01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$53,091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D01241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FD2A2B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$53,545 </w:t>
            </w:r>
          </w:p>
        </w:tc>
      </w:tr>
      <w:tr w14:paraId="299F6FC8"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6944D0B" w14:textId="77777777">
            <w:pPr>
              <w:widowControl/>
              <w:jc w:val="center"/>
              <w:rPr>
                <w:rFonts w:ascii="Calibri" w:hAnsi="Calibri" w:cs="Calibri"/>
                <w:snapToGrid/>
                <w:kern w:val="0"/>
                <w:szCs w:val="22"/>
              </w:rPr>
            </w:pPr>
            <w:r w:rsidRPr="00A032ED">
              <w:rPr>
                <w:rFonts w:ascii="Calibri" w:hAnsi="Calibri" w:cs="Calibri"/>
                <w:snapToGrid/>
                <w:kern w:val="0"/>
                <w:szCs w:val="22"/>
              </w:rPr>
              <w:t>KJJC</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25C60A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80,732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CF4053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$583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877D03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77B964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$2,517 </w:t>
            </w:r>
          </w:p>
        </w:tc>
        <w:tc>
          <w:tcPr>
            <w:tcW w:w="266" w:type="dxa"/>
            <w:tcBorders>
              <w:top w:val="nil"/>
              <w:left w:val="nil"/>
              <w:bottom w:val="nil"/>
              <w:right w:val="nil"/>
            </w:tcBorders>
            <w:shd w:val="clear" w:color="auto" w:fill="auto"/>
            <w:noWrap/>
            <w:vAlign w:val="bottom"/>
            <w:hideMark/>
          </w:tcPr>
          <w:p w:rsidR="006F7AD6" w:rsidRPr="00A032ED" w:rsidP="00886011" w14:paraId="4B41534C"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4257037" w14:textId="77777777">
            <w:pPr>
              <w:widowControl/>
              <w:jc w:val="center"/>
              <w:rPr>
                <w:rFonts w:ascii="Calibri" w:hAnsi="Calibri" w:cs="Calibri"/>
                <w:snapToGrid/>
                <w:kern w:val="0"/>
                <w:szCs w:val="22"/>
              </w:rPr>
            </w:pPr>
            <w:r w:rsidRPr="00A032ED">
              <w:rPr>
                <w:rFonts w:ascii="Calibri" w:hAnsi="Calibri" w:cs="Calibri"/>
                <w:snapToGrid/>
                <w:kern w:val="0"/>
                <w:szCs w:val="22"/>
              </w:rPr>
              <w:t>KFSM-TV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B4EAD2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906,728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455430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$6,551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5F839A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EC9AA8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$10,050 </w:t>
            </w:r>
          </w:p>
        </w:tc>
      </w:tr>
      <w:tr w14:paraId="45FA23EF"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4901FB9" w14:textId="77777777">
            <w:pPr>
              <w:widowControl/>
              <w:jc w:val="center"/>
              <w:rPr>
                <w:rFonts w:ascii="Calibri" w:hAnsi="Calibri" w:cs="Calibri"/>
                <w:snapToGrid/>
                <w:kern w:val="0"/>
                <w:szCs w:val="22"/>
              </w:rPr>
            </w:pPr>
            <w:r w:rsidRPr="00A032ED">
              <w:rPr>
                <w:rFonts w:ascii="Calibri" w:hAnsi="Calibri" w:cs="Calibri"/>
                <w:snapToGrid/>
                <w:kern w:val="0"/>
                <w:szCs w:val="22"/>
              </w:rPr>
              <w:t>KJLA</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81DF4C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17,653,508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043E70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$127,535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8020F7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2183CF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$90,768 </w:t>
            </w:r>
          </w:p>
        </w:tc>
        <w:tc>
          <w:tcPr>
            <w:tcW w:w="266" w:type="dxa"/>
            <w:tcBorders>
              <w:top w:val="nil"/>
              <w:left w:val="nil"/>
              <w:bottom w:val="nil"/>
              <w:right w:val="nil"/>
            </w:tcBorders>
            <w:shd w:val="clear" w:color="auto" w:fill="auto"/>
            <w:noWrap/>
            <w:vAlign w:val="bottom"/>
            <w:hideMark/>
          </w:tcPr>
          <w:p w:rsidR="006F7AD6" w:rsidRPr="00A032ED" w:rsidP="00886011" w14:paraId="46E7DE2B"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842FCED" w14:textId="77777777">
            <w:pPr>
              <w:widowControl/>
              <w:jc w:val="center"/>
              <w:rPr>
                <w:rFonts w:ascii="Calibri" w:hAnsi="Calibri" w:cs="Calibri"/>
                <w:snapToGrid/>
                <w:kern w:val="0"/>
                <w:szCs w:val="22"/>
              </w:rPr>
            </w:pPr>
            <w:r w:rsidRPr="00A032ED">
              <w:rPr>
                <w:rFonts w:ascii="Calibri" w:hAnsi="Calibri" w:cs="Calibri"/>
                <w:snapToGrid/>
                <w:kern w:val="0"/>
                <w:szCs w:val="22"/>
              </w:rPr>
              <w:t>KFSN-TV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CEDD9C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1,747,889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BC789C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$12,627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0FE11E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E02A17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$13,089 </w:t>
            </w:r>
          </w:p>
        </w:tc>
      </w:tr>
      <w:tr w14:paraId="7952CCBF"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841547A" w14:textId="77777777">
            <w:pPr>
              <w:widowControl/>
              <w:jc w:val="center"/>
              <w:rPr>
                <w:rFonts w:ascii="Calibri" w:hAnsi="Calibri" w:cs="Calibri"/>
                <w:snapToGrid/>
                <w:kern w:val="0"/>
                <w:szCs w:val="22"/>
              </w:rPr>
            </w:pPr>
            <w:r w:rsidRPr="00A032ED">
              <w:rPr>
                <w:rFonts w:ascii="Calibri" w:hAnsi="Calibri" w:cs="Calibri"/>
                <w:snapToGrid/>
                <w:kern w:val="0"/>
                <w:szCs w:val="22"/>
              </w:rPr>
              <w:t>KJRH-TV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D529F3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1,416,108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5B1F09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$10,230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667D04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7AF3F6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$11,890 </w:t>
            </w:r>
          </w:p>
        </w:tc>
        <w:tc>
          <w:tcPr>
            <w:tcW w:w="266" w:type="dxa"/>
            <w:tcBorders>
              <w:top w:val="nil"/>
              <w:left w:val="nil"/>
              <w:bottom w:val="nil"/>
              <w:right w:val="nil"/>
            </w:tcBorders>
            <w:shd w:val="clear" w:color="auto" w:fill="auto"/>
            <w:noWrap/>
            <w:vAlign w:val="bottom"/>
            <w:hideMark/>
          </w:tcPr>
          <w:p w:rsidR="006F7AD6" w:rsidRPr="00A032ED" w:rsidP="00886011" w14:paraId="5920A1BE"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3E9E6DD" w14:textId="77777777">
            <w:pPr>
              <w:widowControl/>
              <w:jc w:val="center"/>
              <w:rPr>
                <w:rFonts w:ascii="Calibri" w:hAnsi="Calibri" w:cs="Calibri"/>
                <w:snapToGrid/>
                <w:kern w:val="0"/>
                <w:szCs w:val="22"/>
              </w:rPr>
            </w:pPr>
            <w:r w:rsidRPr="00A032ED">
              <w:rPr>
                <w:rFonts w:ascii="Calibri" w:hAnsi="Calibri" w:cs="Calibri"/>
                <w:snapToGrid/>
                <w:kern w:val="0"/>
                <w:szCs w:val="22"/>
              </w:rPr>
              <w:t>KFTA-TV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F4A9B4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818,859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C32E6D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$5,916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7CE212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9DB337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$9,733 </w:t>
            </w:r>
          </w:p>
        </w:tc>
      </w:tr>
      <w:tr w14:paraId="357C2785"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885BE22" w14:textId="77777777">
            <w:pPr>
              <w:widowControl/>
              <w:jc w:val="center"/>
              <w:rPr>
                <w:rFonts w:ascii="Calibri" w:hAnsi="Calibri" w:cs="Calibri"/>
                <w:snapToGrid/>
                <w:kern w:val="0"/>
                <w:szCs w:val="22"/>
              </w:rPr>
            </w:pPr>
            <w:r w:rsidRPr="00A032ED">
              <w:rPr>
                <w:rFonts w:ascii="Calibri" w:hAnsi="Calibri" w:cs="Calibri"/>
                <w:snapToGrid/>
                <w:kern w:val="0"/>
                <w:szCs w:val="22"/>
              </w:rPr>
              <w:t>KJRR</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DDC1D3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45,515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05941A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$329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B38CE3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D4B8A9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$2,389 </w:t>
            </w:r>
          </w:p>
        </w:tc>
        <w:tc>
          <w:tcPr>
            <w:tcW w:w="266" w:type="dxa"/>
            <w:tcBorders>
              <w:top w:val="nil"/>
              <w:left w:val="nil"/>
              <w:bottom w:val="nil"/>
              <w:right w:val="nil"/>
            </w:tcBorders>
            <w:shd w:val="clear" w:color="auto" w:fill="auto"/>
            <w:noWrap/>
            <w:vAlign w:val="bottom"/>
            <w:hideMark/>
          </w:tcPr>
          <w:p w:rsidR="006F7AD6" w:rsidRPr="00A032ED" w:rsidP="00886011" w14:paraId="26118E31"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A88A986" w14:textId="77777777">
            <w:pPr>
              <w:widowControl/>
              <w:jc w:val="center"/>
              <w:rPr>
                <w:rFonts w:ascii="Calibri" w:hAnsi="Calibri" w:cs="Calibri"/>
                <w:snapToGrid/>
                <w:kern w:val="0"/>
                <w:szCs w:val="22"/>
              </w:rPr>
            </w:pPr>
            <w:r w:rsidRPr="00A032ED">
              <w:rPr>
                <w:rFonts w:ascii="Calibri" w:hAnsi="Calibri" w:cs="Calibri"/>
                <w:snapToGrid/>
                <w:kern w:val="0"/>
                <w:szCs w:val="22"/>
              </w:rPr>
              <w:t>KFTC</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7DC243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61,990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367189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$448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527504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040154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$20,561 </w:t>
            </w:r>
          </w:p>
        </w:tc>
      </w:tr>
      <w:tr w14:paraId="7C4E3B9C"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704E90A" w14:textId="77777777">
            <w:pPr>
              <w:widowControl/>
              <w:jc w:val="center"/>
              <w:rPr>
                <w:rFonts w:ascii="Calibri" w:hAnsi="Calibri" w:cs="Calibri"/>
                <w:snapToGrid/>
                <w:kern w:val="0"/>
                <w:szCs w:val="22"/>
              </w:rPr>
            </w:pPr>
            <w:r w:rsidRPr="00A032ED">
              <w:rPr>
                <w:rFonts w:ascii="Calibri" w:hAnsi="Calibri" w:cs="Calibri"/>
                <w:snapToGrid/>
                <w:kern w:val="0"/>
                <w:szCs w:val="22"/>
              </w:rPr>
              <w:t>KJRW</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26D170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137,375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E1A0F4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$992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8C93AE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AE4E88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$2,721 </w:t>
            </w:r>
          </w:p>
        </w:tc>
        <w:tc>
          <w:tcPr>
            <w:tcW w:w="266" w:type="dxa"/>
            <w:tcBorders>
              <w:top w:val="nil"/>
              <w:left w:val="nil"/>
              <w:bottom w:val="nil"/>
              <w:right w:val="nil"/>
            </w:tcBorders>
            <w:shd w:val="clear" w:color="auto" w:fill="auto"/>
            <w:noWrap/>
            <w:vAlign w:val="bottom"/>
            <w:hideMark/>
          </w:tcPr>
          <w:p w:rsidR="006F7AD6" w:rsidRPr="00A032ED" w:rsidP="00886011" w14:paraId="6AB8BF75"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C95CBA3" w14:textId="77777777">
            <w:pPr>
              <w:widowControl/>
              <w:jc w:val="center"/>
              <w:rPr>
                <w:rFonts w:ascii="Calibri" w:hAnsi="Calibri" w:cs="Calibri"/>
                <w:snapToGrid/>
                <w:kern w:val="0"/>
                <w:szCs w:val="22"/>
              </w:rPr>
            </w:pPr>
            <w:r w:rsidRPr="00A032ED">
              <w:rPr>
                <w:rFonts w:ascii="Calibri" w:hAnsi="Calibri" w:cs="Calibri"/>
                <w:snapToGrid/>
                <w:kern w:val="0"/>
                <w:szCs w:val="22"/>
              </w:rPr>
              <w:t>KFTH-DT</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9B207C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6,080,688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DE135C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$43,929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3D9275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CC77E8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$48,965 </w:t>
            </w:r>
          </w:p>
        </w:tc>
      </w:tr>
      <w:tr w14:paraId="480DB80E"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051DAD0" w14:textId="77777777">
            <w:pPr>
              <w:widowControl/>
              <w:jc w:val="center"/>
              <w:rPr>
                <w:rFonts w:ascii="Calibri" w:hAnsi="Calibri" w:cs="Calibri"/>
                <w:snapToGrid/>
                <w:kern w:val="0"/>
                <w:szCs w:val="22"/>
              </w:rPr>
            </w:pPr>
            <w:r w:rsidRPr="00A032ED">
              <w:rPr>
                <w:rFonts w:ascii="Calibri" w:hAnsi="Calibri" w:cs="Calibri"/>
                <w:snapToGrid/>
                <w:kern w:val="0"/>
                <w:szCs w:val="22"/>
              </w:rPr>
              <w:t>KJTL</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F44433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379,594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8D467A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$2,742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799727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4C948A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$3,596 </w:t>
            </w:r>
          </w:p>
        </w:tc>
        <w:tc>
          <w:tcPr>
            <w:tcW w:w="266" w:type="dxa"/>
            <w:tcBorders>
              <w:top w:val="nil"/>
              <w:left w:val="nil"/>
              <w:bottom w:val="nil"/>
              <w:right w:val="nil"/>
            </w:tcBorders>
            <w:shd w:val="clear" w:color="auto" w:fill="auto"/>
            <w:noWrap/>
            <w:vAlign w:val="bottom"/>
            <w:hideMark/>
          </w:tcPr>
          <w:p w:rsidR="006F7AD6" w:rsidRPr="00A032ED" w:rsidP="00886011" w14:paraId="18F4E717"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6522E95" w14:textId="77777777">
            <w:pPr>
              <w:widowControl/>
              <w:jc w:val="center"/>
              <w:rPr>
                <w:rFonts w:ascii="Calibri" w:hAnsi="Calibri" w:cs="Calibri"/>
                <w:snapToGrid/>
                <w:kern w:val="0"/>
                <w:szCs w:val="22"/>
              </w:rPr>
            </w:pPr>
            <w:r w:rsidRPr="00A032ED">
              <w:rPr>
                <w:rFonts w:ascii="Calibri" w:hAnsi="Calibri" w:cs="Calibri"/>
                <w:snapToGrid/>
                <w:kern w:val="0"/>
                <w:szCs w:val="22"/>
              </w:rPr>
              <w:t>KFTR-DT</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9D1B9B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    17,560,679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DCE3BB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$126,865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BD5584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2A7BD1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$90,432 </w:t>
            </w:r>
          </w:p>
        </w:tc>
      </w:tr>
      <w:tr w14:paraId="30CACBB1"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15ABA5D" w14:textId="77777777">
            <w:pPr>
              <w:widowControl/>
              <w:jc w:val="center"/>
              <w:rPr>
                <w:rFonts w:ascii="Calibri" w:hAnsi="Calibri" w:cs="Calibri"/>
                <w:snapToGrid/>
                <w:kern w:val="0"/>
                <w:szCs w:val="22"/>
              </w:rPr>
            </w:pPr>
            <w:r w:rsidRPr="00A032ED">
              <w:rPr>
                <w:rFonts w:ascii="Calibri" w:hAnsi="Calibri" w:cs="Calibri"/>
                <w:snapToGrid/>
                <w:kern w:val="0"/>
                <w:szCs w:val="22"/>
              </w:rPr>
              <w:t>KJTV-TV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0AC745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409,786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2F8701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$2,960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FF21D6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65F68A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$3,705 </w:t>
            </w:r>
          </w:p>
        </w:tc>
        <w:tc>
          <w:tcPr>
            <w:tcW w:w="266" w:type="dxa"/>
            <w:tcBorders>
              <w:top w:val="nil"/>
              <w:left w:val="nil"/>
              <w:bottom w:val="nil"/>
              <w:right w:val="nil"/>
            </w:tcBorders>
            <w:shd w:val="clear" w:color="auto" w:fill="auto"/>
            <w:noWrap/>
            <w:vAlign w:val="bottom"/>
            <w:hideMark/>
          </w:tcPr>
          <w:p w:rsidR="006F7AD6" w:rsidRPr="00A032ED" w:rsidP="00886011" w14:paraId="753E1C17"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AC88741" w14:textId="77777777">
            <w:pPr>
              <w:widowControl/>
              <w:jc w:val="center"/>
              <w:rPr>
                <w:rFonts w:ascii="Calibri" w:hAnsi="Calibri" w:cs="Calibri"/>
                <w:snapToGrid/>
                <w:kern w:val="0"/>
                <w:szCs w:val="22"/>
              </w:rPr>
            </w:pPr>
            <w:r w:rsidRPr="00A032ED">
              <w:rPr>
                <w:rFonts w:ascii="Calibri" w:hAnsi="Calibri" w:cs="Calibri"/>
                <w:snapToGrid/>
                <w:kern w:val="0"/>
                <w:szCs w:val="22"/>
              </w:rPr>
              <w:t>KFTU-DT</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9F9ADD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113,876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A8EFA3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$823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A227D3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82A109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$7,186 </w:t>
            </w:r>
          </w:p>
        </w:tc>
      </w:tr>
      <w:tr w14:paraId="03EB15DD"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EF51B8A" w14:textId="77777777">
            <w:pPr>
              <w:widowControl/>
              <w:jc w:val="center"/>
              <w:rPr>
                <w:rFonts w:ascii="Calibri" w:hAnsi="Calibri" w:cs="Calibri"/>
                <w:snapToGrid/>
                <w:kern w:val="0"/>
                <w:szCs w:val="22"/>
              </w:rPr>
            </w:pPr>
            <w:r w:rsidRPr="00A032ED">
              <w:rPr>
                <w:rFonts w:ascii="Calibri" w:hAnsi="Calibri" w:cs="Calibri"/>
                <w:snapToGrid/>
                <w:kern w:val="0"/>
                <w:szCs w:val="22"/>
              </w:rPr>
              <w:t>KJUD</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C2E7FF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31,229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EEFB98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$226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DADAD5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ADEA92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$2,338 </w:t>
            </w:r>
          </w:p>
        </w:tc>
        <w:tc>
          <w:tcPr>
            <w:tcW w:w="266" w:type="dxa"/>
            <w:tcBorders>
              <w:top w:val="nil"/>
              <w:left w:val="nil"/>
              <w:bottom w:val="nil"/>
              <w:right w:val="nil"/>
            </w:tcBorders>
            <w:shd w:val="clear" w:color="auto" w:fill="auto"/>
            <w:noWrap/>
            <w:vAlign w:val="bottom"/>
            <w:hideMark/>
          </w:tcPr>
          <w:p w:rsidR="006F7AD6" w:rsidRPr="00A032ED" w:rsidP="00886011" w14:paraId="5B0C4E3A"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221FA17" w14:textId="77777777">
            <w:pPr>
              <w:widowControl/>
              <w:jc w:val="center"/>
              <w:rPr>
                <w:rFonts w:ascii="Calibri" w:hAnsi="Calibri" w:cs="Calibri"/>
                <w:snapToGrid/>
                <w:kern w:val="0"/>
                <w:szCs w:val="22"/>
              </w:rPr>
            </w:pPr>
            <w:r w:rsidRPr="00A032ED">
              <w:rPr>
                <w:rFonts w:ascii="Calibri" w:hAnsi="Calibri" w:cs="Calibri"/>
                <w:snapToGrid/>
                <w:kern w:val="0"/>
                <w:szCs w:val="22"/>
              </w:rPr>
              <w:t>KFTV-DT</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C83F0D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1,807,731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CBC241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$13,060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8C1034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FA7D03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$13,305 </w:t>
            </w:r>
          </w:p>
        </w:tc>
      </w:tr>
      <w:tr w14:paraId="73D9AB42"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CB270E3" w14:textId="77777777">
            <w:pPr>
              <w:widowControl/>
              <w:jc w:val="center"/>
              <w:rPr>
                <w:rFonts w:ascii="Calibri" w:hAnsi="Calibri" w:cs="Calibri"/>
                <w:snapToGrid/>
                <w:kern w:val="0"/>
                <w:szCs w:val="22"/>
              </w:rPr>
            </w:pPr>
            <w:r w:rsidRPr="00A032ED">
              <w:rPr>
                <w:rFonts w:ascii="Calibri" w:hAnsi="Calibri" w:cs="Calibri"/>
                <w:snapToGrid/>
                <w:kern w:val="0"/>
                <w:szCs w:val="22"/>
              </w:rPr>
              <w:t>KJZZ-TV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4A197B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2,388,054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64747C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$17,252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799DC3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4A1D68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$22,201 </w:t>
            </w:r>
          </w:p>
        </w:tc>
        <w:tc>
          <w:tcPr>
            <w:tcW w:w="266" w:type="dxa"/>
            <w:tcBorders>
              <w:top w:val="nil"/>
              <w:left w:val="nil"/>
              <w:bottom w:val="nil"/>
              <w:right w:val="nil"/>
            </w:tcBorders>
            <w:shd w:val="clear" w:color="auto" w:fill="auto"/>
            <w:noWrap/>
            <w:vAlign w:val="bottom"/>
            <w:hideMark/>
          </w:tcPr>
          <w:p w:rsidR="006F7AD6" w:rsidRPr="00A032ED" w:rsidP="00886011" w14:paraId="7FB12F12"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B67C0F2" w14:textId="77777777">
            <w:pPr>
              <w:widowControl/>
              <w:jc w:val="center"/>
              <w:rPr>
                <w:rFonts w:ascii="Calibri" w:hAnsi="Calibri" w:cs="Calibri"/>
                <w:snapToGrid/>
                <w:kern w:val="0"/>
                <w:szCs w:val="22"/>
              </w:rPr>
            </w:pPr>
            <w:r w:rsidRPr="00A032ED">
              <w:rPr>
                <w:rFonts w:ascii="Calibri" w:hAnsi="Calibri" w:cs="Calibri"/>
                <w:snapToGrid/>
                <w:kern w:val="0"/>
                <w:szCs w:val="22"/>
              </w:rPr>
              <w:t>KFVE</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661E40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953,895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4767BE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$6,891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07CE53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272A96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$10,221 </w:t>
            </w:r>
          </w:p>
        </w:tc>
      </w:tr>
      <w:tr w14:paraId="7D05BDE1"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08BF0D3" w14:textId="77777777">
            <w:pPr>
              <w:widowControl/>
              <w:jc w:val="center"/>
              <w:rPr>
                <w:rFonts w:ascii="Calibri" w:hAnsi="Calibri" w:cs="Calibri"/>
                <w:snapToGrid/>
                <w:kern w:val="0"/>
                <w:szCs w:val="22"/>
              </w:rPr>
            </w:pPr>
            <w:r w:rsidRPr="00A032ED">
              <w:rPr>
                <w:rFonts w:ascii="Calibri" w:hAnsi="Calibri" w:cs="Calibri"/>
                <w:snapToGrid/>
                <w:kern w:val="0"/>
                <w:szCs w:val="22"/>
              </w:rPr>
              <w:t>KKAI</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3A28D3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955,203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E106A8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$6,901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6D3591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50E287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$10,225 </w:t>
            </w:r>
          </w:p>
        </w:tc>
        <w:tc>
          <w:tcPr>
            <w:tcW w:w="266" w:type="dxa"/>
            <w:tcBorders>
              <w:top w:val="nil"/>
              <w:left w:val="nil"/>
              <w:bottom w:val="nil"/>
              <w:right w:val="nil"/>
            </w:tcBorders>
            <w:shd w:val="clear" w:color="auto" w:fill="auto"/>
            <w:noWrap/>
            <w:vAlign w:val="bottom"/>
            <w:hideMark/>
          </w:tcPr>
          <w:p w:rsidR="006F7AD6" w:rsidRPr="00A032ED" w:rsidP="00886011" w14:paraId="6B324367"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250A3C8" w14:textId="77777777">
            <w:pPr>
              <w:widowControl/>
              <w:jc w:val="center"/>
              <w:rPr>
                <w:rFonts w:ascii="Calibri" w:hAnsi="Calibri" w:cs="Calibri"/>
                <w:snapToGrid/>
                <w:kern w:val="0"/>
                <w:szCs w:val="22"/>
              </w:rPr>
            </w:pPr>
            <w:r w:rsidRPr="00A032ED">
              <w:rPr>
                <w:rFonts w:ascii="Calibri" w:hAnsi="Calibri" w:cs="Calibri"/>
                <w:snapToGrid/>
                <w:kern w:val="0"/>
                <w:szCs w:val="22"/>
              </w:rPr>
              <w:t>KFVS-TV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AA7EFB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810,574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7A44B4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$5,856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4E9913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F7455A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$9,703 </w:t>
            </w:r>
          </w:p>
        </w:tc>
      </w:tr>
      <w:tr w14:paraId="05DA26BE"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0524A03" w14:textId="77777777">
            <w:pPr>
              <w:widowControl/>
              <w:jc w:val="center"/>
              <w:rPr>
                <w:rFonts w:ascii="Calibri" w:hAnsi="Calibri" w:cs="Calibri"/>
                <w:snapToGrid/>
                <w:kern w:val="0"/>
                <w:szCs w:val="22"/>
              </w:rPr>
            </w:pPr>
            <w:r w:rsidRPr="00A032ED">
              <w:rPr>
                <w:rFonts w:ascii="Calibri" w:hAnsi="Calibri" w:cs="Calibri"/>
                <w:snapToGrid/>
                <w:kern w:val="0"/>
                <w:szCs w:val="22"/>
              </w:rPr>
              <w:t>KKAP</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FEE36D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957,786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0BBE46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$6,919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336F42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E414BB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$10,235 </w:t>
            </w:r>
          </w:p>
        </w:tc>
        <w:tc>
          <w:tcPr>
            <w:tcW w:w="266" w:type="dxa"/>
            <w:tcBorders>
              <w:top w:val="nil"/>
              <w:left w:val="nil"/>
              <w:bottom w:val="nil"/>
              <w:right w:val="nil"/>
            </w:tcBorders>
            <w:shd w:val="clear" w:color="auto" w:fill="auto"/>
            <w:noWrap/>
            <w:vAlign w:val="bottom"/>
            <w:hideMark/>
          </w:tcPr>
          <w:p w:rsidR="006F7AD6" w:rsidRPr="00A032ED" w:rsidP="00886011" w14:paraId="1A039995"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727AFA4" w14:textId="77777777">
            <w:pPr>
              <w:widowControl/>
              <w:jc w:val="center"/>
              <w:rPr>
                <w:rFonts w:ascii="Calibri" w:hAnsi="Calibri" w:cs="Calibri"/>
                <w:snapToGrid/>
                <w:kern w:val="0"/>
                <w:szCs w:val="22"/>
              </w:rPr>
            </w:pPr>
            <w:r w:rsidRPr="00A032ED">
              <w:rPr>
                <w:rFonts w:ascii="Calibri" w:hAnsi="Calibri" w:cs="Calibri"/>
                <w:snapToGrid/>
                <w:kern w:val="0"/>
                <w:szCs w:val="22"/>
              </w:rPr>
              <w:t>KFWD</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889D72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6,610,836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B0F01C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$47,759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9C4F62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42335F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$50,880 </w:t>
            </w:r>
          </w:p>
        </w:tc>
      </w:tr>
      <w:tr w14:paraId="1ECE3098"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D0CEA9E" w14:textId="77777777">
            <w:pPr>
              <w:widowControl/>
              <w:jc w:val="center"/>
              <w:rPr>
                <w:rFonts w:ascii="Calibri" w:hAnsi="Calibri" w:cs="Calibri"/>
                <w:snapToGrid/>
                <w:kern w:val="0"/>
                <w:szCs w:val="22"/>
              </w:rPr>
            </w:pPr>
            <w:r w:rsidRPr="00A032ED">
              <w:rPr>
                <w:rFonts w:ascii="Calibri" w:hAnsi="Calibri" w:cs="Calibri"/>
                <w:snapToGrid/>
                <w:kern w:val="0"/>
                <w:szCs w:val="22"/>
              </w:rPr>
              <w:t>KKCO</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3916D9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7,360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D260A8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$53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76FB51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383F6F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$2,252 </w:t>
            </w:r>
          </w:p>
        </w:tc>
        <w:tc>
          <w:tcPr>
            <w:tcW w:w="266" w:type="dxa"/>
            <w:tcBorders>
              <w:top w:val="nil"/>
              <w:left w:val="nil"/>
              <w:bottom w:val="nil"/>
              <w:right w:val="nil"/>
            </w:tcBorders>
            <w:shd w:val="clear" w:color="auto" w:fill="auto"/>
            <w:noWrap/>
            <w:vAlign w:val="bottom"/>
            <w:hideMark/>
          </w:tcPr>
          <w:p w:rsidR="006F7AD6" w:rsidRPr="00A032ED" w:rsidP="00886011" w14:paraId="18A67558"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4F05E00" w14:textId="77777777">
            <w:pPr>
              <w:widowControl/>
              <w:jc w:val="center"/>
              <w:rPr>
                <w:rFonts w:ascii="Calibri" w:hAnsi="Calibri" w:cs="Calibri"/>
                <w:snapToGrid/>
                <w:kern w:val="0"/>
                <w:szCs w:val="22"/>
              </w:rPr>
            </w:pPr>
            <w:r w:rsidRPr="00A032ED">
              <w:rPr>
                <w:rFonts w:ascii="Calibri" w:hAnsi="Calibri" w:cs="Calibri"/>
                <w:snapToGrid/>
                <w:kern w:val="0"/>
                <w:szCs w:val="22"/>
              </w:rPr>
              <w:t>KFXA</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453063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875,538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02201C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$6,325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3AB506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E37D40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$9,938 </w:t>
            </w:r>
          </w:p>
        </w:tc>
      </w:tr>
      <w:tr w14:paraId="36A33056"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72AEA18" w14:textId="77777777">
            <w:pPr>
              <w:widowControl/>
              <w:jc w:val="center"/>
              <w:rPr>
                <w:rFonts w:ascii="Calibri" w:hAnsi="Calibri" w:cs="Calibri"/>
                <w:snapToGrid/>
                <w:kern w:val="0"/>
                <w:szCs w:val="22"/>
              </w:rPr>
            </w:pPr>
            <w:r w:rsidRPr="00A032ED">
              <w:rPr>
                <w:rFonts w:ascii="Calibri" w:hAnsi="Calibri" w:cs="Calibri"/>
                <w:snapToGrid/>
                <w:kern w:val="0"/>
                <w:szCs w:val="22"/>
              </w:rPr>
              <w:t>KKJB</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463815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629,939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866ED8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$4,551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FB25F8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907ACF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$4,500 </w:t>
            </w:r>
          </w:p>
        </w:tc>
        <w:tc>
          <w:tcPr>
            <w:tcW w:w="266" w:type="dxa"/>
            <w:tcBorders>
              <w:top w:val="nil"/>
              <w:left w:val="nil"/>
              <w:bottom w:val="nil"/>
              <w:right w:val="nil"/>
            </w:tcBorders>
            <w:shd w:val="clear" w:color="auto" w:fill="auto"/>
            <w:noWrap/>
            <w:vAlign w:val="bottom"/>
            <w:hideMark/>
          </w:tcPr>
          <w:p w:rsidR="006F7AD6" w:rsidRPr="00A032ED" w:rsidP="00886011" w14:paraId="4682466F"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ED4E299" w14:textId="77777777">
            <w:pPr>
              <w:widowControl/>
              <w:jc w:val="center"/>
              <w:rPr>
                <w:rFonts w:ascii="Calibri" w:hAnsi="Calibri" w:cs="Calibri"/>
                <w:snapToGrid/>
                <w:kern w:val="0"/>
                <w:szCs w:val="22"/>
              </w:rPr>
            </w:pPr>
            <w:r w:rsidRPr="00A032ED">
              <w:rPr>
                <w:rFonts w:ascii="Calibri" w:hAnsi="Calibri" w:cs="Calibri"/>
                <w:snapToGrid/>
                <w:kern w:val="0"/>
                <w:szCs w:val="22"/>
              </w:rPr>
              <w:t>KFXK-TV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805CBF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926,496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16FA2E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$6,693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2C8F9F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32968B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$5,572 </w:t>
            </w:r>
          </w:p>
        </w:tc>
      </w:tr>
      <w:tr w14:paraId="4CCF7BC8"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D8236C0" w14:textId="77777777">
            <w:pPr>
              <w:widowControl/>
              <w:jc w:val="center"/>
              <w:rPr>
                <w:rFonts w:ascii="Calibri" w:hAnsi="Calibri" w:cs="Calibri"/>
                <w:snapToGrid/>
                <w:kern w:val="0"/>
                <w:szCs w:val="22"/>
              </w:rPr>
            </w:pPr>
            <w:r w:rsidRPr="00A032ED">
              <w:rPr>
                <w:rFonts w:ascii="Calibri" w:hAnsi="Calibri" w:cs="Calibri"/>
                <w:snapToGrid/>
                <w:kern w:val="0"/>
                <w:szCs w:val="22"/>
              </w:rPr>
              <w:t>KKPX-TV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77B1F9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7,902,064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978CF4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$57,087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AB3EF5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3F0D63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$55,544 </w:t>
            </w:r>
          </w:p>
        </w:tc>
        <w:tc>
          <w:tcPr>
            <w:tcW w:w="266" w:type="dxa"/>
            <w:tcBorders>
              <w:top w:val="nil"/>
              <w:left w:val="nil"/>
              <w:bottom w:val="nil"/>
              <w:right w:val="nil"/>
            </w:tcBorders>
            <w:shd w:val="clear" w:color="auto" w:fill="auto"/>
            <w:noWrap/>
            <w:vAlign w:val="bottom"/>
            <w:hideMark/>
          </w:tcPr>
          <w:p w:rsidR="006F7AD6" w:rsidRPr="00A032ED" w:rsidP="00886011" w14:paraId="6955A828"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620F3A1" w14:textId="77777777">
            <w:pPr>
              <w:widowControl/>
              <w:jc w:val="center"/>
              <w:rPr>
                <w:rFonts w:ascii="Calibri" w:hAnsi="Calibri" w:cs="Calibri"/>
                <w:snapToGrid/>
                <w:kern w:val="0"/>
                <w:szCs w:val="22"/>
              </w:rPr>
            </w:pPr>
            <w:r w:rsidRPr="00A032ED">
              <w:rPr>
                <w:rFonts w:ascii="Calibri" w:hAnsi="Calibri" w:cs="Calibri"/>
                <w:snapToGrid/>
                <w:kern w:val="0"/>
                <w:szCs w:val="22"/>
              </w:rPr>
              <w:t>KFXL-TV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92F2CF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361,632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1DC285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$2,613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605599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649EB2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$3,531 </w:t>
            </w:r>
          </w:p>
        </w:tc>
      </w:tr>
      <w:tr w14:paraId="4D4FE229"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ECC731C" w14:textId="77777777">
            <w:pPr>
              <w:widowControl/>
              <w:jc w:val="center"/>
              <w:rPr>
                <w:rFonts w:ascii="Calibri" w:hAnsi="Calibri" w:cs="Calibri"/>
                <w:snapToGrid/>
                <w:kern w:val="0"/>
                <w:szCs w:val="22"/>
              </w:rPr>
            </w:pPr>
            <w:r w:rsidRPr="00A032ED">
              <w:rPr>
                <w:rFonts w:ascii="Calibri" w:hAnsi="Calibri" w:cs="Calibri"/>
                <w:snapToGrid/>
                <w:kern w:val="0"/>
                <w:szCs w:val="22"/>
              </w:rPr>
              <w:t>KKTV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468CFA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2,795,275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3F2919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$20,194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BC7D42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C22998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$16,872 </w:t>
            </w:r>
          </w:p>
        </w:tc>
        <w:tc>
          <w:tcPr>
            <w:tcW w:w="266" w:type="dxa"/>
            <w:tcBorders>
              <w:top w:val="nil"/>
              <w:left w:val="nil"/>
              <w:bottom w:val="nil"/>
              <w:right w:val="nil"/>
            </w:tcBorders>
            <w:shd w:val="clear" w:color="auto" w:fill="auto"/>
            <w:noWrap/>
            <w:vAlign w:val="bottom"/>
            <w:hideMark/>
          </w:tcPr>
          <w:p w:rsidR="006F7AD6" w:rsidRPr="00A032ED" w:rsidP="00886011" w14:paraId="7668ED8A"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26DBFFE" w14:textId="77777777">
            <w:pPr>
              <w:widowControl/>
              <w:jc w:val="center"/>
              <w:rPr>
                <w:rFonts w:ascii="Calibri" w:hAnsi="Calibri" w:cs="Calibri"/>
                <w:snapToGrid/>
                <w:kern w:val="0"/>
                <w:szCs w:val="22"/>
              </w:rPr>
            </w:pPr>
            <w:r w:rsidRPr="00A032ED">
              <w:rPr>
                <w:rFonts w:ascii="Calibri" w:hAnsi="Calibri" w:cs="Calibri"/>
                <w:snapToGrid/>
                <w:kern w:val="0"/>
                <w:szCs w:val="22"/>
              </w:rPr>
              <w:t>KFYR-TV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76B4CA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130,881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A68E3F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$946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4FF064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6A183F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$2,698 </w:t>
            </w:r>
          </w:p>
        </w:tc>
      </w:tr>
      <w:tr w14:paraId="63D0F9EB"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CA4136B" w14:textId="77777777">
            <w:pPr>
              <w:widowControl/>
              <w:jc w:val="center"/>
              <w:rPr>
                <w:rFonts w:ascii="Calibri" w:hAnsi="Calibri" w:cs="Calibri"/>
                <w:snapToGrid/>
                <w:kern w:val="0"/>
                <w:szCs w:val="22"/>
              </w:rPr>
            </w:pPr>
            <w:r w:rsidRPr="00A032ED">
              <w:rPr>
                <w:rFonts w:ascii="Calibri" w:hAnsi="Calibri" w:cs="Calibri"/>
                <w:snapToGrid/>
                <w:kern w:val="0"/>
                <w:szCs w:val="22"/>
              </w:rPr>
              <w:t>KLAS-TV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D899F2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2,094,297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3AB663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$15,130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17E58E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724690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$21,140 </w:t>
            </w:r>
          </w:p>
        </w:tc>
        <w:tc>
          <w:tcPr>
            <w:tcW w:w="266" w:type="dxa"/>
            <w:tcBorders>
              <w:top w:val="nil"/>
              <w:left w:val="nil"/>
              <w:bottom w:val="nil"/>
              <w:right w:val="nil"/>
            </w:tcBorders>
            <w:shd w:val="clear" w:color="auto" w:fill="auto"/>
            <w:noWrap/>
            <w:vAlign w:val="bottom"/>
            <w:hideMark/>
          </w:tcPr>
          <w:p w:rsidR="006F7AD6" w:rsidRPr="00A032ED" w:rsidP="00886011" w14:paraId="0ADF3C92"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1235188" w14:textId="77777777">
            <w:pPr>
              <w:widowControl/>
              <w:jc w:val="center"/>
              <w:rPr>
                <w:rFonts w:ascii="Calibri" w:hAnsi="Calibri" w:cs="Calibri"/>
                <w:snapToGrid/>
                <w:kern w:val="0"/>
                <w:szCs w:val="22"/>
              </w:rPr>
            </w:pPr>
            <w:r w:rsidRPr="00A032ED">
              <w:rPr>
                <w:rFonts w:ascii="Calibri" w:hAnsi="Calibri" w:cs="Calibri"/>
                <w:snapToGrid/>
                <w:kern w:val="0"/>
                <w:szCs w:val="22"/>
              </w:rPr>
              <w:t>KGAN</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2FB937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1,083,213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8560E6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$7,826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87295A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EE2F4A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$10,688 </w:t>
            </w:r>
          </w:p>
        </w:tc>
      </w:tr>
      <w:tr w14:paraId="32F5376E"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3109665" w14:textId="77777777">
            <w:pPr>
              <w:widowControl/>
              <w:jc w:val="center"/>
              <w:rPr>
                <w:rFonts w:ascii="Calibri" w:hAnsi="Calibri" w:cs="Calibri"/>
                <w:snapToGrid/>
                <w:kern w:val="0"/>
                <w:szCs w:val="22"/>
              </w:rPr>
            </w:pPr>
            <w:r w:rsidRPr="00A032ED">
              <w:rPr>
                <w:rFonts w:ascii="Calibri" w:hAnsi="Calibri" w:cs="Calibri"/>
                <w:snapToGrid/>
                <w:kern w:val="0"/>
                <w:szCs w:val="22"/>
              </w:rPr>
              <w:t>KLAX-TV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E667B5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367,212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C9723A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$2,653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D3FB67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047527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$3,551 </w:t>
            </w:r>
          </w:p>
        </w:tc>
        <w:tc>
          <w:tcPr>
            <w:tcW w:w="266" w:type="dxa"/>
            <w:tcBorders>
              <w:top w:val="nil"/>
              <w:left w:val="nil"/>
              <w:bottom w:val="nil"/>
              <w:right w:val="nil"/>
            </w:tcBorders>
            <w:shd w:val="clear" w:color="auto" w:fill="auto"/>
            <w:noWrap/>
            <w:vAlign w:val="bottom"/>
            <w:hideMark/>
          </w:tcPr>
          <w:p w:rsidR="006F7AD6" w:rsidRPr="00A032ED" w:rsidP="00886011" w14:paraId="3B3450CA"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10C24E1" w14:textId="77777777">
            <w:pPr>
              <w:widowControl/>
              <w:jc w:val="center"/>
              <w:rPr>
                <w:rFonts w:ascii="Calibri" w:hAnsi="Calibri" w:cs="Calibri"/>
                <w:snapToGrid/>
                <w:kern w:val="0"/>
                <w:szCs w:val="22"/>
              </w:rPr>
            </w:pPr>
            <w:r w:rsidRPr="00A032ED">
              <w:rPr>
                <w:rFonts w:ascii="Calibri" w:hAnsi="Calibri" w:cs="Calibri"/>
                <w:snapToGrid/>
                <w:kern w:val="0"/>
                <w:szCs w:val="22"/>
              </w:rPr>
              <w:t>KGBT-TV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9EFC13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1,230,798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DD4A0B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$8,892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12673B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B32B27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$11,221 </w:t>
            </w:r>
          </w:p>
        </w:tc>
      </w:tr>
      <w:tr w14:paraId="29B304B7"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45C3348" w14:textId="77777777">
            <w:pPr>
              <w:widowControl/>
              <w:jc w:val="center"/>
              <w:rPr>
                <w:rFonts w:ascii="Calibri" w:hAnsi="Calibri" w:cs="Calibri"/>
                <w:snapToGrid/>
                <w:kern w:val="0"/>
                <w:szCs w:val="22"/>
              </w:rPr>
            </w:pPr>
            <w:r w:rsidRPr="00A032ED">
              <w:rPr>
                <w:rFonts w:ascii="Calibri" w:hAnsi="Calibri" w:cs="Calibri"/>
                <w:snapToGrid/>
                <w:kern w:val="0"/>
                <w:szCs w:val="22"/>
              </w:rPr>
              <w:t>KLBK-TV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0280D1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387,909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B8B5DE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$2,802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C9E87B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8C949D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$3,626 </w:t>
            </w:r>
          </w:p>
        </w:tc>
        <w:tc>
          <w:tcPr>
            <w:tcW w:w="266" w:type="dxa"/>
            <w:tcBorders>
              <w:top w:val="nil"/>
              <w:left w:val="nil"/>
              <w:bottom w:val="nil"/>
              <w:right w:val="nil"/>
            </w:tcBorders>
            <w:shd w:val="clear" w:color="auto" w:fill="auto"/>
            <w:noWrap/>
            <w:vAlign w:val="bottom"/>
            <w:hideMark/>
          </w:tcPr>
          <w:p w:rsidR="006F7AD6" w:rsidRPr="00A032ED" w:rsidP="00886011" w14:paraId="3D221565"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F9B9330" w14:textId="77777777">
            <w:pPr>
              <w:widowControl/>
              <w:jc w:val="center"/>
              <w:rPr>
                <w:rFonts w:ascii="Calibri" w:hAnsi="Calibri" w:cs="Calibri"/>
                <w:snapToGrid/>
                <w:kern w:val="0"/>
                <w:szCs w:val="22"/>
              </w:rPr>
            </w:pPr>
            <w:r w:rsidRPr="00A032ED">
              <w:rPr>
                <w:rFonts w:ascii="Calibri" w:hAnsi="Calibri" w:cs="Calibri"/>
                <w:snapToGrid/>
                <w:kern w:val="0"/>
                <w:szCs w:val="22"/>
              </w:rPr>
              <w:t>KGBY</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E6A8DE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270,089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8D38FB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$1,951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73E535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D1069A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$3,201 </w:t>
            </w:r>
          </w:p>
        </w:tc>
      </w:tr>
      <w:tr w14:paraId="4AF3F34C"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3C8A57D" w14:textId="77777777">
            <w:pPr>
              <w:widowControl/>
              <w:jc w:val="center"/>
              <w:rPr>
                <w:rFonts w:ascii="Calibri" w:hAnsi="Calibri" w:cs="Calibri"/>
                <w:snapToGrid/>
                <w:kern w:val="0"/>
                <w:szCs w:val="22"/>
              </w:rPr>
            </w:pPr>
            <w:r w:rsidRPr="00A032ED">
              <w:rPr>
                <w:rFonts w:ascii="Calibri" w:hAnsi="Calibri" w:cs="Calibri"/>
                <w:snapToGrid/>
                <w:kern w:val="0"/>
                <w:szCs w:val="22"/>
              </w:rPr>
              <w:t>KLBY</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381916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34,288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CB463A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$248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F5FD6D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AC1891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$6,899 </w:t>
            </w:r>
          </w:p>
        </w:tc>
        <w:tc>
          <w:tcPr>
            <w:tcW w:w="266" w:type="dxa"/>
            <w:tcBorders>
              <w:top w:val="nil"/>
              <w:left w:val="nil"/>
              <w:bottom w:val="nil"/>
              <w:right w:val="nil"/>
            </w:tcBorders>
            <w:shd w:val="clear" w:color="auto" w:fill="auto"/>
            <w:noWrap/>
            <w:vAlign w:val="bottom"/>
            <w:hideMark/>
          </w:tcPr>
          <w:p w:rsidR="006F7AD6" w:rsidRPr="00A032ED" w:rsidP="00886011" w14:paraId="2DB402EE"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DE12F50" w14:textId="77777777">
            <w:pPr>
              <w:widowControl/>
              <w:jc w:val="center"/>
              <w:rPr>
                <w:rFonts w:ascii="Calibri" w:hAnsi="Calibri" w:cs="Calibri"/>
                <w:snapToGrid/>
                <w:kern w:val="0"/>
                <w:szCs w:val="22"/>
              </w:rPr>
            </w:pPr>
            <w:r w:rsidRPr="00A032ED">
              <w:rPr>
                <w:rFonts w:ascii="Calibri" w:hAnsi="Calibri" w:cs="Calibri"/>
                <w:snapToGrid/>
                <w:kern w:val="0"/>
                <w:szCs w:val="22"/>
              </w:rPr>
              <w:t>KGCW</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2E0FB8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888,054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C1D965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$6,416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61DB25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C50986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$5,433 </w:t>
            </w:r>
          </w:p>
        </w:tc>
      </w:tr>
      <w:tr w14:paraId="524E45A1"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BC98DD1" w14:textId="77777777">
            <w:pPr>
              <w:widowControl/>
              <w:jc w:val="center"/>
              <w:rPr>
                <w:rFonts w:ascii="Calibri" w:hAnsi="Calibri" w:cs="Calibri"/>
                <w:snapToGrid/>
                <w:kern w:val="0"/>
                <w:szCs w:val="22"/>
              </w:rPr>
            </w:pPr>
            <w:r w:rsidRPr="00A032ED">
              <w:rPr>
                <w:rFonts w:ascii="Calibri" w:hAnsi="Calibri" w:cs="Calibri"/>
                <w:snapToGrid/>
                <w:kern w:val="0"/>
                <w:szCs w:val="22"/>
              </w:rPr>
              <w:t>KLCW-TV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E52514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376,430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705268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$2,719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BA2D33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08CDEB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$3,585 </w:t>
            </w:r>
          </w:p>
        </w:tc>
        <w:tc>
          <w:tcPr>
            <w:tcW w:w="266" w:type="dxa"/>
            <w:tcBorders>
              <w:top w:val="nil"/>
              <w:left w:val="nil"/>
              <w:bottom w:val="nil"/>
              <w:right w:val="nil"/>
            </w:tcBorders>
            <w:shd w:val="clear" w:color="auto" w:fill="auto"/>
            <w:noWrap/>
            <w:vAlign w:val="bottom"/>
            <w:hideMark/>
          </w:tcPr>
          <w:p w:rsidR="006F7AD6" w:rsidRPr="00A032ED" w:rsidP="00886011" w14:paraId="5748B2C6"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AFF3AC9" w14:textId="77777777">
            <w:pPr>
              <w:widowControl/>
              <w:jc w:val="center"/>
              <w:rPr>
                <w:rFonts w:ascii="Calibri" w:hAnsi="Calibri" w:cs="Calibri"/>
                <w:snapToGrid/>
                <w:kern w:val="0"/>
                <w:szCs w:val="22"/>
              </w:rPr>
            </w:pPr>
            <w:r w:rsidRPr="00A032ED">
              <w:rPr>
                <w:rFonts w:ascii="Calibri" w:hAnsi="Calibri" w:cs="Calibri"/>
                <w:snapToGrid/>
                <w:kern w:val="0"/>
                <w:szCs w:val="22"/>
              </w:rPr>
              <w:t>KGEB</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C7EF73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1,186,225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DDF4D7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$8,570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AAC204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85E3CC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$11,060 </w:t>
            </w:r>
          </w:p>
        </w:tc>
      </w:tr>
      <w:tr w14:paraId="4EA55144"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FD21944" w14:textId="77777777">
            <w:pPr>
              <w:widowControl/>
              <w:jc w:val="center"/>
              <w:rPr>
                <w:rFonts w:ascii="Calibri" w:hAnsi="Calibri" w:cs="Calibri"/>
                <w:snapToGrid/>
                <w:kern w:val="0"/>
                <w:szCs w:val="22"/>
              </w:rPr>
            </w:pPr>
            <w:r w:rsidRPr="00A032ED">
              <w:rPr>
                <w:rFonts w:ascii="Calibri" w:hAnsi="Calibri" w:cs="Calibri"/>
                <w:snapToGrid/>
                <w:kern w:val="0"/>
                <w:szCs w:val="22"/>
              </w:rPr>
              <w:t>KLDO-TV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A200F2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250,832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AF1657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$1,812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9CF59F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2BAD4E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$3,131 </w:t>
            </w:r>
          </w:p>
        </w:tc>
        <w:tc>
          <w:tcPr>
            <w:tcW w:w="266" w:type="dxa"/>
            <w:tcBorders>
              <w:top w:val="nil"/>
              <w:left w:val="nil"/>
              <w:bottom w:val="nil"/>
              <w:right w:val="nil"/>
            </w:tcBorders>
            <w:shd w:val="clear" w:color="auto" w:fill="auto"/>
            <w:noWrap/>
            <w:vAlign w:val="bottom"/>
            <w:hideMark/>
          </w:tcPr>
          <w:p w:rsidR="006F7AD6" w:rsidRPr="00A032ED" w:rsidP="00886011" w14:paraId="3486BE5F"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042002E" w14:textId="77777777">
            <w:pPr>
              <w:widowControl/>
              <w:jc w:val="center"/>
              <w:rPr>
                <w:rFonts w:ascii="Calibri" w:hAnsi="Calibri" w:cs="Calibri"/>
                <w:snapToGrid/>
                <w:kern w:val="0"/>
                <w:szCs w:val="22"/>
              </w:rPr>
            </w:pPr>
            <w:r w:rsidRPr="00A032ED">
              <w:rPr>
                <w:rFonts w:ascii="Calibri" w:hAnsi="Calibri" w:cs="Calibri"/>
                <w:snapToGrid/>
                <w:kern w:val="0"/>
                <w:szCs w:val="22"/>
              </w:rPr>
              <w:t>KGET-TV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F0DAAF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917,927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A65BAA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$6,631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BB64D3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BBC376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$5,541 </w:t>
            </w:r>
          </w:p>
        </w:tc>
      </w:tr>
      <w:tr w14:paraId="32A44306"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72B6D0E" w14:textId="77777777">
            <w:pPr>
              <w:widowControl/>
              <w:jc w:val="center"/>
              <w:rPr>
                <w:rFonts w:ascii="Calibri" w:hAnsi="Calibri" w:cs="Calibri"/>
                <w:snapToGrid/>
                <w:kern w:val="0"/>
                <w:szCs w:val="22"/>
              </w:rPr>
            </w:pPr>
            <w:r w:rsidRPr="00A032ED">
              <w:rPr>
                <w:rFonts w:ascii="Calibri" w:hAnsi="Calibri" w:cs="Calibri"/>
                <w:snapToGrid/>
                <w:kern w:val="0"/>
                <w:szCs w:val="22"/>
              </w:rPr>
              <w:t>KLEI-TV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803734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82,902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76A1F5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$599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D404CE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6D40C8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$7,074 </w:t>
            </w:r>
          </w:p>
        </w:tc>
        <w:tc>
          <w:tcPr>
            <w:tcW w:w="266" w:type="dxa"/>
            <w:tcBorders>
              <w:top w:val="nil"/>
              <w:left w:val="nil"/>
              <w:bottom w:val="nil"/>
              <w:right w:val="nil"/>
            </w:tcBorders>
            <w:shd w:val="clear" w:color="auto" w:fill="auto"/>
            <w:noWrap/>
            <w:vAlign w:val="bottom"/>
            <w:hideMark/>
          </w:tcPr>
          <w:p w:rsidR="006F7AD6" w:rsidRPr="00A032ED" w:rsidP="00886011" w14:paraId="4FF11DC9"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0108F31" w14:textId="77777777">
            <w:pPr>
              <w:widowControl/>
              <w:jc w:val="center"/>
              <w:rPr>
                <w:rFonts w:ascii="Calibri" w:hAnsi="Calibri" w:cs="Calibri"/>
                <w:snapToGrid/>
                <w:kern w:val="0"/>
                <w:szCs w:val="22"/>
              </w:rPr>
            </w:pPr>
            <w:r w:rsidRPr="00A032ED">
              <w:rPr>
                <w:rFonts w:ascii="Calibri" w:hAnsi="Calibri" w:cs="Calibri"/>
                <w:snapToGrid/>
                <w:kern w:val="0"/>
                <w:szCs w:val="22"/>
              </w:rPr>
              <w:t>KGIN</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6524F9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230,535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EC38F2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$1,665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F5768F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76396F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$3,058 </w:t>
            </w:r>
          </w:p>
        </w:tc>
      </w:tr>
      <w:tr w14:paraId="2714A783"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2AC1239" w14:textId="77777777">
            <w:pPr>
              <w:widowControl/>
              <w:jc w:val="center"/>
              <w:rPr>
                <w:rFonts w:ascii="Calibri" w:hAnsi="Calibri" w:cs="Calibri"/>
                <w:snapToGrid/>
                <w:kern w:val="0"/>
                <w:szCs w:val="22"/>
              </w:rPr>
            </w:pPr>
            <w:r w:rsidRPr="00A032ED">
              <w:rPr>
                <w:rFonts w:ascii="Calibri" w:hAnsi="Calibri" w:cs="Calibri"/>
                <w:snapToGrid/>
                <w:kern w:val="0"/>
                <w:szCs w:val="22"/>
              </w:rPr>
              <w:t>KLEW-TV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E43F4C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134,163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011D7C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$969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79089C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F03250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$7,260 </w:t>
            </w:r>
          </w:p>
        </w:tc>
        <w:tc>
          <w:tcPr>
            <w:tcW w:w="266" w:type="dxa"/>
            <w:tcBorders>
              <w:top w:val="nil"/>
              <w:left w:val="nil"/>
              <w:bottom w:val="nil"/>
              <w:right w:val="nil"/>
            </w:tcBorders>
            <w:shd w:val="clear" w:color="auto" w:fill="auto"/>
            <w:noWrap/>
            <w:vAlign w:val="bottom"/>
            <w:hideMark/>
          </w:tcPr>
          <w:p w:rsidR="006F7AD6" w:rsidRPr="00A032ED" w:rsidP="00886011" w14:paraId="56B0A083"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10A9E0D" w14:textId="77777777">
            <w:pPr>
              <w:widowControl/>
              <w:jc w:val="center"/>
              <w:rPr>
                <w:rFonts w:ascii="Calibri" w:hAnsi="Calibri" w:cs="Calibri"/>
                <w:snapToGrid/>
                <w:kern w:val="0"/>
                <w:szCs w:val="22"/>
              </w:rPr>
            </w:pPr>
            <w:r w:rsidRPr="00A032ED">
              <w:rPr>
                <w:rFonts w:ascii="Calibri" w:hAnsi="Calibri" w:cs="Calibri"/>
                <w:snapToGrid/>
                <w:kern w:val="0"/>
                <w:szCs w:val="22"/>
              </w:rPr>
              <w:t>KGLA-DT</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F5E381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1,645,641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C9B466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$11,889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BE92BD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B43E77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$19,519 </w:t>
            </w:r>
          </w:p>
        </w:tc>
      </w:tr>
      <w:tr w14:paraId="778E4E26"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E6B253A" w14:textId="77777777">
            <w:pPr>
              <w:widowControl/>
              <w:jc w:val="center"/>
              <w:rPr>
                <w:rFonts w:ascii="Calibri" w:hAnsi="Calibri" w:cs="Calibri"/>
                <w:snapToGrid/>
                <w:kern w:val="0"/>
                <w:szCs w:val="22"/>
              </w:rPr>
            </w:pPr>
            <w:r w:rsidRPr="00A032ED">
              <w:rPr>
                <w:rFonts w:ascii="Calibri" w:hAnsi="Calibri" w:cs="Calibri"/>
                <w:snapToGrid/>
                <w:kern w:val="0"/>
                <w:szCs w:val="22"/>
              </w:rPr>
              <w:t>KLFY-TV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F801DB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1,355,890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10050F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$9,795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42FE88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CF77A9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$7,123 </w:t>
            </w:r>
          </w:p>
        </w:tc>
        <w:tc>
          <w:tcPr>
            <w:tcW w:w="266" w:type="dxa"/>
            <w:tcBorders>
              <w:top w:val="nil"/>
              <w:left w:val="nil"/>
              <w:bottom w:val="nil"/>
              <w:right w:val="nil"/>
            </w:tcBorders>
            <w:shd w:val="clear" w:color="auto" w:fill="auto"/>
            <w:noWrap/>
            <w:vAlign w:val="bottom"/>
            <w:hideMark/>
          </w:tcPr>
          <w:p w:rsidR="006F7AD6" w:rsidRPr="00A032ED" w:rsidP="00886011" w14:paraId="7D272DD5"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31634B2" w14:textId="77777777">
            <w:pPr>
              <w:widowControl/>
              <w:jc w:val="center"/>
              <w:rPr>
                <w:rFonts w:ascii="Calibri" w:hAnsi="Calibri" w:cs="Calibri"/>
                <w:snapToGrid/>
                <w:kern w:val="0"/>
                <w:szCs w:val="22"/>
              </w:rPr>
            </w:pPr>
            <w:r w:rsidRPr="00A032ED">
              <w:rPr>
                <w:rFonts w:ascii="Calibri" w:hAnsi="Calibri" w:cs="Calibri"/>
                <w:snapToGrid/>
                <w:kern w:val="0"/>
                <w:szCs w:val="22"/>
              </w:rPr>
              <w:t>KGMB</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5F0754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953,398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4D095E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$6,888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113F96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654355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$10,219 </w:t>
            </w:r>
          </w:p>
        </w:tc>
      </w:tr>
      <w:tr w14:paraId="490B76DC"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958ECF6" w14:textId="77777777">
            <w:pPr>
              <w:widowControl/>
              <w:jc w:val="center"/>
              <w:rPr>
                <w:rFonts w:ascii="Calibri" w:hAnsi="Calibri" w:cs="Calibri"/>
                <w:snapToGrid/>
                <w:kern w:val="0"/>
                <w:szCs w:val="22"/>
              </w:rPr>
            </w:pPr>
            <w:r w:rsidRPr="00A032ED">
              <w:rPr>
                <w:rFonts w:ascii="Calibri" w:hAnsi="Calibri" w:cs="Calibri"/>
                <w:snapToGrid/>
                <w:kern w:val="0"/>
                <w:szCs w:val="22"/>
              </w:rPr>
              <w:t>KLJB</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387553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960,055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9DDBDA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$6,936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AC1AE3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345928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$5,693 </w:t>
            </w:r>
          </w:p>
        </w:tc>
        <w:tc>
          <w:tcPr>
            <w:tcW w:w="266" w:type="dxa"/>
            <w:tcBorders>
              <w:top w:val="nil"/>
              <w:left w:val="nil"/>
              <w:bottom w:val="nil"/>
              <w:right w:val="nil"/>
            </w:tcBorders>
            <w:shd w:val="clear" w:color="auto" w:fill="auto"/>
            <w:noWrap/>
            <w:vAlign w:val="bottom"/>
            <w:hideMark/>
          </w:tcPr>
          <w:p w:rsidR="006F7AD6" w:rsidRPr="00A032ED" w:rsidP="00886011" w14:paraId="6F132C5E"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D99FE7F" w14:textId="77777777">
            <w:pPr>
              <w:widowControl/>
              <w:jc w:val="center"/>
              <w:rPr>
                <w:rFonts w:ascii="Calibri" w:hAnsi="Calibri" w:cs="Calibri"/>
                <w:snapToGrid/>
                <w:kern w:val="0"/>
                <w:szCs w:val="22"/>
              </w:rPr>
            </w:pPr>
            <w:r w:rsidRPr="00A032ED">
              <w:rPr>
                <w:rFonts w:ascii="Calibri" w:hAnsi="Calibri" w:cs="Calibri"/>
                <w:snapToGrid/>
                <w:kern w:val="0"/>
                <w:szCs w:val="22"/>
              </w:rPr>
              <w:t>KGMC</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7C51AC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1,759,725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FA18A4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$12,713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341B56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AD92FC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$13,131 </w:t>
            </w:r>
          </w:p>
        </w:tc>
      </w:tr>
      <w:tr w14:paraId="7912FB78"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7DBA6E9" w14:textId="77777777">
            <w:pPr>
              <w:widowControl/>
              <w:jc w:val="center"/>
              <w:rPr>
                <w:rFonts w:ascii="Calibri" w:hAnsi="Calibri" w:cs="Calibri"/>
                <w:snapToGrid/>
                <w:kern w:val="0"/>
                <w:szCs w:val="22"/>
              </w:rPr>
            </w:pPr>
            <w:r w:rsidRPr="00A032ED">
              <w:rPr>
                <w:rFonts w:ascii="Calibri" w:hAnsi="Calibri" w:cs="Calibri"/>
                <w:snapToGrid/>
                <w:kern w:val="0"/>
                <w:szCs w:val="22"/>
              </w:rPr>
              <w:t>KLKN</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09F10C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932,757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152D3B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$6,739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19018C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012435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$5,594 </w:t>
            </w:r>
          </w:p>
        </w:tc>
        <w:tc>
          <w:tcPr>
            <w:tcW w:w="266" w:type="dxa"/>
            <w:tcBorders>
              <w:top w:val="nil"/>
              <w:left w:val="nil"/>
              <w:bottom w:val="nil"/>
              <w:right w:val="nil"/>
            </w:tcBorders>
            <w:shd w:val="clear" w:color="auto" w:fill="auto"/>
            <w:noWrap/>
            <w:vAlign w:val="bottom"/>
            <w:hideMark/>
          </w:tcPr>
          <w:p w:rsidR="006F7AD6" w:rsidRPr="00A032ED" w:rsidP="00886011" w14:paraId="57AEF072"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D4B1EF4" w14:textId="77777777">
            <w:pPr>
              <w:widowControl/>
              <w:jc w:val="center"/>
              <w:rPr>
                <w:rFonts w:ascii="Calibri" w:hAnsi="Calibri" w:cs="Calibri"/>
                <w:snapToGrid/>
                <w:kern w:val="0"/>
                <w:szCs w:val="22"/>
              </w:rPr>
            </w:pPr>
            <w:r w:rsidRPr="00A032ED">
              <w:rPr>
                <w:rFonts w:ascii="Calibri" w:hAnsi="Calibri" w:cs="Calibri"/>
                <w:snapToGrid/>
                <w:kern w:val="0"/>
                <w:szCs w:val="22"/>
              </w:rPr>
              <w:t>KGMD-TV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5EF607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94,323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B5394C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$681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080A73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29C812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$7,116 </w:t>
            </w:r>
          </w:p>
        </w:tc>
      </w:tr>
      <w:tr w14:paraId="0529ABC2"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8463030" w14:textId="77777777">
            <w:pPr>
              <w:widowControl/>
              <w:jc w:val="center"/>
              <w:rPr>
                <w:rFonts w:ascii="Calibri" w:hAnsi="Calibri" w:cs="Calibri"/>
                <w:snapToGrid/>
                <w:kern w:val="0"/>
                <w:szCs w:val="22"/>
              </w:rPr>
            </w:pPr>
            <w:r w:rsidRPr="00A032ED">
              <w:rPr>
                <w:rFonts w:ascii="Calibri" w:hAnsi="Calibri" w:cs="Calibri"/>
                <w:snapToGrid/>
                <w:kern w:val="0"/>
                <w:szCs w:val="22"/>
              </w:rPr>
              <w:t>KLRT-TV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7B39C8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1,171,678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0896B0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$8,465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2DC6A1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CDE361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$11,007 </w:t>
            </w:r>
          </w:p>
        </w:tc>
        <w:tc>
          <w:tcPr>
            <w:tcW w:w="266" w:type="dxa"/>
            <w:tcBorders>
              <w:top w:val="nil"/>
              <w:left w:val="nil"/>
              <w:bottom w:val="nil"/>
              <w:right w:val="nil"/>
            </w:tcBorders>
            <w:shd w:val="clear" w:color="auto" w:fill="auto"/>
            <w:noWrap/>
            <w:vAlign w:val="bottom"/>
            <w:hideMark/>
          </w:tcPr>
          <w:p w:rsidR="006F7AD6" w:rsidRPr="00A032ED" w:rsidP="00886011" w14:paraId="33CDEC5E"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DF1AE15" w14:textId="77777777">
            <w:pPr>
              <w:widowControl/>
              <w:jc w:val="center"/>
              <w:rPr>
                <w:rFonts w:ascii="Calibri" w:hAnsi="Calibri" w:cs="Calibri"/>
                <w:snapToGrid/>
                <w:kern w:val="0"/>
                <w:szCs w:val="22"/>
              </w:rPr>
            </w:pPr>
            <w:r w:rsidRPr="00A032ED">
              <w:rPr>
                <w:rFonts w:ascii="Calibri" w:hAnsi="Calibri" w:cs="Calibri"/>
                <w:snapToGrid/>
                <w:kern w:val="0"/>
                <w:szCs w:val="22"/>
              </w:rPr>
              <w:t>KGMV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BB056F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193,564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704F49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$1,398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428C4F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B18E58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$7,474 </w:t>
            </w:r>
          </w:p>
        </w:tc>
      </w:tr>
      <w:tr w14:paraId="15EF1E7B"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AAEEAF3" w14:textId="77777777">
            <w:pPr>
              <w:widowControl/>
              <w:jc w:val="center"/>
              <w:rPr>
                <w:rFonts w:ascii="Calibri" w:hAnsi="Calibri" w:cs="Calibri"/>
                <w:snapToGrid/>
                <w:kern w:val="0"/>
                <w:szCs w:val="22"/>
              </w:rPr>
            </w:pPr>
            <w:r w:rsidRPr="00A032ED">
              <w:rPr>
                <w:rFonts w:ascii="Calibri" w:hAnsi="Calibri" w:cs="Calibri"/>
                <w:snapToGrid/>
                <w:kern w:val="0"/>
                <w:szCs w:val="22"/>
              </w:rPr>
              <w:t>KLSR-TV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3782BF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564,415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43B8BB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$4,078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B6B649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1FEB36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$4,264 </w:t>
            </w:r>
          </w:p>
        </w:tc>
        <w:tc>
          <w:tcPr>
            <w:tcW w:w="266" w:type="dxa"/>
            <w:tcBorders>
              <w:top w:val="nil"/>
              <w:left w:val="nil"/>
              <w:bottom w:val="nil"/>
              <w:right w:val="nil"/>
            </w:tcBorders>
            <w:shd w:val="clear" w:color="auto" w:fill="auto"/>
            <w:noWrap/>
            <w:vAlign w:val="bottom"/>
            <w:hideMark/>
          </w:tcPr>
          <w:p w:rsidR="006F7AD6" w:rsidRPr="00A032ED" w:rsidP="00886011" w14:paraId="0336037D"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A30904D" w14:textId="77777777">
            <w:pPr>
              <w:widowControl/>
              <w:jc w:val="center"/>
              <w:rPr>
                <w:rFonts w:ascii="Calibri" w:hAnsi="Calibri" w:cs="Calibri"/>
                <w:snapToGrid/>
                <w:kern w:val="0"/>
                <w:szCs w:val="22"/>
              </w:rPr>
            </w:pPr>
            <w:r w:rsidRPr="00A032ED">
              <w:rPr>
                <w:rFonts w:ascii="Calibri" w:hAnsi="Calibri" w:cs="Calibri"/>
                <w:snapToGrid/>
                <w:kern w:val="0"/>
                <w:szCs w:val="22"/>
              </w:rPr>
              <w:t>KGNS-TV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41CB52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267,236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C5ED8E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$1,931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DB4358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575DEC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$3,190 </w:t>
            </w:r>
          </w:p>
        </w:tc>
      </w:tr>
      <w:tr w14:paraId="696FF884"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171070A" w14:textId="77777777">
            <w:pPr>
              <w:widowControl/>
              <w:jc w:val="center"/>
              <w:rPr>
                <w:rFonts w:ascii="Calibri" w:hAnsi="Calibri" w:cs="Calibri"/>
                <w:snapToGrid/>
                <w:kern w:val="0"/>
                <w:szCs w:val="22"/>
              </w:rPr>
            </w:pPr>
            <w:r w:rsidRPr="00A032ED">
              <w:rPr>
                <w:rFonts w:ascii="Calibri" w:hAnsi="Calibri" w:cs="Calibri"/>
                <w:snapToGrid/>
                <w:kern w:val="0"/>
                <w:szCs w:val="22"/>
              </w:rPr>
              <w:t>KLST</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827C08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199,067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81105B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$1,438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014B95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617D8A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$2,944 </w:t>
            </w:r>
          </w:p>
        </w:tc>
        <w:tc>
          <w:tcPr>
            <w:tcW w:w="266" w:type="dxa"/>
            <w:tcBorders>
              <w:top w:val="nil"/>
              <w:left w:val="nil"/>
              <w:bottom w:val="nil"/>
              <w:right w:val="nil"/>
            </w:tcBorders>
            <w:shd w:val="clear" w:color="auto" w:fill="auto"/>
            <w:noWrap/>
            <w:vAlign w:val="bottom"/>
            <w:hideMark/>
          </w:tcPr>
          <w:p w:rsidR="006F7AD6" w:rsidRPr="00A032ED" w:rsidP="00886011" w14:paraId="3BDEB35E"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993E1EE" w14:textId="77777777">
            <w:pPr>
              <w:widowControl/>
              <w:jc w:val="center"/>
              <w:rPr>
                <w:rFonts w:ascii="Calibri" w:hAnsi="Calibri" w:cs="Calibri"/>
                <w:snapToGrid/>
                <w:kern w:val="0"/>
                <w:szCs w:val="22"/>
              </w:rPr>
            </w:pPr>
            <w:r w:rsidRPr="00A032ED">
              <w:rPr>
                <w:rFonts w:ascii="Calibri" w:hAnsi="Calibri" w:cs="Calibri"/>
                <w:snapToGrid/>
                <w:kern w:val="0"/>
                <w:szCs w:val="22"/>
              </w:rPr>
              <w:t>KGO-TV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94F5DE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8,283,429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4D3073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$59,843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EC9AD9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A14579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$56,921 </w:t>
            </w:r>
          </w:p>
        </w:tc>
      </w:tr>
      <w:tr w14:paraId="47C943CE"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79DCB8E" w14:textId="77777777">
            <w:pPr>
              <w:widowControl/>
              <w:jc w:val="center"/>
              <w:rPr>
                <w:rFonts w:ascii="Calibri" w:hAnsi="Calibri" w:cs="Calibri"/>
                <w:snapToGrid/>
                <w:kern w:val="0"/>
                <w:szCs w:val="22"/>
              </w:rPr>
            </w:pPr>
            <w:r w:rsidRPr="00A032ED">
              <w:rPr>
                <w:rFonts w:ascii="Calibri" w:hAnsi="Calibri" w:cs="Calibri"/>
                <w:snapToGrid/>
                <w:kern w:val="0"/>
                <w:szCs w:val="22"/>
              </w:rPr>
              <w:t>KLTJ</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B96B3C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6,034,131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F7B545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$43,593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95FB49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7A10CF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$48,796 </w:t>
            </w:r>
          </w:p>
        </w:tc>
        <w:tc>
          <w:tcPr>
            <w:tcW w:w="266" w:type="dxa"/>
            <w:tcBorders>
              <w:top w:val="nil"/>
              <w:left w:val="nil"/>
              <w:bottom w:val="nil"/>
              <w:right w:val="nil"/>
            </w:tcBorders>
            <w:shd w:val="clear" w:color="auto" w:fill="auto"/>
            <w:noWrap/>
            <w:vAlign w:val="bottom"/>
            <w:hideMark/>
          </w:tcPr>
          <w:p w:rsidR="006F7AD6" w:rsidRPr="00A032ED" w:rsidP="00886011" w14:paraId="187ADAA3"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C226B91" w14:textId="77777777">
            <w:pPr>
              <w:widowControl/>
              <w:jc w:val="center"/>
              <w:rPr>
                <w:rFonts w:ascii="Calibri" w:hAnsi="Calibri" w:cs="Calibri"/>
                <w:snapToGrid/>
                <w:kern w:val="0"/>
                <w:szCs w:val="22"/>
              </w:rPr>
            </w:pPr>
            <w:r w:rsidRPr="00A032ED">
              <w:rPr>
                <w:rFonts w:ascii="Calibri" w:hAnsi="Calibri" w:cs="Calibri"/>
                <w:snapToGrid/>
                <w:kern w:val="0"/>
                <w:szCs w:val="22"/>
              </w:rPr>
              <w:t>KGPE</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F85770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1,699,131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E347A8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$12,275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E4E246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6D656B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$12,913 </w:t>
            </w:r>
          </w:p>
        </w:tc>
      </w:tr>
      <w:tr w14:paraId="1571225E"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F3B1ED0" w14:textId="77777777">
            <w:pPr>
              <w:widowControl/>
              <w:jc w:val="center"/>
              <w:rPr>
                <w:rFonts w:ascii="Calibri" w:hAnsi="Calibri" w:cs="Calibri"/>
                <w:snapToGrid/>
                <w:kern w:val="0"/>
                <w:szCs w:val="22"/>
              </w:rPr>
            </w:pPr>
            <w:r w:rsidRPr="00A032ED">
              <w:rPr>
                <w:rFonts w:ascii="Calibri" w:hAnsi="Calibri" w:cs="Calibri"/>
                <w:snapToGrid/>
                <w:kern w:val="0"/>
                <w:szCs w:val="22"/>
              </w:rPr>
              <w:t>KLTV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A19D76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1,069,690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C69229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$7,728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861FAF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1E4A6A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$6,089 </w:t>
            </w:r>
          </w:p>
        </w:tc>
        <w:tc>
          <w:tcPr>
            <w:tcW w:w="266" w:type="dxa"/>
            <w:tcBorders>
              <w:top w:val="nil"/>
              <w:left w:val="nil"/>
              <w:bottom w:val="nil"/>
              <w:right w:val="nil"/>
            </w:tcBorders>
            <w:shd w:val="clear" w:color="auto" w:fill="auto"/>
            <w:noWrap/>
            <w:vAlign w:val="bottom"/>
            <w:hideMark/>
          </w:tcPr>
          <w:p w:rsidR="006F7AD6" w:rsidRPr="00A032ED" w:rsidP="00886011" w14:paraId="0BD90F03"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1219320" w14:textId="77777777">
            <w:pPr>
              <w:widowControl/>
              <w:jc w:val="center"/>
              <w:rPr>
                <w:rFonts w:ascii="Calibri" w:hAnsi="Calibri" w:cs="Calibri"/>
                <w:snapToGrid/>
                <w:kern w:val="0"/>
                <w:szCs w:val="22"/>
              </w:rPr>
            </w:pPr>
            <w:r w:rsidRPr="00A032ED">
              <w:rPr>
                <w:rFonts w:ascii="Calibri" w:hAnsi="Calibri" w:cs="Calibri"/>
                <w:snapToGrid/>
                <w:kern w:val="0"/>
                <w:szCs w:val="22"/>
              </w:rPr>
              <w:t>KGPX-TV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015EC7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698,441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41D9A2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$5,046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EAE91F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A23AB5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$9,298 </w:t>
            </w:r>
          </w:p>
        </w:tc>
      </w:tr>
      <w:tr w14:paraId="13FC1972"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04029FF" w14:textId="77777777">
            <w:pPr>
              <w:widowControl/>
              <w:jc w:val="center"/>
              <w:rPr>
                <w:rFonts w:ascii="Calibri" w:hAnsi="Calibri" w:cs="Calibri"/>
                <w:snapToGrid/>
                <w:kern w:val="0"/>
                <w:szCs w:val="22"/>
              </w:rPr>
            </w:pPr>
            <w:r w:rsidRPr="00A032ED">
              <w:rPr>
                <w:rFonts w:ascii="Calibri" w:hAnsi="Calibri" w:cs="Calibri"/>
                <w:snapToGrid/>
                <w:kern w:val="0"/>
                <w:szCs w:val="22"/>
              </w:rPr>
              <w:t>KLUJ-TV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897D7C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1,195,751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43ECE3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$8,639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8798EF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A6E46B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$11,094 </w:t>
            </w:r>
          </w:p>
        </w:tc>
        <w:tc>
          <w:tcPr>
            <w:tcW w:w="266" w:type="dxa"/>
            <w:tcBorders>
              <w:top w:val="nil"/>
              <w:left w:val="nil"/>
              <w:bottom w:val="nil"/>
              <w:right w:val="nil"/>
            </w:tcBorders>
            <w:shd w:val="clear" w:color="auto" w:fill="auto"/>
            <w:noWrap/>
            <w:vAlign w:val="bottom"/>
            <w:hideMark/>
          </w:tcPr>
          <w:p w:rsidR="006F7AD6" w:rsidRPr="00A032ED" w:rsidP="00886011" w14:paraId="039AA72E"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F0C4FFF" w14:textId="77777777">
            <w:pPr>
              <w:widowControl/>
              <w:jc w:val="center"/>
              <w:rPr>
                <w:rFonts w:ascii="Calibri" w:hAnsi="Calibri" w:cs="Calibri"/>
                <w:snapToGrid/>
                <w:kern w:val="0"/>
                <w:szCs w:val="22"/>
              </w:rPr>
            </w:pPr>
            <w:r w:rsidRPr="00A032ED">
              <w:rPr>
                <w:rFonts w:ascii="Calibri" w:hAnsi="Calibri" w:cs="Calibri"/>
                <w:snapToGrid/>
                <w:kern w:val="0"/>
                <w:szCs w:val="22"/>
              </w:rPr>
              <w:t>KGTV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665E3F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3,960,667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DE878D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$28,613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A719E3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3CF54F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$27,882 </w:t>
            </w:r>
          </w:p>
        </w:tc>
      </w:tr>
      <w:tr w14:paraId="4A1C35D7"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968F258" w14:textId="77777777">
            <w:pPr>
              <w:widowControl/>
              <w:jc w:val="center"/>
              <w:rPr>
                <w:rFonts w:ascii="Calibri" w:hAnsi="Calibri" w:cs="Calibri"/>
                <w:snapToGrid/>
                <w:kern w:val="0"/>
                <w:szCs w:val="22"/>
              </w:rPr>
            </w:pPr>
            <w:r w:rsidRPr="00A032ED">
              <w:rPr>
                <w:rFonts w:ascii="Calibri" w:hAnsi="Calibri" w:cs="Calibri"/>
                <w:snapToGrid/>
                <w:kern w:val="0"/>
                <w:szCs w:val="22"/>
              </w:rPr>
              <w:t>KLUZ-TV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A26023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1,079,718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F2F050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$7,800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9E1386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03DDDA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$17,475 </w:t>
            </w:r>
          </w:p>
        </w:tc>
        <w:tc>
          <w:tcPr>
            <w:tcW w:w="266" w:type="dxa"/>
            <w:tcBorders>
              <w:top w:val="nil"/>
              <w:left w:val="nil"/>
              <w:bottom w:val="nil"/>
              <w:right w:val="nil"/>
            </w:tcBorders>
            <w:shd w:val="clear" w:color="auto" w:fill="auto"/>
            <w:noWrap/>
            <w:vAlign w:val="bottom"/>
            <w:hideMark/>
          </w:tcPr>
          <w:p w:rsidR="006F7AD6" w:rsidRPr="00A032ED" w:rsidP="00886011" w14:paraId="406D0A69"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2354792" w14:textId="77777777">
            <w:pPr>
              <w:widowControl/>
              <w:jc w:val="center"/>
              <w:rPr>
                <w:rFonts w:ascii="Calibri" w:hAnsi="Calibri" w:cs="Calibri"/>
                <w:snapToGrid/>
                <w:kern w:val="0"/>
                <w:szCs w:val="22"/>
              </w:rPr>
            </w:pPr>
            <w:r w:rsidRPr="00A032ED">
              <w:rPr>
                <w:rFonts w:ascii="Calibri" w:hAnsi="Calibri" w:cs="Calibri"/>
                <w:snapToGrid/>
                <w:kern w:val="0"/>
                <w:szCs w:val="22"/>
              </w:rPr>
              <w:t>KGUN-TV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107755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1,552,522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62C96F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$11,216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7A95DB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77C643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$12,383 </w:t>
            </w:r>
          </w:p>
        </w:tc>
      </w:tr>
      <w:tr w14:paraId="0FDC67CD"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74A5FFC" w14:textId="77777777">
            <w:pPr>
              <w:widowControl/>
              <w:jc w:val="center"/>
              <w:rPr>
                <w:rFonts w:ascii="Calibri" w:hAnsi="Calibri" w:cs="Calibri"/>
                <w:snapToGrid/>
                <w:kern w:val="0"/>
                <w:szCs w:val="22"/>
              </w:rPr>
            </w:pPr>
            <w:r w:rsidRPr="00A032ED">
              <w:rPr>
                <w:rFonts w:ascii="Calibri" w:hAnsi="Calibri" w:cs="Calibri"/>
                <w:snapToGrid/>
                <w:kern w:val="0"/>
                <w:szCs w:val="22"/>
              </w:rPr>
              <w:t>KLWB</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B51091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1,216,359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ED64FD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$8,787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EC26D9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3F3C67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$6,619 </w:t>
            </w:r>
          </w:p>
        </w:tc>
        <w:tc>
          <w:tcPr>
            <w:tcW w:w="266" w:type="dxa"/>
            <w:tcBorders>
              <w:top w:val="nil"/>
              <w:left w:val="nil"/>
              <w:bottom w:val="nil"/>
              <w:right w:val="nil"/>
            </w:tcBorders>
            <w:shd w:val="clear" w:color="auto" w:fill="auto"/>
            <w:noWrap/>
            <w:vAlign w:val="bottom"/>
            <w:hideMark/>
          </w:tcPr>
          <w:p w:rsidR="006F7AD6" w:rsidRPr="00A032ED" w:rsidP="00886011" w14:paraId="2A11F0D7"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D513CA1" w14:textId="77777777">
            <w:pPr>
              <w:widowControl/>
              <w:jc w:val="center"/>
              <w:rPr>
                <w:rFonts w:ascii="Calibri" w:hAnsi="Calibri" w:cs="Calibri"/>
                <w:snapToGrid/>
                <w:kern w:val="0"/>
                <w:szCs w:val="22"/>
              </w:rPr>
            </w:pPr>
            <w:r w:rsidRPr="00A032ED">
              <w:rPr>
                <w:rFonts w:ascii="Calibri" w:hAnsi="Calibri" w:cs="Calibri"/>
                <w:snapToGrid/>
                <w:kern w:val="0"/>
                <w:szCs w:val="22"/>
              </w:rPr>
              <w:t>KGW</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08F9BC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3,058,216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0579FA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$22,094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C9456E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1D7D39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$31,384 </w:t>
            </w:r>
          </w:p>
        </w:tc>
      </w:tr>
      <w:tr w14:paraId="74655F7A"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586DC32" w14:textId="77777777">
            <w:pPr>
              <w:widowControl/>
              <w:jc w:val="center"/>
              <w:rPr>
                <w:rFonts w:ascii="Calibri" w:hAnsi="Calibri" w:cs="Calibri"/>
                <w:snapToGrid/>
                <w:kern w:val="0"/>
                <w:szCs w:val="22"/>
              </w:rPr>
            </w:pPr>
            <w:r w:rsidRPr="00A032ED">
              <w:rPr>
                <w:rFonts w:ascii="Calibri" w:hAnsi="Calibri" w:cs="Calibri"/>
                <w:snapToGrid/>
                <w:kern w:val="0"/>
                <w:szCs w:val="22"/>
              </w:rPr>
              <w:t>KLWY</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1BA30E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541,043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EF2AD0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$3,909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EE4349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3C353C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$4,179 </w:t>
            </w:r>
          </w:p>
        </w:tc>
        <w:tc>
          <w:tcPr>
            <w:tcW w:w="266" w:type="dxa"/>
            <w:tcBorders>
              <w:top w:val="nil"/>
              <w:left w:val="nil"/>
              <w:bottom w:val="nil"/>
              <w:right w:val="nil"/>
            </w:tcBorders>
            <w:shd w:val="clear" w:color="auto" w:fill="auto"/>
            <w:noWrap/>
            <w:vAlign w:val="bottom"/>
            <w:hideMark/>
          </w:tcPr>
          <w:p w:rsidR="006F7AD6" w:rsidRPr="00A032ED" w:rsidP="00886011" w14:paraId="57721D4F"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FDB50FD" w14:textId="77777777">
            <w:pPr>
              <w:widowControl/>
              <w:jc w:val="center"/>
              <w:rPr>
                <w:rFonts w:ascii="Calibri" w:hAnsi="Calibri" w:cs="Calibri"/>
                <w:snapToGrid/>
                <w:kern w:val="0"/>
                <w:szCs w:val="22"/>
              </w:rPr>
            </w:pPr>
            <w:r w:rsidRPr="00A032ED">
              <w:rPr>
                <w:rFonts w:ascii="Calibri" w:hAnsi="Calibri" w:cs="Calibri"/>
                <w:snapToGrid/>
                <w:kern w:val="0"/>
                <w:szCs w:val="22"/>
              </w:rPr>
              <w:t>KGWC-TV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BBEEC5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80,475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67D140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$581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7753AC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75C20D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$2,516 </w:t>
            </w:r>
          </w:p>
        </w:tc>
      </w:tr>
      <w:tr w14:paraId="28DD56AB"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00CB711" w14:textId="77777777">
            <w:pPr>
              <w:widowControl/>
              <w:jc w:val="center"/>
              <w:rPr>
                <w:rFonts w:ascii="Calibri" w:hAnsi="Calibri" w:cs="Calibri"/>
                <w:snapToGrid/>
                <w:kern w:val="0"/>
                <w:szCs w:val="22"/>
              </w:rPr>
            </w:pPr>
            <w:r w:rsidRPr="00A032ED">
              <w:rPr>
                <w:rFonts w:ascii="Calibri" w:hAnsi="Calibri" w:cs="Calibri"/>
                <w:snapToGrid/>
                <w:kern w:val="0"/>
                <w:szCs w:val="22"/>
              </w:rPr>
              <w:t>KMAU</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2D7E8C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213,060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00B1AC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$1,539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50E118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7C2BFA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$7,545 </w:t>
            </w:r>
          </w:p>
        </w:tc>
        <w:tc>
          <w:tcPr>
            <w:tcW w:w="266" w:type="dxa"/>
            <w:tcBorders>
              <w:top w:val="nil"/>
              <w:left w:val="nil"/>
              <w:bottom w:val="nil"/>
              <w:right w:val="nil"/>
            </w:tcBorders>
            <w:shd w:val="clear" w:color="auto" w:fill="auto"/>
            <w:noWrap/>
            <w:vAlign w:val="bottom"/>
            <w:hideMark/>
          </w:tcPr>
          <w:p w:rsidR="006F7AD6" w:rsidRPr="00A032ED" w:rsidP="00886011" w14:paraId="353F6D8B"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D5A3B58" w14:textId="77777777">
            <w:pPr>
              <w:widowControl/>
              <w:jc w:val="center"/>
              <w:rPr>
                <w:rFonts w:ascii="Calibri" w:hAnsi="Calibri" w:cs="Calibri"/>
                <w:snapToGrid/>
                <w:kern w:val="0"/>
                <w:szCs w:val="22"/>
              </w:rPr>
            </w:pPr>
            <w:r w:rsidRPr="00A032ED">
              <w:rPr>
                <w:rFonts w:ascii="Calibri" w:hAnsi="Calibri" w:cs="Calibri"/>
                <w:snapToGrid/>
                <w:kern w:val="0"/>
                <w:szCs w:val="22"/>
              </w:rPr>
              <w:t>KGWL-TV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9A3949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38,125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388DEE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$275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4DBAFD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AF58AD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$2,363 </w:t>
            </w:r>
          </w:p>
        </w:tc>
      </w:tr>
      <w:tr w14:paraId="6CD69128"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E52A6CD" w14:textId="77777777">
            <w:pPr>
              <w:widowControl/>
              <w:jc w:val="center"/>
              <w:rPr>
                <w:rFonts w:ascii="Calibri" w:hAnsi="Calibri" w:cs="Calibri"/>
                <w:snapToGrid/>
                <w:kern w:val="0"/>
                <w:szCs w:val="22"/>
              </w:rPr>
            </w:pPr>
            <w:r w:rsidRPr="00A032ED">
              <w:rPr>
                <w:rFonts w:ascii="Calibri" w:hAnsi="Calibri" w:cs="Calibri"/>
                <w:snapToGrid/>
                <w:kern w:val="0"/>
                <w:szCs w:val="22"/>
              </w:rPr>
              <w:t>KMAX-TV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3D5E7A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10,644,556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024E20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$76,900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20144F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5BFD10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$58,788 </w:t>
            </w:r>
          </w:p>
        </w:tc>
        <w:tc>
          <w:tcPr>
            <w:tcW w:w="266" w:type="dxa"/>
            <w:tcBorders>
              <w:top w:val="nil"/>
              <w:left w:val="nil"/>
              <w:bottom w:val="nil"/>
              <w:right w:val="nil"/>
            </w:tcBorders>
            <w:shd w:val="clear" w:color="auto" w:fill="auto"/>
            <w:noWrap/>
            <w:vAlign w:val="bottom"/>
            <w:hideMark/>
          </w:tcPr>
          <w:p w:rsidR="006F7AD6" w:rsidRPr="00A032ED" w:rsidP="00886011" w14:paraId="5AC3122C"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89CFBFA" w14:textId="77777777">
            <w:pPr>
              <w:widowControl/>
              <w:jc w:val="center"/>
              <w:rPr>
                <w:rFonts w:ascii="Calibri" w:hAnsi="Calibri" w:cs="Calibri"/>
                <w:snapToGrid/>
                <w:kern w:val="0"/>
                <w:szCs w:val="22"/>
              </w:rPr>
            </w:pPr>
            <w:r w:rsidRPr="00A032ED">
              <w:rPr>
                <w:rFonts w:ascii="Calibri" w:hAnsi="Calibri" w:cs="Calibri"/>
                <w:snapToGrid/>
                <w:kern w:val="0"/>
                <w:szCs w:val="22"/>
              </w:rPr>
              <w:t>KGWN-TV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97B5F1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469,467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CFAE05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$3,392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F7C9F2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AF179B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$3,921 </w:t>
            </w:r>
          </w:p>
        </w:tc>
      </w:tr>
      <w:tr w14:paraId="2C73082C"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E8B9028" w14:textId="77777777">
            <w:pPr>
              <w:widowControl/>
              <w:jc w:val="center"/>
              <w:rPr>
                <w:rFonts w:ascii="Calibri" w:hAnsi="Calibri" w:cs="Calibri"/>
                <w:snapToGrid/>
                <w:kern w:val="0"/>
                <w:szCs w:val="22"/>
              </w:rPr>
            </w:pPr>
            <w:r w:rsidRPr="00A032ED">
              <w:rPr>
                <w:rFonts w:ascii="Calibri" w:hAnsi="Calibri" w:cs="Calibri"/>
                <w:snapToGrid/>
                <w:kern w:val="0"/>
                <w:szCs w:val="22"/>
              </w:rPr>
              <w:t>KMBC-TV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B264CA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2,507,895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756D7A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$18,118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99C756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251497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$22,634 </w:t>
            </w:r>
          </w:p>
        </w:tc>
        <w:tc>
          <w:tcPr>
            <w:tcW w:w="266" w:type="dxa"/>
            <w:tcBorders>
              <w:top w:val="nil"/>
              <w:left w:val="nil"/>
              <w:bottom w:val="nil"/>
              <w:right w:val="nil"/>
            </w:tcBorders>
            <w:shd w:val="clear" w:color="auto" w:fill="auto"/>
            <w:noWrap/>
            <w:vAlign w:val="bottom"/>
            <w:hideMark/>
          </w:tcPr>
          <w:p w:rsidR="006F7AD6" w:rsidRPr="00A032ED" w:rsidP="00886011" w14:paraId="037CFC22"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CE14EE9" w14:textId="77777777">
            <w:pPr>
              <w:widowControl/>
              <w:jc w:val="center"/>
              <w:rPr>
                <w:rFonts w:ascii="Calibri" w:hAnsi="Calibri" w:cs="Calibri"/>
                <w:snapToGrid/>
                <w:kern w:val="0"/>
                <w:szCs w:val="22"/>
              </w:rPr>
            </w:pPr>
            <w:r w:rsidRPr="00A032ED">
              <w:rPr>
                <w:rFonts w:ascii="Calibri" w:hAnsi="Calibri" w:cs="Calibri"/>
                <w:snapToGrid/>
                <w:kern w:val="0"/>
                <w:szCs w:val="22"/>
              </w:rPr>
              <w:t>KGWR-TV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A9D381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51,315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C7CE9C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$371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F21259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5AC422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$2,410 </w:t>
            </w:r>
          </w:p>
        </w:tc>
      </w:tr>
      <w:tr w14:paraId="01C86C79"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40D3B54" w14:textId="77777777">
            <w:pPr>
              <w:widowControl/>
              <w:jc w:val="center"/>
              <w:rPr>
                <w:rFonts w:ascii="Calibri" w:hAnsi="Calibri" w:cs="Calibri"/>
                <w:snapToGrid/>
                <w:kern w:val="0"/>
                <w:szCs w:val="22"/>
              </w:rPr>
            </w:pPr>
            <w:r w:rsidRPr="00A032ED">
              <w:rPr>
                <w:rFonts w:ascii="Calibri" w:hAnsi="Calibri" w:cs="Calibri"/>
                <w:snapToGrid/>
                <w:kern w:val="0"/>
                <w:szCs w:val="22"/>
              </w:rPr>
              <w:t>KMBH</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AA9D9F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1,225,732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11B810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$8,855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732523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08821C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$11,203 </w:t>
            </w:r>
          </w:p>
        </w:tc>
        <w:tc>
          <w:tcPr>
            <w:tcW w:w="266" w:type="dxa"/>
            <w:tcBorders>
              <w:top w:val="nil"/>
              <w:left w:val="nil"/>
              <w:bottom w:val="nil"/>
              <w:right w:val="nil"/>
            </w:tcBorders>
            <w:shd w:val="clear" w:color="auto" w:fill="auto"/>
            <w:noWrap/>
            <w:vAlign w:val="bottom"/>
            <w:hideMark/>
          </w:tcPr>
          <w:p w:rsidR="006F7AD6" w:rsidRPr="00A032ED" w:rsidP="00886011" w14:paraId="0184BDEE"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C76FB23" w14:textId="77777777">
            <w:pPr>
              <w:widowControl/>
              <w:jc w:val="center"/>
              <w:rPr>
                <w:rFonts w:ascii="Calibri" w:hAnsi="Calibri" w:cs="Calibri"/>
                <w:snapToGrid/>
                <w:kern w:val="0"/>
                <w:szCs w:val="22"/>
              </w:rPr>
            </w:pPr>
            <w:r w:rsidRPr="00A032ED">
              <w:rPr>
                <w:rFonts w:ascii="Calibri" w:hAnsi="Calibri" w:cs="Calibri"/>
                <w:snapToGrid/>
                <w:kern w:val="0"/>
                <w:szCs w:val="22"/>
              </w:rPr>
              <w:t>KHAW-TV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B8D46B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95,204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5DF2EA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$688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E0E8C4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F2822B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$7,119 </w:t>
            </w:r>
          </w:p>
        </w:tc>
      </w:tr>
      <w:tr w14:paraId="6D5D0A52"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0F614F5" w14:textId="77777777">
            <w:pPr>
              <w:widowControl/>
              <w:jc w:val="center"/>
              <w:rPr>
                <w:rFonts w:ascii="Calibri" w:hAnsi="Calibri" w:cs="Calibri"/>
                <w:snapToGrid/>
                <w:kern w:val="0"/>
                <w:szCs w:val="22"/>
              </w:rPr>
            </w:pPr>
            <w:r w:rsidRPr="00A032ED">
              <w:rPr>
                <w:rFonts w:ascii="Calibri" w:hAnsi="Calibri" w:cs="Calibri"/>
                <w:snapToGrid/>
                <w:kern w:val="0"/>
                <w:szCs w:val="22"/>
              </w:rPr>
              <w:t>KMCB</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B8EBAE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69,357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DA5B7E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$501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98C432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4F7FD4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$2,476 </w:t>
            </w:r>
          </w:p>
        </w:tc>
        <w:tc>
          <w:tcPr>
            <w:tcW w:w="266" w:type="dxa"/>
            <w:tcBorders>
              <w:top w:val="nil"/>
              <w:left w:val="nil"/>
              <w:bottom w:val="nil"/>
              <w:right w:val="nil"/>
            </w:tcBorders>
            <w:shd w:val="clear" w:color="auto" w:fill="auto"/>
            <w:noWrap/>
            <w:vAlign w:val="bottom"/>
            <w:hideMark/>
          </w:tcPr>
          <w:p w:rsidR="006F7AD6" w:rsidRPr="00A032ED" w:rsidP="00886011" w14:paraId="58BCD17B"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EBD2E1A" w14:textId="77777777">
            <w:pPr>
              <w:widowControl/>
              <w:jc w:val="center"/>
              <w:rPr>
                <w:rFonts w:ascii="Calibri" w:hAnsi="Calibri" w:cs="Calibri"/>
                <w:snapToGrid/>
                <w:kern w:val="0"/>
                <w:szCs w:val="22"/>
              </w:rPr>
            </w:pPr>
            <w:r w:rsidRPr="00A032ED">
              <w:rPr>
                <w:rFonts w:ascii="Calibri" w:hAnsi="Calibri" w:cs="Calibri"/>
                <w:snapToGrid/>
                <w:kern w:val="0"/>
                <w:szCs w:val="22"/>
              </w:rPr>
              <w:t>KHBC-TV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A9E942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74,884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0A68DE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$541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09EF32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CE2A19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$7,045 </w:t>
            </w:r>
          </w:p>
        </w:tc>
      </w:tr>
      <w:tr w14:paraId="5932946C"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561D30B" w14:textId="77777777">
            <w:pPr>
              <w:widowControl/>
              <w:jc w:val="center"/>
              <w:rPr>
                <w:rFonts w:ascii="Calibri" w:hAnsi="Calibri" w:cs="Calibri"/>
                <w:snapToGrid/>
                <w:kern w:val="0"/>
                <w:szCs w:val="22"/>
              </w:rPr>
            </w:pPr>
            <w:r w:rsidRPr="00A032ED">
              <w:rPr>
                <w:rFonts w:ascii="Calibri" w:hAnsi="Calibri" w:cs="Calibri"/>
                <w:snapToGrid/>
                <w:kern w:val="0"/>
                <w:szCs w:val="22"/>
              </w:rPr>
              <w:t>KMCC</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4EA0C2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2,064,592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1E15F7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$14,915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E17C7D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159A59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$21,033 </w:t>
            </w:r>
          </w:p>
        </w:tc>
        <w:tc>
          <w:tcPr>
            <w:tcW w:w="266" w:type="dxa"/>
            <w:tcBorders>
              <w:top w:val="nil"/>
              <w:left w:val="nil"/>
              <w:bottom w:val="nil"/>
              <w:right w:val="nil"/>
            </w:tcBorders>
            <w:shd w:val="clear" w:color="auto" w:fill="auto"/>
            <w:noWrap/>
            <w:vAlign w:val="bottom"/>
            <w:hideMark/>
          </w:tcPr>
          <w:p w:rsidR="006F7AD6" w:rsidRPr="00A032ED" w:rsidP="00886011" w14:paraId="27329E0C"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BE6066D" w14:textId="77777777">
            <w:pPr>
              <w:widowControl/>
              <w:jc w:val="center"/>
              <w:rPr>
                <w:rFonts w:ascii="Calibri" w:hAnsi="Calibri" w:cs="Calibri"/>
                <w:snapToGrid/>
                <w:kern w:val="0"/>
                <w:szCs w:val="22"/>
              </w:rPr>
            </w:pPr>
            <w:r w:rsidRPr="00A032ED">
              <w:rPr>
                <w:rFonts w:ascii="Calibri" w:hAnsi="Calibri" w:cs="Calibri"/>
                <w:snapToGrid/>
                <w:kern w:val="0"/>
                <w:szCs w:val="22"/>
              </w:rPr>
              <w:t>KHBS</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2917C2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631,770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254EE5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$4,564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F4830F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F8C01E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$9,057 </w:t>
            </w:r>
          </w:p>
        </w:tc>
      </w:tr>
      <w:tr w14:paraId="23B8952A"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474DD56" w14:textId="77777777">
            <w:pPr>
              <w:widowControl/>
              <w:jc w:val="center"/>
              <w:rPr>
                <w:rFonts w:ascii="Calibri" w:hAnsi="Calibri" w:cs="Calibri"/>
                <w:snapToGrid/>
                <w:kern w:val="0"/>
                <w:szCs w:val="22"/>
              </w:rPr>
            </w:pPr>
            <w:r w:rsidRPr="00A032ED">
              <w:rPr>
                <w:rFonts w:ascii="Calibri" w:hAnsi="Calibri" w:cs="Calibri"/>
                <w:snapToGrid/>
                <w:kern w:val="0"/>
                <w:szCs w:val="22"/>
              </w:rPr>
              <w:t>KMCI-TV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25BE78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2,362,805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ACD5A1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$17,070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30510F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468EF5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$22,110 </w:t>
            </w:r>
          </w:p>
        </w:tc>
        <w:tc>
          <w:tcPr>
            <w:tcW w:w="266" w:type="dxa"/>
            <w:tcBorders>
              <w:top w:val="nil"/>
              <w:left w:val="nil"/>
              <w:bottom w:val="nil"/>
              <w:right w:val="nil"/>
            </w:tcBorders>
            <w:shd w:val="clear" w:color="auto" w:fill="auto"/>
            <w:noWrap/>
            <w:vAlign w:val="bottom"/>
            <w:hideMark/>
          </w:tcPr>
          <w:p w:rsidR="006F7AD6" w:rsidRPr="00A032ED" w:rsidP="00886011" w14:paraId="58B35A29"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396CA82" w14:textId="77777777">
            <w:pPr>
              <w:widowControl/>
              <w:jc w:val="center"/>
              <w:rPr>
                <w:rFonts w:ascii="Calibri" w:hAnsi="Calibri" w:cs="Calibri"/>
                <w:snapToGrid/>
                <w:kern w:val="0"/>
                <w:szCs w:val="22"/>
              </w:rPr>
            </w:pPr>
            <w:r w:rsidRPr="00A032ED">
              <w:rPr>
                <w:rFonts w:ascii="Calibri" w:hAnsi="Calibri" w:cs="Calibri"/>
                <w:snapToGrid/>
                <w:kern w:val="0"/>
                <w:szCs w:val="22"/>
              </w:rPr>
              <w:t>KHGI-TV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AE3C17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233,973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E82670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$1,690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BB714D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9A756C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$3,070 </w:t>
            </w:r>
          </w:p>
        </w:tc>
      </w:tr>
      <w:tr w14:paraId="34029EDF"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B3F3EC0" w14:textId="77777777">
            <w:pPr>
              <w:widowControl/>
              <w:jc w:val="center"/>
              <w:rPr>
                <w:rFonts w:ascii="Calibri" w:hAnsi="Calibri" w:cs="Calibri"/>
                <w:snapToGrid/>
                <w:kern w:val="0"/>
                <w:szCs w:val="22"/>
              </w:rPr>
            </w:pPr>
            <w:r w:rsidRPr="00A032ED">
              <w:rPr>
                <w:rFonts w:ascii="Calibri" w:hAnsi="Calibri" w:cs="Calibri"/>
                <w:snapToGrid/>
                <w:kern w:val="0"/>
                <w:szCs w:val="22"/>
              </w:rPr>
              <w:t>KMCY</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4574B6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71,797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3F5823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$519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C916E3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23E25F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$2,484 </w:t>
            </w:r>
          </w:p>
        </w:tc>
        <w:tc>
          <w:tcPr>
            <w:tcW w:w="266" w:type="dxa"/>
            <w:tcBorders>
              <w:top w:val="nil"/>
              <w:left w:val="nil"/>
              <w:bottom w:val="nil"/>
              <w:right w:val="nil"/>
            </w:tcBorders>
            <w:shd w:val="clear" w:color="auto" w:fill="auto"/>
            <w:noWrap/>
            <w:vAlign w:val="bottom"/>
            <w:hideMark/>
          </w:tcPr>
          <w:p w:rsidR="006F7AD6" w:rsidRPr="00A032ED" w:rsidP="00886011" w14:paraId="35429952"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700A18D" w14:textId="77777777">
            <w:pPr>
              <w:widowControl/>
              <w:jc w:val="center"/>
              <w:rPr>
                <w:rFonts w:ascii="Calibri" w:hAnsi="Calibri" w:cs="Calibri"/>
                <w:snapToGrid/>
                <w:kern w:val="0"/>
                <w:szCs w:val="22"/>
              </w:rPr>
            </w:pPr>
            <w:r w:rsidRPr="00A032ED">
              <w:rPr>
                <w:rFonts w:ascii="Calibri" w:hAnsi="Calibri" w:cs="Calibri"/>
                <w:snapToGrid/>
                <w:kern w:val="0"/>
                <w:szCs w:val="22"/>
              </w:rPr>
              <w:t>KHME</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E4271F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181,345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61BF9F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$1,310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A51204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550B37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$2,880 </w:t>
            </w:r>
          </w:p>
        </w:tc>
      </w:tr>
      <w:tr w14:paraId="0C871480"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395B08B" w14:textId="77777777">
            <w:pPr>
              <w:widowControl/>
              <w:jc w:val="center"/>
              <w:rPr>
                <w:rFonts w:ascii="Calibri" w:hAnsi="Calibri" w:cs="Calibri"/>
                <w:snapToGrid/>
                <w:kern w:val="0"/>
                <w:szCs w:val="22"/>
              </w:rPr>
            </w:pPr>
            <w:r w:rsidRPr="00A032ED">
              <w:rPr>
                <w:rFonts w:ascii="Calibri" w:hAnsi="Calibri" w:cs="Calibri"/>
                <w:snapToGrid/>
                <w:kern w:val="0"/>
                <w:szCs w:val="22"/>
              </w:rPr>
              <w:t>KMEG</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0A2B50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701,162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D0813B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$5,065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9E9B14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5427C4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$4,758 </w:t>
            </w:r>
          </w:p>
        </w:tc>
        <w:tc>
          <w:tcPr>
            <w:tcW w:w="266" w:type="dxa"/>
            <w:tcBorders>
              <w:top w:val="nil"/>
              <w:left w:val="nil"/>
              <w:bottom w:val="nil"/>
              <w:right w:val="nil"/>
            </w:tcBorders>
            <w:shd w:val="clear" w:color="auto" w:fill="auto"/>
            <w:noWrap/>
            <w:vAlign w:val="bottom"/>
            <w:hideMark/>
          </w:tcPr>
          <w:p w:rsidR="006F7AD6" w:rsidRPr="00A032ED" w:rsidP="00886011" w14:paraId="72A5C1CC"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C08966F" w14:textId="77777777">
            <w:pPr>
              <w:widowControl/>
              <w:jc w:val="center"/>
              <w:rPr>
                <w:rFonts w:ascii="Calibri" w:hAnsi="Calibri" w:cs="Calibri"/>
                <w:snapToGrid/>
                <w:kern w:val="0"/>
                <w:szCs w:val="22"/>
              </w:rPr>
            </w:pPr>
            <w:r w:rsidRPr="00A032ED">
              <w:rPr>
                <w:rFonts w:ascii="Calibri" w:hAnsi="Calibri" w:cs="Calibri"/>
                <w:snapToGrid/>
                <w:kern w:val="0"/>
                <w:szCs w:val="22"/>
              </w:rPr>
              <w:t>KHMT</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0800CB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175,601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B75CED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$1,269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18D8EB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EA9A0B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$2,859 </w:t>
            </w:r>
          </w:p>
        </w:tc>
      </w:tr>
      <w:tr w14:paraId="71B6070B"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52A36B0" w14:textId="77777777">
            <w:pPr>
              <w:widowControl/>
              <w:jc w:val="center"/>
              <w:rPr>
                <w:rFonts w:ascii="Calibri" w:hAnsi="Calibri" w:cs="Calibri"/>
                <w:snapToGrid/>
                <w:kern w:val="0"/>
                <w:szCs w:val="22"/>
              </w:rPr>
            </w:pPr>
            <w:r w:rsidRPr="00A032ED">
              <w:rPr>
                <w:rFonts w:ascii="Calibri" w:hAnsi="Calibri" w:cs="Calibri"/>
                <w:snapToGrid/>
                <w:kern w:val="0"/>
                <w:szCs w:val="22"/>
              </w:rPr>
              <w:t>KMEX-DT</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F80BCA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17,628,354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8D22DC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$127,354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23326B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F60812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$90,677 </w:t>
            </w:r>
          </w:p>
        </w:tc>
        <w:tc>
          <w:tcPr>
            <w:tcW w:w="266" w:type="dxa"/>
            <w:tcBorders>
              <w:top w:val="nil"/>
              <w:left w:val="nil"/>
              <w:bottom w:val="nil"/>
              <w:right w:val="nil"/>
            </w:tcBorders>
            <w:shd w:val="clear" w:color="auto" w:fill="auto"/>
            <w:noWrap/>
            <w:vAlign w:val="bottom"/>
            <w:hideMark/>
          </w:tcPr>
          <w:p w:rsidR="006F7AD6" w:rsidRPr="00A032ED" w:rsidP="00886011" w14:paraId="6447DD74"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407AA25" w14:textId="77777777">
            <w:pPr>
              <w:widowControl/>
              <w:jc w:val="center"/>
              <w:rPr>
                <w:rFonts w:ascii="Calibri" w:hAnsi="Calibri" w:cs="Calibri"/>
                <w:snapToGrid/>
                <w:kern w:val="0"/>
                <w:szCs w:val="22"/>
              </w:rPr>
            </w:pPr>
            <w:r w:rsidRPr="00A032ED">
              <w:rPr>
                <w:rFonts w:ascii="Calibri" w:hAnsi="Calibri" w:cs="Calibri"/>
                <w:snapToGrid/>
                <w:kern w:val="0"/>
                <w:szCs w:val="22"/>
              </w:rPr>
              <w:t>KHNL</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51722B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953,398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39B6EB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$6,888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CF3511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D7A23A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$10,219 </w:t>
            </w:r>
          </w:p>
        </w:tc>
      </w:tr>
      <w:tr w14:paraId="0C10E461"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F39213C" w14:textId="77777777">
            <w:pPr>
              <w:widowControl/>
              <w:jc w:val="center"/>
              <w:rPr>
                <w:rFonts w:ascii="Calibri" w:hAnsi="Calibri" w:cs="Calibri"/>
                <w:snapToGrid/>
                <w:kern w:val="0"/>
                <w:szCs w:val="22"/>
              </w:rPr>
            </w:pPr>
            <w:r w:rsidRPr="00A032ED">
              <w:rPr>
                <w:rFonts w:ascii="Calibri" w:hAnsi="Calibri" w:cs="Calibri"/>
                <w:snapToGrid/>
                <w:kern w:val="0"/>
                <w:szCs w:val="22"/>
              </w:rPr>
              <w:t>KMGH-TV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DBCFEE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3,815,253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68B7A0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$27,563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FD5022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9BFB6E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$34,119 </w:t>
            </w:r>
          </w:p>
        </w:tc>
        <w:tc>
          <w:tcPr>
            <w:tcW w:w="266" w:type="dxa"/>
            <w:tcBorders>
              <w:top w:val="nil"/>
              <w:left w:val="nil"/>
              <w:bottom w:val="nil"/>
              <w:right w:val="nil"/>
            </w:tcBorders>
            <w:shd w:val="clear" w:color="auto" w:fill="auto"/>
            <w:noWrap/>
            <w:vAlign w:val="bottom"/>
            <w:hideMark/>
          </w:tcPr>
          <w:p w:rsidR="006F7AD6" w:rsidRPr="00A032ED" w:rsidP="00886011" w14:paraId="7AD8B2FA"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65712B6" w14:textId="77777777">
            <w:pPr>
              <w:widowControl/>
              <w:jc w:val="center"/>
              <w:rPr>
                <w:rFonts w:ascii="Calibri" w:hAnsi="Calibri" w:cs="Calibri"/>
                <w:snapToGrid/>
                <w:kern w:val="0"/>
                <w:szCs w:val="22"/>
              </w:rPr>
            </w:pPr>
            <w:r w:rsidRPr="00A032ED">
              <w:rPr>
                <w:rFonts w:ascii="Calibri" w:hAnsi="Calibri" w:cs="Calibri"/>
                <w:snapToGrid/>
                <w:kern w:val="0"/>
                <w:szCs w:val="22"/>
              </w:rPr>
              <w:t>KHOG-TV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575AD8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765,360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E8FE77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$5,529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1AFB9F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D7EFF3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$9,540 </w:t>
            </w:r>
          </w:p>
        </w:tc>
      </w:tr>
      <w:tr w14:paraId="1DC9F072"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F160E2A" w14:textId="77777777">
            <w:pPr>
              <w:widowControl/>
              <w:jc w:val="center"/>
              <w:rPr>
                <w:rFonts w:ascii="Calibri" w:hAnsi="Calibri" w:cs="Calibri"/>
                <w:snapToGrid/>
                <w:kern w:val="0"/>
                <w:szCs w:val="22"/>
              </w:rPr>
            </w:pPr>
            <w:r w:rsidRPr="00A032ED">
              <w:rPr>
                <w:rFonts w:ascii="Calibri" w:hAnsi="Calibri" w:cs="Calibri"/>
                <w:snapToGrid/>
                <w:kern w:val="0"/>
                <w:szCs w:val="22"/>
              </w:rPr>
              <w:t>KMID</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C2A528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383,449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EADB74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$2,770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95CE04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B14FA8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$3,610 </w:t>
            </w:r>
          </w:p>
        </w:tc>
        <w:tc>
          <w:tcPr>
            <w:tcW w:w="266" w:type="dxa"/>
            <w:tcBorders>
              <w:top w:val="nil"/>
              <w:left w:val="nil"/>
              <w:bottom w:val="nil"/>
              <w:right w:val="nil"/>
            </w:tcBorders>
            <w:shd w:val="clear" w:color="auto" w:fill="auto"/>
            <w:noWrap/>
            <w:vAlign w:val="bottom"/>
            <w:hideMark/>
          </w:tcPr>
          <w:p w:rsidR="006F7AD6" w:rsidRPr="00A032ED" w:rsidP="00886011" w14:paraId="6EDCEFAD"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CE3B4D0" w14:textId="77777777">
            <w:pPr>
              <w:widowControl/>
              <w:jc w:val="center"/>
              <w:rPr>
                <w:rFonts w:ascii="Calibri" w:hAnsi="Calibri" w:cs="Calibri"/>
                <w:snapToGrid/>
                <w:kern w:val="0"/>
                <w:szCs w:val="22"/>
              </w:rPr>
            </w:pPr>
            <w:r w:rsidRPr="00A032ED">
              <w:rPr>
                <w:rFonts w:ascii="Calibri" w:hAnsi="Calibri" w:cs="Calibri"/>
                <w:snapToGrid/>
                <w:kern w:val="0"/>
                <w:szCs w:val="22"/>
              </w:rPr>
              <w:t>KHON-TV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69C57D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953,207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6E3C45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$6,886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AF08F5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9B7732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$10,218 </w:t>
            </w:r>
          </w:p>
        </w:tc>
      </w:tr>
      <w:tr w14:paraId="753E0785"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71A0540" w14:textId="77777777">
            <w:pPr>
              <w:widowControl/>
              <w:jc w:val="center"/>
              <w:rPr>
                <w:rFonts w:ascii="Calibri" w:hAnsi="Calibri" w:cs="Calibri"/>
                <w:snapToGrid/>
                <w:kern w:val="0"/>
                <w:szCs w:val="22"/>
              </w:rPr>
            </w:pPr>
            <w:r w:rsidRPr="00A032ED">
              <w:rPr>
                <w:rFonts w:ascii="Calibri" w:hAnsi="Calibri" w:cs="Calibri"/>
                <w:snapToGrid/>
                <w:kern w:val="0"/>
                <w:szCs w:val="22"/>
              </w:rPr>
              <w:t>KMIR-TV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C485F2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862,440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F778BD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$6,231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83CE9A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3DCCC7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$5,340 </w:t>
            </w:r>
          </w:p>
        </w:tc>
        <w:tc>
          <w:tcPr>
            <w:tcW w:w="266" w:type="dxa"/>
            <w:tcBorders>
              <w:top w:val="nil"/>
              <w:left w:val="nil"/>
              <w:bottom w:val="nil"/>
              <w:right w:val="nil"/>
            </w:tcBorders>
            <w:shd w:val="clear" w:color="auto" w:fill="auto"/>
            <w:noWrap/>
            <w:vAlign w:val="bottom"/>
            <w:hideMark/>
          </w:tcPr>
          <w:p w:rsidR="006F7AD6" w:rsidRPr="00A032ED" w:rsidP="00886011" w14:paraId="789CC36C"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102107A" w14:textId="77777777">
            <w:pPr>
              <w:widowControl/>
              <w:jc w:val="center"/>
              <w:rPr>
                <w:rFonts w:ascii="Calibri" w:hAnsi="Calibri" w:cs="Calibri"/>
                <w:snapToGrid/>
                <w:kern w:val="0"/>
                <w:szCs w:val="22"/>
              </w:rPr>
            </w:pPr>
            <w:r w:rsidRPr="00A032ED">
              <w:rPr>
                <w:rFonts w:ascii="Calibri" w:hAnsi="Calibri" w:cs="Calibri"/>
                <w:snapToGrid/>
                <w:kern w:val="0"/>
                <w:szCs w:val="22"/>
              </w:rPr>
              <w:t>KHOU</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73EF71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6,137,449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59A980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$44,339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6C740D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50FABC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$49,170 </w:t>
            </w:r>
          </w:p>
        </w:tc>
      </w:tr>
      <w:tr w14:paraId="0FC2EF53"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7B380DC" w14:textId="77777777">
            <w:pPr>
              <w:widowControl/>
              <w:jc w:val="center"/>
              <w:rPr>
                <w:rFonts w:ascii="Calibri" w:hAnsi="Calibri" w:cs="Calibri"/>
                <w:snapToGrid/>
                <w:kern w:val="0"/>
                <w:szCs w:val="22"/>
              </w:rPr>
            </w:pPr>
            <w:r w:rsidRPr="00A032ED">
              <w:rPr>
                <w:rFonts w:ascii="Calibri" w:hAnsi="Calibri" w:cs="Calibri"/>
                <w:snapToGrid/>
                <w:kern w:val="0"/>
                <w:szCs w:val="22"/>
              </w:rPr>
              <w:t>KMIZ</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C63686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550,860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CA8907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$3,980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9BAA0F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7BDC9A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$4,215 </w:t>
            </w:r>
          </w:p>
        </w:tc>
        <w:tc>
          <w:tcPr>
            <w:tcW w:w="266" w:type="dxa"/>
            <w:tcBorders>
              <w:top w:val="nil"/>
              <w:left w:val="nil"/>
              <w:bottom w:val="nil"/>
              <w:right w:val="nil"/>
            </w:tcBorders>
            <w:shd w:val="clear" w:color="auto" w:fill="auto"/>
            <w:noWrap/>
            <w:vAlign w:val="bottom"/>
            <w:hideMark/>
          </w:tcPr>
          <w:p w:rsidR="006F7AD6" w:rsidRPr="00A032ED" w:rsidP="00886011" w14:paraId="46ED9555"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386C85B" w14:textId="77777777">
            <w:pPr>
              <w:widowControl/>
              <w:jc w:val="center"/>
              <w:rPr>
                <w:rFonts w:ascii="Calibri" w:hAnsi="Calibri" w:cs="Calibri"/>
                <w:snapToGrid/>
                <w:kern w:val="0"/>
                <w:szCs w:val="22"/>
              </w:rPr>
            </w:pPr>
            <w:r w:rsidRPr="00A032ED">
              <w:rPr>
                <w:rFonts w:ascii="Calibri" w:hAnsi="Calibri" w:cs="Calibri"/>
                <w:snapToGrid/>
                <w:kern w:val="0"/>
                <w:szCs w:val="22"/>
              </w:rPr>
              <w:t>KHQA-TV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4C102C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318,469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B95781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$2,301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02C1F3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7B617F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$3,375 </w:t>
            </w:r>
          </w:p>
        </w:tc>
      </w:tr>
      <w:tr w14:paraId="22F1BA88"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463EF49" w14:textId="77777777">
            <w:pPr>
              <w:widowControl/>
              <w:jc w:val="center"/>
              <w:rPr>
                <w:rFonts w:ascii="Calibri" w:hAnsi="Calibri" w:cs="Calibri"/>
                <w:snapToGrid/>
                <w:kern w:val="0"/>
                <w:szCs w:val="22"/>
              </w:rPr>
            </w:pPr>
            <w:r w:rsidRPr="00A032ED">
              <w:rPr>
                <w:rFonts w:ascii="Calibri" w:hAnsi="Calibri" w:cs="Calibri"/>
                <w:snapToGrid/>
                <w:kern w:val="0"/>
                <w:szCs w:val="22"/>
              </w:rPr>
              <w:t>KMLU</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8DF9CD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711,951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590850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$5,143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44B20D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138FCF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$4,797 </w:t>
            </w:r>
          </w:p>
        </w:tc>
        <w:tc>
          <w:tcPr>
            <w:tcW w:w="266" w:type="dxa"/>
            <w:tcBorders>
              <w:top w:val="nil"/>
              <w:left w:val="nil"/>
              <w:bottom w:val="nil"/>
              <w:right w:val="nil"/>
            </w:tcBorders>
            <w:shd w:val="clear" w:color="auto" w:fill="auto"/>
            <w:noWrap/>
            <w:vAlign w:val="bottom"/>
            <w:hideMark/>
          </w:tcPr>
          <w:p w:rsidR="006F7AD6" w:rsidRPr="00A032ED" w:rsidP="00886011" w14:paraId="624DE739"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1AC5ED4" w14:textId="77777777">
            <w:pPr>
              <w:widowControl/>
              <w:jc w:val="center"/>
              <w:rPr>
                <w:rFonts w:ascii="Calibri" w:hAnsi="Calibri" w:cs="Calibri"/>
                <w:snapToGrid/>
                <w:kern w:val="0"/>
                <w:szCs w:val="22"/>
              </w:rPr>
            </w:pPr>
            <w:r w:rsidRPr="00A032ED">
              <w:rPr>
                <w:rFonts w:ascii="Calibri" w:hAnsi="Calibri" w:cs="Calibri"/>
                <w:snapToGrid/>
                <w:kern w:val="0"/>
                <w:szCs w:val="22"/>
              </w:rPr>
              <w:t>KHQ-TV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CBEE52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822,371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269BF7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$5,941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DE412B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1AE334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$9,746 </w:t>
            </w:r>
          </w:p>
        </w:tc>
      </w:tr>
      <w:tr w14:paraId="3CBA2364"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E8DAC6E" w14:textId="77777777">
            <w:pPr>
              <w:widowControl/>
              <w:jc w:val="center"/>
              <w:rPr>
                <w:rFonts w:ascii="Calibri" w:hAnsi="Calibri" w:cs="Calibri"/>
                <w:snapToGrid/>
                <w:kern w:val="0"/>
                <w:szCs w:val="22"/>
              </w:rPr>
            </w:pPr>
            <w:r w:rsidRPr="00A032ED">
              <w:rPr>
                <w:rFonts w:ascii="Calibri" w:hAnsi="Calibri" w:cs="Calibri"/>
                <w:snapToGrid/>
                <w:kern w:val="0"/>
                <w:szCs w:val="22"/>
              </w:rPr>
              <w:t>KMOH-TV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C1CB43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199,885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43A0A3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$1,444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1A73D0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7DCBC8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$21,060 </w:t>
            </w:r>
          </w:p>
        </w:tc>
        <w:tc>
          <w:tcPr>
            <w:tcW w:w="266" w:type="dxa"/>
            <w:tcBorders>
              <w:top w:val="nil"/>
              <w:left w:val="nil"/>
              <w:bottom w:val="nil"/>
              <w:right w:val="nil"/>
            </w:tcBorders>
            <w:shd w:val="clear" w:color="auto" w:fill="auto"/>
            <w:noWrap/>
            <w:vAlign w:val="bottom"/>
            <w:hideMark/>
          </w:tcPr>
          <w:p w:rsidR="006F7AD6" w:rsidRPr="00A032ED" w:rsidP="00886011" w14:paraId="3A38C34F"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EA98B40" w14:textId="77777777">
            <w:pPr>
              <w:widowControl/>
              <w:jc w:val="center"/>
              <w:rPr>
                <w:rFonts w:ascii="Calibri" w:hAnsi="Calibri" w:cs="Calibri"/>
                <w:snapToGrid/>
                <w:kern w:val="0"/>
                <w:szCs w:val="22"/>
              </w:rPr>
            </w:pPr>
            <w:r w:rsidRPr="00A032ED">
              <w:rPr>
                <w:rFonts w:ascii="Calibri" w:hAnsi="Calibri" w:cs="Calibri"/>
                <w:snapToGrid/>
                <w:kern w:val="0"/>
                <w:szCs w:val="22"/>
              </w:rPr>
              <w:t>KHRR</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94FD47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1,172,397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695C3C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$8,470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A83684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E44493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$11,010 </w:t>
            </w:r>
          </w:p>
        </w:tc>
      </w:tr>
      <w:tr w14:paraId="1247B4CA"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BEC8DB1" w14:textId="77777777">
            <w:pPr>
              <w:widowControl/>
              <w:jc w:val="center"/>
              <w:rPr>
                <w:rFonts w:ascii="Calibri" w:hAnsi="Calibri" w:cs="Calibri"/>
                <w:snapToGrid/>
                <w:kern w:val="0"/>
                <w:szCs w:val="22"/>
              </w:rPr>
            </w:pPr>
            <w:r w:rsidRPr="00A032ED">
              <w:rPr>
                <w:rFonts w:ascii="Calibri" w:hAnsi="Calibri" w:cs="Calibri"/>
                <w:snapToGrid/>
                <w:kern w:val="0"/>
                <w:szCs w:val="22"/>
              </w:rPr>
              <w:t>KMOT</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D049B6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81,517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4CA07D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$589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59CC6D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A85BF6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$2,519 </w:t>
            </w:r>
          </w:p>
        </w:tc>
        <w:tc>
          <w:tcPr>
            <w:tcW w:w="266" w:type="dxa"/>
            <w:tcBorders>
              <w:top w:val="nil"/>
              <w:left w:val="nil"/>
              <w:bottom w:val="nil"/>
              <w:right w:val="nil"/>
            </w:tcBorders>
            <w:shd w:val="clear" w:color="auto" w:fill="auto"/>
            <w:noWrap/>
            <w:vAlign w:val="bottom"/>
            <w:hideMark/>
          </w:tcPr>
          <w:p w:rsidR="006F7AD6" w:rsidRPr="00A032ED" w:rsidP="00886011" w14:paraId="380C0E29"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1880287" w14:textId="77777777">
            <w:pPr>
              <w:widowControl/>
              <w:jc w:val="center"/>
              <w:rPr>
                <w:rFonts w:ascii="Calibri" w:hAnsi="Calibri" w:cs="Calibri"/>
                <w:snapToGrid/>
                <w:kern w:val="0"/>
                <w:szCs w:val="22"/>
              </w:rPr>
            </w:pPr>
            <w:r w:rsidRPr="00A032ED">
              <w:rPr>
                <w:rFonts w:ascii="Calibri" w:hAnsi="Calibri" w:cs="Calibri"/>
                <w:snapToGrid/>
                <w:kern w:val="0"/>
                <w:szCs w:val="22"/>
              </w:rPr>
              <w:t>KHSD-TV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9D5C16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188,735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8691D0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$1,363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38C620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B98718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$2,907 </w:t>
            </w:r>
          </w:p>
        </w:tc>
      </w:tr>
      <w:tr w14:paraId="193559DD"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3EF6912" w14:textId="77777777">
            <w:pPr>
              <w:widowControl/>
              <w:jc w:val="center"/>
              <w:rPr>
                <w:rFonts w:ascii="Calibri" w:hAnsi="Calibri" w:cs="Calibri"/>
                <w:snapToGrid/>
                <w:kern w:val="0"/>
                <w:szCs w:val="22"/>
              </w:rPr>
            </w:pPr>
            <w:r w:rsidRPr="00A032ED">
              <w:rPr>
                <w:rFonts w:ascii="Calibri" w:hAnsi="Calibri" w:cs="Calibri"/>
                <w:snapToGrid/>
                <w:kern w:val="0"/>
                <w:szCs w:val="22"/>
              </w:rPr>
              <w:t>KMOV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29EC08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3,035,077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F4C4DC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$21,927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D50FCF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704C37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$31,301 </w:t>
            </w:r>
          </w:p>
        </w:tc>
        <w:tc>
          <w:tcPr>
            <w:tcW w:w="266" w:type="dxa"/>
            <w:tcBorders>
              <w:top w:val="nil"/>
              <w:left w:val="nil"/>
              <w:bottom w:val="nil"/>
              <w:right w:val="nil"/>
            </w:tcBorders>
            <w:shd w:val="clear" w:color="auto" w:fill="auto"/>
            <w:noWrap/>
            <w:vAlign w:val="bottom"/>
            <w:hideMark/>
          </w:tcPr>
          <w:p w:rsidR="006F7AD6" w:rsidRPr="00A032ED" w:rsidP="00886011" w14:paraId="3CCB166D"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62832E8" w14:textId="77777777">
            <w:pPr>
              <w:widowControl/>
              <w:jc w:val="center"/>
              <w:rPr>
                <w:rFonts w:ascii="Calibri" w:hAnsi="Calibri" w:cs="Calibri"/>
                <w:snapToGrid/>
                <w:kern w:val="0"/>
                <w:szCs w:val="22"/>
              </w:rPr>
            </w:pPr>
            <w:r w:rsidRPr="00A032ED">
              <w:rPr>
                <w:rFonts w:ascii="Calibri" w:hAnsi="Calibri" w:cs="Calibri"/>
                <w:snapToGrid/>
                <w:kern w:val="0"/>
                <w:szCs w:val="22"/>
              </w:rPr>
              <w:t>KHSV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F35C9E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2,062,231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D901BD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$14,898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C887D9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B46E11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$21,024 </w:t>
            </w:r>
          </w:p>
        </w:tc>
      </w:tr>
      <w:tr w14:paraId="035DB05F"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EC54389" w14:textId="77777777">
            <w:pPr>
              <w:widowControl/>
              <w:jc w:val="center"/>
              <w:rPr>
                <w:rFonts w:ascii="Calibri" w:hAnsi="Calibri" w:cs="Calibri"/>
                <w:snapToGrid/>
                <w:kern w:val="0"/>
                <w:szCs w:val="22"/>
              </w:rPr>
            </w:pPr>
            <w:r w:rsidRPr="00A032ED">
              <w:rPr>
                <w:rFonts w:ascii="Calibri" w:hAnsi="Calibri" w:cs="Calibri"/>
                <w:snapToGrid/>
                <w:kern w:val="0"/>
                <w:szCs w:val="22"/>
              </w:rPr>
              <w:t>KNVO</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0BCA6D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1,241,165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059C8F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$8,967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F80A34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504769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$11,258 </w:t>
            </w:r>
          </w:p>
        </w:tc>
        <w:tc>
          <w:tcPr>
            <w:tcW w:w="266" w:type="dxa"/>
            <w:tcBorders>
              <w:top w:val="nil"/>
              <w:left w:val="nil"/>
              <w:bottom w:val="nil"/>
              <w:right w:val="nil"/>
            </w:tcBorders>
            <w:shd w:val="clear" w:color="auto" w:fill="auto"/>
            <w:noWrap/>
            <w:vAlign w:val="bottom"/>
            <w:hideMark/>
          </w:tcPr>
          <w:p w:rsidR="006F7AD6" w:rsidRPr="00A032ED" w:rsidP="00886011" w14:paraId="6746679A"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3017C9A" w14:textId="77777777">
            <w:pPr>
              <w:widowControl/>
              <w:jc w:val="center"/>
              <w:rPr>
                <w:rFonts w:ascii="Calibri" w:hAnsi="Calibri" w:cs="Calibri"/>
                <w:snapToGrid/>
                <w:kern w:val="0"/>
                <w:szCs w:val="22"/>
              </w:rPr>
            </w:pPr>
            <w:r w:rsidRPr="00A032ED">
              <w:rPr>
                <w:rFonts w:ascii="Calibri" w:hAnsi="Calibri" w:cs="Calibri"/>
                <w:snapToGrid/>
                <w:kern w:val="0"/>
                <w:szCs w:val="22"/>
              </w:rPr>
              <w:t>KHVO</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B15EAE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94,226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2E05F6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$681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4B9C07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518CC2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$7,115 </w:t>
            </w:r>
          </w:p>
        </w:tc>
      </w:tr>
      <w:tr w14:paraId="10467FE0"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C43CDB5" w14:textId="77777777">
            <w:pPr>
              <w:widowControl/>
              <w:jc w:val="center"/>
              <w:rPr>
                <w:rFonts w:ascii="Calibri" w:hAnsi="Calibri" w:cs="Calibri"/>
                <w:snapToGrid/>
                <w:kern w:val="0"/>
                <w:szCs w:val="22"/>
              </w:rPr>
            </w:pPr>
            <w:r w:rsidRPr="00A032ED">
              <w:rPr>
                <w:rFonts w:ascii="Calibri" w:hAnsi="Calibri" w:cs="Calibri"/>
                <w:snapToGrid/>
                <w:kern w:val="0"/>
                <w:szCs w:val="22"/>
              </w:rPr>
              <w:t>KNWA-TV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0375E2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815,678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723463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$5,893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F48D21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7AFB13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$9,721 </w:t>
            </w:r>
          </w:p>
        </w:tc>
        <w:tc>
          <w:tcPr>
            <w:tcW w:w="266" w:type="dxa"/>
            <w:tcBorders>
              <w:top w:val="nil"/>
              <w:left w:val="nil"/>
              <w:bottom w:val="nil"/>
              <w:right w:val="nil"/>
            </w:tcBorders>
            <w:shd w:val="clear" w:color="auto" w:fill="auto"/>
            <w:noWrap/>
            <w:vAlign w:val="bottom"/>
            <w:hideMark/>
          </w:tcPr>
          <w:p w:rsidR="006F7AD6" w:rsidRPr="00A032ED" w:rsidP="00886011" w14:paraId="7A2E590D"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F1B5243" w14:textId="77777777">
            <w:pPr>
              <w:widowControl/>
              <w:jc w:val="center"/>
              <w:rPr>
                <w:rFonts w:ascii="Calibri" w:hAnsi="Calibri" w:cs="Calibri"/>
                <w:snapToGrid/>
                <w:kern w:val="0"/>
                <w:szCs w:val="22"/>
              </w:rPr>
            </w:pPr>
            <w:r w:rsidRPr="00A032ED">
              <w:rPr>
                <w:rFonts w:ascii="Calibri" w:hAnsi="Calibri" w:cs="Calibri"/>
                <w:snapToGrid/>
                <w:kern w:val="0"/>
                <w:szCs w:val="22"/>
              </w:rPr>
              <w:t>KIAH</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62FCF0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6,054,519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324F3B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$43,740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BA7711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1AACB5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$48,870 </w:t>
            </w:r>
          </w:p>
        </w:tc>
      </w:tr>
      <w:tr w14:paraId="7E98B5F9"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BA4769C" w14:textId="77777777">
            <w:pPr>
              <w:widowControl/>
              <w:jc w:val="center"/>
              <w:rPr>
                <w:rFonts w:ascii="Calibri" w:hAnsi="Calibri" w:cs="Calibri"/>
                <w:snapToGrid/>
                <w:kern w:val="0"/>
                <w:szCs w:val="22"/>
              </w:rPr>
            </w:pPr>
            <w:r w:rsidRPr="00A032ED">
              <w:rPr>
                <w:rFonts w:ascii="Calibri" w:hAnsi="Calibri" w:cs="Calibri"/>
                <w:snapToGrid/>
                <w:kern w:val="0"/>
                <w:szCs w:val="22"/>
              </w:rPr>
              <w:t>KNXV-TV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F67456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4,183,943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7DDFDF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$30,226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A64070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A6F6B4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$35,451 </w:t>
            </w:r>
          </w:p>
        </w:tc>
        <w:tc>
          <w:tcPr>
            <w:tcW w:w="266" w:type="dxa"/>
            <w:tcBorders>
              <w:top w:val="nil"/>
              <w:left w:val="nil"/>
              <w:bottom w:val="nil"/>
              <w:right w:val="nil"/>
            </w:tcBorders>
            <w:shd w:val="clear" w:color="auto" w:fill="auto"/>
            <w:noWrap/>
            <w:vAlign w:val="bottom"/>
            <w:hideMark/>
          </w:tcPr>
          <w:p w:rsidR="006F7AD6" w:rsidRPr="00A032ED" w:rsidP="00886011" w14:paraId="1F72FEF9"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9AC6642" w14:textId="77777777">
            <w:pPr>
              <w:widowControl/>
              <w:jc w:val="center"/>
              <w:rPr>
                <w:rFonts w:ascii="Calibri" w:hAnsi="Calibri" w:cs="Calibri"/>
                <w:snapToGrid/>
                <w:kern w:val="0"/>
                <w:szCs w:val="22"/>
              </w:rPr>
            </w:pPr>
            <w:r w:rsidRPr="00A032ED">
              <w:rPr>
                <w:rFonts w:ascii="Calibri" w:hAnsi="Calibri" w:cs="Calibri"/>
                <w:snapToGrid/>
                <w:kern w:val="0"/>
                <w:szCs w:val="22"/>
              </w:rPr>
              <w:t>KMPH-TV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5DBB69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1,725,397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8F9673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$12,465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2F8D1E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E99D54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$13,007 </w:t>
            </w:r>
          </w:p>
        </w:tc>
      </w:tr>
      <w:tr w14:paraId="08A562A6"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38A0AD7" w14:textId="77777777">
            <w:pPr>
              <w:widowControl/>
              <w:jc w:val="center"/>
              <w:rPr>
                <w:rFonts w:ascii="Calibri" w:hAnsi="Calibri" w:cs="Calibri"/>
                <w:snapToGrid/>
                <w:kern w:val="0"/>
                <w:szCs w:val="22"/>
              </w:rPr>
            </w:pPr>
            <w:r w:rsidRPr="00A032ED">
              <w:rPr>
                <w:rFonts w:ascii="Calibri" w:hAnsi="Calibri" w:cs="Calibri"/>
                <w:snapToGrid/>
                <w:kern w:val="0"/>
                <w:szCs w:val="22"/>
              </w:rPr>
              <w:t>KOAA-TV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1CEBDD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1,391,946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3558B8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$10,056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3D6197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79B2A1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$11,803 </w:t>
            </w:r>
          </w:p>
        </w:tc>
        <w:tc>
          <w:tcPr>
            <w:tcW w:w="266" w:type="dxa"/>
            <w:tcBorders>
              <w:top w:val="nil"/>
              <w:left w:val="nil"/>
              <w:bottom w:val="nil"/>
              <w:right w:val="nil"/>
            </w:tcBorders>
            <w:shd w:val="clear" w:color="auto" w:fill="auto"/>
            <w:noWrap/>
            <w:vAlign w:val="bottom"/>
            <w:hideMark/>
          </w:tcPr>
          <w:p w:rsidR="006F7AD6" w:rsidRPr="00A032ED" w:rsidP="00886011" w14:paraId="76AAA1F9"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B14C3B3" w14:textId="77777777">
            <w:pPr>
              <w:widowControl/>
              <w:jc w:val="center"/>
              <w:rPr>
                <w:rFonts w:ascii="Calibri" w:hAnsi="Calibri" w:cs="Calibri"/>
                <w:snapToGrid/>
                <w:kern w:val="0"/>
                <w:szCs w:val="22"/>
              </w:rPr>
            </w:pPr>
            <w:r w:rsidRPr="00A032ED">
              <w:rPr>
                <w:rFonts w:ascii="Calibri" w:hAnsi="Calibri" w:cs="Calibri"/>
                <w:snapToGrid/>
                <w:kern w:val="0"/>
                <w:szCs w:val="22"/>
              </w:rPr>
              <w:t>KMPX</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6A44F6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6,678,829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88787D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$48,250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27370B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1B7F10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$51,125 </w:t>
            </w:r>
          </w:p>
        </w:tc>
      </w:tr>
      <w:tr w14:paraId="5472DAD6"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BC61F06" w14:textId="77777777">
            <w:pPr>
              <w:widowControl/>
              <w:jc w:val="center"/>
              <w:rPr>
                <w:rFonts w:ascii="Calibri" w:hAnsi="Calibri" w:cs="Calibri"/>
                <w:snapToGrid/>
                <w:kern w:val="0"/>
                <w:szCs w:val="22"/>
              </w:rPr>
            </w:pPr>
            <w:r w:rsidRPr="00A032ED">
              <w:rPr>
                <w:rFonts w:ascii="Calibri" w:hAnsi="Calibri" w:cs="Calibri"/>
                <w:snapToGrid/>
                <w:kern w:val="0"/>
                <w:szCs w:val="22"/>
              </w:rPr>
              <w:t>KOAM-TV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AA0F3C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595,307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BB5C6B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$4,301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795C3C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785A7C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$4,375 </w:t>
            </w:r>
          </w:p>
        </w:tc>
        <w:tc>
          <w:tcPr>
            <w:tcW w:w="266" w:type="dxa"/>
            <w:tcBorders>
              <w:top w:val="nil"/>
              <w:left w:val="nil"/>
              <w:bottom w:val="nil"/>
              <w:right w:val="nil"/>
            </w:tcBorders>
            <w:shd w:val="clear" w:color="auto" w:fill="auto"/>
            <w:noWrap/>
            <w:vAlign w:val="bottom"/>
            <w:hideMark/>
          </w:tcPr>
          <w:p w:rsidR="006F7AD6" w:rsidRPr="00A032ED" w:rsidP="00886011" w14:paraId="5D8347E0"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0694581" w14:textId="77777777">
            <w:pPr>
              <w:widowControl/>
              <w:jc w:val="center"/>
              <w:rPr>
                <w:rFonts w:ascii="Calibri" w:hAnsi="Calibri" w:cs="Calibri"/>
                <w:snapToGrid/>
                <w:kern w:val="0"/>
                <w:szCs w:val="22"/>
              </w:rPr>
            </w:pPr>
            <w:r w:rsidRPr="00A032ED">
              <w:rPr>
                <w:rFonts w:ascii="Calibri" w:hAnsi="Calibri" w:cs="Calibri"/>
                <w:snapToGrid/>
                <w:kern w:val="0"/>
                <w:szCs w:val="22"/>
              </w:rPr>
              <w:t>KMSB</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19C134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1,321,614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B9C1AC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$9,548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EBB2C0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D9551E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$11,549 </w:t>
            </w:r>
          </w:p>
        </w:tc>
      </w:tr>
      <w:tr w14:paraId="713BF45D"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5422320" w14:textId="77777777">
            <w:pPr>
              <w:widowControl/>
              <w:jc w:val="center"/>
              <w:rPr>
                <w:rFonts w:ascii="Calibri" w:hAnsi="Calibri" w:cs="Calibri"/>
                <w:snapToGrid/>
                <w:kern w:val="0"/>
                <w:szCs w:val="22"/>
              </w:rPr>
            </w:pPr>
            <w:r w:rsidRPr="00A032ED">
              <w:rPr>
                <w:rFonts w:ascii="Calibri" w:hAnsi="Calibri" w:cs="Calibri"/>
                <w:snapToGrid/>
                <w:kern w:val="0"/>
                <w:szCs w:val="22"/>
              </w:rPr>
              <w:t>KOAT-TV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54A653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1,153,633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21A63C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$8,334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972668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4D3A9C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$17,742 </w:t>
            </w:r>
          </w:p>
        </w:tc>
        <w:tc>
          <w:tcPr>
            <w:tcW w:w="266" w:type="dxa"/>
            <w:tcBorders>
              <w:top w:val="nil"/>
              <w:left w:val="nil"/>
              <w:bottom w:val="nil"/>
              <w:right w:val="nil"/>
            </w:tcBorders>
            <w:shd w:val="clear" w:color="auto" w:fill="auto"/>
            <w:noWrap/>
            <w:vAlign w:val="bottom"/>
            <w:hideMark/>
          </w:tcPr>
          <w:p w:rsidR="006F7AD6" w:rsidRPr="00A032ED" w:rsidP="00886011" w14:paraId="3725DAD7"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2493AE1" w14:textId="77777777">
            <w:pPr>
              <w:widowControl/>
              <w:jc w:val="center"/>
              <w:rPr>
                <w:rFonts w:ascii="Calibri" w:hAnsi="Calibri" w:cs="Calibri"/>
                <w:snapToGrid/>
                <w:kern w:val="0"/>
                <w:szCs w:val="22"/>
              </w:rPr>
            </w:pPr>
            <w:r w:rsidRPr="00A032ED">
              <w:rPr>
                <w:rFonts w:ascii="Calibri" w:hAnsi="Calibri" w:cs="Calibri"/>
                <w:snapToGrid/>
                <w:kern w:val="0"/>
                <w:szCs w:val="22"/>
              </w:rPr>
              <w:t>KMSP-TV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E649C3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3,832,040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4CA831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$27,684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814B6C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DB5599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$34,180 </w:t>
            </w:r>
          </w:p>
        </w:tc>
      </w:tr>
      <w:tr w14:paraId="25DE9536"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41A7831" w14:textId="77777777">
            <w:pPr>
              <w:widowControl/>
              <w:jc w:val="center"/>
              <w:rPr>
                <w:rFonts w:ascii="Calibri" w:hAnsi="Calibri" w:cs="Calibri"/>
                <w:snapToGrid/>
                <w:kern w:val="0"/>
                <w:szCs w:val="22"/>
              </w:rPr>
            </w:pPr>
            <w:r w:rsidRPr="00A032ED">
              <w:rPr>
                <w:rFonts w:ascii="Calibri" w:hAnsi="Calibri" w:cs="Calibri"/>
                <w:snapToGrid/>
                <w:kern w:val="0"/>
                <w:szCs w:val="22"/>
              </w:rPr>
              <w:t>KOB</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681B29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1,152,841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8AC121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$8,329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C3E8C5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699CD5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$17,739 </w:t>
            </w:r>
          </w:p>
        </w:tc>
        <w:tc>
          <w:tcPr>
            <w:tcW w:w="266" w:type="dxa"/>
            <w:tcBorders>
              <w:top w:val="nil"/>
              <w:left w:val="nil"/>
              <w:bottom w:val="nil"/>
              <w:right w:val="nil"/>
            </w:tcBorders>
            <w:shd w:val="clear" w:color="auto" w:fill="auto"/>
            <w:noWrap/>
            <w:vAlign w:val="bottom"/>
            <w:hideMark/>
          </w:tcPr>
          <w:p w:rsidR="006F7AD6" w:rsidRPr="00A032ED" w:rsidP="00886011" w14:paraId="3567CBF0"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A0792A6" w14:textId="77777777">
            <w:pPr>
              <w:widowControl/>
              <w:jc w:val="center"/>
              <w:rPr>
                <w:rFonts w:ascii="Calibri" w:hAnsi="Calibri" w:cs="Calibri"/>
                <w:snapToGrid/>
                <w:kern w:val="0"/>
                <w:szCs w:val="22"/>
              </w:rPr>
            </w:pPr>
            <w:r w:rsidRPr="00A032ED">
              <w:rPr>
                <w:rFonts w:ascii="Calibri" w:hAnsi="Calibri" w:cs="Calibri"/>
                <w:snapToGrid/>
                <w:kern w:val="0"/>
                <w:szCs w:val="22"/>
              </w:rPr>
              <w:t>KMSS-TV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F91C9B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1,068,120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6F3478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$7,716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E0C7AD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FD1275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$10,633 </w:t>
            </w:r>
          </w:p>
        </w:tc>
      </w:tr>
      <w:tr w14:paraId="119FA4F7"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70F0E55" w14:textId="77777777">
            <w:pPr>
              <w:widowControl/>
              <w:jc w:val="center"/>
              <w:rPr>
                <w:rFonts w:ascii="Calibri" w:hAnsi="Calibri" w:cs="Calibri"/>
                <w:snapToGrid/>
                <w:kern w:val="0"/>
                <w:szCs w:val="22"/>
              </w:rPr>
            </w:pPr>
            <w:r w:rsidRPr="00A032ED">
              <w:rPr>
                <w:rFonts w:ascii="Calibri" w:hAnsi="Calibri" w:cs="Calibri"/>
                <w:snapToGrid/>
                <w:kern w:val="0"/>
                <w:szCs w:val="22"/>
              </w:rPr>
              <w:t>KOBF</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7A5CB4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201,911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E74ABC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$1,459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CEDC4B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8A12DE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$14,304 </w:t>
            </w:r>
          </w:p>
        </w:tc>
        <w:tc>
          <w:tcPr>
            <w:tcW w:w="266" w:type="dxa"/>
            <w:tcBorders>
              <w:top w:val="nil"/>
              <w:left w:val="nil"/>
              <w:bottom w:val="nil"/>
              <w:right w:val="nil"/>
            </w:tcBorders>
            <w:shd w:val="clear" w:color="auto" w:fill="auto"/>
            <w:noWrap/>
            <w:vAlign w:val="bottom"/>
            <w:hideMark/>
          </w:tcPr>
          <w:p w:rsidR="006F7AD6" w:rsidRPr="00A032ED" w:rsidP="00886011" w14:paraId="0A6B9778"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C9E9D2D" w14:textId="77777777">
            <w:pPr>
              <w:widowControl/>
              <w:jc w:val="center"/>
              <w:rPr>
                <w:rFonts w:ascii="Calibri" w:hAnsi="Calibri" w:cs="Calibri"/>
                <w:snapToGrid/>
                <w:kern w:val="0"/>
                <w:szCs w:val="22"/>
              </w:rPr>
            </w:pPr>
            <w:r w:rsidRPr="00A032ED">
              <w:rPr>
                <w:rFonts w:ascii="Calibri" w:hAnsi="Calibri" w:cs="Calibri"/>
                <w:snapToGrid/>
                <w:kern w:val="0"/>
                <w:szCs w:val="22"/>
              </w:rPr>
              <w:t>KMTR</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C00A53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589,948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FCFB92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$4,262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EFDE1A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CC6CC7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$4,356 </w:t>
            </w:r>
          </w:p>
        </w:tc>
      </w:tr>
      <w:tr w14:paraId="07212C5D"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4884B22" w14:textId="77777777">
            <w:pPr>
              <w:widowControl/>
              <w:jc w:val="center"/>
              <w:rPr>
                <w:rFonts w:ascii="Calibri" w:hAnsi="Calibri" w:cs="Calibri"/>
                <w:snapToGrid/>
                <w:kern w:val="0"/>
                <w:szCs w:val="22"/>
              </w:rPr>
            </w:pPr>
            <w:r w:rsidRPr="00A032ED">
              <w:rPr>
                <w:rFonts w:ascii="Calibri" w:hAnsi="Calibri" w:cs="Calibri"/>
                <w:snapToGrid/>
                <w:kern w:val="0"/>
                <w:szCs w:val="22"/>
              </w:rPr>
              <w:t>KOBI</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BB7220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571,963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BA2509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$4,132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CFACB6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C5B30A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$4,291 </w:t>
            </w:r>
          </w:p>
        </w:tc>
        <w:tc>
          <w:tcPr>
            <w:tcW w:w="266" w:type="dxa"/>
            <w:tcBorders>
              <w:top w:val="nil"/>
              <w:left w:val="nil"/>
              <w:bottom w:val="nil"/>
              <w:right w:val="nil"/>
            </w:tcBorders>
            <w:shd w:val="clear" w:color="auto" w:fill="auto"/>
            <w:noWrap/>
            <w:vAlign w:val="bottom"/>
            <w:hideMark/>
          </w:tcPr>
          <w:p w:rsidR="006F7AD6" w:rsidRPr="00A032ED" w:rsidP="00886011" w14:paraId="61671E09"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BF81A28" w14:textId="77777777">
            <w:pPr>
              <w:widowControl/>
              <w:jc w:val="center"/>
              <w:rPr>
                <w:rFonts w:ascii="Calibri" w:hAnsi="Calibri" w:cs="Calibri"/>
                <w:snapToGrid/>
                <w:kern w:val="0"/>
                <w:szCs w:val="22"/>
              </w:rPr>
            </w:pPr>
            <w:r w:rsidRPr="00A032ED">
              <w:rPr>
                <w:rFonts w:ascii="Calibri" w:hAnsi="Calibri" w:cs="Calibri"/>
                <w:snapToGrid/>
                <w:kern w:val="0"/>
                <w:szCs w:val="22"/>
              </w:rPr>
              <w:t>KMTV-TV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810570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1,346,474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5E7BA5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$9,727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5E3FBF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646D9E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$11,639 </w:t>
            </w:r>
          </w:p>
        </w:tc>
      </w:tr>
      <w:tr w14:paraId="5A41968F"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EAF91ED" w14:textId="77777777">
            <w:pPr>
              <w:widowControl/>
              <w:jc w:val="center"/>
              <w:rPr>
                <w:rFonts w:ascii="Calibri" w:hAnsi="Calibri" w:cs="Calibri"/>
                <w:snapToGrid/>
                <w:kern w:val="0"/>
                <w:szCs w:val="22"/>
              </w:rPr>
            </w:pPr>
            <w:r w:rsidRPr="00A032ED">
              <w:rPr>
                <w:rFonts w:ascii="Calibri" w:hAnsi="Calibri" w:cs="Calibri"/>
                <w:snapToGrid/>
                <w:kern w:val="0"/>
                <w:szCs w:val="22"/>
              </w:rPr>
              <w:t>KOBR</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07DF60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211,709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B546EF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$1,529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130EBD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CD389B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$14,340 </w:t>
            </w:r>
          </w:p>
        </w:tc>
        <w:tc>
          <w:tcPr>
            <w:tcW w:w="266" w:type="dxa"/>
            <w:tcBorders>
              <w:top w:val="nil"/>
              <w:left w:val="nil"/>
              <w:bottom w:val="nil"/>
              <w:right w:val="nil"/>
            </w:tcBorders>
            <w:shd w:val="clear" w:color="auto" w:fill="auto"/>
            <w:noWrap/>
            <w:vAlign w:val="bottom"/>
            <w:hideMark/>
          </w:tcPr>
          <w:p w:rsidR="006F7AD6" w:rsidRPr="00A032ED" w:rsidP="00886011" w14:paraId="2A5714B0"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9C16A4B" w14:textId="77777777">
            <w:pPr>
              <w:widowControl/>
              <w:jc w:val="center"/>
              <w:rPr>
                <w:rFonts w:ascii="Calibri" w:hAnsi="Calibri" w:cs="Calibri"/>
                <w:snapToGrid/>
                <w:kern w:val="0"/>
                <w:szCs w:val="22"/>
              </w:rPr>
            </w:pPr>
            <w:r w:rsidRPr="00A032ED">
              <w:rPr>
                <w:rFonts w:ascii="Calibri" w:hAnsi="Calibri" w:cs="Calibri"/>
                <w:snapToGrid/>
                <w:kern w:val="0"/>
                <w:szCs w:val="22"/>
              </w:rPr>
              <w:t>KMTW</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C17AE9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761,521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391AD8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$5,502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6BBB3C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9EC533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$9,526 </w:t>
            </w:r>
          </w:p>
        </w:tc>
      </w:tr>
      <w:tr w14:paraId="10275C2B"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139D886" w14:textId="77777777">
            <w:pPr>
              <w:widowControl/>
              <w:jc w:val="center"/>
              <w:rPr>
                <w:rFonts w:ascii="Calibri" w:hAnsi="Calibri" w:cs="Calibri"/>
                <w:snapToGrid/>
                <w:kern w:val="0"/>
                <w:szCs w:val="22"/>
              </w:rPr>
            </w:pPr>
            <w:r w:rsidRPr="00A032ED">
              <w:rPr>
                <w:rFonts w:ascii="Calibri" w:hAnsi="Calibri" w:cs="Calibri"/>
                <w:snapToGrid/>
                <w:kern w:val="0"/>
                <w:szCs w:val="22"/>
              </w:rPr>
              <w:t>KOCB</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33447B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1,629,783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7B0632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$11,774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4D83B3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66560D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$19,462 </w:t>
            </w:r>
          </w:p>
        </w:tc>
        <w:tc>
          <w:tcPr>
            <w:tcW w:w="266" w:type="dxa"/>
            <w:tcBorders>
              <w:top w:val="nil"/>
              <w:left w:val="nil"/>
              <w:bottom w:val="nil"/>
              <w:right w:val="nil"/>
            </w:tcBorders>
            <w:shd w:val="clear" w:color="auto" w:fill="auto"/>
            <w:noWrap/>
            <w:vAlign w:val="bottom"/>
            <w:hideMark/>
          </w:tcPr>
          <w:p w:rsidR="006F7AD6" w:rsidRPr="00A032ED" w:rsidP="00886011" w14:paraId="7A41BF9F"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7611F96" w14:textId="77777777">
            <w:pPr>
              <w:widowControl/>
              <w:jc w:val="center"/>
              <w:rPr>
                <w:rFonts w:ascii="Calibri" w:hAnsi="Calibri" w:cs="Calibri"/>
                <w:snapToGrid/>
                <w:kern w:val="0"/>
                <w:szCs w:val="22"/>
              </w:rPr>
            </w:pPr>
            <w:r w:rsidRPr="00A032ED">
              <w:rPr>
                <w:rFonts w:ascii="Calibri" w:hAnsi="Calibri" w:cs="Calibri"/>
                <w:snapToGrid/>
                <w:kern w:val="0"/>
                <w:szCs w:val="22"/>
              </w:rPr>
              <w:t>KMVT</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4059BD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184,647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637E1C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$1,334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8DDF13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57B242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$2,892 </w:t>
            </w:r>
          </w:p>
        </w:tc>
      </w:tr>
      <w:tr w14:paraId="7245E556"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107894E" w14:textId="77777777">
            <w:pPr>
              <w:widowControl/>
              <w:jc w:val="center"/>
              <w:rPr>
                <w:rFonts w:ascii="Calibri" w:hAnsi="Calibri" w:cs="Calibri"/>
                <w:snapToGrid/>
                <w:kern w:val="0"/>
                <w:szCs w:val="22"/>
              </w:rPr>
            </w:pPr>
            <w:r w:rsidRPr="00A032ED">
              <w:rPr>
                <w:rFonts w:ascii="Calibri" w:hAnsi="Calibri" w:cs="Calibri"/>
                <w:snapToGrid/>
                <w:kern w:val="0"/>
                <w:szCs w:val="22"/>
              </w:rPr>
              <w:t>KOCO-TV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92B4B3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1,716,569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CF0E9D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$12,401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149040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92B54B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$19,776 </w:t>
            </w:r>
          </w:p>
        </w:tc>
        <w:tc>
          <w:tcPr>
            <w:tcW w:w="266" w:type="dxa"/>
            <w:tcBorders>
              <w:top w:val="nil"/>
              <w:left w:val="nil"/>
              <w:bottom w:val="nil"/>
              <w:right w:val="nil"/>
            </w:tcBorders>
            <w:shd w:val="clear" w:color="auto" w:fill="auto"/>
            <w:noWrap/>
            <w:vAlign w:val="bottom"/>
            <w:hideMark/>
          </w:tcPr>
          <w:p w:rsidR="006F7AD6" w:rsidRPr="00A032ED" w:rsidP="00886011" w14:paraId="7E5E76E0"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90373A1" w14:textId="77777777">
            <w:pPr>
              <w:widowControl/>
              <w:jc w:val="center"/>
              <w:rPr>
                <w:rFonts w:ascii="Calibri" w:hAnsi="Calibri" w:cs="Calibri"/>
                <w:snapToGrid/>
                <w:kern w:val="0"/>
                <w:szCs w:val="22"/>
              </w:rPr>
            </w:pPr>
            <w:r w:rsidRPr="00A032ED">
              <w:rPr>
                <w:rFonts w:ascii="Calibri" w:hAnsi="Calibri" w:cs="Calibri"/>
                <w:snapToGrid/>
                <w:kern w:val="0"/>
                <w:szCs w:val="22"/>
              </w:rPr>
              <w:t>KMVU-DT</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4778B8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308,150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930A20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$2,226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9C55E5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3C0B0A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$3,338 </w:t>
            </w:r>
          </w:p>
        </w:tc>
      </w:tr>
      <w:tr w14:paraId="79835C88"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E7BF8F1" w14:textId="77777777">
            <w:pPr>
              <w:widowControl/>
              <w:jc w:val="center"/>
              <w:rPr>
                <w:rFonts w:ascii="Calibri" w:hAnsi="Calibri" w:cs="Calibri"/>
                <w:snapToGrid/>
                <w:kern w:val="0"/>
                <w:szCs w:val="22"/>
              </w:rPr>
            </w:pPr>
            <w:r w:rsidRPr="00A032ED">
              <w:rPr>
                <w:rFonts w:ascii="Calibri" w:hAnsi="Calibri" w:cs="Calibri"/>
                <w:snapToGrid/>
                <w:kern w:val="0"/>
                <w:szCs w:val="22"/>
              </w:rPr>
              <w:t>KOCW</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50A3A8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83,807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474F69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$605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624975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4CF671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$7,078 </w:t>
            </w:r>
          </w:p>
        </w:tc>
        <w:tc>
          <w:tcPr>
            <w:tcW w:w="266" w:type="dxa"/>
            <w:tcBorders>
              <w:top w:val="nil"/>
              <w:left w:val="nil"/>
              <w:bottom w:val="nil"/>
              <w:right w:val="nil"/>
            </w:tcBorders>
            <w:shd w:val="clear" w:color="auto" w:fill="auto"/>
            <w:noWrap/>
            <w:vAlign w:val="bottom"/>
            <w:hideMark/>
          </w:tcPr>
          <w:p w:rsidR="006F7AD6" w:rsidRPr="00A032ED" w:rsidP="00886011" w14:paraId="13B369FA"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4F55643" w14:textId="77777777">
            <w:pPr>
              <w:widowControl/>
              <w:jc w:val="center"/>
              <w:rPr>
                <w:rFonts w:ascii="Calibri" w:hAnsi="Calibri" w:cs="Calibri"/>
                <w:snapToGrid/>
                <w:kern w:val="0"/>
                <w:szCs w:val="22"/>
              </w:rPr>
            </w:pPr>
            <w:r w:rsidRPr="00A032ED">
              <w:rPr>
                <w:rFonts w:ascii="Calibri" w:hAnsi="Calibri" w:cs="Calibri"/>
                <w:snapToGrid/>
                <w:kern w:val="0"/>
                <w:szCs w:val="22"/>
              </w:rPr>
              <w:t>KMYA-DT</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2FB3C4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200,764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B43636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$1,450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3484AF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76FDD2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$7,500 </w:t>
            </w:r>
          </w:p>
        </w:tc>
      </w:tr>
      <w:tr w14:paraId="6BF7F4F7"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F81BEEC" w14:textId="77777777">
            <w:pPr>
              <w:widowControl/>
              <w:jc w:val="center"/>
              <w:rPr>
                <w:rFonts w:ascii="Calibri" w:hAnsi="Calibri" w:cs="Calibri"/>
                <w:snapToGrid/>
                <w:kern w:val="0"/>
                <w:szCs w:val="22"/>
              </w:rPr>
            </w:pPr>
            <w:r w:rsidRPr="00A032ED">
              <w:rPr>
                <w:rFonts w:ascii="Calibri" w:hAnsi="Calibri" w:cs="Calibri"/>
                <w:snapToGrid/>
                <w:kern w:val="0"/>
                <w:szCs w:val="22"/>
              </w:rPr>
              <w:t>KODE-TV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F8644C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607,048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D08F5A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$4,386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BC521F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4B41AA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$4,418 </w:t>
            </w:r>
          </w:p>
        </w:tc>
        <w:tc>
          <w:tcPr>
            <w:tcW w:w="266" w:type="dxa"/>
            <w:tcBorders>
              <w:top w:val="nil"/>
              <w:left w:val="nil"/>
              <w:bottom w:val="nil"/>
              <w:right w:val="nil"/>
            </w:tcBorders>
            <w:shd w:val="clear" w:color="auto" w:fill="auto"/>
            <w:noWrap/>
            <w:vAlign w:val="bottom"/>
            <w:hideMark/>
          </w:tcPr>
          <w:p w:rsidR="006F7AD6" w:rsidRPr="00A032ED" w:rsidP="00886011" w14:paraId="4C704FEA"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BB6A186" w14:textId="77777777">
            <w:pPr>
              <w:widowControl/>
              <w:jc w:val="center"/>
              <w:rPr>
                <w:rFonts w:ascii="Calibri" w:hAnsi="Calibri" w:cs="Calibri"/>
                <w:snapToGrid/>
                <w:kern w:val="0"/>
                <w:szCs w:val="22"/>
              </w:rPr>
            </w:pPr>
            <w:r w:rsidRPr="00A032ED">
              <w:rPr>
                <w:rFonts w:ascii="Calibri" w:hAnsi="Calibri" w:cs="Calibri"/>
                <w:snapToGrid/>
                <w:kern w:val="0"/>
                <w:szCs w:val="22"/>
              </w:rPr>
              <w:t>KMYS</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85F392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2,273,888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820F5E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$16,427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38632E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E5C74C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$21,789 </w:t>
            </w:r>
          </w:p>
        </w:tc>
      </w:tr>
      <w:tr w14:paraId="7FA53513"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27D9474" w14:textId="77777777">
            <w:pPr>
              <w:widowControl/>
              <w:jc w:val="center"/>
              <w:rPr>
                <w:rFonts w:ascii="Calibri" w:hAnsi="Calibri" w:cs="Calibri"/>
                <w:snapToGrid/>
                <w:kern w:val="0"/>
                <w:szCs w:val="22"/>
              </w:rPr>
            </w:pPr>
            <w:r w:rsidRPr="00A032ED">
              <w:rPr>
                <w:rFonts w:ascii="Calibri" w:hAnsi="Calibri" w:cs="Calibri"/>
                <w:snapToGrid/>
                <w:kern w:val="0"/>
                <w:szCs w:val="22"/>
              </w:rPr>
              <w:t>KOGG</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6B4EF3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190,829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6492ED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$1,379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096307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CCD261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$7,464 </w:t>
            </w:r>
          </w:p>
        </w:tc>
        <w:tc>
          <w:tcPr>
            <w:tcW w:w="266" w:type="dxa"/>
            <w:tcBorders>
              <w:top w:val="nil"/>
              <w:left w:val="nil"/>
              <w:bottom w:val="nil"/>
              <w:right w:val="nil"/>
            </w:tcBorders>
            <w:shd w:val="clear" w:color="auto" w:fill="auto"/>
            <w:noWrap/>
            <w:vAlign w:val="bottom"/>
            <w:hideMark/>
          </w:tcPr>
          <w:p w:rsidR="006F7AD6" w:rsidRPr="00A032ED" w:rsidP="00886011" w14:paraId="653AD4F5"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D08B969" w14:textId="77777777">
            <w:pPr>
              <w:widowControl/>
              <w:jc w:val="center"/>
              <w:rPr>
                <w:rFonts w:ascii="Calibri" w:hAnsi="Calibri" w:cs="Calibri"/>
                <w:snapToGrid/>
                <w:kern w:val="0"/>
                <w:szCs w:val="22"/>
              </w:rPr>
            </w:pPr>
            <w:r w:rsidRPr="00A032ED">
              <w:rPr>
                <w:rFonts w:ascii="Calibri" w:hAnsi="Calibri" w:cs="Calibri"/>
                <w:snapToGrid/>
                <w:kern w:val="0"/>
                <w:szCs w:val="22"/>
              </w:rPr>
              <w:t>KMYT-TV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2BDB50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1,314,238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2D6BD1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$9,495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321C6D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1D6270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$11,522 </w:t>
            </w:r>
          </w:p>
        </w:tc>
      </w:tr>
      <w:tr w14:paraId="118715C7"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FF216CE" w14:textId="77777777">
            <w:pPr>
              <w:widowControl/>
              <w:jc w:val="center"/>
              <w:rPr>
                <w:rFonts w:ascii="Calibri" w:hAnsi="Calibri" w:cs="Calibri"/>
                <w:snapToGrid/>
                <w:kern w:val="0"/>
                <w:szCs w:val="22"/>
              </w:rPr>
            </w:pPr>
            <w:r w:rsidRPr="00A032ED">
              <w:rPr>
                <w:rFonts w:ascii="Calibri" w:hAnsi="Calibri" w:cs="Calibri"/>
                <w:snapToGrid/>
                <w:kern w:val="0"/>
                <w:szCs w:val="22"/>
              </w:rPr>
              <w:t>KOHD</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561D54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201,310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53EA7D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$1,454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FB956F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44A319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$2,952 </w:t>
            </w:r>
          </w:p>
        </w:tc>
        <w:tc>
          <w:tcPr>
            <w:tcW w:w="266" w:type="dxa"/>
            <w:tcBorders>
              <w:top w:val="nil"/>
              <w:left w:val="nil"/>
              <w:bottom w:val="nil"/>
              <w:right w:val="nil"/>
            </w:tcBorders>
            <w:shd w:val="clear" w:color="auto" w:fill="auto"/>
            <w:noWrap/>
            <w:vAlign w:val="bottom"/>
            <w:hideMark/>
          </w:tcPr>
          <w:p w:rsidR="006F7AD6" w:rsidRPr="00A032ED" w:rsidP="00886011" w14:paraId="4D5D9BB0"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B2A985D" w14:textId="77777777">
            <w:pPr>
              <w:widowControl/>
              <w:jc w:val="center"/>
              <w:rPr>
                <w:rFonts w:ascii="Calibri" w:hAnsi="Calibri" w:cs="Calibri"/>
                <w:snapToGrid/>
                <w:kern w:val="0"/>
                <w:szCs w:val="22"/>
              </w:rPr>
            </w:pPr>
            <w:r w:rsidRPr="00A032ED">
              <w:rPr>
                <w:rFonts w:ascii="Calibri" w:hAnsi="Calibri" w:cs="Calibri"/>
                <w:snapToGrid/>
                <w:kern w:val="0"/>
                <w:szCs w:val="22"/>
              </w:rPr>
              <w:t>KMYU</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C23F11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133,563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9E3E56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$965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6E389A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22506E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$14,057 </w:t>
            </w:r>
          </w:p>
        </w:tc>
      </w:tr>
      <w:tr w14:paraId="5FC68A75"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65B33F6" w14:textId="77777777">
            <w:pPr>
              <w:widowControl/>
              <w:jc w:val="center"/>
              <w:rPr>
                <w:rFonts w:ascii="Calibri" w:hAnsi="Calibri" w:cs="Calibri"/>
                <w:snapToGrid/>
                <w:kern w:val="0"/>
                <w:szCs w:val="22"/>
              </w:rPr>
            </w:pPr>
            <w:r w:rsidRPr="00A032ED">
              <w:rPr>
                <w:rFonts w:ascii="Calibri" w:hAnsi="Calibri" w:cs="Calibri"/>
                <w:snapToGrid/>
                <w:kern w:val="0"/>
                <w:szCs w:val="22"/>
              </w:rPr>
              <w:t>KOIN</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3E50E7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2,983,136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5693B4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$21,551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115093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F0F295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$31,113 </w:t>
            </w:r>
          </w:p>
        </w:tc>
        <w:tc>
          <w:tcPr>
            <w:tcW w:w="266" w:type="dxa"/>
            <w:tcBorders>
              <w:top w:val="nil"/>
              <w:left w:val="nil"/>
              <w:bottom w:val="nil"/>
              <w:right w:val="nil"/>
            </w:tcBorders>
            <w:shd w:val="clear" w:color="auto" w:fill="auto"/>
            <w:noWrap/>
            <w:vAlign w:val="bottom"/>
            <w:hideMark/>
          </w:tcPr>
          <w:p w:rsidR="006F7AD6" w:rsidRPr="00A032ED" w:rsidP="00886011" w14:paraId="43B1EECF"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C234CE0" w14:textId="77777777">
            <w:pPr>
              <w:widowControl/>
              <w:jc w:val="center"/>
              <w:rPr>
                <w:rFonts w:ascii="Calibri" w:hAnsi="Calibri" w:cs="Calibri"/>
                <w:snapToGrid/>
                <w:kern w:val="0"/>
                <w:szCs w:val="22"/>
              </w:rPr>
            </w:pPr>
            <w:r w:rsidRPr="00A032ED">
              <w:rPr>
                <w:rFonts w:ascii="Calibri" w:hAnsi="Calibri" w:cs="Calibri"/>
                <w:snapToGrid/>
                <w:kern w:val="0"/>
                <w:szCs w:val="22"/>
              </w:rPr>
              <w:t>KNAZ-TV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148E06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332,321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3D59DA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$2,401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50D8EB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4280EA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$21,538 </w:t>
            </w:r>
          </w:p>
        </w:tc>
      </w:tr>
      <w:tr w14:paraId="6EDC5122"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EBAA562" w14:textId="77777777">
            <w:pPr>
              <w:widowControl/>
              <w:jc w:val="center"/>
              <w:rPr>
                <w:rFonts w:ascii="Calibri" w:hAnsi="Calibri" w:cs="Calibri"/>
                <w:snapToGrid/>
                <w:kern w:val="0"/>
                <w:szCs w:val="22"/>
              </w:rPr>
            </w:pPr>
            <w:r w:rsidRPr="00A032ED">
              <w:rPr>
                <w:rFonts w:ascii="Calibri" w:hAnsi="Calibri" w:cs="Calibri"/>
                <w:snapToGrid/>
                <w:kern w:val="0"/>
                <w:szCs w:val="22"/>
              </w:rPr>
              <w:t>KOKH-TV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9679C9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1,627,116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6EFD7C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$11,755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A34BAB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3ECC44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$19,452 </w:t>
            </w:r>
          </w:p>
        </w:tc>
        <w:tc>
          <w:tcPr>
            <w:tcW w:w="266" w:type="dxa"/>
            <w:tcBorders>
              <w:top w:val="nil"/>
              <w:left w:val="nil"/>
              <w:bottom w:val="nil"/>
              <w:right w:val="nil"/>
            </w:tcBorders>
            <w:shd w:val="clear" w:color="auto" w:fill="auto"/>
            <w:noWrap/>
            <w:vAlign w:val="bottom"/>
            <w:hideMark/>
          </w:tcPr>
          <w:p w:rsidR="006F7AD6" w:rsidRPr="00A032ED" w:rsidP="00886011" w14:paraId="0D325C38"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00878F4" w14:textId="77777777">
            <w:pPr>
              <w:widowControl/>
              <w:jc w:val="center"/>
              <w:rPr>
                <w:rFonts w:ascii="Calibri" w:hAnsi="Calibri" w:cs="Calibri"/>
                <w:snapToGrid/>
                <w:kern w:val="0"/>
                <w:szCs w:val="22"/>
              </w:rPr>
            </w:pPr>
            <w:r w:rsidRPr="00A032ED">
              <w:rPr>
                <w:rFonts w:ascii="Calibri" w:hAnsi="Calibri" w:cs="Calibri"/>
                <w:snapToGrid/>
                <w:kern w:val="0"/>
                <w:szCs w:val="22"/>
              </w:rPr>
              <w:t>KNBC</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01513B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17,859,647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3A21C9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$129,025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D30714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6776EA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$91,512 </w:t>
            </w:r>
          </w:p>
        </w:tc>
      </w:tr>
      <w:tr w14:paraId="73CE3231"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521711A" w14:textId="77777777">
            <w:pPr>
              <w:widowControl/>
              <w:jc w:val="center"/>
              <w:rPr>
                <w:rFonts w:ascii="Calibri" w:hAnsi="Calibri" w:cs="Calibri"/>
                <w:snapToGrid/>
                <w:kern w:val="0"/>
                <w:szCs w:val="22"/>
              </w:rPr>
            </w:pPr>
            <w:r w:rsidRPr="00A032ED">
              <w:rPr>
                <w:rFonts w:ascii="Calibri" w:hAnsi="Calibri" w:cs="Calibri"/>
                <w:snapToGrid/>
                <w:kern w:val="0"/>
                <w:szCs w:val="22"/>
              </w:rPr>
              <w:t>KOKI-TV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EFCADB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1,366,220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EA112F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$9,870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46113C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B416E6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$11,710 </w:t>
            </w:r>
          </w:p>
        </w:tc>
        <w:tc>
          <w:tcPr>
            <w:tcW w:w="266" w:type="dxa"/>
            <w:tcBorders>
              <w:top w:val="nil"/>
              <w:left w:val="nil"/>
              <w:bottom w:val="nil"/>
              <w:right w:val="nil"/>
            </w:tcBorders>
            <w:shd w:val="clear" w:color="auto" w:fill="auto"/>
            <w:noWrap/>
            <w:vAlign w:val="bottom"/>
            <w:hideMark/>
          </w:tcPr>
          <w:p w:rsidR="006F7AD6" w:rsidRPr="00A032ED" w:rsidP="00886011" w14:paraId="3834169E"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15478A6" w14:textId="77777777">
            <w:pPr>
              <w:widowControl/>
              <w:jc w:val="center"/>
              <w:rPr>
                <w:rFonts w:ascii="Calibri" w:hAnsi="Calibri" w:cs="Calibri"/>
                <w:snapToGrid/>
                <w:kern w:val="0"/>
                <w:szCs w:val="22"/>
              </w:rPr>
            </w:pPr>
            <w:r w:rsidRPr="00A032ED">
              <w:rPr>
                <w:rFonts w:ascii="Calibri" w:hAnsi="Calibri" w:cs="Calibri"/>
                <w:snapToGrid/>
                <w:kern w:val="0"/>
                <w:szCs w:val="22"/>
              </w:rPr>
              <w:t>KNBN</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0A55C8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145,493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2DCB52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$1,051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81DDBB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C834A8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$2,751 </w:t>
            </w:r>
          </w:p>
        </w:tc>
      </w:tr>
      <w:tr w14:paraId="04A59C89"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8688141" w14:textId="77777777">
            <w:pPr>
              <w:widowControl/>
              <w:jc w:val="center"/>
              <w:rPr>
                <w:rFonts w:ascii="Calibri" w:hAnsi="Calibri" w:cs="Calibri"/>
                <w:snapToGrid/>
                <w:kern w:val="0"/>
                <w:szCs w:val="22"/>
              </w:rPr>
            </w:pPr>
            <w:r w:rsidRPr="00A032ED">
              <w:rPr>
                <w:rFonts w:ascii="Calibri" w:hAnsi="Calibri" w:cs="Calibri"/>
                <w:snapToGrid/>
                <w:kern w:val="0"/>
                <w:szCs w:val="22"/>
              </w:rPr>
              <w:t>KOLD-TV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C33736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988,704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CDF19A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$7,143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5E6D57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398BF0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$10,346 </w:t>
            </w:r>
          </w:p>
        </w:tc>
        <w:tc>
          <w:tcPr>
            <w:tcW w:w="266" w:type="dxa"/>
            <w:tcBorders>
              <w:top w:val="nil"/>
              <w:left w:val="nil"/>
              <w:bottom w:val="nil"/>
              <w:right w:val="nil"/>
            </w:tcBorders>
            <w:shd w:val="clear" w:color="auto" w:fill="auto"/>
            <w:noWrap/>
            <w:vAlign w:val="bottom"/>
            <w:hideMark/>
          </w:tcPr>
          <w:p w:rsidR="006F7AD6" w:rsidRPr="00A032ED" w:rsidP="00886011" w14:paraId="75E5463B"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7C44BB4" w14:textId="77777777">
            <w:pPr>
              <w:widowControl/>
              <w:jc w:val="center"/>
              <w:rPr>
                <w:rFonts w:ascii="Calibri" w:hAnsi="Calibri" w:cs="Calibri"/>
                <w:snapToGrid/>
                <w:kern w:val="0"/>
                <w:szCs w:val="22"/>
              </w:rPr>
            </w:pPr>
            <w:r w:rsidRPr="00A032ED">
              <w:rPr>
                <w:rFonts w:ascii="Calibri" w:hAnsi="Calibri" w:cs="Calibri"/>
                <w:snapToGrid/>
                <w:kern w:val="0"/>
                <w:szCs w:val="22"/>
              </w:rPr>
              <w:t>KNCT</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099256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2,247,724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E3D121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$16,238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7EB301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4A04C8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$14,894 </w:t>
            </w:r>
          </w:p>
        </w:tc>
      </w:tr>
      <w:tr w14:paraId="68007370"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072E90B" w14:textId="77777777">
            <w:pPr>
              <w:widowControl/>
              <w:jc w:val="center"/>
              <w:rPr>
                <w:rFonts w:ascii="Calibri" w:hAnsi="Calibri" w:cs="Calibri"/>
                <w:snapToGrid/>
                <w:kern w:val="0"/>
                <w:szCs w:val="22"/>
              </w:rPr>
            </w:pPr>
            <w:r w:rsidRPr="00A032ED">
              <w:rPr>
                <w:rFonts w:ascii="Calibri" w:hAnsi="Calibri" w:cs="Calibri"/>
                <w:snapToGrid/>
                <w:kern w:val="0"/>
                <w:szCs w:val="22"/>
              </w:rPr>
              <w:t>KOLN</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3632A7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1,225,400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E608DB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$8,853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9297CB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7A1A2F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$6,651 </w:t>
            </w:r>
          </w:p>
        </w:tc>
        <w:tc>
          <w:tcPr>
            <w:tcW w:w="266" w:type="dxa"/>
            <w:tcBorders>
              <w:top w:val="nil"/>
              <w:left w:val="nil"/>
              <w:bottom w:val="nil"/>
              <w:right w:val="nil"/>
            </w:tcBorders>
            <w:shd w:val="clear" w:color="auto" w:fill="auto"/>
            <w:noWrap/>
            <w:vAlign w:val="bottom"/>
            <w:hideMark/>
          </w:tcPr>
          <w:p w:rsidR="006F7AD6" w:rsidRPr="00A032ED" w:rsidP="00886011" w14:paraId="7EF69414"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49BD11B" w14:textId="77777777">
            <w:pPr>
              <w:widowControl/>
              <w:jc w:val="center"/>
              <w:rPr>
                <w:rFonts w:ascii="Calibri" w:hAnsi="Calibri" w:cs="Calibri"/>
                <w:snapToGrid/>
                <w:kern w:val="0"/>
                <w:szCs w:val="22"/>
              </w:rPr>
            </w:pPr>
            <w:r w:rsidRPr="00A032ED">
              <w:rPr>
                <w:rFonts w:ascii="Calibri" w:hAnsi="Calibri" w:cs="Calibri"/>
                <w:snapToGrid/>
                <w:kern w:val="0"/>
                <w:szCs w:val="22"/>
              </w:rPr>
              <w:t>KNDB</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8B1CCC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118,154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80AC61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$854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05D3BB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3C9990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$2,652 </w:t>
            </w:r>
          </w:p>
        </w:tc>
      </w:tr>
      <w:tr w14:paraId="39464452"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4597DFB" w14:textId="77777777">
            <w:pPr>
              <w:widowControl/>
              <w:jc w:val="center"/>
              <w:rPr>
                <w:rFonts w:ascii="Calibri" w:hAnsi="Calibri" w:cs="Calibri"/>
                <w:snapToGrid/>
                <w:kern w:val="0"/>
                <w:szCs w:val="22"/>
              </w:rPr>
            </w:pPr>
            <w:r w:rsidRPr="00A032ED">
              <w:rPr>
                <w:rFonts w:ascii="Calibri" w:hAnsi="Calibri" w:cs="Calibri"/>
                <w:snapToGrid/>
                <w:kern w:val="0"/>
                <w:szCs w:val="22"/>
              </w:rPr>
              <w:t>KOLO-TV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842EE6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959,178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AC0FF1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$6,929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9072A7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2F4DC8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$5,690 </w:t>
            </w:r>
          </w:p>
        </w:tc>
        <w:tc>
          <w:tcPr>
            <w:tcW w:w="266" w:type="dxa"/>
            <w:tcBorders>
              <w:top w:val="nil"/>
              <w:left w:val="nil"/>
              <w:bottom w:val="nil"/>
              <w:right w:val="nil"/>
            </w:tcBorders>
            <w:shd w:val="clear" w:color="auto" w:fill="auto"/>
            <w:noWrap/>
            <w:vAlign w:val="bottom"/>
            <w:hideMark/>
          </w:tcPr>
          <w:p w:rsidR="006F7AD6" w:rsidRPr="00A032ED" w:rsidP="00886011" w14:paraId="76BD74A5"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D30C7F7" w14:textId="77777777">
            <w:pPr>
              <w:widowControl/>
              <w:jc w:val="center"/>
              <w:rPr>
                <w:rFonts w:ascii="Calibri" w:hAnsi="Calibri" w:cs="Calibri"/>
                <w:snapToGrid/>
                <w:kern w:val="0"/>
                <w:szCs w:val="22"/>
              </w:rPr>
            </w:pPr>
            <w:r w:rsidRPr="00A032ED">
              <w:rPr>
                <w:rFonts w:ascii="Calibri" w:hAnsi="Calibri" w:cs="Calibri"/>
                <w:snapToGrid/>
                <w:kern w:val="0"/>
                <w:szCs w:val="22"/>
              </w:rPr>
              <w:t>KNDM</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374297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72,216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A67B92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$522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837283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70DD8E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$2,486 </w:t>
            </w:r>
          </w:p>
        </w:tc>
      </w:tr>
      <w:tr w14:paraId="52351307"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7B7DF0B" w14:textId="77777777">
            <w:pPr>
              <w:widowControl/>
              <w:jc w:val="center"/>
              <w:rPr>
                <w:rFonts w:ascii="Calibri" w:hAnsi="Calibri" w:cs="Calibri"/>
                <w:snapToGrid/>
                <w:kern w:val="0"/>
                <w:szCs w:val="22"/>
              </w:rPr>
            </w:pPr>
            <w:r w:rsidRPr="00A032ED">
              <w:rPr>
                <w:rFonts w:ascii="Calibri" w:hAnsi="Calibri" w:cs="Calibri"/>
                <w:snapToGrid/>
                <w:kern w:val="0"/>
                <w:szCs w:val="22"/>
              </w:rPr>
              <w:t>KOLR</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3F4A05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1,076,144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AB8AA7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$7,774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9703DD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20069A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$10,662 </w:t>
            </w:r>
          </w:p>
        </w:tc>
        <w:tc>
          <w:tcPr>
            <w:tcW w:w="266" w:type="dxa"/>
            <w:tcBorders>
              <w:top w:val="nil"/>
              <w:left w:val="nil"/>
              <w:bottom w:val="nil"/>
              <w:right w:val="nil"/>
            </w:tcBorders>
            <w:shd w:val="clear" w:color="auto" w:fill="auto"/>
            <w:noWrap/>
            <w:vAlign w:val="bottom"/>
            <w:hideMark/>
          </w:tcPr>
          <w:p w:rsidR="006F7AD6" w:rsidRPr="00A032ED" w:rsidP="00886011" w14:paraId="04E2B0CC"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7A53643" w14:textId="77777777">
            <w:pPr>
              <w:widowControl/>
              <w:jc w:val="center"/>
              <w:rPr>
                <w:rFonts w:ascii="Calibri" w:hAnsi="Calibri" w:cs="Calibri"/>
                <w:snapToGrid/>
                <w:kern w:val="0"/>
                <w:szCs w:val="22"/>
              </w:rPr>
            </w:pPr>
            <w:r w:rsidRPr="00A032ED">
              <w:rPr>
                <w:rFonts w:ascii="Calibri" w:hAnsi="Calibri" w:cs="Calibri"/>
                <w:snapToGrid/>
                <w:kern w:val="0"/>
                <w:szCs w:val="22"/>
              </w:rPr>
              <w:t>KNDO</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81F6BF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314,875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87F16A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$2,275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E95495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02BFA7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$3,362 </w:t>
            </w:r>
          </w:p>
        </w:tc>
      </w:tr>
      <w:tr w14:paraId="6BDFBCB9"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927E548" w14:textId="77777777">
            <w:pPr>
              <w:widowControl/>
              <w:jc w:val="center"/>
              <w:rPr>
                <w:rFonts w:ascii="Calibri" w:hAnsi="Calibri" w:cs="Calibri"/>
                <w:snapToGrid/>
                <w:kern w:val="0"/>
                <w:szCs w:val="22"/>
              </w:rPr>
            </w:pPr>
            <w:r w:rsidRPr="00A032ED">
              <w:rPr>
                <w:rFonts w:ascii="Calibri" w:hAnsi="Calibri" w:cs="Calibri"/>
                <w:snapToGrid/>
                <w:kern w:val="0"/>
                <w:szCs w:val="22"/>
              </w:rPr>
              <w:t>KOMO-TV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A93F10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4,123,984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8921BF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$29,793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846BF3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D21C86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$35,234 </w:t>
            </w:r>
          </w:p>
        </w:tc>
        <w:tc>
          <w:tcPr>
            <w:tcW w:w="266" w:type="dxa"/>
            <w:tcBorders>
              <w:top w:val="nil"/>
              <w:left w:val="nil"/>
              <w:bottom w:val="nil"/>
              <w:right w:val="nil"/>
            </w:tcBorders>
            <w:shd w:val="clear" w:color="auto" w:fill="auto"/>
            <w:noWrap/>
            <w:vAlign w:val="bottom"/>
            <w:hideMark/>
          </w:tcPr>
          <w:p w:rsidR="006F7AD6" w:rsidRPr="00A032ED" w:rsidP="00886011" w14:paraId="54126FE3"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25B2816" w14:textId="77777777">
            <w:pPr>
              <w:widowControl/>
              <w:jc w:val="center"/>
              <w:rPr>
                <w:rFonts w:ascii="Calibri" w:hAnsi="Calibri" w:cs="Calibri"/>
                <w:snapToGrid/>
                <w:kern w:val="0"/>
                <w:szCs w:val="22"/>
              </w:rPr>
            </w:pPr>
            <w:r w:rsidRPr="00A032ED">
              <w:rPr>
                <w:rFonts w:ascii="Calibri" w:hAnsi="Calibri" w:cs="Calibri"/>
                <w:snapToGrid/>
                <w:kern w:val="0"/>
                <w:szCs w:val="22"/>
              </w:rPr>
              <w:t>KNDU</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E1DBEE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475,612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631F89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$3,436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619992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F1676F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$3,943 </w:t>
            </w:r>
          </w:p>
        </w:tc>
      </w:tr>
      <w:tr w14:paraId="09F0FAEC"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157E5DE" w14:textId="77777777">
            <w:pPr>
              <w:widowControl/>
              <w:jc w:val="center"/>
              <w:rPr>
                <w:rFonts w:ascii="Calibri" w:hAnsi="Calibri" w:cs="Calibri"/>
                <w:snapToGrid/>
                <w:kern w:val="0"/>
                <w:szCs w:val="22"/>
              </w:rPr>
            </w:pPr>
            <w:r w:rsidRPr="00A032ED">
              <w:rPr>
                <w:rFonts w:ascii="Calibri" w:hAnsi="Calibri" w:cs="Calibri"/>
                <w:snapToGrid/>
                <w:kern w:val="0"/>
                <w:szCs w:val="22"/>
              </w:rPr>
              <w:t>KONG</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41A356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4,006,008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C7FED1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$28,941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2B7589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ECDA6A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$34,808 </w:t>
            </w:r>
          </w:p>
        </w:tc>
        <w:tc>
          <w:tcPr>
            <w:tcW w:w="266" w:type="dxa"/>
            <w:tcBorders>
              <w:top w:val="nil"/>
              <w:left w:val="nil"/>
              <w:bottom w:val="nil"/>
              <w:right w:val="nil"/>
            </w:tcBorders>
            <w:shd w:val="clear" w:color="auto" w:fill="auto"/>
            <w:noWrap/>
            <w:vAlign w:val="bottom"/>
            <w:hideMark/>
          </w:tcPr>
          <w:p w:rsidR="006F7AD6" w:rsidRPr="00A032ED" w:rsidP="00886011" w14:paraId="327E3898"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F4DEB6C" w14:textId="77777777">
            <w:pPr>
              <w:widowControl/>
              <w:jc w:val="center"/>
              <w:rPr>
                <w:rFonts w:ascii="Calibri" w:hAnsi="Calibri" w:cs="Calibri"/>
                <w:snapToGrid/>
                <w:kern w:val="0"/>
                <w:szCs w:val="22"/>
              </w:rPr>
            </w:pPr>
            <w:r w:rsidRPr="00A032ED">
              <w:rPr>
                <w:rFonts w:ascii="Calibri" w:hAnsi="Calibri" w:cs="Calibri"/>
                <w:snapToGrid/>
                <w:kern w:val="0"/>
                <w:szCs w:val="22"/>
              </w:rPr>
              <w:t>KNEP</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B4D5DA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101,389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20EE48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$732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062CBF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9388FC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$2,591 </w:t>
            </w:r>
          </w:p>
        </w:tc>
      </w:tr>
      <w:tr w14:paraId="7A052D54"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CD6EE99" w14:textId="77777777">
            <w:pPr>
              <w:widowControl/>
              <w:jc w:val="center"/>
              <w:rPr>
                <w:rFonts w:ascii="Calibri" w:hAnsi="Calibri" w:cs="Calibri"/>
                <w:snapToGrid/>
                <w:kern w:val="0"/>
                <w:szCs w:val="22"/>
              </w:rPr>
            </w:pPr>
            <w:r w:rsidRPr="00A032ED">
              <w:rPr>
                <w:rFonts w:ascii="Calibri" w:hAnsi="Calibri" w:cs="Calibri"/>
                <w:snapToGrid/>
                <w:kern w:val="0"/>
                <w:szCs w:val="22"/>
              </w:rPr>
              <w:t>KOPX-TV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C8C4CA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1,513,730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D64AFC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$10,936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AB93A3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EFB3BA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$19,043 </w:t>
            </w:r>
          </w:p>
        </w:tc>
        <w:tc>
          <w:tcPr>
            <w:tcW w:w="266" w:type="dxa"/>
            <w:tcBorders>
              <w:top w:val="nil"/>
              <w:left w:val="nil"/>
              <w:bottom w:val="nil"/>
              <w:right w:val="nil"/>
            </w:tcBorders>
            <w:shd w:val="clear" w:color="auto" w:fill="auto"/>
            <w:noWrap/>
            <w:vAlign w:val="bottom"/>
            <w:hideMark/>
          </w:tcPr>
          <w:p w:rsidR="006F7AD6" w:rsidRPr="00A032ED" w:rsidP="00886011" w14:paraId="672C502E"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A0CDEBC" w14:textId="77777777">
            <w:pPr>
              <w:widowControl/>
              <w:jc w:val="center"/>
              <w:rPr>
                <w:rFonts w:ascii="Calibri" w:hAnsi="Calibri" w:cs="Calibri"/>
                <w:snapToGrid/>
                <w:kern w:val="0"/>
                <w:szCs w:val="22"/>
              </w:rPr>
            </w:pPr>
            <w:r w:rsidRPr="00A032ED">
              <w:rPr>
                <w:rFonts w:ascii="Calibri" w:hAnsi="Calibri" w:cs="Calibri"/>
                <w:snapToGrid/>
                <w:kern w:val="0"/>
                <w:szCs w:val="22"/>
              </w:rPr>
              <w:t>KNHL</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AC9ACF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277,777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5FD2AF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$2,007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C66182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3B9628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$3,228 </w:t>
            </w:r>
          </w:p>
        </w:tc>
      </w:tr>
      <w:tr w14:paraId="0767A42C"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3A8E561" w14:textId="77777777">
            <w:pPr>
              <w:widowControl/>
              <w:jc w:val="center"/>
              <w:rPr>
                <w:rFonts w:ascii="Calibri" w:hAnsi="Calibri" w:cs="Calibri"/>
                <w:snapToGrid/>
                <w:kern w:val="0"/>
                <w:szCs w:val="22"/>
              </w:rPr>
            </w:pPr>
            <w:r w:rsidRPr="00A032ED">
              <w:rPr>
                <w:rFonts w:ascii="Calibri" w:hAnsi="Calibri" w:cs="Calibri"/>
                <w:snapToGrid/>
                <w:kern w:val="0"/>
                <w:szCs w:val="22"/>
              </w:rPr>
              <w:t>KORO</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174896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560,983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EC9674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$4,053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F8CD81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94B433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$4,251 </w:t>
            </w:r>
          </w:p>
        </w:tc>
        <w:tc>
          <w:tcPr>
            <w:tcW w:w="266" w:type="dxa"/>
            <w:tcBorders>
              <w:top w:val="nil"/>
              <w:left w:val="nil"/>
              <w:bottom w:val="nil"/>
              <w:right w:val="nil"/>
            </w:tcBorders>
            <w:shd w:val="clear" w:color="auto" w:fill="auto"/>
            <w:noWrap/>
            <w:vAlign w:val="bottom"/>
            <w:hideMark/>
          </w:tcPr>
          <w:p w:rsidR="006F7AD6" w:rsidRPr="00A032ED" w:rsidP="00886011" w14:paraId="675DC8A0"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3E69ECF" w14:textId="77777777">
            <w:pPr>
              <w:widowControl/>
              <w:jc w:val="center"/>
              <w:rPr>
                <w:rFonts w:ascii="Calibri" w:hAnsi="Calibri" w:cs="Calibri"/>
                <w:snapToGrid/>
                <w:kern w:val="0"/>
                <w:szCs w:val="22"/>
              </w:rPr>
            </w:pPr>
            <w:r w:rsidRPr="00A032ED">
              <w:rPr>
                <w:rFonts w:ascii="Calibri" w:hAnsi="Calibri" w:cs="Calibri"/>
                <w:snapToGrid/>
                <w:kern w:val="0"/>
                <w:szCs w:val="22"/>
              </w:rPr>
              <w:t>KNIC-DT</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167284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2,398,296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D8093F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$17,326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8B94DB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7E716E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$22,238 </w:t>
            </w:r>
          </w:p>
        </w:tc>
      </w:tr>
      <w:tr w14:paraId="14652653"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E11DB31" w14:textId="77777777">
            <w:pPr>
              <w:widowControl/>
              <w:jc w:val="center"/>
              <w:rPr>
                <w:rFonts w:ascii="Calibri" w:hAnsi="Calibri" w:cs="Calibri"/>
                <w:snapToGrid/>
                <w:kern w:val="0"/>
                <w:szCs w:val="22"/>
              </w:rPr>
            </w:pPr>
            <w:r w:rsidRPr="00A032ED">
              <w:rPr>
                <w:rFonts w:ascii="Calibri" w:hAnsi="Calibri" w:cs="Calibri"/>
                <w:snapToGrid/>
                <w:kern w:val="0"/>
                <w:szCs w:val="22"/>
              </w:rPr>
              <w:t>KOSA-TV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E12AAE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340,978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D338AC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$2,463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D5EED5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DC4440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$3,457 </w:t>
            </w:r>
          </w:p>
        </w:tc>
        <w:tc>
          <w:tcPr>
            <w:tcW w:w="266" w:type="dxa"/>
            <w:tcBorders>
              <w:top w:val="nil"/>
              <w:left w:val="nil"/>
              <w:bottom w:val="nil"/>
              <w:right w:val="nil"/>
            </w:tcBorders>
            <w:shd w:val="clear" w:color="auto" w:fill="auto"/>
            <w:noWrap/>
            <w:vAlign w:val="bottom"/>
            <w:hideMark/>
          </w:tcPr>
          <w:p w:rsidR="006F7AD6" w:rsidRPr="00A032ED" w:rsidP="00886011" w14:paraId="5D719794"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9D0F1F6" w14:textId="77777777">
            <w:pPr>
              <w:widowControl/>
              <w:jc w:val="center"/>
              <w:rPr>
                <w:rFonts w:ascii="Calibri" w:hAnsi="Calibri" w:cs="Calibri"/>
                <w:snapToGrid/>
                <w:kern w:val="0"/>
                <w:szCs w:val="22"/>
              </w:rPr>
            </w:pPr>
            <w:r w:rsidRPr="00A032ED">
              <w:rPr>
                <w:rFonts w:ascii="Calibri" w:hAnsi="Calibri" w:cs="Calibri"/>
                <w:snapToGrid/>
                <w:kern w:val="0"/>
                <w:szCs w:val="22"/>
              </w:rPr>
              <w:t>KNIN-TV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FDF6B7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709,494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92AB32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$5,126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627FA3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6B622E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$4,788 </w:t>
            </w:r>
          </w:p>
        </w:tc>
      </w:tr>
      <w:tr w14:paraId="19DAD508"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77BF90D" w14:textId="77777777">
            <w:pPr>
              <w:widowControl/>
              <w:jc w:val="center"/>
              <w:rPr>
                <w:rFonts w:ascii="Calibri" w:hAnsi="Calibri" w:cs="Calibri"/>
                <w:snapToGrid/>
                <w:kern w:val="0"/>
                <w:szCs w:val="22"/>
              </w:rPr>
            </w:pPr>
            <w:r w:rsidRPr="00A032ED">
              <w:rPr>
                <w:rFonts w:ascii="Calibri" w:hAnsi="Calibri" w:cs="Calibri"/>
                <w:snapToGrid/>
                <w:kern w:val="0"/>
                <w:szCs w:val="22"/>
              </w:rPr>
              <w:t>KOTA-TV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A0E125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174,876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8E3147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$1,263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A94BFD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78FA3A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$2,857 </w:t>
            </w:r>
          </w:p>
        </w:tc>
        <w:tc>
          <w:tcPr>
            <w:tcW w:w="266" w:type="dxa"/>
            <w:tcBorders>
              <w:top w:val="nil"/>
              <w:left w:val="nil"/>
              <w:bottom w:val="nil"/>
              <w:right w:val="nil"/>
            </w:tcBorders>
            <w:shd w:val="clear" w:color="auto" w:fill="auto"/>
            <w:noWrap/>
            <w:vAlign w:val="bottom"/>
            <w:hideMark/>
          </w:tcPr>
          <w:p w:rsidR="006F7AD6" w:rsidRPr="00A032ED" w:rsidP="00886011" w14:paraId="6C86C2CA"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8EBC043" w14:textId="77777777">
            <w:pPr>
              <w:widowControl/>
              <w:jc w:val="center"/>
              <w:rPr>
                <w:rFonts w:ascii="Calibri" w:hAnsi="Calibri" w:cs="Calibri"/>
                <w:snapToGrid/>
                <w:kern w:val="0"/>
                <w:szCs w:val="22"/>
              </w:rPr>
            </w:pPr>
            <w:r w:rsidRPr="00A032ED">
              <w:rPr>
                <w:rFonts w:ascii="Calibri" w:hAnsi="Calibri" w:cs="Calibri"/>
                <w:snapToGrid/>
                <w:kern w:val="0"/>
                <w:szCs w:val="22"/>
              </w:rPr>
              <w:t>KNLC</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73B8E0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2,944,530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2C370A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$21,272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EC5FB5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C48A47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$30,974 </w:t>
            </w:r>
          </w:p>
        </w:tc>
      </w:tr>
      <w:tr w14:paraId="58AFEB04"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B2B5F48" w14:textId="77777777">
            <w:pPr>
              <w:widowControl/>
              <w:jc w:val="center"/>
              <w:rPr>
                <w:rFonts w:ascii="Calibri" w:hAnsi="Calibri" w:cs="Calibri"/>
                <w:snapToGrid/>
                <w:kern w:val="0"/>
                <w:szCs w:val="22"/>
              </w:rPr>
            </w:pPr>
            <w:r w:rsidRPr="00A032ED">
              <w:rPr>
                <w:rFonts w:ascii="Calibri" w:hAnsi="Calibri" w:cs="Calibri"/>
                <w:snapToGrid/>
                <w:kern w:val="0"/>
                <w:szCs w:val="22"/>
              </w:rPr>
              <w:t>KOTI</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9F3430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298,175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45EE60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$2,154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7AB011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654CC4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$3,302 </w:t>
            </w:r>
          </w:p>
        </w:tc>
        <w:tc>
          <w:tcPr>
            <w:tcW w:w="266" w:type="dxa"/>
            <w:tcBorders>
              <w:top w:val="nil"/>
              <w:left w:val="nil"/>
              <w:bottom w:val="nil"/>
              <w:right w:val="nil"/>
            </w:tcBorders>
            <w:shd w:val="clear" w:color="auto" w:fill="auto"/>
            <w:noWrap/>
            <w:vAlign w:val="bottom"/>
            <w:hideMark/>
          </w:tcPr>
          <w:p w:rsidR="006F7AD6" w:rsidRPr="00A032ED" w:rsidP="00886011" w14:paraId="4E2EB217"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072E974" w14:textId="77777777">
            <w:pPr>
              <w:widowControl/>
              <w:jc w:val="center"/>
              <w:rPr>
                <w:rFonts w:ascii="Calibri" w:hAnsi="Calibri" w:cs="Calibri"/>
                <w:snapToGrid/>
                <w:kern w:val="0"/>
                <w:szCs w:val="22"/>
              </w:rPr>
            </w:pPr>
            <w:r w:rsidRPr="00A032ED">
              <w:rPr>
                <w:rFonts w:ascii="Calibri" w:hAnsi="Calibri" w:cs="Calibri"/>
                <w:snapToGrid/>
                <w:kern w:val="0"/>
                <w:szCs w:val="22"/>
              </w:rPr>
              <w:t>KNOE-TV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37303D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733,097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E6672B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$5,296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B4BD81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7AE66F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$4,873 </w:t>
            </w:r>
          </w:p>
        </w:tc>
      </w:tr>
      <w:tr w14:paraId="6D27AA7B"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FD7CC85" w14:textId="77777777">
            <w:pPr>
              <w:widowControl/>
              <w:jc w:val="center"/>
              <w:rPr>
                <w:rFonts w:ascii="Calibri" w:hAnsi="Calibri" w:cs="Calibri"/>
                <w:snapToGrid/>
                <w:kern w:val="0"/>
                <w:szCs w:val="22"/>
              </w:rPr>
            </w:pPr>
            <w:r w:rsidRPr="00A032ED">
              <w:rPr>
                <w:rFonts w:ascii="Calibri" w:hAnsi="Calibri" w:cs="Calibri"/>
                <w:snapToGrid/>
                <w:kern w:val="0"/>
                <w:szCs w:val="22"/>
              </w:rPr>
              <w:t>KOTV-DT</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4CE02E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49,496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E512F4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$358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B8EAF5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BE8CD6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$6,954 </w:t>
            </w:r>
          </w:p>
        </w:tc>
        <w:tc>
          <w:tcPr>
            <w:tcW w:w="266" w:type="dxa"/>
            <w:tcBorders>
              <w:top w:val="nil"/>
              <w:left w:val="nil"/>
              <w:bottom w:val="nil"/>
              <w:right w:val="nil"/>
            </w:tcBorders>
            <w:shd w:val="clear" w:color="auto" w:fill="auto"/>
            <w:noWrap/>
            <w:vAlign w:val="bottom"/>
            <w:hideMark/>
          </w:tcPr>
          <w:p w:rsidR="006F7AD6" w:rsidRPr="00A032ED" w:rsidP="00886011" w14:paraId="1D1CE8EC"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9206CEA" w14:textId="77777777">
            <w:pPr>
              <w:widowControl/>
              <w:jc w:val="center"/>
              <w:rPr>
                <w:rFonts w:ascii="Calibri" w:hAnsi="Calibri" w:cs="Calibri"/>
                <w:snapToGrid/>
                <w:kern w:val="0"/>
                <w:szCs w:val="22"/>
              </w:rPr>
            </w:pPr>
            <w:r w:rsidRPr="00A032ED">
              <w:rPr>
                <w:rFonts w:ascii="Calibri" w:hAnsi="Calibri" w:cs="Calibri"/>
                <w:snapToGrid/>
                <w:kern w:val="0"/>
                <w:szCs w:val="22"/>
              </w:rPr>
              <w:t>KNOP-TV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BFF3C4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87,904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9B83F9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$635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C6C6EE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6E8699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$2,543 </w:t>
            </w:r>
          </w:p>
        </w:tc>
      </w:tr>
      <w:tr w14:paraId="28072365"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5C42EB7" w14:textId="77777777">
            <w:pPr>
              <w:widowControl/>
              <w:jc w:val="center"/>
              <w:rPr>
                <w:rFonts w:ascii="Calibri" w:hAnsi="Calibri" w:cs="Calibri"/>
                <w:snapToGrid/>
                <w:kern w:val="0"/>
                <w:szCs w:val="22"/>
              </w:rPr>
            </w:pPr>
            <w:r w:rsidRPr="00A032ED">
              <w:rPr>
                <w:rFonts w:ascii="Calibri" w:hAnsi="Calibri" w:cs="Calibri"/>
                <w:snapToGrid/>
                <w:kern w:val="0"/>
                <w:szCs w:val="22"/>
              </w:rPr>
              <w:t>KOVR</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240EA0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10,759,811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F5F470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$77,733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534461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171877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$59,204 </w:t>
            </w:r>
          </w:p>
        </w:tc>
        <w:tc>
          <w:tcPr>
            <w:tcW w:w="266" w:type="dxa"/>
            <w:tcBorders>
              <w:top w:val="nil"/>
              <w:left w:val="nil"/>
              <w:bottom w:val="nil"/>
              <w:right w:val="nil"/>
            </w:tcBorders>
            <w:shd w:val="clear" w:color="auto" w:fill="auto"/>
            <w:noWrap/>
            <w:vAlign w:val="bottom"/>
            <w:hideMark/>
          </w:tcPr>
          <w:p w:rsidR="006F7AD6" w:rsidRPr="00A032ED" w:rsidP="00886011" w14:paraId="7B66D963"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3AEA028" w14:textId="77777777">
            <w:pPr>
              <w:widowControl/>
              <w:jc w:val="center"/>
              <w:rPr>
                <w:rFonts w:ascii="Calibri" w:hAnsi="Calibri" w:cs="Calibri"/>
                <w:snapToGrid/>
                <w:kern w:val="0"/>
                <w:szCs w:val="22"/>
              </w:rPr>
            </w:pPr>
            <w:r w:rsidRPr="00A032ED">
              <w:rPr>
                <w:rFonts w:ascii="Calibri" w:hAnsi="Calibri" w:cs="Calibri"/>
                <w:snapToGrid/>
                <w:kern w:val="0"/>
                <w:szCs w:val="22"/>
              </w:rPr>
              <w:t>KNRR</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D42E0D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25,957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9B88EC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$188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84AD0C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938EDC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$2,319 </w:t>
            </w:r>
          </w:p>
        </w:tc>
      </w:tr>
      <w:tr w14:paraId="396CFE94"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4E59855" w14:textId="77777777">
            <w:pPr>
              <w:widowControl/>
              <w:jc w:val="center"/>
              <w:rPr>
                <w:rFonts w:ascii="Calibri" w:hAnsi="Calibri" w:cs="Calibri"/>
                <w:snapToGrid/>
                <w:kern w:val="0"/>
                <w:szCs w:val="22"/>
              </w:rPr>
            </w:pPr>
            <w:r w:rsidRPr="00A032ED">
              <w:rPr>
                <w:rFonts w:ascii="Calibri" w:hAnsi="Calibri" w:cs="Calibri"/>
                <w:snapToGrid/>
                <w:kern w:val="0"/>
                <w:szCs w:val="22"/>
              </w:rPr>
              <w:t>KOZL-TV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711C90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992,495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059C45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$7,170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ECE43A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A0635C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$10,360 </w:t>
            </w:r>
          </w:p>
        </w:tc>
        <w:tc>
          <w:tcPr>
            <w:tcW w:w="266" w:type="dxa"/>
            <w:tcBorders>
              <w:top w:val="nil"/>
              <w:left w:val="nil"/>
              <w:bottom w:val="nil"/>
              <w:right w:val="nil"/>
            </w:tcBorders>
            <w:shd w:val="clear" w:color="auto" w:fill="auto"/>
            <w:noWrap/>
            <w:vAlign w:val="bottom"/>
            <w:hideMark/>
          </w:tcPr>
          <w:p w:rsidR="006F7AD6" w:rsidRPr="00A032ED" w:rsidP="00886011" w14:paraId="6B4A2ADF"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75B9876" w14:textId="77777777">
            <w:pPr>
              <w:widowControl/>
              <w:jc w:val="center"/>
              <w:rPr>
                <w:rFonts w:ascii="Calibri" w:hAnsi="Calibri" w:cs="Calibri"/>
                <w:snapToGrid/>
                <w:kern w:val="0"/>
                <w:szCs w:val="22"/>
              </w:rPr>
            </w:pPr>
            <w:r w:rsidRPr="00A032ED">
              <w:rPr>
                <w:rFonts w:ascii="Calibri" w:hAnsi="Calibri" w:cs="Calibri"/>
                <w:snapToGrid/>
                <w:kern w:val="0"/>
                <w:szCs w:val="22"/>
              </w:rPr>
              <w:t>KNSD</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FF4ACA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3,541,824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88F541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$25,587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D99A14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9CD70C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$26,369 </w:t>
            </w:r>
          </w:p>
        </w:tc>
      </w:tr>
      <w:tr w14:paraId="6ACE9957"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56F3DA6" w14:textId="77777777">
            <w:pPr>
              <w:widowControl/>
              <w:jc w:val="center"/>
              <w:rPr>
                <w:rFonts w:ascii="Calibri" w:hAnsi="Calibri" w:cs="Calibri"/>
                <w:snapToGrid/>
                <w:kern w:val="0"/>
                <w:szCs w:val="22"/>
              </w:rPr>
            </w:pPr>
            <w:r w:rsidRPr="00A032ED">
              <w:rPr>
                <w:rFonts w:ascii="Calibri" w:hAnsi="Calibri" w:cs="Calibri"/>
                <w:snapToGrid/>
                <w:kern w:val="0"/>
                <w:szCs w:val="22"/>
              </w:rPr>
              <w:t>KPAX-TV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79CC08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206,895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392CFD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$1,495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23D1C7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D78D5A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$2,972 </w:t>
            </w:r>
          </w:p>
        </w:tc>
        <w:tc>
          <w:tcPr>
            <w:tcW w:w="266" w:type="dxa"/>
            <w:tcBorders>
              <w:top w:val="nil"/>
              <w:left w:val="nil"/>
              <w:bottom w:val="nil"/>
              <w:right w:val="nil"/>
            </w:tcBorders>
            <w:shd w:val="clear" w:color="auto" w:fill="auto"/>
            <w:noWrap/>
            <w:vAlign w:val="bottom"/>
            <w:hideMark/>
          </w:tcPr>
          <w:p w:rsidR="006F7AD6" w:rsidRPr="00A032ED" w:rsidP="00886011" w14:paraId="1FA8F66F"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002C27D" w14:textId="77777777">
            <w:pPr>
              <w:widowControl/>
              <w:jc w:val="center"/>
              <w:rPr>
                <w:rFonts w:ascii="Calibri" w:hAnsi="Calibri" w:cs="Calibri"/>
                <w:snapToGrid/>
                <w:kern w:val="0"/>
                <w:szCs w:val="22"/>
              </w:rPr>
            </w:pPr>
            <w:r w:rsidRPr="00A032ED">
              <w:rPr>
                <w:rFonts w:ascii="Calibri" w:hAnsi="Calibri" w:cs="Calibri"/>
                <w:snapToGrid/>
                <w:kern w:val="0"/>
                <w:szCs w:val="22"/>
              </w:rPr>
              <w:t>KNSO</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4EBF7C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2,092,512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B8E246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$15,117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7174E6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428584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$14,334 </w:t>
            </w:r>
          </w:p>
        </w:tc>
      </w:tr>
      <w:tr w14:paraId="25468719"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2DD95BF" w14:textId="77777777">
            <w:pPr>
              <w:widowControl/>
              <w:jc w:val="center"/>
              <w:rPr>
                <w:rFonts w:ascii="Calibri" w:hAnsi="Calibri" w:cs="Calibri"/>
                <w:snapToGrid/>
                <w:kern w:val="0"/>
                <w:szCs w:val="22"/>
              </w:rPr>
            </w:pPr>
            <w:r w:rsidRPr="00A032ED">
              <w:rPr>
                <w:rFonts w:ascii="Calibri" w:hAnsi="Calibri" w:cs="Calibri"/>
                <w:snapToGrid/>
                <w:kern w:val="0"/>
                <w:szCs w:val="22"/>
              </w:rPr>
              <w:t>KPAZ-TV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9C66CA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4,190,080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C43C36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$30,271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EAAF8E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01B137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$35,473 </w:t>
            </w:r>
          </w:p>
        </w:tc>
        <w:tc>
          <w:tcPr>
            <w:tcW w:w="266" w:type="dxa"/>
            <w:tcBorders>
              <w:top w:val="nil"/>
              <w:left w:val="nil"/>
              <w:bottom w:val="nil"/>
              <w:right w:val="nil"/>
            </w:tcBorders>
            <w:shd w:val="clear" w:color="auto" w:fill="auto"/>
            <w:noWrap/>
            <w:vAlign w:val="bottom"/>
            <w:hideMark/>
          </w:tcPr>
          <w:p w:rsidR="006F7AD6" w:rsidRPr="00A032ED" w:rsidP="00886011" w14:paraId="69C60DB3"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E086D95" w14:textId="77777777">
            <w:pPr>
              <w:widowControl/>
              <w:jc w:val="center"/>
              <w:rPr>
                <w:rFonts w:ascii="Calibri" w:hAnsi="Calibri" w:cs="Calibri"/>
                <w:snapToGrid/>
                <w:kern w:val="0"/>
                <w:szCs w:val="22"/>
              </w:rPr>
            </w:pPr>
            <w:r w:rsidRPr="00A032ED">
              <w:rPr>
                <w:rFonts w:ascii="Calibri" w:hAnsi="Calibri" w:cs="Calibri"/>
                <w:snapToGrid/>
                <w:kern w:val="0"/>
                <w:szCs w:val="22"/>
              </w:rPr>
              <w:t>KNTV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460DA0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8,022,662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29808F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$57,959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D9DCDB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9E8DBD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$55,979 </w:t>
            </w:r>
          </w:p>
        </w:tc>
      </w:tr>
      <w:tr w14:paraId="365F6DA9"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DB98235" w14:textId="77777777">
            <w:pPr>
              <w:widowControl/>
              <w:jc w:val="center"/>
              <w:rPr>
                <w:rFonts w:ascii="Calibri" w:hAnsi="Calibri" w:cs="Calibri"/>
                <w:snapToGrid/>
                <w:kern w:val="0"/>
                <w:szCs w:val="22"/>
              </w:rPr>
            </w:pPr>
            <w:r w:rsidRPr="00A032ED">
              <w:rPr>
                <w:rFonts w:ascii="Calibri" w:hAnsi="Calibri" w:cs="Calibri"/>
                <w:snapToGrid/>
                <w:kern w:val="0"/>
                <w:szCs w:val="22"/>
              </w:rPr>
              <w:t>KQCW-DT</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0C4E09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1,128,198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BE95A5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$8,151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23CD40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29F623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$10,850 </w:t>
            </w:r>
          </w:p>
        </w:tc>
        <w:tc>
          <w:tcPr>
            <w:tcW w:w="266" w:type="dxa"/>
            <w:tcBorders>
              <w:top w:val="nil"/>
              <w:left w:val="nil"/>
              <w:bottom w:val="nil"/>
              <w:right w:val="nil"/>
            </w:tcBorders>
            <w:shd w:val="clear" w:color="auto" w:fill="auto"/>
            <w:noWrap/>
            <w:vAlign w:val="bottom"/>
            <w:hideMark/>
          </w:tcPr>
          <w:p w:rsidR="006F7AD6" w:rsidRPr="00A032ED" w:rsidP="00886011" w14:paraId="3786D47B"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A9254FE" w14:textId="77777777">
            <w:pPr>
              <w:widowControl/>
              <w:jc w:val="center"/>
              <w:rPr>
                <w:rFonts w:ascii="Calibri" w:hAnsi="Calibri" w:cs="Calibri"/>
                <w:snapToGrid/>
                <w:kern w:val="0"/>
                <w:szCs w:val="22"/>
              </w:rPr>
            </w:pPr>
            <w:r w:rsidRPr="00A032ED">
              <w:rPr>
                <w:rFonts w:ascii="Calibri" w:hAnsi="Calibri" w:cs="Calibri"/>
                <w:snapToGrid/>
                <w:kern w:val="0"/>
                <w:szCs w:val="22"/>
              </w:rPr>
              <w:t>KNVA</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AD36AB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2,412,222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BB2C60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$17,427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463CDA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3D4D0E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$22,288 </w:t>
            </w:r>
          </w:p>
        </w:tc>
      </w:tr>
      <w:tr w14:paraId="5103E3FA"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5FEBF45" w14:textId="77777777">
            <w:pPr>
              <w:widowControl/>
              <w:jc w:val="center"/>
              <w:rPr>
                <w:rFonts w:ascii="Calibri" w:hAnsi="Calibri" w:cs="Calibri"/>
                <w:snapToGrid/>
                <w:kern w:val="0"/>
                <w:szCs w:val="22"/>
              </w:rPr>
            </w:pPr>
            <w:r w:rsidRPr="00A032ED">
              <w:rPr>
                <w:rFonts w:ascii="Calibri" w:hAnsi="Calibri" w:cs="Calibri"/>
                <w:snapToGrid/>
                <w:kern w:val="0"/>
                <w:szCs w:val="22"/>
              </w:rPr>
              <w:t>KQDS-TV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8FC698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305,747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668062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$2,209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FC0D7E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4280C5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$3,329 </w:t>
            </w:r>
          </w:p>
        </w:tc>
        <w:tc>
          <w:tcPr>
            <w:tcW w:w="266" w:type="dxa"/>
            <w:tcBorders>
              <w:top w:val="nil"/>
              <w:left w:val="nil"/>
              <w:bottom w:val="nil"/>
              <w:right w:val="nil"/>
            </w:tcBorders>
            <w:shd w:val="clear" w:color="auto" w:fill="auto"/>
            <w:noWrap/>
            <w:vAlign w:val="bottom"/>
            <w:hideMark/>
          </w:tcPr>
          <w:p w:rsidR="006F7AD6" w:rsidRPr="00A032ED" w:rsidP="00886011" w14:paraId="2F6F3C67"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96D157B" w14:textId="77777777">
            <w:pPr>
              <w:widowControl/>
              <w:jc w:val="center"/>
              <w:rPr>
                <w:rFonts w:ascii="Calibri" w:hAnsi="Calibri" w:cs="Calibri"/>
                <w:snapToGrid/>
                <w:kern w:val="0"/>
                <w:szCs w:val="22"/>
              </w:rPr>
            </w:pPr>
            <w:r w:rsidRPr="00A032ED">
              <w:rPr>
                <w:rFonts w:ascii="Calibri" w:hAnsi="Calibri" w:cs="Calibri"/>
                <w:snapToGrid/>
                <w:kern w:val="0"/>
                <w:szCs w:val="22"/>
              </w:rPr>
              <w:t>KNVN</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8DDF64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495,403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63D355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$3,579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535267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312BDB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$4,014 </w:t>
            </w:r>
          </w:p>
        </w:tc>
      </w:tr>
      <w:tr w14:paraId="5AB26AD6"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D4DBBE6" w14:textId="77777777">
            <w:pPr>
              <w:widowControl/>
              <w:jc w:val="center"/>
              <w:rPr>
                <w:rFonts w:ascii="Calibri" w:hAnsi="Calibri" w:cs="Calibri"/>
                <w:snapToGrid/>
                <w:kern w:val="0"/>
                <w:szCs w:val="22"/>
              </w:rPr>
            </w:pPr>
            <w:r w:rsidRPr="00A032ED">
              <w:rPr>
                <w:rFonts w:ascii="Calibri" w:hAnsi="Calibri" w:cs="Calibri"/>
                <w:snapToGrid/>
                <w:kern w:val="0"/>
                <w:szCs w:val="22"/>
              </w:rPr>
              <w:t>KQED</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A2E245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8,195,398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73624B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$59,207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32BFA1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92539B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$56,603 </w:t>
            </w:r>
          </w:p>
        </w:tc>
        <w:tc>
          <w:tcPr>
            <w:tcW w:w="266" w:type="dxa"/>
            <w:tcBorders>
              <w:top w:val="nil"/>
              <w:left w:val="nil"/>
              <w:bottom w:val="nil"/>
              <w:right w:val="nil"/>
            </w:tcBorders>
            <w:shd w:val="clear" w:color="auto" w:fill="auto"/>
            <w:noWrap/>
            <w:vAlign w:val="bottom"/>
            <w:hideMark/>
          </w:tcPr>
          <w:p w:rsidR="006F7AD6" w:rsidRPr="00A032ED" w:rsidP="00886011" w14:paraId="5424E026"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5B7FF80" w14:textId="77777777">
            <w:pPr>
              <w:widowControl/>
              <w:jc w:val="center"/>
              <w:rPr>
                <w:rFonts w:ascii="Calibri" w:hAnsi="Calibri" w:cs="Calibri"/>
                <w:snapToGrid/>
                <w:kern w:val="0"/>
                <w:szCs w:val="22"/>
              </w:rPr>
            </w:pPr>
            <w:r w:rsidRPr="00A032ED">
              <w:rPr>
                <w:rFonts w:ascii="Calibri" w:hAnsi="Calibri" w:cs="Calibri"/>
                <w:snapToGrid/>
                <w:kern w:val="0"/>
                <w:szCs w:val="22"/>
              </w:rPr>
              <w:t>KPDX</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ED1A85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2,970,703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C33FF7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$21,461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1DBC38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6EA044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$31,068 </w:t>
            </w:r>
          </w:p>
        </w:tc>
      </w:tr>
      <w:tr w14:paraId="0A16F36D"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9B96E2F" w14:textId="77777777">
            <w:pPr>
              <w:widowControl/>
              <w:jc w:val="center"/>
              <w:rPr>
                <w:rFonts w:ascii="Calibri" w:hAnsi="Calibri" w:cs="Calibri"/>
                <w:snapToGrid/>
                <w:kern w:val="0"/>
                <w:szCs w:val="22"/>
              </w:rPr>
            </w:pPr>
            <w:r w:rsidRPr="00A032ED">
              <w:rPr>
                <w:rFonts w:ascii="Calibri" w:hAnsi="Calibri" w:cs="Calibri"/>
                <w:snapToGrid/>
                <w:kern w:val="0"/>
                <w:szCs w:val="22"/>
              </w:rPr>
              <w:t>KQET</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9C4BDC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2,981,040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BB0E6F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$21,536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C9A492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5F4734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$12,993 </w:t>
            </w:r>
          </w:p>
        </w:tc>
        <w:tc>
          <w:tcPr>
            <w:tcW w:w="266" w:type="dxa"/>
            <w:tcBorders>
              <w:top w:val="nil"/>
              <w:left w:val="nil"/>
              <w:bottom w:val="nil"/>
              <w:right w:val="nil"/>
            </w:tcBorders>
            <w:shd w:val="clear" w:color="auto" w:fill="auto"/>
            <w:noWrap/>
            <w:vAlign w:val="bottom"/>
            <w:hideMark/>
          </w:tcPr>
          <w:p w:rsidR="006F7AD6" w:rsidRPr="00A032ED" w:rsidP="00886011" w14:paraId="1DF7EB33"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B06CD08" w14:textId="77777777">
            <w:pPr>
              <w:widowControl/>
              <w:jc w:val="center"/>
              <w:rPr>
                <w:rFonts w:ascii="Calibri" w:hAnsi="Calibri" w:cs="Calibri"/>
                <w:snapToGrid/>
                <w:kern w:val="0"/>
                <w:szCs w:val="22"/>
              </w:rPr>
            </w:pPr>
            <w:r w:rsidRPr="00A032ED">
              <w:rPr>
                <w:rFonts w:ascii="Calibri" w:hAnsi="Calibri" w:cs="Calibri"/>
                <w:snapToGrid/>
                <w:kern w:val="0"/>
                <w:szCs w:val="22"/>
              </w:rPr>
              <w:t>KPEJ-TV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EF48D0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368,212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6D2958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$2,660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7BEB23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9C8740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$3,555 </w:t>
            </w:r>
          </w:p>
        </w:tc>
      </w:tr>
      <w:tr w14:paraId="298A0818"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D8564C1" w14:textId="77777777">
            <w:pPr>
              <w:widowControl/>
              <w:jc w:val="center"/>
              <w:rPr>
                <w:rFonts w:ascii="Calibri" w:hAnsi="Calibri" w:cs="Calibri"/>
                <w:snapToGrid/>
                <w:kern w:val="0"/>
                <w:szCs w:val="22"/>
              </w:rPr>
            </w:pPr>
            <w:r w:rsidRPr="00A032ED">
              <w:rPr>
                <w:rFonts w:ascii="Calibri" w:hAnsi="Calibri" w:cs="Calibri"/>
                <w:snapToGrid/>
                <w:kern w:val="0"/>
                <w:szCs w:val="22"/>
              </w:rPr>
              <w:t>KQME</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17716E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188,783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0B59C9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$1,364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2461C0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6AD64E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$2,907 </w:t>
            </w:r>
          </w:p>
        </w:tc>
        <w:tc>
          <w:tcPr>
            <w:tcW w:w="266" w:type="dxa"/>
            <w:tcBorders>
              <w:top w:val="nil"/>
              <w:left w:val="nil"/>
              <w:bottom w:val="nil"/>
              <w:right w:val="nil"/>
            </w:tcBorders>
            <w:shd w:val="clear" w:color="auto" w:fill="auto"/>
            <w:noWrap/>
            <w:vAlign w:val="bottom"/>
            <w:hideMark/>
          </w:tcPr>
          <w:p w:rsidR="006F7AD6" w:rsidRPr="00A032ED" w:rsidP="00886011" w14:paraId="2505A221"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4299125" w14:textId="77777777">
            <w:pPr>
              <w:widowControl/>
              <w:jc w:val="center"/>
              <w:rPr>
                <w:rFonts w:ascii="Calibri" w:hAnsi="Calibri" w:cs="Calibri"/>
                <w:snapToGrid/>
                <w:kern w:val="0"/>
                <w:szCs w:val="22"/>
              </w:rPr>
            </w:pPr>
            <w:r w:rsidRPr="00A032ED">
              <w:rPr>
                <w:rFonts w:ascii="Calibri" w:hAnsi="Calibri" w:cs="Calibri"/>
                <w:snapToGrid/>
                <w:kern w:val="0"/>
                <w:szCs w:val="22"/>
              </w:rPr>
              <w:t>KPHO-TV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9B22B6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4,195,073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3371A8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$30,307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400A0C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724CAF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$35,491 </w:t>
            </w:r>
          </w:p>
        </w:tc>
      </w:tr>
      <w:tr w14:paraId="10CB716E"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F654F52" w14:textId="77777777">
            <w:pPr>
              <w:widowControl/>
              <w:jc w:val="center"/>
              <w:rPr>
                <w:rFonts w:ascii="Calibri" w:hAnsi="Calibri" w:cs="Calibri"/>
                <w:snapToGrid/>
                <w:kern w:val="0"/>
                <w:szCs w:val="22"/>
              </w:rPr>
            </w:pPr>
            <w:r w:rsidRPr="00A032ED">
              <w:rPr>
                <w:rFonts w:ascii="Calibri" w:hAnsi="Calibri" w:cs="Calibri"/>
                <w:snapToGrid/>
                <w:kern w:val="0"/>
                <w:szCs w:val="22"/>
              </w:rPr>
              <w:t>KQTV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CA0C50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1,494,987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EB32E8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$10,800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B0DB9F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8A4951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$7,625 </w:t>
            </w:r>
          </w:p>
        </w:tc>
        <w:tc>
          <w:tcPr>
            <w:tcW w:w="266" w:type="dxa"/>
            <w:tcBorders>
              <w:top w:val="nil"/>
              <w:left w:val="nil"/>
              <w:bottom w:val="nil"/>
              <w:right w:val="nil"/>
            </w:tcBorders>
            <w:shd w:val="clear" w:color="auto" w:fill="auto"/>
            <w:noWrap/>
            <w:vAlign w:val="bottom"/>
            <w:hideMark/>
          </w:tcPr>
          <w:p w:rsidR="006F7AD6" w:rsidRPr="00A032ED" w:rsidP="00886011" w14:paraId="1CF89B6D"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86F790C" w14:textId="77777777">
            <w:pPr>
              <w:widowControl/>
              <w:jc w:val="center"/>
              <w:rPr>
                <w:rFonts w:ascii="Calibri" w:hAnsi="Calibri" w:cs="Calibri"/>
                <w:snapToGrid/>
                <w:kern w:val="0"/>
                <w:szCs w:val="22"/>
              </w:rPr>
            </w:pPr>
            <w:r w:rsidRPr="00A032ED">
              <w:rPr>
                <w:rFonts w:ascii="Calibri" w:hAnsi="Calibri" w:cs="Calibri"/>
                <w:snapToGrid/>
                <w:kern w:val="0"/>
                <w:szCs w:val="22"/>
              </w:rPr>
              <w:t>KPIC</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78369A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53,109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779BAA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$384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3FBA53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7FD059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$2,417 </w:t>
            </w:r>
          </w:p>
        </w:tc>
      </w:tr>
      <w:tr w14:paraId="7ADC94C3"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7CB560F" w14:textId="77777777">
            <w:pPr>
              <w:widowControl/>
              <w:jc w:val="center"/>
              <w:rPr>
                <w:rFonts w:ascii="Calibri" w:hAnsi="Calibri" w:cs="Calibri"/>
                <w:snapToGrid/>
                <w:kern w:val="0"/>
                <w:szCs w:val="22"/>
              </w:rPr>
            </w:pPr>
            <w:r w:rsidRPr="00A032ED">
              <w:rPr>
                <w:rFonts w:ascii="Calibri" w:hAnsi="Calibri" w:cs="Calibri"/>
                <w:snapToGrid/>
                <w:kern w:val="0"/>
                <w:szCs w:val="22"/>
              </w:rPr>
              <w:t>KRBC-TV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EB17A2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229,395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9A7276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$1,657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CA00F3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3744E4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$3,054 </w:t>
            </w:r>
          </w:p>
        </w:tc>
        <w:tc>
          <w:tcPr>
            <w:tcW w:w="266" w:type="dxa"/>
            <w:tcBorders>
              <w:top w:val="nil"/>
              <w:left w:val="nil"/>
              <w:bottom w:val="nil"/>
              <w:right w:val="nil"/>
            </w:tcBorders>
            <w:shd w:val="clear" w:color="auto" w:fill="auto"/>
            <w:noWrap/>
            <w:vAlign w:val="bottom"/>
            <w:hideMark/>
          </w:tcPr>
          <w:p w:rsidR="006F7AD6" w:rsidRPr="00A032ED" w:rsidP="00886011" w14:paraId="5FEBD474"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5425E19" w14:textId="77777777">
            <w:pPr>
              <w:widowControl/>
              <w:jc w:val="center"/>
              <w:rPr>
                <w:rFonts w:ascii="Calibri" w:hAnsi="Calibri" w:cs="Calibri"/>
                <w:snapToGrid/>
                <w:kern w:val="0"/>
                <w:szCs w:val="22"/>
              </w:rPr>
            </w:pPr>
            <w:r w:rsidRPr="00A032ED">
              <w:rPr>
                <w:rFonts w:ascii="Calibri" w:hAnsi="Calibri" w:cs="Calibri"/>
                <w:snapToGrid/>
                <w:kern w:val="0"/>
                <w:szCs w:val="22"/>
              </w:rPr>
              <w:t>KPIF</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E20DDD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255,766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DEC5FF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$1,848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02B850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09AB9F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$3,149 </w:t>
            </w:r>
          </w:p>
        </w:tc>
      </w:tr>
      <w:tr w14:paraId="4B50C0AF"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B43F5D9" w14:textId="77777777">
            <w:pPr>
              <w:widowControl/>
              <w:jc w:val="center"/>
              <w:rPr>
                <w:rFonts w:ascii="Calibri" w:hAnsi="Calibri" w:cs="Calibri"/>
                <w:snapToGrid/>
                <w:kern w:val="0"/>
                <w:szCs w:val="22"/>
              </w:rPr>
            </w:pPr>
            <w:r w:rsidRPr="00A032ED">
              <w:rPr>
                <w:rFonts w:ascii="Calibri" w:hAnsi="Calibri" w:cs="Calibri"/>
                <w:snapToGrid/>
                <w:kern w:val="0"/>
                <w:szCs w:val="22"/>
              </w:rPr>
              <w:t>KRBK</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93B6D2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983,888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7D783F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$7,108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1EDFB3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1CA284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$10,329 </w:t>
            </w:r>
          </w:p>
        </w:tc>
        <w:tc>
          <w:tcPr>
            <w:tcW w:w="266" w:type="dxa"/>
            <w:tcBorders>
              <w:top w:val="nil"/>
              <w:left w:val="nil"/>
              <w:bottom w:val="nil"/>
              <w:right w:val="nil"/>
            </w:tcBorders>
            <w:shd w:val="clear" w:color="auto" w:fill="auto"/>
            <w:noWrap/>
            <w:vAlign w:val="bottom"/>
            <w:hideMark/>
          </w:tcPr>
          <w:p w:rsidR="006F7AD6" w:rsidRPr="00A032ED" w:rsidP="00886011" w14:paraId="0378A682"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69873DC" w14:textId="77777777">
            <w:pPr>
              <w:widowControl/>
              <w:jc w:val="center"/>
              <w:rPr>
                <w:rFonts w:ascii="Calibri" w:hAnsi="Calibri" w:cs="Calibri"/>
                <w:snapToGrid/>
                <w:kern w:val="0"/>
                <w:szCs w:val="22"/>
              </w:rPr>
            </w:pPr>
            <w:r w:rsidRPr="00A032ED">
              <w:rPr>
                <w:rFonts w:ascii="Calibri" w:hAnsi="Calibri" w:cs="Calibri"/>
                <w:snapToGrid/>
                <w:kern w:val="0"/>
                <w:szCs w:val="22"/>
              </w:rPr>
              <w:t>KPIX-TV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1A1A65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8,340,753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1768B1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$60,257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BC3533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F5B441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$57,128 </w:t>
            </w:r>
          </w:p>
        </w:tc>
      </w:tr>
      <w:tr w14:paraId="06243F0C"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3FCE398" w14:textId="77777777">
            <w:pPr>
              <w:widowControl/>
              <w:jc w:val="center"/>
              <w:rPr>
                <w:rFonts w:ascii="Calibri" w:hAnsi="Calibri" w:cs="Calibri"/>
                <w:snapToGrid/>
                <w:kern w:val="0"/>
                <w:szCs w:val="22"/>
              </w:rPr>
            </w:pPr>
            <w:r w:rsidRPr="00A032ED">
              <w:rPr>
                <w:rFonts w:ascii="Calibri" w:hAnsi="Calibri" w:cs="Calibri"/>
                <w:snapToGrid/>
                <w:kern w:val="0"/>
                <w:szCs w:val="22"/>
              </w:rPr>
              <w:t>KRCA</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7B43F3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17,791,505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8EB25A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$128,532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00F983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14F19B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$91,266 </w:t>
            </w:r>
          </w:p>
        </w:tc>
        <w:tc>
          <w:tcPr>
            <w:tcW w:w="266" w:type="dxa"/>
            <w:tcBorders>
              <w:top w:val="nil"/>
              <w:left w:val="nil"/>
              <w:bottom w:val="nil"/>
              <w:right w:val="nil"/>
            </w:tcBorders>
            <w:shd w:val="clear" w:color="auto" w:fill="auto"/>
            <w:noWrap/>
            <w:vAlign w:val="bottom"/>
            <w:hideMark/>
          </w:tcPr>
          <w:p w:rsidR="006F7AD6" w:rsidRPr="00A032ED" w:rsidP="00886011" w14:paraId="229A9A56"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01F9DB3" w14:textId="77777777">
            <w:pPr>
              <w:widowControl/>
              <w:jc w:val="center"/>
              <w:rPr>
                <w:rFonts w:ascii="Calibri" w:hAnsi="Calibri" w:cs="Calibri"/>
                <w:snapToGrid/>
                <w:kern w:val="0"/>
                <w:szCs w:val="22"/>
              </w:rPr>
            </w:pPr>
            <w:r w:rsidRPr="00A032ED">
              <w:rPr>
                <w:rFonts w:ascii="Calibri" w:hAnsi="Calibri" w:cs="Calibri"/>
                <w:snapToGrid/>
                <w:kern w:val="0"/>
                <w:szCs w:val="22"/>
              </w:rPr>
              <w:t>KPJK</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7F1A84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7,672,473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CD28EB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$55,429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4BA600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D03641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$54,714 </w:t>
            </w:r>
          </w:p>
        </w:tc>
      </w:tr>
      <w:tr w14:paraId="13E204B6"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7935DBE" w14:textId="77777777">
            <w:pPr>
              <w:widowControl/>
              <w:jc w:val="center"/>
              <w:rPr>
                <w:rFonts w:ascii="Calibri" w:hAnsi="Calibri" w:cs="Calibri"/>
                <w:snapToGrid/>
                <w:kern w:val="0"/>
                <w:szCs w:val="22"/>
              </w:rPr>
            </w:pPr>
            <w:r w:rsidRPr="00A032ED">
              <w:rPr>
                <w:rFonts w:ascii="Calibri" w:hAnsi="Calibri" w:cs="Calibri"/>
                <w:snapToGrid/>
                <w:kern w:val="0"/>
                <w:szCs w:val="22"/>
              </w:rPr>
              <w:t>KRCB</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B80063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5,320,127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97B045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$38,435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F620BF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F72E45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$46,217 </w:t>
            </w:r>
          </w:p>
        </w:tc>
        <w:tc>
          <w:tcPr>
            <w:tcW w:w="266" w:type="dxa"/>
            <w:tcBorders>
              <w:top w:val="nil"/>
              <w:left w:val="nil"/>
              <w:bottom w:val="nil"/>
              <w:right w:val="nil"/>
            </w:tcBorders>
            <w:shd w:val="clear" w:color="auto" w:fill="auto"/>
            <w:noWrap/>
            <w:vAlign w:val="bottom"/>
            <w:hideMark/>
          </w:tcPr>
          <w:p w:rsidR="006F7AD6" w:rsidRPr="00A032ED" w:rsidP="00886011" w14:paraId="55ADD77C"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93084A5" w14:textId="77777777">
            <w:pPr>
              <w:widowControl/>
              <w:jc w:val="center"/>
              <w:rPr>
                <w:rFonts w:ascii="Calibri" w:hAnsi="Calibri" w:cs="Calibri"/>
                <w:snapToGrid/>
                <w:kern w:val="0"/>
                <w:szCs w:val="22"/>
              </w:rPr>
            </w:pPr>
            <w:r w:rsidRPr="00A032ED">
              <w:rPr>
                <w:rFonts w:ascii="Calibri" w:hAnsi="Calibri" w:cs="Calibri"/>
                <w:snapToGrid/>
                <w:kern w:val="0"/>
                <w:szCs w:val="22"/>
              </w:rPr>
              <w:t>KPLC</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55D643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1,406,085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AD972C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$10,158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31456D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E54523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$7,304 </w:t>
            </w:r>
          </w:p>
        </w:tc>
      </w:tr>
      <w:tr w14:paraId="3B94BE23"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0DB649A" w14:textId="77777777">
            <w:pPr>
              <w:widowControl/>
              <w:jc w:val="center"/>
              <w:rPr>
                <w:rFonts w:ascii="Calibri" w:hAnsi="Calibri" w:cs="Calibri"/>
                <w:snapToGrid/>
                <w:kern w:val="0"/>
                <w:szCs w:val="22"/>
              </w:rPr>
            </w:pPr>
            <w:r w:rsidRPr="00A032ED">
              <w:rPr>
                <w:rFonts w:ascii="Calibri" w:hAnsi="Calibri" w:cs="Calibri"/>
                <w:snapToGrid/>
                <w:kern w:val="0"/>
                <w:szCs w:val="22"/>
              </w:rPr>
              <w:t>KRCG</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BAF416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684,989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D6D2E5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$4,949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097873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02BFB8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$4,699 </w:t>
            </w:r>
          </w:p>
        </w:tc>
        <w:tc>
          <w:tcPr>
            <w:tcW w:w="266" w:type="dxa"/>
            <w:tcBorders>
              <w:top w:val="nil"/>
              <w:left w:val="nil"/>
              <w:bottom w:val="nil"/>
              <w:right w:val="nil"/>
            </w:tcBorders>
            <w:shd w:val="clear" w:color="auto" w:fill="auto"/>
            <w:noWrap/>
            <w:vAlign w:val="bottom"/>
            <w:hideMark/>
          </w:tcPr>
          <w:p w:rsidR="006F7AD6" w:rsidRPr="00A032ED" w:rsidP="00886011" w14:paraId="525CADF3"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88A298E" w14:textId="77777777">
            <w:pPr>
              <w:widowControl/>
              <w:jc w:val="center"/>
              <w:rPr>
                <w:rFonts w:ascii="Calibri" w:hAnsi="Calibri" w:cs="Calibri"/>
                <w:snapToGrid/>
                <w:kern w:val="0"/>
                <w:szCs w:val="22"/>
              </w:rPr>
            </w:pPr>
            <w:r w:rsidRPr="00A032ED">
              <w:rPr>
                <w:rFonts w:ascii="Calibri" w:hAnsi="Calibri" w:cs="Calibri"/>
                <w:snapToGrid/>
                <w:kern w:val="0"/>
                <w:szCs w:val="22"/>
              </w:rPr>
              <w:t>KPLO-TV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769041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55,827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2CF394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$403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2D53EE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9DBAD5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$2,427 </w:t>
            </w:r>
          </w:p>
        </w:tc>
      </w:tr>
      <w:tr w14:paraId="71D8114D"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44F2A04" w14:textId="77777777">
            <w:pPr>
              <w:widowControl/>
              <w:jc w:val="center"/>
              <w:rPr>
                <w:rFonts w:ascii="Calibri" w:hAnsi="Calibri" w:cs="Calibri"/>
                <w:snapToGrid/>
                <w:kern w:val="0"/>
                <w:szCs w:val="22"/>
              </w:rPr>
            </w:pPr>
            <w:r w:rsidRPr="00A032ED">
              <w:rPr>
                <w:rFonts w:ascii="Calibri" w:hAnsi="Calibri" w:cs="Calibri"/>
                <w:snapToGrid/>
                <w:kern w:val="0"/>
                <w:szCs w:val="22"/>
              </w:rPr>
              <w:t>KRCR-TV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C0BCB7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485,749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B89A9A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$3,509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B3DB38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91DD9E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$3,980 </w:t>
            </w:r>
          </w:p>
        </w:tc>
        <w:tc>
          <w:tcPr>
            <w:tcW w:w="266" w:type="dxa"/>
            <w:tcBorders>
              <w:top w:val="nil"/>
              <w:left w:val="nil"/>
              <w:bottom w:val="nil"/>
              <w:right w:val="nil"/>
            </w:tcBorders>
            <w:shd w:val="clear" w:color="auto" w:fill="auto"/>
            <w:noWrap/>
            <w:vAlign w:val="bottom"/>
            <w:hideMark/>
          </w:tcPr>
          <w:p w:rsidR="006F7AD6" w:rsidRPr="00A032ED" w:rsidP="00886011" w14:paraId="793D36CD"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C6C460B" w14:textId="77777777">
            <w:pPr>
              <w:widowControl/>
              <w:jc w:val="center"/>
              <w:rPr>
                <w:rFonts w:ascii="Calibri" w:hAnsi="Calibri" w:cs="Calibri"/>
                <w:snapToGrid/>
                <w:kern w:val="0"/>
                <w:szCs w:val="22"/>
              </w:rPr>
            </w:pPr>
            <w:r w:rsidRPr="00A032ED">
              <w:rPr>
                <w:rFonts w:ascii="Calibri" w:hAnsi="Calibri" w:cs="Calibri"/>
                <w:snapToGrid/>
                <w:kern w:val="0"/>
                <w:szCs w:val="22"/>
              </w:rPr>
              <w:t>KPLR-TV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0C7D94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2,968,619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DE85FD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$21,446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6B1F1D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398393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$31,061 </w:t>
            </w:r>
          </w:p>
        </w:tc>
      </w:tr>
      <w:tr w14:paraId="0861A173"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91CAFC3" w14:textId="77777777">
            <w:pPr>
              <w:widowControl/>
              <w:jc w:val="center"/>
              <w:rPr>
                <w:rFonts w:ascii="Calibri" w:hAnsi="Calibri" w:cs="Calibri"/>
                <w:snapToGrid/>
                <w:kern w:val="0"/>
                <w:szCs w:val="22"/>
              </w:rPr>
            </w:pPr>
            <w:r w:rsidRPr="00A032ED">
              <w:rPr>
                <w:rFonts w:ascii="Calibri" w:hAnsi="Calibri" w:cs="Calibri"/>
                <w:snapToGrid/>
                <w:kern w:val="0"/>
                <w:szCs w:val="22"/>
              </w:rPr>
              <w:t>KRCW-TV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C8F77D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2,966,577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6F4A50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$21,432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26BF36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265ABE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$31,053 </w:t>
            </w:r>
          </w:p>
        </w:tc>
        <w:tc>
          <w:tcPr>
            <w:tcW w:w="266" w:type="dxa"/>
            <w:tcBorders>
              <w:top w:val="nil"/>
              <w:left w:val="nil"/>
              <w:bottom w:val="nil"/>
              <w:right w:val="nil"/>
            </w:tcBorders>
            <w:shd w:val="clear" w:color="auto" w:fill="auto"/>
            <w:noWrap/>
            <w:vAlign w:val="bottom"/>
            <w:hideMark/>
          </w:tcPr>
          <w:p w:rsidR="006F7AD6" w:rsidRPr="00A032ED" w:rsidP="00886011" w14:paraId="5180B5ED"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1D02C59" w14:textId="77777777">
            <w:pPr>
              <w:widowControl/>
              <w:jc w:val="center"/>
              <w:rPr>
                <w:rFonts w:ascii="Calibri" w:hAnsi="Calibri" w:cs="Calibri"/>
                <w:snapToGrid/>
                <w:kern w:val="0"/>
                <w:szCs w:val="22"/>
              </w:rPr>
            </w:pPr>
            <w:r w:rsidRPr="00A032ED">
              <w:rPr>
                <w:rFonts w:ascii="Calibri" w:hAnsi="Calibri" w:cs="Calibri"/>
                <w:snapToGrid/>
                <w:kern w:val="0"/>
                <w:szCs w:val="22"/>
              </w:rPr>
              <w:t>KPMR</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A4237B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1,731,370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96011B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$12,508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5956A9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026B7B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$8,479 </w:t>
            </w:r>
          </w:p>
        </w:tc>
      </w:tr>
      <w:tr w14:paraId="3D07185F"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47B6955" w14:textId="77777777">
            <w:pPr>
              <w:widowControl/>
              <w:jc w:val="center"/>
              <w:rPr>
                <w:rFonts w:ascii="Calibri" w:hAnsi="Calibri" w:cs="Calibri"/>
                <w:snapToGrid/>
                <w:kern w:val="0"/>
                <w:szCs w:val="22"/>
              </w:rPr>
            </w:pPr>
            <w:r w:rsidRPr="00A032ED">
              <w:rPr>
                <w:rFonts w:ascii="Calibri" w:hAnsi="Calibri" w:cs="Calibri"/>
                <w:snapToGrid/>
                <w:kern w:val="0"/>
                <w:szCs w:val="22"/>
              </w:rPr>
              <w:t>KRDK-TV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D84B05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349,941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66D672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$2,528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E1BE8F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FC5075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$3,489 </w:t>
            </w:r>
          </w:p>
        </w:tc>
        <w:tc>
          <w:tcPr>
            <w:tcW w:w="266" w:type="dxa"/>
            <w:tcBorders>
              <w:top w:val="nil"/>
              <w:left w:val="nil"/>
              <w:bottom w:val="nil"/>
              <w:right w:val="nil"/>
            </w:tcBorders>
            <w:shd w:val="clear" w:color="auto" w:fill="auto"/>
            <w:noWrap/>
            <w:vAlign w:val="bottom"/>
            <w:hideMark/>
          </w:tcPr>
          <w:p w:rsidR="006F7AD6" w:rsidRPr="00A032ED" w:rsidP="00886011" w14:paraId="54B8B7D4"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D712492" w14:textId="77777777">
            <w:pPr>
              <w:widowControl/>
              <w:jc w:val="center"/>
              <w:rPr>
                <w:rFonts w:ascii="Calibri" w:hAnsi="Calibri" w:cs="Calibri"/>
                <w:snapToGrid/>
                <w:kern w:val="0"/>
                <w:szCs w:val="22"/>
              </w:rPr>
            </w:pPr>
            <w:r w:rsidRPr="00A032ED">
              <w:rPr>
                <w:rFonts w:ascii="Calibri" w:hAnsi="Calibri" w:cs="Calibri"/>
                <w:snapToGrid/>
                <w:kern w:val="0"/>
                <w:szCs w:val="22"/>
              </w:rPr>
              <w:t>KPNZ</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894C5B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2,394,311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E72AF3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$17,297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0B7A1E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FC9D54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$22,224 </w:t>
            </w:r>
          </w:p>
        </w:tc>
      </w:tr>
      <w:tr w14:paraId="151EF454"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43ED4B8" w14:textId="77777777">
            <w:pPr>
              <w:widowControl/>
              <w:jc w:val="center"/>
              <w:rPr>
                <w:rFonts w:ascii="Calibri" w:hAnsi="Calibri" w:cs="Calibri"/>
                <w:snapToGrid/>
                <w:kern w:val="0"/>
                <w:szCs w:val="22"/>
              </w:rPr>
            </w:pPr>
            <w:r w:rsidRPr="00A032ED">
              <w:rPr>
                <w:rFonts w:ascii="Calibri" w:hAnsi="Calibri" w:cs="Calibri"/>
                <w:snapToGrid/>
                <w:kern w:val="0"/>
                <w:szCs w:val="22"/>
              </w:rPr>
              <w:t>KRDO-TV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973796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2,622,603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E042C3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$18,947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122349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8487E8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$16,248 </w:t>
            </w:r>
          </w:p>
        </w:tc>
        <w:tc>
          <w:tcPr>
            <w:tcW w:w="266" w:type="dxa"/>
            <w:tcBorders>
              <w:top w:val="nil"/>
              <w:left w:val="nil"/>
              <w:bottom w:val="nil"/>
              <w:right w:val="nil"/>
            </w:tcBorders>
            <w:shd w:val="clear" w:color="auto" w:fill="auto"/>
            <w:noWrap/>
            <w:vAlign w:val="bottom"/>
            <w:hideMark/>
          </w:tcPr>
          <w:p w:rsidR="006F7AD6" w:rsidRPr="00A032ED" w:rsidP="00886011" w14:paraId="202B4D60"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8441C2A" w14:textId="77777777">
            <w:pPr>
              <w:widowControl/>
              <w:jc w:val="center"/>
              <w:rPr>
                <w:rFonts w:ascii="Calibri" w:hAnsi="Calibri" w:cs="Calibri"/>
                <w:snapToGrid/>
                <w:kern w:val="0"/>
                <w:szCs w:val="22"/>
              </w:rPr>
            </w:pPr>
            <w:r w:rsidRPr="00A032ED">
              <w:rPr>
                <w:rFonts w:ascii="Calibri" w:hAnsi="Calibri" w:cs="Calibri"/>
                <w:snapToGrid/>
                <w:kern w:val="0"/>
                <w:szCs w:val="22"/>
              </w:rPr>
              <w:t>KPOB-TV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7F94B4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144,525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1C8C7D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$1,044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EA76B0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7C1E94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$7,297 </w:t>
            </w:r>
          </w:p>
        </w:tc>
      </w:tr>
      <w:tr w14:paraId="433AB949"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F900272" w14:textId="77777777">
            <w:pPr>
              <w:widowControl/>
              <w:jc w:val="center"/>
              <w:rPr>
                <w:rFonts w:ascii="Calibri" w:hAnsi="Calibri" w:cs="Calibri"/>
                <w:snapToGrid/>
                <w:kern w:val="0"/>
                <w:szCs w:val="22"/>
              </w:rPr>
            </w:pPr>
            <w:r w:rsidRPr="00A032ED">
              <w:rPr>
                <w:rFonts w:ascii="Calibri" w:hAnsi="Calibri" w:cs="Calibri"/>
                <w:snapToGrid/>
                <w:kern w:val="0"/>
                <w:szCs w:val="22"/>
              </w:rPr>
              <w:t>KREG-TV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2BAB7A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149,306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023DB7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$1,079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AA6D8E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DDC78C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$20,877 </w:t>
            </w:r>
          </w:p>
        </w:tc>
        <w:tc>
          <w:tcPr>
            <w:tcW w:w="266" w:type="dxa"/>
            <w:tcBorders>
              <w:top w:val="nil"/>
              <w:left w:val="nil"/>
              <w:bottom w:val="nil"/>
              <w:right w:val="nil"/>
            </w:tcBorders>
            <w:shd w:val="clear" w:color="auto" w:fill="auto"/>
            <w:noWrap/>
            <w:vAlign w:val="bottom"/>
            <w:hideMark/>
          </w:tcPr>
          <w:p w:rsidR="006F7AD6" w:rsidRPr="00A032ED" w:rsidP="00886011" w14:paraId="7E132A9C"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0569038" w14:textId="77777777">
            <w:pPr>
              <w:widowControl/>
              <w:jc w:val="center"/>
              <w:rPr>
                <w:rFonts w:ascii="Calibri" w:hAnsi="Calibri" w:cs="Calibri"/>
                <w:snapToGrid/>
                <w:kern w:val="0"/>
                <w:szCs w:val="22"/>
              </w:rPr>
            </w:pPr>
            <w:r w:rsidRPr="00A032ED">
              <w:rPr>
                <w:rFonts w:ascii="Calibri" w:hAnsi="Calibri" w:cs="Calibri"/>
                <w:snapToGrid/>
                <w:kern w:val="0"/>
                <w:szCs w:val="22"/>
              </w:rPr>
              <w:t>KPPX-TV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3E77D6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4,186,998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2C28FB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$30,248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D103B4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2BE8D2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$35,462 </w:t>
            </w:r>
          </w:p>
        </w:tc>
      </w:tr>
      <w:tr w14:paraId="00CEEC28"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EE2F95D" w14:textId="77777777">
            <w:pPr>
              <w:widowControl/>
              <w:jc w:val="center"/>
              <w:rPr>
                <w:rFonts w:ascii="Calibri" w:hAnsi="Calibri" w:cs="Calibri"/>
                <w:snapToGrid/>
                <w:kern w:val="0"/>
                <w:szCs w:val="22"/>
              </w:rPr>
            </w:pPr>
            <w:r w:rsidRPr="00A032ED">
              <w:rPr>
                <w:rFonts w:ascii="Calibri" w:hAnsi="Calibri" w:cs="Calibri"/>
                <w:snapToGrid/>
                <w:kern w:val="0"/>
                <w:szCs w:val="22"/>
              </w:rPr>
              <w:t>KREM</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485487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817,619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838E0D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$5,907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917082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3A17F4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$9,728 </w:t>
            </w:r>
          </w:p>
        </w:tc>
        <w:tc>
          <w:tcPr>
            <w:tcW w:w="266" w:type="dxa"/>
            <w:tcBorders>
              <w:top w:val="nil"/>
              <w:left w:val="nil"/>
              <w:bottom w:val="nil"/>
              <w:right w:val="nil"/>
            </w:tcBorders>
            <w:shd w:val="clear" w:color="auto" w:fill="auto"/>
            <w:noWrap/>
            <w:vAlign w:val="bottom"/>
            <w:hideMark/>
          </w:tcPr>
          <w:p w:rsidR="006F7AD6" w:rsidRPr="00A032ED" w:rsidP="00886011" w14:paraId="159D04AA"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3C8AC06" w14:textId="77777777">
            <w:pPr>
              <w:widowControl/>
              <w:jc w:val="center"/>
              <w:rPr>
                <w:rFonts w:ascii="Calibri" w:hAnsi="Calibri" w:cs="Calibri"/>
                <w:snapToGrid/>
                <w:kern w:val="0"/>
                <w:szCs w:val="22"/>
              </w:rPr>
            </w:pPr>
            <w:r w:rsidRPr="00A032ED">
              <w:rPr>
                <w:rFonts w:ascii="Calibri" w:hAnsi="Calibri" w:cs="Calibri"/>
                <w:snapToGrid/>
                <w:kern w:val="0"/>
                <w:szCs w:val="22"/>
              </w:rPr>
              <w:t>KPRC-TV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47C39D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6,099,422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CC4013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$44,064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6705EF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FF839D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$49,032 </w:t>
            </w:r>
          </w:p>
        </w:tc>
      </w:tr>
      <w:tr w14:paraId="22E714F2"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D467D38" w14:textId="77777777">
            <w:pPr>
              <w:widowControl/>
              <w:jc w:val="center"/>
              <w:rPr>
                <w:rFonts w:ascii="Calibri" w:hAnsi="Calibri" w:cs="Calibri"/>
                <w:snapToGrid/>
                <w:kern w:val="0"/>
                <w:szCs w:val="22"/>
              </w:rPr>
            </w:pPr>
            <w:r w:rsidRPr="00A032ED">
              <w:rPr>
                <w:rFonts w:ascii="Calibri" w:hAnsi="Calibri" w:cs="Calibri"/>
                <w:snapToGrid/>
                <w:kern w:val="0"/>
                <w:szCs w:val="22"/>
              </w:rPr>
              <w:t>KREN-TV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43E9A2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810,039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0AC69C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$5,852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161C6F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F1A327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$5,151 </w:t>
            </w:r>
          </w:p>
        </w:tc>
        <w:tc>
          <w:tcPr>
            <w:tcW w:w="266" w:type="dxa"/>
            <w:tcBorders>
              <w:top w:val="nil"/>
              <w:left w:val="nil"/>
              <w:bottom w:val="nil"/>
              <w:right w:val="nil"/>
            </w:tcBorders>
            <w:shd w:val="clear" w:color="auto" w:fill="auto"/>
            <w:noWrap/>
            <w:vAlign w:val="bottom"/>
            <w:hideMark/>
          </w:tcPr>
          <w:p w:rsidR="006F7AD6" w:rsidRPr="00A032ED" w:rsidP="00886011" w14:paraId="1B0FD9ED"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A281DE2" w14:textId="77777777">
            <w:pPr>
              <w:widowControl/>
              <w:jc w:val="center"/>
              <w:rPr>
                <w:rFonts w:ascii="Calibri" w:hAnsi="Calibri" w:cs="Calibri"/>
                <w:snapToGrid/>
                <w:kern w:val="0"/>
                <w:szCs w:val="22"/>
              </w:rPr>
            </w:pPr>
            <w:r w:rsidRPr="00A032ED">
              <w:rPr>
                <w:rFonts w:ascii="Calibri" w:hAnsi="Calibri" w:cs="Calibri"/>
                <w:snapToGrid/>
                <w:kern w:val="0"/>
                <w:szCs w:val="22"/>
              </w:rPr>
              <w:t>KPRY-TV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00F373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42,521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2C5800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$307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DCDB15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7181B9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$2,379 </w:t>
            </w:r>
          </w:p>
        </w:tc>
      </w:tr>
      <w:tr w14:paraId="0ED4C30D"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61B5E62" w14:textId="77777777">
            <w:pPr>
              <w:widowControl/>
              <w:jc w:val="center"/>
              <w:rPr>
                <w:rFonts w:ascii="Calibri" w:hAnsi="Calibri" w:cs="Calibri"/>
                <w:snapToGrid/>
                <w:kern w:val="0"/>
                <w:szCs w:val="22"/>
              </w:rPr>
            </w:pPr>
            <w:r w:rsidRPr="00A032ED">
              <w:rPr>
                <w:rFonts w:ascii="Calibri" w:hAnsi="Calibri" w:cs="Calibri"/>
                <w:snapToGrid/>
                <w:kern w:val="0"/>
                <w:szCs w:val="22"/>
              </w:rPr>
              <w:t>KREX-TV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300A09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145,700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A1E2D5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$1,053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2BDD33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75DE8A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$2,751 </w:t>
            </w:r>
          </w:p>
        </w:tc>
        <w:tc>
          <w:tcPr>
            <w:tcW w:w="266" w:type="dxa"/>
            <w:tcBorders>
              <w:top w:val="nil"/>
              <w:left w:val="nil"/>
              <w:bottom w:val="nil"/>
              <w:right w:val="nil"/>
            </w:tcBorders>
            <w:shd w:val="clear" w:color="auto" w:fill="auto"/>
            <w:noWrap/>
            <w:vAlign w:val="bottom"/>
            <w:hideMark/>
          </w:tcPr>
          <w:p w:rsidR="006F7AD6" w:rsidRPr="00A032ED" w:rsidP="00886011" w14:paraId="28B36DE4"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68B9D25" w14:textId="77777777">
            <w:pPr>
              <w:widowControl/>
              <w:jc w:val="center"/>
              <w:rPr>
                <w:rFonts w:ascii="Calibri" w:hAnsi="Calibri" w:cs="Calibri"/>
                <w:snapToGrid/>
                <w:kern w:val="0"/>
                <w:szCs w:val="22"/>
              </w:rPr>
            </w:pPr>
            <w:r w:rsidRPr="00A032ED">
              <w:rPr>
                <w:rFonts w:ascii="Calibri" w:hAnsi="Calibri" w:cs="Calibri"/>
                <w:snapToGrid/>
                <w:kern w:val="0"/>
                <w:szCs w:val="22"/>
              </w:rPr>
              <w:t>KPTH</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5185BB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583,937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282B1E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$4,219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AEFB68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939F0B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$4,334 </w:t>
            </w:r>
          </w:p>
        </w:tc>
      </w:tr>
      <w:tr w14:paraId="4960E80C"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34B7509" w14:textId="77777777">
            <w:pPr>
              <w:widowControl/>
              <w:jc w:val="center"/>
              <w:rPr>
                <w:rFonts w:ascii="Calibri" w:hAnsi="Calibri" w:cs="Calibri"/>
                <w:snapToGrid/>
                <w:kern w:val="0"/>
                <w:szCs w:val="22"/>
              </w:rPr>
            </w:pPr>
            <w:r w:rsidRPr="00A032ED">
              <w:rPr>
                <w:rFonts w:ascii="Calibri" w:hAnsi="Calibri" w:cs="Calibri"/>
                <w:snapToGrid/>
                <w:kern w:val="0"/>
                <w:szCs w:val="22"/>
              </w:rPr>
              <w:t>KREY-TV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0D58D4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74,963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B9A6AD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$542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E015F7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5B9571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$2,496 </w:t>
            </w:r>
          </w:p>
        </w:tc>
        <w:tc>
          <w:tcPr>
            <w:tcW w:w="266" w:type="dxa"/>
            <w:tcBorders>
              <w:top w:val="nil"/>
              <w:left w:val="nil"/>
              <w:bottom w:val="nil"/>
              <w:right w:val="nil"/>
            </w:tcBorders>
            <w:shd w:val="clear" w:color="auto" w:fill="auto"/>
            <w:noWrap/>
            <w:vAlign w:val="bottom"/>
            <w:hideMark/>
          </w:tcPr>
          <w:p w:rsidR="006F7AD6" w:rsidRPr="00A032ED" w:rsidP="00886011" w14:paraId="624FD46A"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B94E177" w14:textId="77777777">
            <w:pPr>
              <w:widowControl/>
              <w:jc w:val="center"/>
              <w:rPr>
                <w:rFonts w:ascii="Calibri" w:hAnsi="Calibri" w:cs="Calibri"/>
                <w:snapToGrid/>
                <w:kern w:val="0"/>
                <w:szCs w:val="22"/>
              </w:rPr>
            </w:pPr>
            <w:r w:rsidRPr="00A032ED">
              <w:rPr>
                <w:rFonts w:ascii="Calibri" w:hAnsi="Calibri" w:cs="Calibri"/>
                <w:snapToGrid/>
                <w:kern w:val="0"/>
                <w:szCs w:val="22"/>
              </w:rPr>
              <w:t>KPTM</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99A6ED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1,388,670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49B1B6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$10,032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D77FEF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F7CFF7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$11,791 </w:t>
            </w:r>
          </w:p>
        </w:tc>
      </w:tr>
      <w:tr w14:paraId="0C20E1DF"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5B2E535" w14:textId="77777777">
            <w:pPr>
              <w:widowControl/>
              <w:jc w:val="center"/>
              <w:rPr>
                <w:rFonts w:ascii="Calibri" w:hAnsi="Calibri" w:cs="Calibri"/>
                <w:snapToGrid/>
                <w:kern w:val="0"/>
                <w:szCs w:val="22"/>
              </w:rPr>
            </w:pPr>
            <w:r w:rsidRPr="00A032ED">
              <w:rPr>
                <w:rFonts w:ascii="Calibri" w:hAnsi="Calibri" w:cs="Calibri"/>
                <w:snapToGrid/>
                <w:kern w:val="0"/>
                <w:szCs w:val="22"/>
              </w:rPr>
              <w:t>KREZ-TV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B0FFBB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148,079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F38970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$1,070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907224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1BA570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$14,110 </w:t>
            </w:r>
          </w:p>
        </w:tc>
        <w:tc>
          <w:tcPr>
            <w:tcW w:w="266" w:type="dxa"/>
            <w:tcBorders>
              <w:top w:val="nil"/>
              <w:left w:val="nil"/>
              <w:bottom w:val="nil"/>
              <w:right w:val="nil"/>
            </w:tcBorders>
            <w:shd w:val="clear" w:color="auto" w:fill="auto"/>
            <w:noWrap/>
            <w:vAlign w:val="bottom"/>
            <w:hideMark/>
          </w:tcPr>
          <w:p w:rsidR="006F7AD6" w:rsidRPr="00A032ED" w:rsidP="00886011" w14:paraId="14AA9173"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E9AA8D7" w14:textId="77777777">
            <w:pPr>
              <w:widowControl/>
              <w:jc w:val="center"/>
              <w:rPr>
                <w:rFonts w:ascii="Calibri" w:hAnsi="Calibri" w:cs="Calibri"/>
                <w:snapToGrid/>
                <w:kern w:val="0"/>
                <w:szCs w:val="22"/>
              </w:rPr>
            </w:pPr>
            <w:r w:rsidRPr="00A032ED">
              <w:rPr>
                <w:rFonts w:ascii="Calibri" w:hAnsi="Calibri" w:cs="Calibri"/>
                <w:snapToGrid/>
                <w:kern w:val="0"/>
                <w:szCs w:val="22"/>
              </w:rPr>
              <w:t>KPTV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E4C258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2,998,460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A49B6B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$21,662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8F272A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826308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$31,168 </w:t>
            </w:r>
          </w:p>
        </w:tc>
      </w:tr>
      <w:tr w14:paraId="62F1A0F2"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485E347" w14:textId="77777777">
            <w:pPr>
              <w:widowControl/>
              <w:jc w:val="center"/>
              <w:rPr>
                <w:rFonts w:ascii="Calibri" w:hAnsi="Calibri" w:cs="Calibri"/>
                <w:snapToGrid/>
                <w:kern w:val="0"/>
                <w:szCs w:val="22"/>
              </w:rPr>
            </w:pPr>
            <w:r w:rsidRPr="00A032ED">
              <w:rPr>
                <w:rFonts w:ascii="Calibri" w:hAnsi="Calibri" w:cs="Calibri"/>
                <w:snapToGrid/>
                <w:kern w:val="0"/>
                <w:szCs w:val="22"/>
              </w:rPr>
              <w:t>KRGV-TV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F6D0EA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1,247,057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5D72FA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$9,009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B4BC23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46628F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$11,280 </w:t>
            </w:r>
          </w:p>
        </w:tc>
        <w:tc>
          <w:tcPr>
            <w:tcW w:w="266" w:type="dxa"/>
            <w:tcBorders>
              <w:top w:val="nil"/>
              <w:left w:val="nil"/>
              <w:bottom w:val="nil"/>
              <w:right w:val="nil"/>
            </w:tcBorders>
            <w:shd w:val="clear" w:color="auto" w:fill="auto"/>
            <w:noWrap/>
            <w:vAlign w:val="bottom"/>
            <w:hideMark/>
          </w:tcPr>
          <w:p w:rsidR="006F7AD6" w:rsidRPr="00A032ED" w:rsidP="00886011" w14:paraId="7E3F8BE2"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6E667B8" w14:textId="77777777">
            <w:pPr>
              <w:widowControl/>
              <w:jc w:val="center"/>
              <w:rPr>
                <w:rFonts w:ascii="Calibri" w:hAnsi="Calibri" w:cs="Calibri"/>
                <w:snapToGrid/>
                <w:kern w:val="0"/>
                <w:szCs w:val="22"/>
              </w:rPr>
            </w:pPr>
            <w:r w:rsidRPr="00A032ED">
              <w:rPr>
                <w:rFonts w:ascii="Calibri" w:hAnsi="Calibri" w:cs="Calibri"/>
                <w:snapToGrid/>
                <w:kern w:val="0"/>
                <w:szCs w:val="22"/>
              </w:rPr>
              <w:t>KPVI-DT</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025D92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271,379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709A3A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$1,961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7D85E1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29E6E1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$3,205 </w:t>
            </w:r>
          </w:p>
        </w:tc>
      </w:tr>
      <w:tr w14:paraId="34B69298"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AB86025" w14:textId="77777777">
            <w:pPr>
              <w:widowControl/>
              <w:jc w:val="center"/>
              <w:rPr>
                <w:rFonts w:ascii="Calibri" w:hAnsi="Calibri" w:cs="Calibri"/>
                <w:snapToGrid/>
                <w:kern w:val="0"/>
                <w:szCs w:val="22"/>
              </w:rPr>
            </w:pPr>
            <w:r w:rsidRPr="00A032ED">
              <w:rPr>
                <w:rFonts w:ascii="Calibri" w:hAnsi="Calibri" w:cs="Calibri"/>
                <w:snapToGrid/>
                <w:kern w:val="0"/>
                <w:szCs w:val="22"/>
              </w:rPr>
              <w:t>KRII</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E4D4B6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133,840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653623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$967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7EC057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49986A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$2,708 </w:t>
            </w:r>
          </w:p>
        </w:tc>
        <w:tc>
          <w:tcPr>
            <w:tcW w:w="266" w:type="dxa"/>
            <w:tcBorders>
              <w:top w:val="nil"/>
              <w:left w:val="nil"/>
              <w:bottom w:val="nil"/>
              <w:right w:val="nil"/>
            </w:tcBorders>
            <w:shd w:val="clear" w:color="auto" w:fill="auto"/>
            <w:noWrap/>
            <w:vAlign w:val="bottom"/>
            <w:hideMark/>
          </w:tcPr>
          <w:p w:rsidR="006F7AD6" w:rsidRPr="00A032ED" w:rsidP="00886011" w14:paraId="40CED2BD"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9776710" w14:textId="77777777">
            <w:pPr>
              <w:widowControl/>
              <w:jc w:val="center"/>
              <w:rPr>
                <w:rFonts w:ascii="Calibri" w:hAnsi="Calibri" w:cs="Calibri"/>
                <w:snapToGrid/>
                <w:kern w:val="0"/>
                <w:szCs w:val="22"/>
              </w:rPr>
            </w:pPr>
            <w:r w:rsidRPr="00A032ED">
              <w:rPr>
                <w:rFonts w:ascii="Calibri" w:hAnsi="Calibri" w:cs="Calibri"/>
                <w:snapToGrid/>
                <w:kern w:val="0"/>
                <w:szCs w:val="22"/>
              </w:rPr>
              <w:t>KPXB-TV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4B9B8D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6,062,472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3F3E1E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$43,798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E2E025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61C3F5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$48,899 </w:t>
            </w:r>
          </w:p>
        </w:tc>
      </w:tr>
      <w:tr w14:paraId="6E911BE5"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B22AEA7" w14:textId="77777777">
            <w:pPr>
              <w:widowControl/>
              <w:jc w:val="center"/>
              <w:rPr>
                <w:rFonts w:ascii="Calibri" w:hAnsi="Calibri" w:cs="Calibri"/>
                <w:snapToGrid/>
                <w:kern w:val="0"/>
                <w:szCs w:val="22"/>
              </w:rPr>
            </w:pPr>
            <w:r w:rsidRPr="00A032ED">
              <w:rPr>
                <w:rFonts w:ascii="Calibri" w:hAnsi="Calibri" w:cs="Calibri"/>
                <w:snapToGrid/>
                <w:kern w:val="0"/>
                <w:szCs w:val="22"/>
              </w:rPr>
              <w:t>KRIS-TV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C9329E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561,825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4BBC96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$4,059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32A54A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9FD60A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$4,254 </w:t>
            </w:r>
          </w:p>
        </w:tc>
        <w:tc>
          <w:tcPr>
            <w:tcW w:w="266" w:type="dxa"/>
            <w:tcBorders>
              <w:top w:val="nil"/>
              <w:left w:val="nil"/>
              <w:bottom w:val="nil"/>
              <w:right w:val="nil"/>
            </w:tcBorders>
            <w:shd w:val="clear" w:color="auto" w:fill="auto"/>
            <w:noWrap/>
            <w:vAlign w:val="bottom"/>
            <w:hideMark/>
          </w:tcPr>
          <w:p w:rsidR="006F7AD6" w:rsidRPr="00A032ED" w:rsidP="00886011" w14:paraId="5871E167"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3E10B1F" w14:textId="77777777">
            <w:pPr>
              <w:widowControl/>
              <w:jc w:val="center"/>
              <w:rPr>
                <w:rFonts w:ascii="Calibri" w:hAnsi="Calibri" w:cs="Calibri"/>
                <w:snapToGrid/>
                <w:kern w:val="0"/>
                <w:szCs w:val="22"/>
              </w:rPr>
            </w:pPr>
            <w:r w:rsidRPr="00A032ED">
              <w:rPr>
                <w:rFonts w:ascii="Calibri" w:hAnsi="Calibri" w:cs="Calibri"/>
                <w:snapToGrid/>
                <w:kern w:val="0"/>
                <w:szCs w:val="22"/>
              </w:rPr>
              <w:t>KPXC-TV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B745F3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3,399,664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A76326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$24,560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378565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A94EE9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$32,618 </w:t>
            </w:r>
          </w:p>
        </w:tc>
      </w:tr>
      <w:tr w14:paraId="6B036238"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FE81D9F" w14:textId="77777777">
            <w:pPr>
              <w:widowControl/>
              <w:jc w:val="center"/>
              <w:rPr>
                <w:rFonts w:ascii="Calibri" w:hAnsi="Calibri" w:cs="Calibri"/>
                <w:snapToGrid/>
                <w:kern w:val="0"/>
                <w:szCs w:val="22"/>
              </w:rPr>
            </w:pPr>
            <w:r w:rsidRPr="00A032ED">
              <w:rPr>
                <w:rFonts w:ascii="Calibri" w:hAnsi="Calibri" w:cs="Calibri"/>
                <w:snapToGrid/>
                <w:kern w:val="0"/>
                <w:szCs w:val="22"/>
              </w:rPr>
              <w:t>KRIV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6C5394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6,078,936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733FEF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$43,916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0C901D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A58E3E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$48,958 </w:t>
            </w:r>
          </w:p>
        </w:tc>
        <w:tc>
          <w:tcPr>
            <w:tcW w:w="266" w:type="dxa"/>
            <w:tcBorders>
              <w:top w:val="nil"/>
              <w:left w:val="nil"/>
              <w:bottom w:val="nil"/>
              <w:right w:val="nil"/>
            </w:tcBorders>
            <w:shd w:val="clear" w:color="auto" w:fill="auto"/>
            <w:noWrap/>
            <w:vAlign w:val="bottom"/>
            <w:hideMark/>
          </w:tcPr>
          <w:p w:rsidR="006F7AD6" w:rsidRPr="00A032ED" w:rsidP="00886011" w14:paraId="0F2C21B6"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B160235" w14:textId="77777777">
            <w:pPr>
              <w:widowControl/>
              <w:jc w:val="center"/>
              <w:rPr>
                <w:rFonts w:ascii="Calibri" w:hAnsi="Calibri" w:cs="Calibri"/>
                <w:snapToGrid/>
                <w:kern w:val="0"/>
                <w:szCs w:val="22"/>
              </w:rPr>
            </w:pPr>
            <w:r w:rsidRPr="00A032ED">
              <w:rPr>
                <w:rFonts w:ascii="Calibri" w:hAnsi="Calibri" w:cs="Calibri"/>
                <w:snapToGrid/>
                <w:kern w:val="0"/>
                <w:szCs w:val="22"/>
              </w:rPr>
              <w:t>KPXD-TV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65F82D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6,603,994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92B7F4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$47,710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4BE5C0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5DC2EF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$50,855 </w:t>
            </w:r>
          </w:p>
        </w:tc>
      </w:tr>
      <w:tr w14:paraId="67AA509D"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BDBF507" w14:textId="77777777">
            <w:pPr>
              <w:widowControl/>
              <w:jc w:val="center"/>
              <w:rPr>
                <w:rFonts w:ascii="Calibri" w:hAnsi="Calibri" w:cs="Calibri"/>
                <w:snapToGrid/>
                <w:kern w:val="0"/>
                <w:szCs w:val="22"/>
              </w:rPr>
            </w:pPr>
            <w:r w:rsidRPr="00A032ED">
              <w:rPr>
                <w:rFonts w:ascii="Calibri" w:hAnsi="Calibri" w:cs="Calibri"/>
                <w:snapToGrid/>
                <w:kern w:val="0"/>
                <w:szCs w:val="22"/>
              </w:rPr>
              <w:t>KRNV-DT</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05402F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981,687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2023CC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$7,092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AE1AA7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E55052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$5,771 </w:t>
            </w:r>
          </w:p>
        </w:tc>
        <w:tc>
          <w:tcPr>
            <w:tcW w:w="266" w:type="dxa"/>
            <w:tcBorders>
              <w:top w:val="nil"/>
              <w:left w:val="nil"/>
              <w:bottom w:val="nil"/>
              <w:right w:val="nil"/>
            </w:tcBorders>
            <w:shd w:val="clear" w:color="auto" w:fill="auto"/>
            <w:noWrap/>
            <w:vAlign w:val="bottom"/>
            <w:hideMark/>
          </w:tcPr>
          <w:p w:rsidR="006F7AD6" w:rsidRPr="00A032ED" w:rsidP="00886011" w14:paraId="3EB44B71"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5BEFB74" w14:textId="77777777">
            <w:pPr>
              <w:widowControl/>
              <w:jc w:val="center"/>
              <w:rPr>
                <w:rFonts w:ascii="Calibri" w:hAnsi="Calibri" w:cs="Calibri"/>
                <w:snapToGrid/>
                <w:kern w:val="0"/>
                <w:szCs w:val="22"/>
              </w:rPr>
            </w:pPr>
            <w:r w:rsidRPr="00A032ED">
              <w:rPr>
                <w:rFonts w:ascii="Calibri" w:hAnsi="Calibri" w:cs="Calibri"/>
                <w:snapToGrid/>
                <w:kern w:val="0"/>
                <w:szCs w:val="22"/>
              </w:rPr>
              <w:t>KPXE-TV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AC15CF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2,437,178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718690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$17,607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E82816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FAAD49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$22,379 </w:t>
            </w:r>
          </w:p>
        </w:tc>
      </w:tr>
      <w:tr w14:paraId="4A1686BB"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BE373E0" w14:textId="77777777">
            <w:pPr>
              <w:widowControl/>
              <w:jc w:val="center"/>
              <w:rPr>
                <w:rFonts w:ascii="Calibri" w:hAnsi="Calibri" w:cs="Calibri"/>
                <w:snapToGrid/>
                <w:kern w:val="0"/>
                <w:szCs w:val="22"/>
              </w:rPr>
            </w:pPr>
            <w:r w:rsidRPr="00A032ED">
              <w:rPr>
                <w:rFonts w:ascii="Calibri" w:hAnsi="Calibri" w:cs="Calibri"/>
                <w:snapToGrid/>
                <w:kern w:val="0"/>
                <w:szCs w:val="22"/>
              </w:rPr>
              <w:t>KRON-TV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FE10DE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8,050,508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7DE186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$58,160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E59F81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C8F3C5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$56,080 </w:t>
            </w:r>
          </w:p>
        </w:tc>
        <w:tc>
          <w:tcPr>
            <w:tcW w:w="266" w:type="dxa"/>
            <w:tcBorders>
              <w:top w:val="nil"/>
              <w:left w:val="nil"/>
              <w:bottom w:val="nil"/>
              <w:right w:val="nil"/>
            </w:tcBorders>
            <w:shd w:val="clear" w:color="auto" w:fill="auto"/>
            <w:noWrap/>
            <w:vAlign w:val="bottom"/>
            <w:hideMark/>
          </w:tcPr>
          <w:p w:rsidR="006F7AD6" w:rsidRPr="00A032ED" w:rsidP="00886011" w14:paraId="4E0A68A3"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05D1474" w14:textId="77777777">
            <w:pPr>
              <w:widowControl/>
              <w:jc w:val="center"/>
              <w:rPr>
                <w:rFonts w:ascii="Calibri" w:hAnsi="Calibri" w:cs="Calibri"/>
                <w:snapToGrid/>
                <w:kern w:val="0"/>
                <w:szCs w:val="22"/>
              </w:rPr>
            </w:pPr>
            <w:r w:rsidRPr="00A032ED">
              <w:rPr>
                <w:rFonts w:ascii="Calibri" w:hAnsi="Calibri" w:cs="Calibri"/>
                <w:snapToGrid/>
                <w:kern w:val="0"/>
                <w:szCs w:val="22"/>
              </w:rPr>
              <w:t>KPXG-TV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DE6547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3,026,219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8427CF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$21,863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9C213D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57FFCE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$31,269 </w:t>
            </w:r>
          </w:p>
        </w:tc>
      </w:tr>
      <w:tr w14:paraId="46F9EB31"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D3B9929" w14:textId="77777777">
            <w:pPr>
              <w:widowControl/>
              <w:jc w:val="center"/>
              <w:rPr>
                <w:rFonts w:ascii="Calibri" w:hAnsi="Calibri" w:cs="Calibri"/>
                <w:snapToGrid/>
                <w:kern w:val="0"/>
                <w:szCs w:val="22"/>
              </w:rPr>
            </w:pPr>
            <w:r w:rsidRPr="00A032ED">
              <w:rPr>
                <w:rFonts w:ascii="Calibri" w:hAnsi="Calibri" w:cs="Calibri"/>
                <w:snapToGrid/>
                <w:kern w:val="0"/>
                <w:szCs w:val="22"/>
              </w:rPr>
              <w:t>KRQE</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26FA2F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1,158,673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FCAEAB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$8,371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69B4F4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F3D976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$17,760 </w:t>
            </w:r>
          </w:p>
        </w:tc>
        <w:tc>
          <w:tcPr>
            <w:tcW w:w="266" w:type="dxa"/>
            <w:tcBorders>
              <w:top w:val="nil"/>
              <w:left w:val="nil"/>
              <w:bottom w:val="nil"/>
              <w:right w:val="nil"/>
            </w:tcBorders>
            <w:shd w:val="clear" w:color="auto" w:fill="auto"/>
            <w:noWrap/>
            <w:vAlign w:val="bottom"/>
            <w:hideMark/>
          </w:tcPr>
          <w:p w:rsidR="006F7AD6" w:rsidRPr="00A032ED" w:rsidP="00886011" w14:paraId="08E75718"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E04D80F" w14:textId="77777777">
            <w:pPr>
              <w:widowControl/>
              <w:jc w:val="center"/>
              <w:rPr>
                <w:rFonts w:ascii="Calibri" w:hAnsi="Calibri" w:cs="Calibri"/>
                <w:snapToGrid/>
                <w:kern w:val="0"/>
                <w:szCs w:val="22"/>
              </w:rPr>
            </w:pPr>
            <w:r w:rsidRPr="00A032ED">
              <w:rPr>
                <w:rFonts w:ascii="Calibri" w:hAnsi="Calibri" w:cs="Calibri"/>
                <w:snapToGrid/>
                <w:kern w:val="0"/>
                <w:szCs w:val="22"/>
              </w:rPr>
              <w:t>KPXJ</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AE194F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1,026,423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B1C6F3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$7,415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CE3869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FB03BF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$10,483 </w:t>
            </w:r>
          </w:p>
        </w:tc>
      </w:tr>
      <w:tr w14:paraId="78B25809"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CC09CED" w14:textId="77777777">
            <w:pPr>
              <w:widowControl/>
              <w:jc w:val="center"/>
              <w:rPr>
                <w:rFonts w:ascii="Calibri" w:hAnsi="Calibri" w:cs="Calibri"/>
                <w:snapToGrid/>
                <w:kern w:val="0"/>
                <w:szCs w:val="22"/>
              </w:rPr>
            </w:pPr>
            <w:r w:rsidRPr="00A032ED">
              <w:rPr>
                <w:rFonts w:ascii="Calibri" w:hAnsi="Calibri" w:cs="Calibri"/>
                <w:snapToGrid/>
                <w:kern w:val="0"/>
                <w:szCs w:val="22"/>
              </w:rPr>
              <w:t>KRTN-TV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451200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96,062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74707D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$694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B054FC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5D32CE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$13,922 </w:t>
            </w:r>
          </w:p>
        </w:tc>
        <w:tc>
          <w:tcPr>
            <w:tcW w:w="266" w:type="dxa"/>
            <w:tcBorders>
              <w:top w:val="nil"/>
              <w:left w:val="nil"/>
              <w:bottom w:val="nil"/>
              <w:right w:val="nil"/>
            </w:tcBorders>
            <w:shd w:val="clear" w:color="auto" w:fill="auto"/>
            <w:noWrap/>
            <w:vAlign w:val="bottom"/>
            <w:hideMark/>
          </w:tcPr>
          <w:p w:rsidR="006F7AD6" w:rsidRPr="00A032ED" w:rsidP="00886011" w14:paraId="216DC9E6"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BE73055" w14:textId="77777777">
            <w:pPr>
              <w:widowControl/>
              <w:jc w:val="center"/>
              <w:rPr>
                <w:rFonts w:ascii="Calibri" w:hAnsi="Calibri" w:cs="Calibri"/>
                <w:snapToGrid/>
                <w:kern w:val="0"/>
                <w:szCs w:val="22"/>
              </w:rPr>
            </w:pPr>
            <w:r w:rsidRPr="00A032ED">
              <w:rPr>
                <w:rFonts w:ascii="Calibri" w:hAnsi="Calibri" w:cs="Calibri"/>
                <w:snapToGrid/>
                <w:kern w:val="0"/>
                <w:szCs w:val="22"/>
              </w:rPr>
              <w:t>KPXL-TV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F35F41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2,257,007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3E0D2B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$16,305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300AC9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BE91AB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$21,728 </w:t>
            </w:r>
          </w:p>
        </w:tc>
      </w:tr>
      <w:tr w14:paraId="4C02542C"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CE839A4" w14:textId="77777777">
            <w:pPr>
              <w:widowControl/>
              <w:jc w:val="center"/>
              <w:rPr>
                <w:rFonts w:ascii="Calibri" w:hAnsi="Calibri" w:cs="Calibri"/>
                <w:snapToGrid/>
                <w:kern w:val="0"/>
                <w:szCs w:val="22"/>
              </w:rPr>
            </w:pPr>
            <w:r w:rsidRPr="00A032ED">
              <w:rPr>
                <w:rFonts w:ascii="Calibri" w:hAnsi="Calibri" w:cs="Calibri"/>
                <w:snapToGrid/>
                <w:kern w:val="0"/>
                <w:szCs w:val="22"/>
              </w:rPr>
              <w:t>KRTV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3F849D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92,687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735309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$670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E96043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C2DB43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$2,560 </w:t>
            </w:r>
          </w:p>
        </w:tc>
        <w:tc>
          <w:tcPr>
            <w:tcW w:w="266" w:type="dxa"/>
            <w:tcBorders>
              <w:top w:val="nil"/>
              <w:left w:val="nil"/>
              <w:bottom w:val="nil"/>
              <w:right w:val="nil"/>
            </w:tcBorders>
            <w:shd w:val="clear" w:color="auto" w:fill="auto"/>
            <w:noWrap/>
            <w:vAlign w:val="bottom"/>
            <w:hideMark/>
          </w:tcPr>
          <w:p w:rsidR="006F7AD6" w:rsidRPr="00A032ED" w:rsidP="00886011" w14:paraId="0068495A"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BD2B65F" w14:textId="77777777">
            <w:pPr>
              <w:widowControl/>
              <w:jc w:val="center"/>
              <w:rPr>
                <w:rFonts w:ascii="Calibri" w:hAnsi="Calibri" w:cs="Calibri"/>
                <w:snapToGrid/>
                <w:kern w:val="0"/>
                <w:szCs w:val="22"/>
              </w:rPr>
            </w:pPr>
            <w:r w:rsidRPr="00A032ED">
              <w:rPr>
                <w:rFonts w:ascii="Calibri" w:hAnsi="Calibri" w:cs="Calibri"/>
                <w:snapToGrid/>
                <w:kern w:val="0"/>
                <w:szCs w:val="22"/>
              </w:rPr>
              <w:t>KPXM-TV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DAB289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3,507,312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A40F50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$25,338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9060FE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89BCC8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$33,007 </w:t>
            </w:r>
          </w:p>
        </w:tc>
      </w:tr>
      <w:tr w14:paraId="3851B30E"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06402DD" w14:textId="77777777">
            <w:pPr>
              <w:widowControl/>
              <w:jc w:val="center"/>
              <w:rPr>
                <w:rFonts w:ascii="Calibri" w:hAnsi="Calibri" w:cs="Calibri"/>
                <w:snapToGrid/>
                <w:kern w:val="0"/>
                <w:szCs w:val="22"/>
              </w:rPr>
            </w:pPr>
            <w:r w:rsidRPr="00A032ED">
              <w:rPr>
                <w:rFonts w:ascii="Calibri" w:hAnsi="Calibri" w:cs="Calibri"/>
                <w:snapToGrid/>
                <w:kern w:val="0"/>
                <w:szCs w:val="22"/>
              </w:rPr>
              <w:t>KRWB-TV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7CE9AD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111,538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C164F8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$806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EF5640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70A475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$13,978 </w:t>
            </w:r>
          </w:p>
        </w:tc>
        <w:tc>
          <w:tcPr>
            <w:tcW w:w="266" w:type="dxa"/>
            <w:tcBorders>
              <w:top w:val="nil"/>
              <w:left w:val="nil"/>
              <w:bottom w:val="nil"/>
              <w:right w:val="nil"/>
            </w:tcBorders>
            <w:shd w:val="clear" w:color="auto" w:fill="auto"/>
            <w:noWrap/>
            <w:vAlign w:val="bottom"/>
            <w:hideMark/>
          </w:tcPr>
          <w:p w:rsidR="006F7AD6" w:rsidRPr="00A032ED" w:rsidP="00886011" w14:paraId="505EB6E1"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C9AC861" w14:textId="77777777">
            <w:pPr>
              <w:widowControl/>
              <w:jc w:val="center"/>
              <w:rPr>
                <w:rFonts w:ascii="Calibri" w:hAnsi="Calibri" w:cs="Calibri"/>
                <w:snapToGrid/>
                <w:kern w:val="0"/>
                <w:szCs w:val="22"/>
              </w:rPr>
            </w:pPr>
            <w:r w:rsidRPr="00A032ED">
              <w:rPr>
                <w:rFonts w:ascii="Calibri" w:hAnsi="Calibri" w:cs="Calibri"/>
                <w:snapToGrid/>
                <w:kern w:val="0"/>
                <w:szCs w:val="22"/>
              </w:rPr>
              <w:t>KPXN-TV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90607A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17,058,741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75F95E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$123,239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905FC9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5B8A9A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$88,619 </w:t>
            </w:r>
          </w:p>
        </w:tc>
      </w:tr>
      <w:tr w14:paraId="3BAB9052"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14EE0D3" w14:textId="77777777">
            <w:pPr>
              <w:widowControl/>
              <w:jc w:val="center"/>
              <w:rPr>
                <w:rFonts w:ascii="Calibri" w:hAnsi="Calibri" w:cs="Calibri"/>
                <w:snapToGrid/>
                <w:kern w:val="0"/>
                <w:szCs w:val="22"/>
              </w:rPr>
            </w:pPr>
            <w:r w:rsidRPr="00A032ED">
              <w:rPr>
                <w:rFonts w:ascii="Calibri" w:hAnsi="Calibri" w:cs="Calibri"/>
                <w:snapToGrid/>
                <w:kern w:val="0"/>
                <w:szCs w:val="22"/>
              </w:rPr>
              <w:t>KRWF</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A13D61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85,596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6092F9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$618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973514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802DF9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$20,647 </w:t>
            </w:r>
          </w:p>
        </w:tc>
        <w:tc>
          <w:tcPr>
            <w:tcW w:w="266" w:type="dxa"/>
            <w:tcBorders>
              <w:top w:val="nil"/>
              <w:left w:val="nil"/>
              <w:bottom w:val="nil"/>
              <w:right w:val="nil"/>
            </w:tcBorders>
            <w:shd w:val="clear" w:color="auto" w:fill="auto"/>
            <w:noWrap/>
            <w:vAlign w:val="bottom"/>
            <w:hideMark/>
          </w:tcPr>
          <w:p w:rsidR="006F7AD6" w:rsidRPr="00A032ED" w:rsidP="00886011" w14:paraId="5147D3C2"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B938CA6" w14:textId="77777777">
            <w:pPr>
              <w:widowControl/>
              <w:jc w:val="center"/>
              <w:rPr>
                <w:rFonts w:ascii="Calibri" w:hAnsi="Calibri" w:cs="Calibri"/>
                <w:snapToGrid/>
                <w:kern w:val="0"/>
                <w:szCs w:val="22"/>
              </w:rPr>
            </w:pPr>
            <w:r w:rsidRPr="00A032ED">
              <w:rPr>
                <w:rFonts w:ascii="Calibri" w:hAnsi="Calibri" w:cs="Calibri"/>
                <w:snapToGrid/>
                <w:kern w:val="0"/>
                <w:szCs w:val="22"/>
              </w:rPr>
              <w:t>KPXO-TV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687879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959,493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86A343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$6,932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D61822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0CA4AF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$10,241 </w:t>
            </w:r>
          </w:p>
        </w:tc>
      </w:tr>
      <w:tr w14:paraId="7F110960"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FCC6D69" w14:textId="77777777">
            <w:pPr>
              <w:widowControl/>
              <w:jc w:val="center"/>
              <w:rPr>
                <w:rFonts w:ascii="Calibri" w:hAnsi="Calibri" w:cs="Calibri"/>
                <w:snapToGrid/>
                <w:kern w:val="0"/>
                <w:szCs w:val="22"/>
              </w:rPr>
            </w:pPr>
            <w:r w:rsidRPr="00A032ED">
              <w:rPr>
                <w:rFonts w:ascii="Calibri" w:hAnsi="Calibri" w:cs="Calibri"/>
                <w:snapToGrid/>
                <w:kern w:val="0"/>
                <w:szCs w:val="22"/>
              </w:rPr>
              <w:t>KRXI-TV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08E23E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569,533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803DE5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$4,115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77644E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F3EA88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$4,282 </w:t>
            </w:r>
          </w:p>
        </w:tc>
        <w:tc>
          <w:tcPr>
            <w:tcW w:w="266" w:type="dxa"/>
            <w:tcBorders>
              <w:top w:val="nil"/>
              <w:left w:val="nil"/>
              <w:bottom w:val="nil"/>
              <w:right w:val="nil"/>
            </w:tcBorders>
            <w:shd w:val="clear" w:color="auto" w:fill="auto"/>
            <w:noWrap/>
            <w:vAlign w:val="bottom"/>
            <w:hideMark/>
          </w:tcPr>
          <w:p w:rsidR="006F7AD6" w:rsidRPr="00A032ED" w:rsidP="00886011" w14:paraId="11D38BD3"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BA7D625" w14:textId="77777777">
            <w:pPr>
              <w:widowControl/>
              <w:jc w:val="center"/>
              <w:rPr>
                <w:rFonts w:ascii="Calibri" w:hAnsi="Calibri" w:cs="Calibri"/>
                <w:snapToGrid/>
                <w:kern w:val="0"/>
                <w:szCs w:val="22"/>
              </w:rPr>
            </w:pPr>
            <w:r w:rsidRPr="00A032ED">
              <w:rPr>
                <w:rFonts w:ascii="Calibri" w:hAnsi="Calibri" w:cs="Calibri"/>
                <w:snapToGrid/>
                <w:kern w:val="0"/>
                <w:szCs w:val="22"/>
              </w:rPr>
              <w:t>KPXR-TV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0CF47F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828,915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B09D38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$5,988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304F6C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07BF92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$9,769 </w:t>
            </w:r>
          </w:p>
        </w:tc>
      </w:tr>
      <w:tr w14:paraId="4DB03D98"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BA1B663" w14:textId="77777777">
            <w:pPr>
              <w:widowControl/>
              <w:jc w:val="center"/>
              <w:rPr>
                <w:rFonts w:ascii="Calibri" w:hAnsi="Calibri" w:cs="Calibri"/>
                <w:snapToGrid/>
                <w:kern w:val="0"/>
                <w:szCs w:val="22"/>
              </w:rPr>
            </w:pPr>
            <w:r w:rsidRPr="00A032ED">
              <w:rPr>
                <w:rFonts w:ascii="Calibri" w:hAnsi="Calibri" w:cs="Calibri"/>
                <w:snapToGrid/>
                <w:kern w:val="0"/>
                <w:szCs w:val="22"/>
              </w:rPr>
              <w:t>KSAN-TV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5DEE06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135,063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253097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$976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69DCE8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F07E2E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$2,713 </w:t>
            </w:r>
          </w:p>
        </w:tc>
        <w:tc>
          <w:tcPr>
            <w:tcW w:w="266" w:type="dxa"/>
            <w:tcBorders>
              <w:top w:val="nil"/>
              <w:left w:val="nil"/>
              <w:bottom w:val="nil"/>
              <w:right w:val="nil"/>
            </w:tcBorders>
            <w:shd w:val="clear" w:color="auto" w:fill="auto"/>
            <w:noWrap/>
            <w:vAlign w:val="bottom"/>
            <w:hideMark/>
          </w:tcPr>
          <w:p w:rsidR="006F7AD6" w:rsidRPr="00A032ED" w:rsidP="00886011" w14:paraId="7C98D963"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ED89584" w14:textId="77777777">
            <w:pPr>
              <w:widowControl/>
              <w:jc w:val="center"/>
              <w:rPr>
                <w:rFonts w:ascii="Calibri" w:hAnsi="Calibri" w:cs="Calibri"/>
                <w:snapToGrid/>
                <w:kern w:val="0"/>
                <w:szCs w:val="22"/>
              </w:rPr>
            </w:pPr>
            <w:r w:rsidRPr="00A032ED">
              <w:rPr>
                <w:rFonts w:ascii="Calibri" w:hAnsi="Calibri" w:cs="Calibri"/>
                <w:snapToGrid/>
                <w:kern w:val="0"/>
                <w:szCs w:val="22"/>
              </w:rPr>
              <w:t>KQCA</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5ECA7D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9,931,378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2EEE5F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$71,748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1F974A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9FBD89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$56,211 </w:t>
            </w:r>
          </w:p>
        </w:tc>
      </w:tr>
      <w:tr w14:paraId="7ED386C3"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D37C110" w14:textId="77777777">
            <w:pPr>
              <w:widowControl/>
              <w:jc w:val="center"/>
              <w:rPr>
                <w:rFonts w:ascii="Calibri" w:hAnsi="Calibri" w:cs="Calibri"/>
                <w:snapToGrid/>
                <w:kern w:val="0"/>
                <w:szCs w:val="22"/>
              </w:rPr>
            </w:pPr>
            <w:r w:rsidRPr="00A032ED">
              <w:rPr>
                <w:rFonts w:ascii="Calibri" w:hAnsi="Calibri" w:cs="Calibri"/>
                <w:snapToGrid/>
                <w:kern w:val="0"/>
                <w:szCs w:val="22"/>
              </w:rPr>
              <w:t>KSAS-TV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EF682A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752,513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1FEA2E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$5,436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0BD0D4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FB42D7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$9,493 </w:t>
            </w:r>
          </w:p>
        </w:tc>
        <w:tc>
          <w:tcPr>
            <w:tcW w:w="266" w:type="dxa"/>
            <w:tcBorders>
              <w:top w:val="nil"/>
              <w:left w:val="nil"/>
              <w:bottom w:val="nil"/>
              <w:right w:val="nil"/>
            </w:tcBorders>
            <w:shd w:val="clear" w:color="auto" w:fill="auto"/>
            <w:noWrap/>
            <w:vAlign w:val="bottom"/>
            <w:hideMark/>
          </w:tcPr>
          <w:p w:rsidR="006F7AD6" w:rsidRPr="00A032ED" w:rsidP="00886011" w14:paraId="7E404C85"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3C48FEB" w14:textId="77777777">
            <w:pPr>
              <w:widowControl/>
              <w:jc w:val="center"/>
              <w:rPr>
                <w:rFonts w:ascii="Calibri" w:hAnsi="Calibri" w:cs="Calibri"/>
                <w:snapToGrid/>
                <w:kern w:val="0"/>
                <w:szCs w:val="22"/>
              </w:rPr>
            </w:pPr>
            <w:r w:rsidRPr="00A032ED">
              <w:rPr>
                <w:rFonts w:ascii="Calibri" w:hAnsi="Calibri" w:cs="Calibri"/>
                <w:snapToGrid/>
                <w:kern w:val="0"/>
                <w:szCs w:val="22"/>
              </w:rPr>
              <w:t>KQCD-TV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6D1D8C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35,623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B75284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$257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897D0B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32DCB0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$2,354 </w:t>
            </w:r>
          </w:p>
        </w:tc>
      </w:tr>
      <w:tr w14:paraId="7C6D36C9"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3E5ED44" w14:textId="77777777">
            <w:pPr>
              <w:widowControl/>
              <w:jc w:val="center"/>
              <w:rPr>
                <w:rFonts w:ascii="Calibri" w:hAnsi="Calibri" w:cs="Calibri"/>
                <w:snapToGrid/>
                <w:kern w:val="0"/>
                <w:szCs w:val="22"/>
              </w:rPr>
            </w:pPr>
            <w:r w:rsidRPr="00A032ED">
              <w:rPr>
                <w:rFonts w:ascii="Calibri" w:hAnsi="Calibri" w:cs="Calibri"/>
                <w:snapToGrid/>
                <w:kern w:val="0"/>
                <w:szCs w:val="22"/>
              </w:rPr>
              <w:t>KSTU</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6CBF81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2,384,996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9F9282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$17,230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6872B9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A9F8F7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$22,190 </w:t>
            </w:r>
          </w:p>
        </w:tc>
        <w:tc>
          <w:tcPr>
            <w:tcW w:w="266" w:type="dxa"/>
            <w:tcBorders>
              <w:top w:val="nil"/>
              <w:left w:val="nil"/>
              <w:bottom w:val="nil"/>
              <w:right w:val="nil"/>
            </w:tcBorders>
            <w:shd w:val="clear" w:color="auto" w:fill="auto"/>
            <w:noWrap/>
            <w:vAlign w:val="bottom"/>
            <w:hideMark/>
          </w:tcPr>
          <w:p w:rsidR="006F7AD6" w:rsidRPr="00A032ED" w:rsidP="00886011" w14:paraId="564F21F1"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4D5FB6F" w14:textId="77777777">
            <w:pPr>
              <w:widowControl/>
              <w:jc w:val="center"/>
              <w:rPr>
                <w:rFonts w:ascii="Calibri" w:hAnsi="Calibri" w:cs="Calibri"/>
                <w:snapToGrid/>
                <w:kern w:val="0"/>
                <w:szCs w:val="22"/>
              </w:rPr>
            </w:pPr>
            <w:r w:rsidRPr="00A032ED">
              <w:rPr>
                <w:rFonts w:ascii="Calibri" w:hAnsi="Calibri" w:cs="Calibri"/>
                <w:snapToGrid/>
                <w:kern w:val="0"/>
                <w:szCs w:val="22"/>
              </w:rPr>
              <w:t>KSAT-TV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01BA5D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2,530,706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FB6251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$18,283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9BA949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5E4250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$22,716 </w:t>
            </w:r>
          </w:p>
        </w:tc>
      </w:tr>
      <w:tr w14:paraId="54EA7397"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4DBB489" w14:textId="77777777">
            <w:pPr>
              <w:widowControl/>
              <w:jc w:val="center"/>
              <w:rPr>
                <w:rFonts w:ascii="Calibri" w:hAnsi="Calibri" w:cs="Calibri"/>
                <w:snapToGrid/>
                <w:kern w:val="0"/>
                <w:szCs w:val="22"/>
              </w:rPr>
            </w:pPr>
            <w:r w:rsidRPr="00A032ED">
              <w:rPr>
                <w:rFonts w:ascii="Calibri" w:hAnsi="Calibri" w:cs="Calibri"/>
                <w:snapToGrid/>
                <w:kern w:val="0"/>
                <w:szCs w:val="22"/>
              </w:rPr>
              <w:t>KSTW</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BA9947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4,265,956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3B1182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$30,819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BF9883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EEC326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$35,747 </w:t>
            </w:r>
          </w:p>
        </w:tc>
        <w:tc>
          <w:tcPr>
            <w:tcW w:w="266" w:type="dxa"/>
            <w:tcBorders>
              <w:top w:val="nil"/>
              <w:left w:val="nil"/>
              <w:bottom w:val="nil"/>
              <w:right w:val="nil"/>
            </w:tcBorders>
            <w:shd w:val="clear" w:color="auto" w:fill="auto"/>
            <w:noWrap/>
            <w:vAlign w:val="bottom"/>
            <w:hideMark/>
          </w:tcPr>
          <w:p w:rsidR="006F7AD6" w:rsidRPr="00A032ED" w:rsidP="00886011" w14:paraId="665558C6"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33BA434" w14:textId="77777777">
            <w:pPr>
              <w:widowControl/>
              <w:jc w:val="center"/>
              <w:rPr>
                <w:rFonts w:ascii="Calibri" w:hAnsi="Calibri" w:cs="Calibri"/>
                <w:snapToGrid/>
                <w:kern w:val="0"/>
                <w:szCs w:val="22"/>
              </w:rPr>
            </w:pPr>
            <w:r w:rsidRPr="00A032ED">
              <w:rPr>
                <w:rFonts w:ascii="Calibri" w:hAnsi="Calibri" w:cs="Calibri"/>
                <w:snapToGrid/>
                <w:kern w:val="0"/>
                <w:szCs w:val="22"/>
              </w:rPr>
              <w:t>KSAX</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2175DE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359,400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579EF8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$2,596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1E7305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D363DB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$21,636 </w:t>
            </w:r>
          </w:p>
        </w:tc>
      </w:tr>
      <w:tr w14:paraId="4E6346EC"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1614717" w14:textId="77777777">
            <w:pPr>
              <w:widowControl/>
              <w:jc w:val="center"/>
              <w:rPr>
                <w:rFonts w:ascii="Calibri" w:hAnsi="Calibri" w:cs="Calibri"/>
                <w:snapToGrid/>
                <w:kern w:val="0"/>
                <w:szCs w:val="22"/>
              </w:rPr>
            </w:pPr>
            <w:r w:rsidRPr="00A032ED">
              <w:rPr>
                <w:rFonts w:ascii="Calibri" w:hAnsi="Calibri" w:cs="Calibri"/>
                <w:snapToGrid/>
                <w:kern w:val="0"/>
                <w:szCs w:val="22"/>
              </w:rPr>
              <w:t>KSVI</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BF1120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175,390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A4D53C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$1,267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39322A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EA6219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$2,859 </w:t>
            </w:r>
          </w:p>
        </w:tc>
        <w:tc>
          <w:tcPr>
            <w:tcW w:w="266" w:type="dxa"/>
            <w:tcBorders>
              <w:top w:val="nil"/>
              <w:left w:val="nil"/>
              <w:bottom w:val="nil"/>
              <w:right w:val="nil"/>
            </w:tcBorders>
            <w:shd w:val="clear" w:color="auto" w:fill="auto"/>
            <w:noWrap/>
            <w:vAlign w:val="bottom"/>
            <w:hideMark/>
          </w:tcPr>
          <w:p w:rsidR="006F7AD6" w:rsidRPr="00A032ED" w:rsidP="00886011" w14:paraId="06635010"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B031DC0" w14:textId="77777777">
            <w:pPr>
              <w:widowControl/>
              <w:jc w:val="center"/>
              <w:rPr>
                <w:rFonts w:ascii="Calibri" w:hAnsi="Calibri" w:cs="Calibri"/>
                <w:snapToGrid/>
                <w:kern w:val="0"/>
                <w:szCs w:val="22"/>
              </w:rPr>
            </w:pPr>
            <w:r w:rsidRPr="00A032ED">
              <w:rPr>
                <w:rFonts w:ascii="Calibri" w:hAnsi="Calibri" w:cs="Calibri"/>
                <w:snapToGrid/>
                <w:kern w:val="0"/>
                <w:szCs w:val="22"/>
              </w:rPr>
              <w:t>KSAZ-TV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199217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4,207,660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AA5E6D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$30,398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9949AD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5043B4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$35,536 </w:t>
            </w:r>
          </w:p>
        </w:tc>
      </w:tr>
      <w:tr w14:paraId="078FD808"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1A498AF" w14:textId="77777777">
            <w:pPr>
              <w:widowControl/>
              <w:jc w:val="center"/>
              <w:rPr>
                <w:rFonts w:ascii="Calibri" w:hAnsi="Calibri" w:cs="Calibri"/>
                <w:snapToGrid/>
                <w:kern w:val="0"/>
                <w:szCs w:val="22"/>
              </w:rPr>
            </w:pPr>
            <w:r w:rsidRPr="00A032ED">
              <w:rPr>
                <w:rFonts w:ascii="Calibri" w:hAnsi="Calibri" w:cs="Calibri"/>
                <w:snapToGrid/>
                <w:kern w:val="0"/>
                <w:szCs w:val="22"/>
              </w:rPr>
              <w:t>KSWB-TV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282605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3,787,157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EB5EF1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$27,360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4A26C9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62CED3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$27,255 </w:t>
            </w:r>
          </w:p>
        </w:tc>
        <w:tc>
          <w:tcPr>
            <w:tcW w:w="266" w:type="dxa"/>
            <w:tcBorders>
              <w:top w:val="nil"/>
              <w:left w:val="nil"/>
              <w:bottom w:val="nil"/>
              <w:right w:val="nil"/>
            </w:tcBorders>
            <w:shd w:val="clear" w:color="auto" w:fill="auto"/>
            <w:noWrap/>
            <w:vAlign w:val="bottom"/>
            <w:hideMark/>
          </w:tcPr>
          <w:p w:rsidR="006F7AD6" w:rsidRPr="00A032ED" w:rsidP="00886011" w14:paraId="14963E31"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2DC8908" w14:textId="77777777">
            <w:pPr>
              <w:widowControl/>
              <w:jc w:val="center"/>
              <w:rPr>
                <w:rFonts w:ascii="Calibri" w:hAnsi="Calibri" w:cs="Calibri"/>
                <w:snapToGrid/>
                <w:kern w:val="0"/>
                <w:szCs w:val="22"/>
              </w:rPr>
            </w:pPr>
            <w:r w:rsidRPr="00A032ED">
              <w:rPr>
                <w:rFonts w:ascii="Calibri" w:hAnsi="Calibri" w:cs="Calibri"/>
                <w:snapToGrid/>
                <w:kern w:val="0"/>
                <w:szCs w:val="22"/>
              </w:rPr>
              <w:t>KSBI</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181F0B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1,577,231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0FB88A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$11,394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CB613A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01DF01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$19,272 </w:t>
            </w:r>
          </w:p>
        </w:tc>
      </w:tr>
      <w:tr w14:paraId="1938A4DF"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45F5731" w14:textId="77777777">
            <w:pPr>
              <w:widowControl/>
              <w:jc w:val="center"/>
              <w:rPr>
                <w:rFonts w:ascii="Calibri" w:hAnsi="Calibri" w:cs="Calibri"/>
                <w:snapToGrid/>
                <w:kern w:val="0"/>
                <w:szCs w:val="22"/>
              </w:rPr>
            </w:pPr>
            <w:r w:rsidRPr="00A032ED">
              <w:rPr>
                <w:rFonts w:ascii="Calibri" w:hAnsi="Calibri" w:cs="Calibri"/>
                <w:snapToGrid/>
                <w:kern w:val="0"/>
                <w:szCs w:val="22"/>
              </w:rPr>
              <w:t>KSWO-TV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8A0B3B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483,132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81A4C5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$3,490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3EE900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219074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$3,970 </w:t>
            </w:r>
          </w:p>
        </w:tc>
        <w:tc>
          <w:tcPr>
            <w:tcW w:w="266" w:type="dxa"/>
            <w:tcBorders>
              <w:top w:val="nil"/>
              <w:left w:val="nil"/>
              <w:bottom w:val="nil"/>
              <w:right w:val="nil"/>
            </w:tcBorders>
            <w:shd w:val="clear" w:color="auto" w:fill="auto"/>
            <w:noWrap/>
            <w:vAlign w:val="bottom"/>
            <w:hideMark/>
          </w:tcPr>
          <w:p w:rsidR="006F7AD6" w:rsidRPr="00A032ED" w:rsidP="00886011" w14:paraId="453936B7"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EF4D123" w14:textId="77777777">
            <w:pPr>
              <w:widowControl/>
              <w:jc w:val="center"/>
              <w:rPr>
                <w:rFonts w:ascii="Calibri" w:hAnsi="Calibri" w:cs="Calibri"/>
                <w:snapToGrid/>
                <w:kern w:val="0"/>
                <w:szCs w:val="22"/>
              </w:rPr>
            </w:pPr>
            <w:r w:rsidRPr="00A032ED">
              <w:rPr>
                <w:rFonts w:ascii="Calibri" w:hAnsi="Calibri" w:cs="Calibri"/>
                <w:snapToGrid/>
                <w:kern w:val="0"/>
                <w:szCs w:val="22"/>
              </w:rPr>
              <w:t>KSBW</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108109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5,083,461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D70773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$36,725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E9B8D4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088552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$20,587 </w:t>
            </w:r>
          </w:p>
        </w:tc>
      </w:tr>
      <w:tr w14:paraId="311FC376"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D19CCB7" w14:textId="77777777">
            <w:pPr>
              <w:widowControl/>
              <w:jc w:val="center"/>
              <w:rPr>
                <w:rFonts w:ascii="Calibri" w:hAnsi="Calibri" w:cs="Calibri"/>
                <w:snapToGrid/>
                <w:kern w:val="0"/>
                <w:szCs w:val="22"/>
              </w:rPr>
            </w:pPr>
            <w:r w:rsidRPr="00A032ED">
              <w:rPr>
                <w:rFonts w:ascii="Calibri" w:hAnsi="Calibri" w:cs="Calibri"/>
                <w:snapToGrid/>
                <w:kern w:val="0"/>
                <w:szCs w:val="22"/>
              </w:rPr>
              <w:t>KSWT</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1CF49D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396,278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84FBFC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$2,863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67C070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F25C4E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$3,656 </w:t>
            </w:r>
          </w:p>
        </w:tc>
        <w:tc>
          <w:tcPr>
            <w:tcW w:w="266" w:type="dxa"/>
            <w:tcBorders>
              <w:top w:val="nil"/>
              <w:left w:val="nil"/>
              <w:bottom w:val="nil"/>
              <w:right w:val="nil"/>
            </w:tcBorders>
            <w:shd w:val="clear" w:color="auto" w:fill="auto"/>
            <w:noWrap/>
            <w:vAlign w:val="bottom"/>
            <w:hideMark/>
          </w:tcPr>
          <w:p w:rsidR="006F7AD6" w:rsidRPr="00A032ED" w:rsidP="00886011" w14:paraId="06FF77FC"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1AABC84" w14:textId="77777777">
            <w:pPr>
              <w:widowControl/>
              <w:jc w:val="center"/>
              <w:rPr>
                <w:rFonts w:ascii="Calibri" w:hAnsi="Calibri" w:cs="Calibri"/>
                <w:snapToGrid/>
                <w:kern w:val="0"/>
                <w:szCs w:val="22"/>
              </w:rPr>
            </w:pPr>
            <w:r w:rsidRPr="00A032ED">
              <w:rPr>
                <w:rFonts w:ascii="Calibri" w:hAnsi="Calibri" w:cs="Calibri"/>
                <w:snapToGrid/>
                <w:kern w:val="0"/>
                <w:szCs w:val="22"/>
              </w:rPr>
              <w:t>KSBY</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E0ECFB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535,029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944AA4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$3,865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A45421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E05D74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$4,158 </w:t>
            </w:r>
          </w:p>
        </w:tc>
      </w:tr>
      <w:tr w14:paraId="6FD0097B"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A9A6075" w14:textId="77777777">
            <w:pPr>
              <w:widowControl/>
              <w:jc w:val="center"/>
              <w:rPr>
                <w:rFonts w:ascii="Calibri" w:hAnsi="Calibri" w:cs="Calibri"/>
                <w:snapToGrid/>
                <w:kern w:val="0"/>
                <w:szCs w:val="22"/>
              </w:rPr>
            </w:pPr>
            <w:r w:rsidRPr="00A032ED">
              <w:rPr>
                <w:rFonts w:ascii="Calibri" w:hAnsi="Calibri" w:cs="Calibri"/>
                <w:snapToGrid/>
                <w:kern w:val="0"/>
                <w:szCs w:val="22"/>
              </w:rPr>
              <w:t>KSYS</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F73332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519,209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17D75E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$3,751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520A43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0498E0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$4,100 </w:t>
            </w:r>
          </w:p>
        </w:tc>
        <w:tc>
          <w:tcPr>
            <w:tcW w:w="266" w:type="dxa"/>
            <w:tcBorders>
              <w:top w:val="nil"/>
              <w:left w:val="nil"/>
              <w:bottom w:val="nil"/>
              <w:right w:val="nil"/>
            </w:tcBorders>
            <w:shd w:val="clear" w:color="auto" w:fill="auto"/>
            <w:noWrap/>
            <w:vAlign w:val="bottom"/>
            <w:hideMark/>
          </w:tcPr>
          <w:p w:rsidR="006F7AD6" w:rsidRPr="00A032ED" w:rsidP="00886011" w14:paraId="70DA8DFD"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B860EE3" w14:textId="77777777">
            <w:pPr>
              <w:widowControl/>
              <w:jc w:val="center"/>
              <w:rPr>
                <w:rFonts w:ascii="Calibri" w:hAnsi="Calibri" w:cs="Calibri"/>
                <w:snapToGrid/>
                <w:kern w:val="0"/>
                <w:szCs w:val="22"/>
              </w:rPr>
            </w:pPr>
            <w:r w:rsidRPr="00A032ED">
              <w:rPr>
                <w:rFonts w:ascii="Calibri" w:hAnsi="Calibri" w:cs="Calibri"/>
                <w:snapToGrid/>
                <w:kern w:val="0"/>
                <w:szCs w:val="22"/>
              </w:rPr>
              <w:t>KSCC</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0F5C43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502,915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F74B90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$3,633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BEB665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0C0CEF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$4,042 </w:t>
            </w:r>
          </w:p>
        </w:tc>
      </w:tr>
      <w:tr w14:paraId="45AB61E9"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B089F48" w14:textId="77777777">
            <w:pPr>
              <w:widowControl/>
              <w:jc w:val="center"/>
              <w:rPr>
                <w:rFonts w:ascii="Calibri" w:hAnsi="Calibri" w:cs="Calibri"/>
                <w:snapToGrid/>
                <w:kern w:val="0"/>
                <w:szCs w:val="22"/>
              </w:rPr>
            </w:pPr>
            <w:r w:rsidRPr="00A032ED">
              <w:rPr>
                <w:rFonts w:ascii="Calibri" w:hAnsi="Calibri" w:cs="Calibri"/>
                <w:snapToGrid/>
                <w:kern w:val="0"/>
                <w:szCs w:val="22"/>
              </w:rPr>
              <w:t>KTAB-TV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4D360B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270,967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C31A12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$1,958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700EF4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9E8258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$3,204 </w:t>
            </w:r>
          </w:p>
        </w:tc>
        <w:tc>
          <w:tcPr>
            <w:tcW w:w="266" w:type="dxa"/>
            <w:tcBorders>
              <w:top w:val="nil"/>
              <w:left w:val="nil"/>
              <w:bottom w:val="nil"/>
              <w:right w:val="nil"/>
            </w:tcBorders>
            <w:shd w:val="clear" w:color="auto" w:fill="auto"/>
            <w:noWrap/>
            <w:vAlign w:val="bottom"/>
            <w:hideMark/>
          </w:tcPr>
          <w:p w:rsidR="006F7AD6" w:rsidRPr="00A032ED" w:rsidP="00886011" w14:paraId="69F552E2"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3799EF1" w14:textId="77777777">
            <w:pPr>
              <w:widowControl/>
              <w:jc w:val="center"/>
              <w:rPr>
                <w:rFonts w:ascii="Calibri" w:hAnsi="Calibri" w:cs="Calibri"/>
                <w:snapToGrid/>
                <w:kern w:val="0"/>
                <w:szCs w:val="22"/>
              </w:rPr>
            </w:pPr>
            <w:r w:rsidRPr="00A032ED">
              <w:rPr>
                <w:rFonts w:ascii="Calibri" w:hAnsi="Calibri" w:cs="Calibri"/>
                <w:snapToGrid/>
                <w:kern w:val="0"/>
                <w:szCs w:val="22"/>
              </w:rPr>
              <w:t>KSCI</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BD33A2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17,447,903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16B93C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$126,050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7114BC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D94EF4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$90,025 </w:t>
            </w:r>
          </w:p>
        </w:tc>
      </w:tr>
      <w:tr w14:paraId="786BC447"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AD8048E" w14:textId="77777777">
            <w:pPr>
              <w:widowControl/>
              <w:jc w:val="center"/>
              <w:rPr>
                <w:rFonts w:ascii="Calibri" w:hAnsi="Calibri" w:cs="Calibri"/>
                <w:snapToGrid/>
                <w:kern w:val="0"/>
                <w:szCs w:val="22"/>
              </w:rPr>
            </w:pPr>
            <w:r w:rsidRPr="00A032ED">
              <w:rPr>
                <w:rFonts w:ascii="Calibri" w:hAnsi="Calibri" w:cs="Calibri"/>
                <w:snapToGrid/>
                <w:kern w:val="0"/>
                <w:szCs w:val="22"/>
              </w:rPr>
              <w:t>KTAL-TV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C339E6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1,110,819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35138C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$8,025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DFAFB5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088E70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$10,787 </w:t>
            </w:r>
          </w:p>
        </w:tc>
        <w:tc>
          <w:tcPr>
            <w:tcW w:w="266" w:type="dxa"/>
            <w:tcBorders>
              <w:top w:val="nil"/>
              <w:left w:val="nil"/>
              <w:bottom w:val="nil"/>
              <w:right w:val="nil"/>
            </w:tcBorders>
            <w:shd w:val="clear" w:color="auto" w:fill="auto"/>
            <w:noWrap/>
            <w:vAlign w:val="bottom"/>
            <w:hideMark/>
          </w:tcPr>
          <w:p w:rsidR="006F7AD6" w:rsidRPr="00A032ED" w:rsidP="00886011" w14:paraId="2F151BF8"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7DEB3B0" w14:textId="77777777">
            <w:pPr>
              <w:widowControl/>
              <w:jc w:val="center"/>
              <w:rPr>
                <w:rFonts w:ascii="Calibri" w:hAnsi="Calibri" w:cs="Calibri"/>
                <w:snapToGrid/>
                <w:kern w:val="0"/>
                <w:szCs w:val="22"/>
              </w:rPr>
            </w:pPr>
            <w:r w:rsidRPr="00A032ED">
              <w:rPr>
                <w:rFonts w:ascii="Calibri" w:hAnsi="Calibri" w:cs="Calibri"/>
                <w:snapToGrid/>
                <w:kern w:val="0"/>
                <w:szCs w:val="22"/>
              </w:rPr>
              <w:t>KSCW-DT</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5A0426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915,691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021211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$6,615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2006DB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57DDBF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$10,083 </w:t>
            </w:r>
          </w:p>
        </w:tc>
      </w:tr>
      <w:tr w14:paraId="35074AA9"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955D140" w14:textId="77777777">
            <w:pPr>
              <w:widowControl/>
              <w:jc w:val="center"/>
              <w:rPr>
                <w:rFonts w:ascii="Calibri" w:hAnsi="Calibri" w:cs="Calibri"/>
                <w:snapToGrid/>
                <w:kern w:val="0"/>
                <w:szCs w:val="22"/>
              </w:rPr>
            </w:pPr>
            <w:r w:rsidRPr="00A032ED">
              <w:rPr>
                <w:rFonts w:ascii="Calibri" w:hAnsi="Calibri" w:cs="Calibri"/>
                <w:snapToGrid/>
                <w:kern w:val="0"/>
                <w:szCs w:val="22"/>
              </w:rPr>
              <w:t>KTAS</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C496F0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471,882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8350CC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$3,409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638E33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F71D7E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$3,930 </w:t>
            </w:r>
          </w:p>
        </w:tc>
        <w:tc>
          <w:tcPr>
            <w:tcW w:w="266" w:type="dxa"/>
            <w:tcBorders>
              <w:top w:val="nil"/>
              <w:left w:val="nil"/>
              <w:bottom w:val="nil"/>
              <w:right w:val="nil"/>
            </w:tcBorders>
            <w:shd w:val="clear" w:color="auto" w:fill="auto"/>
            <w:noWrap/>
            <w:vAlign w:val="bottom"/>
            <w:hideMark/>
          </w:tcPr>
          <w:p w:rsidR="006F7AD6" w:rsidRPr="00A032ED" w:rsidP="00886011" w14:paraId="3D7381DE"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34A0528" w14:textId="77777777">
            <w:pPr>
              <w:widowControl/>
              <w:jc w:val="center"/>
              <w:rPr>
                <w:rFonts w:ascii="Calibri" w:hAnsi="Calibri" w:cs="Calibri"/>
                <w:snapToGrid/>
                <w:kern w:val="0"/>
                <w:szCs w:val="22"/>
              </w:rPr>
            </w:pPr>
            <w:r w:rsidRPr="00A032ED">
              <w:rPr>
                <w:rFonts w:ascii="Calibri" w:hAnsi="Calibri" w:cs="Calibri"/>
                <w:snapToGrid/>
                <w:kern w:val="0"/>
                <w:szCs w:val="22"/>
              </w:rPr>
              <w:t>KSDK</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9B48B6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2,986,764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E54A6E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$21,577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094373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116715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$31,126 </w:t>
            </w:r>
          </w:p>
        </w:tc>
      </w:tr>
      <w:tr w14:paraId="15CB1A6D"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3C7FB60" w14:textId="77777777">
            <w:pPr>
              <w:widowControl/>
              <w:jc w:val="center"/>
              <w:rPr>
                <w:rFonts w:ascii="Calibri" w:hAnsi="Calibri" w:cs="Calibri"/>
                <w:snapToGrid/>
                <w:kern w:val="0"/>
                <w:szCs w:val="22"/>
              </w:rPr>
            </w:pPr>
            <w:r w:rsidRPr="00A032ED">
              <w:rPr>
                <w:rFonts w:ascii="Calibri" w:hAnsi="Calibri" w:cs="Calibri"/>
                <w:snapToGrid/>
                <w:kern w:val="0"/>
                <w:szCs w:val="22"/>
              </w:rPr>
              <w:t>KTAZ</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A0384B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4,176,236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408320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$30,171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97441E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C115BC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$35,423 </w:t>
            </w:r>
          </w:p>
        </w:tc>
        <w:tc>
          <w:tcPr>
            <w:tcW w:w="266" w:type="dxa"/>
            <w:tcBorders>
              <w:top w:val="nil"/>
              <w:left w:val="nil"/>
              <w:bottom w:val="nil"/>
              <w:right w:val="nil"/>
            </w:tcBorders>
            <w:shd w:val="clear" w:color="auto" w:fill="auto"/>
            <w:noWrap/>
            <w:vAlign w:val="bottom"/>
            <w:hideMark/>
          </w:tcPr>
          <w:p w:rsidR="006F7AD6" w:rsidRPr="00A032ED" w:rsidP="00886011" w14:paraId="20FB2D8D"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F0F338B" w14:textId="77777777">
            <w:pPr>
              <w:widowControl/>
              <w:jc w:val="center"/>
              <w:rPr>
                <w:rFonts w:ascii="Calibri" w:hAnsi="Calibri" w:cs="Calibri"/>
                <w:snapToGrid/>
                <w:kern w:val="0"/>
                <w:szCs w:val="22"/>
              </w:rPr>
            </w:pPr>
            <w:r w:rsidRPr="00A032ED">
              <w:rPr>
                <w:rFonts w:ascii="Calibri" w:hAnsi="Calibri" w:cs="Calibri"/>
                <w:snapToGrid/>
                <w:kern w:val="0"/>
                <w:szCs w:val="22"/>
              </w:rPr>
              <w:t>KSEE</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539339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1,749,448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E7DD8E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$12,639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CF667E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3FD419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$13,094 </w:t>
            </w:r>
          </w:p>
        </w:tc>
      </w:tr>
      <w:tr w14:paraId="6285003F"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BC17AC6" w14:textId="77777777">
            <w:pPr>
              <w:widowControl/>
              <w:jc w:val="center"/>
              <w:rPr>
                <w:rFonts w:ascii="Calibri" w:hAnsi="Calibri" w:cs="Calibri"/>
                <w:snapToGrid/>
                <w:kern w:val="0"/>
                <w:szCs w:val="22"/>
              </w:rPr>
            </w:pPr>
            <w:r w:rsidRPr="00A032ED">
              <w:rPr>
                <w:rFonts w:ascii="Calibri" w:hAnsi="Calibri" w:cs="Calibri"/>
                <w:snapToGrid/>
                <w:kern w:val="0"/>
                <w:szCs w:val="22"/>
              </w:rPr>
              <w:t>KTBC</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88FDA1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3,242,215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1AE8E3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$23,423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0933A2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B2B10B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$25,286 </w:t>
            </w:r>
          </w:p>
        </w:tc>
        <w:tc>
          <w:tcPr>
            <w:tcW w:w="266" w:type="dxa"/>
            <w:tcBorders>
              <w:top w:val="nil"/>
              <w:left w:val="nil"/>
              <w:bottom w:val="nil"/>
              <w:right w:val="nil"/>
            </w:tcBorders>
            <w:shd w:val="clear" w:color="auto" w:fill="auto"/>
            <w:noWrap/>
            <w:vAlign w:val="bottom"/>
            <w:hideMark/>
          </w:tcPr>
          <w:p w:rsidR="006F7AD6" w:rsidRPr="00A032ED" w:rsidP="00886011" w14:paraId="4E2DE4F9"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1B5F4C8" w14:textId="77777777">
            <w:pPr>
              <w:widowControl/>
              <w:jc w:val="center"/>
              <w:rPr>
                <w:rFonts w:ascii="Calibri" w:hAnsi="Calibri" w:cs="Calibri"/>
                <w:snapToGrid/>
                <w:kern w:val="0"/>
                <w:szCs w:val="22"/>
              </w:rPr>
            </w:pPr>
            <w:r w:rsidRPr="00A032ED">
              <w:rPr>
                <w:rFonts w:ascii="Calibri" w:hAnsi="Calibri" w:cs="Calibri"/>
                <w:snapToGrid/>
                <w:kern w:val="0"/>
                <w:szCs w:val="22"/>
              </w:rPr>
              <w:t>KSFY-TV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C7C6BB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670,536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C3CCA6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$4,844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32EC95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4EEA6E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$4,647 </w:t>
            </w:r>
          </w:p>
        </w:tc>
      </w:tr>
      <w:tr w14:paraId="67C0D8EA"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3674A0E" w14:textId="77777777">
            <w:pPr>
              <w:widowControl/>
              <w:jc w:val="center"/>
              <w:rPr>
                <w:rFonts w:ascii="Calibri" w:hAnsi="Calibri" w:cs="Calibri"/>
                <w:snapToGrid/>
                <w:kern w:val="0"/>
                <w:szCs w:val="22"/>
              </w:rPr>
            </w:pPr>
            <w:r w:rsidRPr="00A032ED">
              <w:rPr>
                <w:rFonts w:ascii="Calibri" w:hAnsi="Calibri" w:cs="Calibri"/>
                <w:snapToGrid/>
                <w:kern w:val="0"/>
                <w:szCs w:val="22"/>
              </w:rPr>
              <w:t>KTBO-TV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C90B46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1,585,283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665D1E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$11,453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B322F6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F51943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$19,301 </w:t>
            </w:r>
          </w:p>
        </w:tc>
        <w:tc>
          <w:tcPr>
            <w:tcW w:w="266" w:type="dxa"/>
            <w:tcBorders>
              <w:top w:val="nil"/>
              <w:left w:val="nil"/>
              <w:bottom w:val="nil"/>
              <w:right w:val="nil"/>
            </w:tcBorders>
            <w:shd w:val="clear" w:color="auto" w:fill="auto"/>
            <w:noWrap/>
            <w:vAlign w:val="bottom"/>
            <w:hideMark/>
          </w:tcPr>
          <w:p w:rsidR="006F7AD6" w:rsidRPr="00A032ED" w:rsidP="00886011" w14:paraId="77B06130"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48D72D6" w14:textId="77777777">
            <w:pPr>
              <w:widowControl/>
              <w:jc w:val="center"/>
              <w:rPr>
                <w:rFonts w:ascii="Calibri" w:hAnsi="Calibri" w:cs="Calibri"/>
                <w:snapToGrid/>
                <w:kern w:val="0"/>
                <w:szCs w:val="22"/>
              </w:rPr>
            </w:pPr>
            <w:r w:rsidRPr="00A032ED">
              <w:rPr>
                <w:rFonts w:ascii="Calibri" w:hAnsi="Calibri" w:cs="Calibri"/>
                <w:snapToGrid/>
                <w:kern w:val="0"/>
                <w:szCs w:val="22"/>
              </w:rPr>
              <w:t>KSGW-TV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17B541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62,178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355896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$449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3847A0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C4B171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$2,450 </w:t>
            </w:r>
          </w:p>
        </w:tc>
      </w:tr>
      <w:tr w14:paraId="6FFEAFF5"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C4E7F04" w14:textId="77777777">
            <w:pPr>
              <w:widowControl/>
              <w:jc w:val="center"/>
              <w:rPr>
                <w:rFonts w:ascii="Calibri" w:hAnsi="Calibri" w:cs="Calibri"/>
                <w:snapToGrid/>
                <w:kern w:val="0"/>
                <w:szCs w:val="22"/>
              </w:rPr>
            </w:pPr>
            <w:r w:rsidRPr="00A032ED">
              <w:rPr>
                <w:rFonts w:ascii="Calibri" w:hAnsi="Calibri" w:cs="Calibri"/>
                <w:snapToGrid/>
                <w:kern w:val="0"/>
                <w:szCs w:val="22"/>
              </w:rPr>
              <w:t>KTBS-TV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A6BBFE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1,163,228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2ACE54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$8,404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DE53DD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E81776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$10,977 </w:t>
            </w:r>
          </w:p>
        </w:tc>
        <w:tc>
          <w:tcPr>
            <w:tcW w:w="266" w:type="dxa"/>
            <w:tcBorders>
              <w:top w:val="nil"/>
              <w:left w:val="nil"/>
              <w:bottom w:val="nil"/>
              <w:right w:val="nil"/>
            </w:tcBorders>
            <w:shd w:val="clear" w:color="auto" w:fill="auto"/>
            <w:noWrap/>
            <w:vAlign w:val="bottom"/>
            <w:hideMark/>
          </w:tcPr>
          <w:p w:rsidR="006F7AD6" w:rsidRPr="00A032ED" w:rsidP="00886011" w14:paraId="57CDB920"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A43E841" w14:textId="77777777">
            <w:pPr>
              <w:widowControl/>
              <w:jc w:val="center"/>
              <w:rPr>
                <w:rFonts w:ascii="Calibri" w:hAnsi="Calibri" w:cs="Calibri"/>
                <w:snapToGrid/>
                <w:kern w:val="0"/>
                <w:szCs w:val="22"/>
              </w:rPr>
            </w:pPr>
            <w:r w:rsidRPr="00A032ED">
              <w:rPr>
                <w:rFonts w:ascii="Calibri" w:hAnsi="Calibri" w:cs="Calibri"/>
                <w:snapToGrid/>
                <w:kern w:val="0"/>
                <w:szCs w:val="22"/>
              </w:rPr>
              <w:t>KSHB-TV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A31C11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2,361,771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1CA0B3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$17,062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F1C1D3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49A56B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$22,106 </w:t>
            </w:r>
          </w:p>
        </w:tc>
      </w:tr>
      <w:tr w14:paraId="027E6D0B"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8B12A4A" w14:textId="77777777">
            <w:pPr>
              <w:widowControl/>
              <w:jc w:val="center"/>
              <w:rPr>
                <w:rFonts w:ascii="Calibri" w:hAnsi="Calibri" w:cs="Calibri"/>
                <w:snapToGrid/>
                <w:kern w:val="0"/>
                <w:szCs w:val="22"/>
              </w:rPr>
            </w:pPr>
            <w:r w:rsidRPr="00A032ED">
              <w:rPr>
                <w:rFonts w:ascii="Calibri" w:hAnsi="Calibri" w:cs="Calibri"/>
                <w:snapToGrid/>
                <w:kern w:val="0"/>
                <w:szCs w:val="22"/>
              </w:rPr>
              <w:t>KTBU</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FB01C1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6,076,521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2329BF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$43,899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A950A2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2B323F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$48,950 </w:t>
            </w:r>
          </w:p>
        </w:tc>
        <w:tc>
          <w:tcPr>
            <w:tcW w:w="266" w:type="dxa"/>
            <w:tcBorders>
              <w:top w:val="nil"/>
              <w:left w:val="nil"/>
              <w:bottom w:val="nil"/>
              <w:right w:val="nil"/>
            </w:tcBorders>
            <w:shd w:val="clear" w:color="auto" w:fill="auto"/>
            <w:noWrap/>
            <w:vAlign w:val="bottom"/>
            <w:hideMark/>
          </w:tcPr>
          <w:p w:rsidR="006F7AD6" w:rsidRPr="00A032ED" w:rsidP="00886011" w14:paraId="5D782C4C"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64850D3" w14:textId="77777777">
            <w:pPr>
              <w:widowControl/>
              <w:jc w:val="center"/>
              <w:rPr>
                <w:rFonts w:ascii="Calibri" w:hAnsi="Calibri" w:cs="Calibri"/>
                <w:snapToGrid/>
                <w:kern w:val="0"/>
                <w:szCs w:val="22"/>
              </w:rPr>
            </w:pPr>
            <w:r w:rsidRPr="00A032ED">
              <w:rPr>
                <w:rFonts w:ascii="Calibri" w:hAnsi="Calibri" w:cs="Calibri"/>
                <w:snapToGrid/>
                <w:kern w:val="0"/>
                <w:szCs w:val="22"/>
              </w:rPr>
              <w:t>KSHV-TV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F519A1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937,203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8919D0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$6,771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542F23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451D5A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$10,160 </w:t>
            </w:r>
          </w:p>
        </w:tc>
      </w:tr>
      <w:tr w14:paraId="5B71DABA"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729FEC3" w14:textId="77777777">
            <w:pPr>
              <w:widowControl/>
              <w:jc w:val="center"/>
              <w:rPr>
                <w:rFonts w:ascii="Calibri" w:hAnsi="Calibri" w:cs="Calibri"/>
                <w:snapToGrid/>
                <w:kern w:val="0"/>
                <w:szCs w:val="22"/>
              </w:rPr>
            </w:pPr>
            <w:r w:rsidRPr="00A032ED">
              <w:rPr>
                <w:rFonts w:ascii="Calibri" w:hAnsi="Calibri" w:cs="Calibri"/>
                <w:snapToGrid/>
                <w:kern w:val="0"/>
                <w:szCs w:val="22"/>
              </w:rPr>
              <w:t>KTBW-TV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11F486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4,202,104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82A2FF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$30,358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57E598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B3CE76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$35,516 </w:t>
            </w:r>
          </w:p>
        </w:tc>
        <w:tc>
          <w:tcPr>
            <w:tcW w:w="266" w:type="dxa"/>
            <w:tcBorders>
              <w:top w:val="nil"/>
              <w:left w:val="nil"/>
              <w:bottom w:val="nil"/>
              <w:right w:val="nil"/>
            </w:tcBorders>
            <w:shd w:val="clear" w:color="auto" w:fill="auto"/>
            <w:noWrap/>
            <w:vAlign w:val="bottom"/>
            <w:hideMark/>
          </w:tcPr>
          <w:p w:rsidR="006F7AD6" w:rsidRPr="00A032ED" w:rsidP="00886011" w14:paraId="6A8755ED"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4F865BF" w14:textId="77777777">
            <w:pPr>
              <w:widowControl/>
              <w:jc w:val="center"/>
              <w:rPr>
                <w:rFonts w:ascii="Calibri" w:hAnsi="Calibri" w:cs="Calibri"/>
                <w:snapToGrid/>
                <w:kern w:val="0"/>
                <w:szCs w:val="22"/>
              </w:rPr>
            </w:pPr>
            <w:r w:rsidRPr="00A032ED">
              <w:rPr>
                <w:rFonts w:ascii="Calibri" w:hAnsi="Calibri" w:cs="Calibri"/>
                <w:snapToGrid/>
                <w:kern w:val="0"/>
                <w:szCs w:val="22"/>
              </w:rPr>
              <w:t>KSKN</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8644BD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731,818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ABF6AA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$5,287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C6C3F5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FC609C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$9,418 </w:t>
            </w:r>
          </w:p>
        </w:tc>
      </w:tr>
      <w:tr w14:paraId="07EF95F2"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9E0FDB1" w14:textId="77777777">
            <w:pPr>
              <w:widowControl/>
              <w:jc w:val="center"/>
              <w:rPr>
                <w:rFonts w:ascii="Calibri" w:hAnsi="Calibri" w:cs="Calibri"/>
                <w:snapToGrid/>
                <w:kern w:val="0"/>
                <w:szCs w:val="22"/>
              </w:rPr>
            </w:pPr>
            <w:r w:rsidRPr="00A032ED">
              <w:rPr>
                <w:rFonts w:ascii="Calibri" w:hAnsi="Calibri" w:cs="Calibri"/>
                <w:snapToGrid/>
                <w:kern w:val="0"/>
                <w:szCs w:val="22"/>
              </w:rPr>
              <w:t>KTBY</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7714D4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348,080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0ADD4A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$2,515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7C34E2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A99047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$3,482 </w:t>
            </w:r>
          </w:p>
        </w:tc>
        <w:tc>
          <w:tcPr>
            <w:tcW w:w="266" w:type="dxa"/>
            <w:tcBorders>
              <w:top w:val="nil"/>
              <w:left w:val="nil"/>
              <w:bottom w:val="nil"/>
              <w:right w:val="nil"/>
            </w:tcBorders>
            <w:shd w:val="clear" w:color="auto" w:fill="auto"/>
            <w:noWrap/>
            <w:vAlign w:val="bottom"/>
            <w:hideMark/>
          </w:tcPr>
          <w:p w:rsidR="006F7AD6" w:rsidRPr="00A032ED" w:rsidP="00886011" w14:paraId="4B4CC662"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B637B30" w14:textId="77777777">
            <w:pPr>
              <w:widowControl/>
              <w:jc w:val="center"/>
              <w:rPr>
                <w:rFonts w:ascii="Calibri" w:hAnsi="Calibri" w:cs="Calibri"/>
                <w:snapToGrid/>
                <w:kern w:val="0"/>
                <w:szCs w:val="22"/>
              </w:rPr>
            </w:pPr>
            <w:r w:rsidRPr="00A032ED">
              <w:rPr>
                <w:rFonts w:ascii="Calibri" w:hAnsi="Calibri" w:cs="Calibri"/>
                <w:snapToGrid/>
                <w:kern w:val="0"/>
                <w:szCs w:val="22"/>
              </w:rPr>
              <w:t>KSLA</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279B54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1,009,108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22B702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$7,290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77982F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BA1596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$10,420 </w:t>
            </w:r>
          </w:p>
        </w:tc>
      </w:tr>
      <w:tr w14:paraId="1CE048A2"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D580A02" w14:textId="77777777">
            <w:pPr>
              <w:widowControl/>
              <w:jc w:val="center"/>
              <w:rPr>
                <w:rFonts w:ascii="Calibri" w:hAnsi="Calibri" w:cs="Calibri"/>
                <w:snapToGrid/>
                <w:kern w:val="0"/>
                <w:szCs w:val="22"/>
              </w:rPr>
            </w:pPr>
            <w:r w:rsidRPr="00A032ED">
              <w:rPr>
                <w:rFonts w:ascii="Calibri" w:hAnsi="Calibri" w:cs="Calibri"/>
                <w:snapToGrid/>
                <w:kern w:val="0"/>
                <w:szCs w:val="22"/>
              </w:rPr>
              <w:t>KTCW</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5849ED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100,392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BCE1C6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$725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D23AE9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CEEED7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$2,588 </w:t>
            </w:r>
          </w:p>
        </w:tc>
        <w:tc>
          <w:tcPr>
            <w:tcW w:w="266" w:type="dxa"/>
            <w:tcBorders>
              <w:top w:val="nil"/>
              <w:left w:val="nil"/>
              <w:bottom w:val="nil"/>
              <w:right w:val="nil"/>
            </w:tcBorders>
            <w:shd w:val="clear" w:color="auto" w:fill="auto"/>
            <w:noWrap/>
            <w:vAlign w:val="bottom"/>
            <w:hideMark/>
          </w:tcPr>
          <w:p w:rsidR="006F7AD6" w:rsidRPr="00A032ED" w:rsidP="00886011" w14:paraId="1519CB8D"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9A28C5C" w14:textId="77777777">
            <w:pPr>
              <w:widowControl/>
              <w:jc w:val="center"/>
              <w:rPr>
                <w:rFonts w:ascii="Calibri" w:hAnsi="Calibri" w:cs="Calibri"/>
                <w:snapToGrid/>
                <w:kern w:val="0"/>
                <w:szCs w:val="22"/>
              </w:rPr>
            </w:pPr>
            <w:r w:rsidRPr="00A032ED">
              <w:rPr>
                <w:rFonts w:ascii="Calibri" w:hAnsi="Calibri" w:cs="Calibri"/>
                <w:snapToGrid/>
                <w:kern w:val="0"/>
                <w:szCs w:val="22"/>
              </w:rPr>
              <w:t>KSL-TV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BEF586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2,390,708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81E222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$17,271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710423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5C976D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$22,211 </w:t>
            </w:r>
          </w:p>
        </w:tc>
      </w:tr>
      <w:tr w14:paraId="1A81B40A"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34F295E" w14:textId="77777777">
            <w:pPr>
              <w:widowControl/>
              <w:jc w:val="center"/>
              <w:rPr>
                <w:rFonts w:ascii="Calibri" w:hAnsi="Calibri" w:cs="Calibri"/>
                <w:snapToGrid/>
                <w:kern w:val="0"/>
                <w:szCs w:val="22"/>
              </w:rPr>
            </w:pPr>
            <w:r w:rsidRPr="00A032ED">
              <w:rPr>
                <w:rFonts w:ascii="Calibri" w:hAnsi="Calibri" w:cs="Calibri"/>
                <w:snapToGrid/>
                <w:kern w:val="0"/>
                <w:szCs w:val="22"/>
              </w:rPr>
              <w:t>KTDO</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EF2F60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1,015,338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9D5668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$7,335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ACBFA6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E5115E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$10,443 </w:t>
            </w:r>
          </w:p>
        </w:tc>
        <w:tc>
          <w:tcPr>
            <w:tcW w:w="266" w:type="dxa"/>
            <w:tcBorders>
              <w:top w:val="nil"/>
              <w:left w:val="nil"/>
              <w:bottom w:val="nil"/>
              <w:right w:val="nil"/>
            </w:tcBorders>
            <w:shd w:val="clear" w:color="auto" w:fill="auto"/>
            <w:noWrap/>
            <w:vAlign w:val="bottom"/>
            <w:hideMark/>
          </w:tcPr>
          <w:p w:rsidR="006F7AD6" w:rsidRPr="00A032ED" w:rsidP="00886011" w14:paraId="17C247BD"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346EB10" w14:textId="77777777">
            <w:pPr>
              <w:widowControl/>
              <w:jc w:val="center"/>
              <w:rPr>
                <w:rFonts w:ascii="Calibri" w:hAnsi="Calibri" w:cs="Calibri"/>
                <w:snapToGrid/>
                <w:kern w:val="0"/>
                <w:szCs w:val="22"/>
              </w:rPr>
            </w:pPr>
            <w:r w:rsidRPr="00A032ED">
              <w:rPr>
                <w:rFonts w:ascii="Calibri" w:hAnsi="Calibri" w:cs="Calibri"/>
                <w:snapToGrid/>
                <w:kern w:val="0"/>
                <w:szCs w:val="22"/>
              </w:rPr>
              <w:t>KSMO-TV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2B490A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2,401,134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41DB68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$17,347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2F00F7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E8D36F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$22,248 </w:t>
            </w:r>
          </w:p>
        </w:tc>
      </w:tr>
      <w:tr w14:paraId="5B5E56AF"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CE4B11B" w14:textId="77777777">
            <w:pPr>
              <w:widowControl/>
              <w:jc w:val="center"/>
              <w:rPr>
                <w:rFonts w:ascii="Calibri" w:hAnsi="Calibri" w:cs="Calibri"/>
                <w:snapToGrid/>
                <w:kern w:val="0"/>
                <w:szCs w:val="22"/>
              </w:rPr>
            </w:pPr>
            <w:r w:rsidRPr="00A032ED">
              <w:rPr>
                <w:rFonts w:ascii="Calibri" w:hAnsi="Calibri" w:cs="Calibri"/>
                <w:snapToGrid/>
                <w:kern w:val="0"/>
                <w:szCs w:val="22"/>
              </w:rPr>
              <w:t>KTEL-TV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C6B51F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53,423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C3465F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$386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139A57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B8D277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$13,768 </w:t>
            </w:r>
          </w:p>
        </w:tc>
        <w:tc>
          <w:tcPr>
            <w:tcW w:w="266" w:type="dxa"/>
            <w:tcBorders>
              <w:top w:val="nil"/>
              <w:left w:val="nil"/>
              <w:bottom w:val="nil"/>
              <w:right w:val="nil"/>
            </w:tcBorders>
            <w:shd w:val="clear" w:color="auto" w:fill="auto"/>
            <w:noWrap/>
            <w:vAlign w:val="bottom"/>
            <w:hideMark/>
          </w:tcPr>
          <w:p w:rsidR="006F7AD6" w:rsidRPr="00A032ED" w:rsidP="00886011" w14:paraId="412EB46D"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7CC910A" w14:textId="77777777">
            <w:pPr>
              <w:widowControl/>
              <w:jc w:val="center"/>
              <w:rPr>
                <w:rFonts w:ascii="Calibri" w:hAnsi="Calibri" w:cs="Calibri"/>
                <w:snapToGrid/>
                <w:kern w:val="0"/>
                <w:szCs w:val="22"/>
              </w:rPr>
            </w:pPr>
            <w:r w:rsidRPr="00A032ED">
              <w:rPr>
                <w:rFonts w:ascii="Calibri" w:hAnsi="Calibri" w:cs="Calibri"/>
                <w:snapToGrid/>
                <w:kern w:val="0"/>
                <w:szCs w:val="22"/>
              </w:rPr>
              <w:t>KSNB-TV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DE5058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658,560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610C35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$4,758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C21964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F8FD15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$4,604 </w:t>
            </w:r>
          </w:p>
        </w:tc>
      </w:tr>
      <w:tr w14:paraId="71FA2FEE"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D30693D" w14:textId="77777777">
            <w:pPr>
              <w:widowControl/>
              <w:jc w:val="center"/>
              <w:rPr>
                <w:rFonts w:ascii="Calibri" w:hAnsi="Calibri" w:cs="Calibri"/>
                <w:snapToGrid/>
                <w:kern w:val="0"/>
                <w:szCs w:val="22"/>
              </w:rPr>
            </w:pPr>
            <w:r w:rsidRPr="00A032ED">
              <w:rPr>
                <w:rFonts w:ascii="Calibri" w:hAnsi="Calibri" w:cs="Calibri"/>
                <w:snapToGrid/>
                <w:kern w:val="0"/>
                <w:szCs w:val="22"/>
              </w:rPr>
              <w:t>KTEN</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542380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566,422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86D445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$4,092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2E3432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393F39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$4,271 </w:t>
            </w:r>
          </w:p>
        </w:tc>
        <w:tc>
          <w:tcPr>
            <w:tcW w:w="266" w:type="dxa"/>
            <w:tcBorders>
              <w:top w:val="nil"/>
              <w:left w:val="nil"/>
              <w:bottom w:val="nil"/>
              <w:right w:val="nil"/>
            </w:tcBorders>
            <w:shd w:val="clear" w:color="auto" w:fill="auto"/>
            <w:noWrap/>
            <w:vAlign w:val="bottom"/>
            <w:hideMark/>
          </w:tcPr>
          <w:p w:rsidR="006F7AD6" w:rsidRPr="00A032ED" w:rsidP="00886011" w14:paraId="7DF44862"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F89CCB7" w14:textId="77777777">
            <w:pPr>
              <w:widowControl/>
              <w:jc w:val="center"/>
              <w:rPr>
                <w:rFonts w:ascii="Calibri" w:hAnsi="Calibri" w:cs="Calibri"/>
                <w:snapToGrid/>
                <w:kern w:val="0"/>
                <w:szCs w:val="22"/>
              </w:rPr>
            </w:pPr>
            <w:r w:rsidRPr="00A032ED">
              <w:rPr>
                <w:rFonts w:ascii="Calibri" w:hAnsi="Calibri" w:cs="Calibri"/>
                <w:snapToGrid/>
                <w:kern w:val="0"/>
                <w:szCs w:val="22"/>
              </w:rPr>
              <w:t>KSNC</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47F5EB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174,135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561BBA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$1,258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1696E8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4C12D7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$7,404 </w:t>
            </w:r>
          </w:p>
        </w:tc>
      </w:tr>
      <w:tr w14:paraId="06F7214E"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60DA769" w14:textId="77777777">
            <w:pPr>
              <w:widowControl/>
              <w:jc w:val="center"/>
              <w:rPr>
                <w:rFonts w:ascii="Calibri" w:hAnsi="Calibri" w:cs="Calibri"/>
                <w:snapToGrid/>
                <w:kern w:val="0"/>
                <w:szCs w:val="22"/>
              </w:rPr>
            </w:pPr>
            <w:r w:rsidRPr="00A032ED">
              <w:rPr>
                <w:rFonts w:ascii="Calibri" w:hAnsi="Calibri" w:cs="Calibri"/>
                <w:snapToGrid/>
                <w:kern w:val="0"/>
                <w:szCs w:val="22"/>
              </w:rPr>
              <w:t>KTFD-TV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4DC3AF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3,265,713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FCFDF9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$23,593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4C087A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920100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$32,134 </w:t>
            </w:r>
          </w:p>
        </w:tc>
        <w:tc>
          <w:tcPr>
            <w:tcW w:w="266" w:type="dxa"/>
            <w:tcBorders>
              <w:top w:val="nil"/>
              <w:left w:val="nil"/>
              <w:bottom w:val="nil"/>
              <w:right w:val="nil"/>
            </w:tcBorders>
            <w:shd w:val="clear" w:color="auto" w:fill="auto"/>
            <w:noWrap/>
            <w:vAlign w:val="bottom"/>
            <w:hideMark/>
          </w:tcPr>
          <w:p w:rsidR="006F7AD6" w:rsidRPr="00A032ED" w:rsidP="00886011" w14:paraId="2E1446B2"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AE8E631" w14:textId="77777777">
            <w:pPr>
              <w:widowControl/>
              <w:jc w:val="center"/>
              <w:rPr>
                <w:rFonts w:ascii="Calibri" w:hAnsi="Calibri" w:cs="Calibri"/>
                <w:snapToGrid/>
                <w:kern w:val="0"/>
                <w:szCs w:val="22"/>
              </w:rPr>
            </w:pPr>
            <w:r w:rsidRPr="00A032ED">
              <w:rPr>
                <w:rFonts w:ascii="Calibri" w:hAnsi="Calibri" w:cs="Calibri"/>
                <w:snapToGrid/>
                <w:kern w:val="0"/>
                <w:szCs w:val="22"/>
              </w:rPr>
              <w:t>KSNF</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3D3C33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500,881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DF5C20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$3,619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821F36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983238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$4,034 </w:t>
            </w:r>
          </w:p>
        </w:tc>
      </w:tr>
      <w:tr w14:paraId="59E22174"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1C55B57" w14:textId="77777777">
            <w:pPr>
              <w:widowControl/>
              <w:jc w:val="center"/>
              <w:rPr>
                <w:rFonts w:ascii="Calibri" w:hAnsi="Calibri" w:cs="Calibri"/>
                <w:snapToGrid/>
                <w:kern w:val="0"/>
                <w:szCs w:val="22"/>
              </w:rPr>
            </w:pPr>
            <w:r w:rsidRPr="00A032ED">
              <w:rPr>
                <w:rFonts w:ascii="Calibri" w:hAnsi="Calibri" w:cs="Calibri"/>
                <w:snapToGrid/>
                <w:kern w:val="0"/>
                <w:szCs w:val="22"/>
              </w:rPr>
              <w:t>KTFF-DT</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B4E06A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2,162,454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B62EE2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$15,622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D57C0D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A8E9E9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$14,586 </w:t>
            </w:r>
          </w:p>
        </w:tc>
        <w:tc>
          <w:tcPr>
            <w:tcW w:w="266" w:type="dxa"/>
            <w:tcBorders>
              <w:top w:val="nil"/>
              <w:left w:val="nil"/>
              <w:bottom w:val="nil"/>
              <w:right w:val="nil"/>
            </w:tcBorders>
            <w:shd w:val="clear" w:color="auto" w:fill="auto"/>
            <w:noWrap/>
            <w:vAlign w:val="bottom"/>
            <w:hideMark/>
          </w:tcPr>
          <w:p w:rsidR="006F7AD6" w:rsidRPr="00A032ED" w:rsidP="00886011" w14:paraId="7C664165"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9E7B148" w14:textId="77777777">
            <w:pPr>
              <w:widowControl/>
              <w:jc w:val="center"/>
              <w:rPr>
                <w:rFonts w:ascii="Calibri" w:hAnsi="Calibri" w:cs="Calibri"/>
                <w:snapToGrid/>
                <w:kern w:val="0"/>
                <w:szCs w:val="22"/>
              </w:rPr>
            </w:pPr>
            <w:r w:rsidRPr="00A032ED">
              <w:rPr>
                <w:rFonts w:ascii="Calibri" w:hAnsi="Calibri" w:cs="Calibri"/>
                <w:snapToGrid/>
                <w:kern w:val="0"/>
                <w:szCs w:val="22"/>
              </w:rPr>
              <w:t>KSNG</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888FF1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145,058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AAEA01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$1,048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83FAB6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D9F789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$7,299 </w:t>
            </w:r>
          </w:p>
        </w:tc>
      </w:tr>
      <w:tr w14:paraId="16101937"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32A4EDC" w14:textId="77777777">
            <w:pPr>
              <w:widowControl/>
              <w:jc w:val="center"/>
              <w:rPr>
                <w:rFonts w:ascii="Calibri" w:hAnsi="Calibri" w:cs="Calibri"/>
                <w:snapToGrid/>
                <w:kern w:val="0"/>
                <w:szCs w:val="22"/>
              </w:rPr>
            </w:pPr>
            <w:r w:rsidRPr="00A032ED">
              <w:rPr>
                <w:rFonts w:ascii="Calibri" w:hAnsi="Calibri" w:cs="Calibri"/>
                <w:snapToGrid/>
                <w:kern w:val="0"/>
                <w:szCs w:val="22"/>
              </w:rPr>
              <w:t>KTFK-DT</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920211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6,969,307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0A2610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$50,349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070EBB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70F785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$45,512 </w:t>
            </w:r>
          </w:p>
        </w:tc>
        <w:tc>
          <w:tcPr>
            <w:tcW w:w="266" w:type="dxa"/>
            <w:tcBorders>
              <w:top w:val="nil"/>
              <w:left w:val="nil"/>
              <w:bottom w:val="nil"/>
              <w:right w:val="nil"/>
            </w:tcBorders>
            <w:shd w:val="clear" w:color="auto" w:fill="auto"/>
            <w:noWrap/>
            <w:vAlign w:val="bottom"/>
            <w:hideMark/>
          </w:tcPr>
          <w:p w:rsidR="006F7AD6" w:rsidRPr="00A032ED" w:rsidP="00886011" w14:paraId="678965AB"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D0E41D1" w14:textId="77777777">
            <w:pPr>
              <w:widowControl/>
              <w:jc w:val="center"/>
              <w:rPr>
                <w:rFonts w:ascii="Calibri" w:hAnsi="Calibri" w:cs="Calibri"/>
                <w:snapToGrid/>
                <w:kern w:val="0"/>
                <w:szCs w:val="22"/>
              </w:rPr>
            </w:pPr>
            <w:r w:rsidRPr="00A032ED">
              <w:rPr>
                <w:rFonts w:ascii="Calibri" w:hAnsi="Calibri" w:cs="Calibri"/>
                <w:snapToGrid/>
                <w:kern w:val="0"/>
                <w:szCs w:val="22"/>
              </w:rPr>
              <w:t>KSNK</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6FFA99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48,715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91A0EA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$352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7B1D03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B8EF31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$6,951 </w:t>
            </w:r>
          </w:p>
        </w:tc>
      </w:tr>
      <w:tr w14:paraId="4C6438B7"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2A40962" w14:textId="77777777">
            <w:pPr>
              <w:widowControl/>
              <w:jc w:val="center"/>
              <w:rPr>
                <w:rFonts w:ascii="Calibri" w:hAnsi="Calibri" w:cs="Calibri"/>
                <w:snapToGrid/>
                <w:kern w:val="0"/>
                <w:szCs w:val="22"/>
              </w:rPr>
            </w:pPr>
            <w:r w:rsidRPr="00A032ED">
              <w:rPr>
                <w:rFonts w:ascii="Calibri" w:hAnsi="Calibri" w:cs="Calibri"/>
                <w:snapToGrid/>
                <w:kern w:val="0"/>
                <w:szCs w:val="22"/>
              </w:rPr>
              <w:t>KTFN</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A08A32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1,015,088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867217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$7,333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77C12C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DE9EEE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$10,442 </w:t>
            </w:r>
          </w:p>
        </w:tc>
        <w:tc>
          <w:tcPr>
            <w:tcW w:w="266" w:type="dxa"/>
            <w:tcBorders>
              <w:top w:val="nil"/>
              <w:left w:val="nil"/>
              <w:bottom w:val="nil"/>
              <w:right w:val="nil"/>
            </w:tcBorders>
            <w:shd w:val="clear" w:color="auto" w:fill="auto"/>
            <w:noWrap/>
            <w:vAlign w:val="bottom"/>
            <w:hideMark/>
          </w:tcPr>
          <w:p w:rsidR="006F7AD6" w:rsidRPr="00A032ED" w:rsidP="00886011" w14:paraId="227F091C"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E8D2DF1" w14:textId="77777777">
            <w:pPr>
              <w:widowControl/>
              <w:jc w:val="center"/>
              <w:rPr>
                <w:rFonts w:ascii="Calibri" w:hAnsi="Calibri" w:cs="Calibri"/>
                <w:snapToGrid/>
                <w:kern w:val="0"/>
                <w:szCs w:val="22"/>
              </w:rPr>
            </w:pPr>
            <w:r w:rsidRPr="00A032ED">
              <w:rPr>
                <w:rFonts w:ascii="Calibri" w:hAnsi="Calibri" w:cs="Calibri"/>
                <w:snapToGrid/>
                <w:kern w:val="0"/>
                <w:szCs w:val="22"/>
              </w:rPr>
              <w:t>KSNT</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9286E4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622,818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F1BCA8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$4,499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836498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5AEC26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$4,475 </w:t>
            </w:r>
          </w:p>
        </w:tc>
      </w:tr>
      <w:tr w14:paraId="5C64EAF0"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BE09BEC" w14:textId="77777777">
            <w:pPr>
              <w:widowControl/>
              <w:jc w:val="center"/>
              <w:rPr>
                <w:rFonts w:ascii="Calibri" w:hAnsi="Calibri" w:cs="Calibri"/>
                <w:snapToGrid/>
                <w:kern w:val="0"/>
                <w:szCs w:val="22"/>
              </w:rPr>
            </w:pPr>
            <w:r w:rsidRPr="00A032ED">
              <w:rPr>
                <w:rFonts w:ascii="Calibri" w:hAnsi="Calibri" w:cs="Calibri"/>
                <w:snapToGrid/>
                <w:kern w:val="0"/>
                <w:szCs w:val="22"/>
              </w:rPr>
              <w:t>KTFQ-TV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2CA859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1,136,300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E7428C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$8,209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94C5CB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18DA1D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$17,680 </w:t>
            </w:r>
          </w:p>
        </w:tc>
        <w:tc>
          <w:tcPr>
            <w:tcW w:w="266" w:type="dxa"/>
            <w:tcBorders>
              <w:top w:val="nil"/>
              <w:left w:val="nil"/>
              <w:bottom w:val="nil"/>
              <w:right w:val="nil"/>
            </w:tcBorders>
            <w:shd w:val="clear" w:color="auto" w:fill="auto"/>
            <w:noWrap/>
            <w:vAlign w:val="bottom"/>
            <w:hideMark/>
          </w:tcPr>
          <w:p w:rsidR="006F7AD6" w:rsidRPr="00A032ED" w:rsidP="00886011" w14:paraId="218661EA"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B671950" w14:textId="77777777">
            <w:pPr>
              <w:widowControl/>
              <w:jc w:val="center"/>
              <w:rPr>
                <w:rFonts w:ascii="Calibri" w:hAnsi="Calibri" w:cs="Calibri"/>
                <w:snapToGrid/>
                <w:kern w:val="0"/>
                <w:szCs w:val="22"/>
              </w:rPr>
            </w:pPr>
            <w:r w:rsidRPr="00A032ED">
              <w:rPr>
                <w:rFonts w:ascii="Calibri" w:hAnsi="Calibri" w:cs="Calibri"/>
                <w:snapToGrid/>
                <w:kern w:val="0"/>
                <w:szCs w:val="22"/>
              </w:rPr>
              <w:t>KSNV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D42DA9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33,709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8C8CC7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$244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A58C39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A53D02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$13,697 </w:t>
            </w:r>
          </w:p>
        </w:tc>
      </w:tr>
      <w:tr w14:paraId="27BFE476"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695EEAD" w14:textId="77777777">
            <w:pPr>
              <w:widowControl/>
              <w:jc w:val="center"/>
              <w:rPr>
                <w:rFonts w:ascii="Calibri" w:hAnsi="Calibri" w:cs="Calibri"/>
                <w:snapToGrid/>
                <w:kern w:val="0"/>
                <w:szCs w:val="22"/>
              </w:rPr>
            </w:pPr>
            <w:r w:rsidRPr="00A032ED">
              <w:rPr>
                <w:rFonts w:ascii="Calibri" w:hAnsi="Calibri" w:cs="Calibri"/>
                <w:snapToGrid/>
                <w:kern w:val="0"/>
                <w:szCs w:val="22"/>
              </w:rPr>
              <w:t>KTGM</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0F2357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159,358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6FB0A0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$1,151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7BC6D8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2C3D79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$2,801 </w:t>
            </w:r>
          </w:p>
        </w:tc>
        <w:tc>
          <w:tcPr>
            <w:tcW w:w="266" w:type="dxa"/>
            <w:tcBorders>
              <w:top w:val="nil"/>
              <w:left w:val="nil"/>
              <w:bottom w:val="nil"/>
              <w:right w:val="nil"/>
            </w:tcBorders>
            <w:shd w:val="clear" w:color="auto" w:fill="auto"/>
            <w:noWrap/>
            <w:vAlign w:val="bottom"/>
            <w:hideMark/>
          </w:tcPr>
          <w:p w:rsidR="006F7AD6" w:rsidRPr="00A032ED" w:rsidP="00886011" w14:paraId="2E31E6F7"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B764CED" w14:textId="77777777">
            <w:pPr>
              <w:widowControl/>
              <w:jc w:val="center"/>
              <w:rPr>
                <w:rFonts w:ascii="Calibri" w:hAnsi="Calibri" w:cs="Calibri"/>
                <w:snapToGrid/>
                <w:kern w:val="0"/>
                <w:szCs w:val="22"/>
              </w:rPr>
            </w:pPr>
            <w:r w:rsidRPr="00A032ED">
              <w:rPr>
                <w:rFonts w:ascii="Calibri" w:hAnsi="Calibri" w:cs="Calibri"/>
                <w:snapToGrid/>
                <w:kern w:val="0"/>
                <w:szCs w:val="22"/>
              </w:rPr>
              <w:t>KSNW</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471FD9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789,136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41B178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$5,701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E623EF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A15F76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$9,626 </w:t>
            </w:r>
          </w:p>
        </w:tc>
      </w:tr>
      <w:tr w14:paraId="284B4300"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7AC3A65" w14:textId="77777777">
            <w:pPr>
              <w:widowControl/>
              <w:jc w:val="center"/>
              <w:rPr>
                <w:rFonts w:ascii="Calibri" w:hAnsi="Calibri" w:cs="Calibri"/>
                <w:snapToGrid/>
                <w:kern w:val="0"/>
                <w:szCs w:val="22"/>
              </w:rPr>
            </w:pPr>
            <w:r w:rsidRPr="00A032ED">
              <w:rPr>
                <w:rFonts w:ascii="Calibri" w:hAnsi="Calibri" w:cs="Calibri"/>
                <w:snapToGrid/>
                <w:kern w:val="0"/>
                <w:szCs w:val="22"/>
              </w:rPr>
              <w:t>KTHV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548D8A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1,284,362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6AC861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$9,279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39FF65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ABA625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$11,414 </w:t>
            </w:r>
          </w:p>
        </w:tc>
        <w:tc>
          <w:tcPr>
            <w:tcW w:w="266" w:type="dxa"/>
            <w:tcBorders>
              <w:top w:val="nil"/>
              <w:left w:val="nil"/>
              <w:bottom w:val="nil"/>
              <w:right w:val="nil"/>
            </w:tcBorders>
            <w:shd w:val="clear" w:color="auto" w:fill="auto"/>
            <w:noWrap/>
            <w:vAlign w:val="bottom"/>
            <w:hideMark/>
          </w:tcPr>
          <w:p w:rsidR="006F7AD6" w:rsidRPr="00A032ED" w:rsidP="00886011" w14:paraId="6B5B6B4F"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D30AF62" w14:textId="77777777">
            <w:pPr>
              <w:widowControl/>
              <w:jc w:val="center"/>
              <w:rPr>
                <w:rFonts w:ascii="Calibri" w:hAnsi="Calibri" w:cs="Calibri"/>
                <w:snapToGrid/>
                <w:kern w:val="0"/>
                <w:szCs w:val="22"/>
              </w:rPr>
            </w:pPr>
            <w:r w:rsidRPr="00A032ED">
              <w:rPr>
                <w:rFonts w:ascii="Calibri" w:hAnsi="Calibri" w:cs="Calibri"/>
                <w:snapToGrid/>
                <w:kern w:val="0"/>
                <w:szCs w:val="22"/>
              </w:rPr>
              <w:t>KSPS-TV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FC51BD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819,981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7C9EDC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$5,924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8B2FF7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5FF903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$9,737 </w:t>
            </w:r>
          </w:p>
        </w:tc>
      </w:tr>
      <w:tr w14:paraId="4FD6EEDC"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A562E5D" w14:textId="77777777">
            <w:pPr>
              <w:widowControl/>
              <w:jc w:val="center"/>
              <w:rPr>
                <w:rFonts w:ascii="Calibri" w:hAnsi="Calibri" w:cs="Calibri"/>
                <w:snapToGrid/>
                <w:kern w:val="0"/>
                <w:szCs w:val="22"/>
              </w:rPr>
            </w:pPr>
            <w:r w:rsidRPr="00A032ED">
              <w:rPr>
                <w:rFonts w:ascii="Calibri" w:hAnsi="Calibri" w:cs="Calibri"/>
                <w:snapToGrid/>
                <w:kern w:val="0"/>
                <w:szCs w:val="22"/>
              </w:rPr>
              <w:t>KTIV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73D9E0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688,477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1E4FA4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$4,974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862D11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1FCEC0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$4,712 </w:t>
            </w:r>
          </w:p>
        </w:tc>
        <w:tc>
          <w:tcPr>
            <w:tcW w:w="266" w:type="dxa"/>
            <w:tcBorders>
              <w:top w:val="nil"/>
              <w:left w:val="nil"/>
              <w:bottom w:val="nil"/>
              <w:right w:val="nil"/>
            </w:tcBorders>
            <w:shd w:val="clear" w:color="auto" w:fill="auto"/>
            <w:noWrap/>
            <w:vAlign w:val="bottom"/>
            <w:hideMark/>
          </w:tcPr>
          <w:p w:rsidR="006F7AD6" w:rsidRPr="00A032ED" w:rsidP="00886011" w14:paraId="0EF87023"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BF2B838" w14:textId="77777777">
            <w:pPr>
              <w:widowControl/>
              <w:jc w:val="center"/>
              <w:rPr>
                <w:rFonts w:ascii="Calibri" w:hAnsi="Calibri" w:cs="Calibri"/>
                <w:snapToGrid/>
                <w:kern w:val="0"/>
                <w:szCs w:val="22"/>
              </w:rPr>
            </w:pPr>
            <w:r w:rsidRPr="00A032ED">
              <w:rPr>
                <w:rFonts w:ascii="Calibri" w:hAnsi="Calibri" w:cs="Calibri"/>
                <w:snapToGrid/>
                <w:kern w:val="0"/>
                <w:szCs w:val="22"/>
              </w:rPr>
              <w:t>KSPX-TV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9921D7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6,745,180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580AE3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$48,730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4A7CA2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403C62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$44,702 </w:t>
            </w:r>
          </w:p>
        </w:tc>
      </w:tr>
      <w:tr w14:paraId="7D812719"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3965C72" w14:textId="77777777">
            <w:pPr>
              <w:widowControl/>
              <w:jc w:val="center"/>
              <w:rPr>
                <w:rFonts w:ascii="Calibri" w:hAnsi="Calibri" w:cs="Calibri"/>
                <w:snapToGrid/>
                <w:kern w:val="0"/>
                <w:szCs w:val="22"/>
              </w:rPr>
            </w:pPr>
            <w:r w:rsidRPr="00A032ED">
              <w:rPr>
                <w:rFonts w:ascii="Calibri" w:hAnsi="Calibri" w:cs="Calibri"/>
                <w:snapToGrid/>
                <w:kern w:val="0"/>
                <w:szCs w:val="22"/>
              </w:rPr>
              <w:t>KTKA-TV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A6531D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567,958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73505C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$4,103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82C726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C2C8BB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$4,277 </w:t>
            </w:r>
          </w:p>
        </w:tc>
        <w:tc>
          <w:tcPr>
            <w:tcW w:w="266" w:type="dxa"/>
            <w:tcBorders>
              <w:top w:val="nil"/>
              <w:left w:val="nil"/>
              <w:bottom w:val="nil"/>
              <w:right w:val="nil"/>
            </w:tcBorders>
            <w:shd w:val="clear" w:color="auto" w:fill="auto"/>
            <w:noWrap/>
            <w:vAlign w:val="bottom"/>
            <w:hideMark/>
          </w:tcPr>
          <w:p w:rsidR="006F7AD6" w:rsidRPr="00A032ED" w:rsidP="00886011" w14:paraId="63F9BAB5"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E7CA4EA" w14:textId="77777777">
            <w:pPr>
              <w:widowControl/>
              <w:jc w:val="center"/>
              <w:rPr>
                <w:rFonts w:ascii="Calibri" w:hAnsi="Calibri" w:cs="Calibri"/>
                <w:snapToGrid/>
                <w:kern w:val="0"/>
                <w:szCs w:val="22"/>
              </w:rPr>
            </w:pPr>
            <w:r w:rsidRPr="00A032ED">
              <w:rPr>
                <w:rFonts w:ascii="Calibri" w:hAnsi="Calibri" w:cs="Calibri"/>
                <w:snapToGrid/>
                <w:kern w:val="0"/>
                <w:szCs w:val="22"/>
              </w:rPr>
              <w:t>KSQA</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ECFAC2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382,328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00D2E4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$2,762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4B49A1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F88C88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$3,606 </w:t>
            </w:r>
          </w:p>
        </w:tc>
      </w:tr>
      <w:tr w14:paraId="2DDD1016"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EC5DE4B" w14:textId="77777777">
            <w:pPr>
              <w:widowControl/>
              <w:jc w:val="center"/>
              <w:rPr>
                <w:rFonts w:ascii="Calibri" w:hAnsi="Calibri" w:cs="Calibri"/>
                <w:snapToGrid/>
                <w:kern w:val="0"/>
                <w:szCs w:val="22"/>
              </w:rPr>
            </w:pPr>
            <w:r w:rsidRPr="00A032ED">
              <w:rPr>
                <w:rFonts w:ascii="Calibri" w:hAnsi="Calibri" w:cs="Calibri"/>
                <w:snapToGrid/>
                <w:kern w:val="0"/>
                <w:szCs w:val="22"/>
              </w:rPr>
              <w:t>KTLA</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7EDD8F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17,994,407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AA9168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$129,998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3D3207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591A87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$91,999 </w:t>
            </w:r>
          </w:p>
        </w:tc>
        <w:tc>
          <w:tcPr>
            <w:tcW w:w="266" w:type="dxa"/>
            <w:tcBorders>
              <w:top w:val="nil"/>
              <w:left w:val="nil"/>
              <w:bottom w:val="nil"/>
              <w:right w:val="nil"/>
            </w:tcBorders>
            <w:shd w:val="clear" w:color="auto" w:fill="auto"/>
            <w:noWrap/>
            <w:vAlign w:val="bottom"/>
            <w:hideMark/>
          </w:tcPr>
          <w:p w:rsidR="006F7AD6" w:rsidRPr="00A032ED" w:rsidP="00886011" w14:paraId="7FF87CEC"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ADD6391" w14:textId="77777777">
            <w:pPr>
              <w:widowControl/>
              <w:jc w:val="center"/>
              <w:rPr>
                <w:rFonts w:ascii="Calibri" w:hAnsi="Calibri" w:cs="Calibri"/>
                <w:snapToGrid/>
                <w:kern w:val="0"/>
                <w:szCs w:val="22"/>
              </w:rPr>
            </w:pPr>
            <w:r w:rsidRPr="00A032ED">
              <w:rPr>
                <w:rFonts w:ascii="Calibri" w:hAnsi="Calibri" w:cs="Calibri"/>
                <w:snapToGrid/>
                <w:kern w:val="0"/>
                <w:szCs w:val="22"/>
              </w:rPr>
              <w:t>KSTC-TV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A41990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3,796,912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197816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$27,430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C4CDFB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C2EE39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$34,053 </w:t>
            </w:r>
          </w:p>
        </w:tc>
      </w:tr>
      <w:tr w14:paraId="7592265C"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4BEF0BD" w14:textId="77777777">
            <w:pPr>
              <w:widowControl/>
              <w:jc w:val="center"/>
              <w:rPr>
                <w:rFonts w:ascii="Calibri" w:hAnsi="Calibri" w:cs="Calibri"/>
                <w:snapToGrid/>
                <w:kern w:val="0"/>
                <w:szCs w:val="22"/>
              </w:rPr>
            </w:pPr>
            <w:r w:rsidRPr="00A032ED">
              <w:rPr>
                <w:rFonts w:ascii="Calibri" w:hAnsi="Calibri" w:cs="Calibri"/>
                <w:snapToGrid/>
                <w:kern w:val="0"/>
                <w:szCs w:val="22"/>
              </w:rPr>
              <w:t>KTLM</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C2646D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373,084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378B18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$2,695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840230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F8D5F5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$8,123 </w:t>
            </w:r>
          </w:p>
        </w:tc>
        <w:tc>
          <w:tcPr>
            <w:tcW w:w="266" w:type="dxa"/>
            <w:tcBorders>
              <w:top w:val="nil"/>
              <w:left w:val="nil"/>
              <w:bottom w:val="nil"/>
              <w:right w:val="nil"/>
            </w:tcBorders>
            <w:shd w:val="clear" w:color="auto" w:fill="auto"/>
            <w:noWrap/>
            <w:vAlign w:val="bottom"/>
            <w:hideMark/>
          </w:tcPr>
          <w:p w:rsidR="006F7AD6" w:rsidRPr="00A032ED" w:rsidP="00886011" w14:paraId="2D909B73"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FA85FC0" w14:textId="77777777">
            <w:pPr>
              <w:widowControl/>
              <w:jc w:val="center"/>
              <w:rPr>
                <w:rFonts w:ascii="Calibri" w:hAnsi="Calibri" w:cs="Calibri"/>
                <w:snapToGrid/>
                <w:kern w:val="0"/>
                <w:szCs w:val="22"/>
              </w:rPr>
            </w:pPr>
            <w:r w:rsidRPr="00A032ED">
              <w:rPr>
                <w:rFonts w:ascii="Calibri" w:hAnsi="Calibri" w:cs="Calibri"/>
                <w:snapToGrid/>
                <w:kern w:val="0"/>
                <w:szCs w:val="22"/>
              </w:rPr>
              <w:t>KSTF</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96DFB7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51,317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B55500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$371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2EC458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D3356B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$2,410 </w:t>
            </w:r>
          </w:p>
        </w:tc>
      </w:tr>
      <w:tr w14:paraId="0363E8C4"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2D688A5" w14:textId="77777777">
            <w:pPr>
              <w:widowControl/>
              <w:jc w:val="center"/>
              <w:rPr>
                <w:rFonts w:ascii="Calibri" w:hAnsi="Calibri" w:cs="Calibri"/>
                <w:snapToGrid/>
                <w:kern w:val="0"/>
                <w:szCs w:val="22"/>
              </w:rPr>
            </w:pPr>
            <w:r w:rsidRPr="00A032ED">
              <w:rPr>
                <w:rFonts w:ascii="Calibri" w:hAnsi="Calibri" w:cs="Calibri"/>
                <w:snapToGrid/>
                <w:kern w:val="0"/>
                <w:szCs w:val="22"/>
              </w:rPr>
              <w:t>KTMD</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B44C0B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6,074,240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7A2DF3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$43,883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E5B0A2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5A0DEE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$48,941 </w:t>
            </w:r>
          </w:p>
        </w:tc>
        <w:tc>
          <w:tcPr>
            <w:tcW w:w="266" w:type="dxa"/>
            <w:tcBorders>
              <w:top w:val="nil"/>
              <w:left w:val="nil"/>
              <w:bottom w:val="nil"/>
              <w:right w:val="nil"/>
            </w:tcBorders>
            <w:shd w:val="clear" w:color="auto" w:fill="auto"/>
            <w:noWrap/>
            <w:vAlign w:val="bottom"/>
            <w:hideMark/>
          </w:tcPr>
          <w:p w:rsidR="006F7AD6" w:rsidRPr="00A032ED" w:rsidP="00886011" w14:paraId="6793CC88"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C1A7957" w14:textId="77777777">
            <w:pPr>
              <w:widowControl/>
              <w:jc w:val="center"/>
              <w:rPr>
                <w:rFonts w:ascii="Calibri" w:hAnsi="Calibri" w:cs="Calibri"/>
                <w:snapToGrid/>
                <w:kern w:val="0"/>
                <w:szCs w:val="22"/>
              </w:rPr>
            </w:pPr>
            <w:r w:rsidRPr="00A032ED">
              <w:rPr>
                <w:rFonts w:ascii="Calibri" w:hAnsi="Calibri" w:cs="Calibri"/>
                <w:snapToGrid/>
                <w:kern w:val="0"/>
                <w:szCs w:val="22"/>
              </w:rPr>
              <w:t>KSTP-TV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EADC2B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3,788,898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B13C49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$27,372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069B41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22EAB0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$34,024 </w:t>
            </w:r>
          </w:p>
        </w:tc>
      </w:tr>
      <w:tr w14:paraId="5748AC38"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AE55223" w14:textId="77777777">
            <w:pPr>
              <w:widowControl/>
              <w:jc w:val="center"/>
              <w:rPr>
                <w:rFonts w:ascii="Calibri" w:hAnsi="Calibri" w:cs="Calibri"/>
                <w:snapToGrid/>
                <w:kern w:val="0"/>
                <w:szCs w:val="22"/>
              </w:rPr>
            </w:pPr>
            <w:r w:rsidRPr="00A032ED">
              <w:rPr>
                <w:rFonts w:ascii="Calibri" w:hAnsi="Calibri" w:cs="Calibri"/>
                <w:snapToGrid/>
                <w:kern w:val="0"/>
                <w:szCs w:val="22"/>
              </w:rPr>
              <w:t>KTMF</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A8CE5A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187,251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A520DF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$1,353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8EE39E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62F70A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$2,901 </w:t>
            </w:r>
          </w:p>
        </w:tc>
        <w:tc>
          <w:tcPr>
            <w:tcW w:w="266" w:type="dxa"/>
            <w:tcBorders>
              <w:top w:val="nil"/>
              <w:left w:val="nil"/>
              <w:bottom w:val="nil"/>
              <w:right w:val="nil"/>
            </w:tcBorders>
            <w:shd w:val="clear" w:color="auto" w:fill="auto"/>
            <w:noWrap/>
            <w:vAlign w:val="bottom"/>
            <w:hideMark/>
          </w:tcPr>
          <w:p w:rsidR="006F7AD6" w:rsidRPr="00A032ED" w:rsidP="00886011" w14:paraId="1502E4C2"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B0EB1A2" w14:textId="77777777">
            <w:pPr>
              <w:widowControl/>
              <w:jc w:val="center"/>
              <w:rPr>
                <w:rFonts w:ascii="Calibri" w:hAnsi="Calibri" w:cs="Calibri"/>
                <w:snapToGrid/>
                <w:kern w:val="0"/>
                <w:szCs w:val="22"/>
              </w:rPr>
            </w:pPr>
            <w:r w:rsidRPr="00A032ED">
              <w:rPr>
                <w:rFonts w:ascii="Calibri" w:hAnsi="Calibri" w:cs="Calibri"/>
                <w:snapToGrid/>
                <w:kern w:val="0"/>
                <w:szCs w:val="22"/>
              </w:rPr>
              <w:t>KSTR-DT</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DC14E7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6,617,736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BEB46E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$47,809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C0BDD8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E3DE35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$50,904 </w:t>
            </w:r>
          </w:p>
        </w:tc>
      </w:tr>
      <w:tr w14:paraId="21A3747C"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A03D22A" w14:textId="77777777">
            <w:pPr>
              <w:widowControl/>
              <w:jc w:val="center"/>
              <w:rPr>
                <w:rFonts w:ascii="Calibri" w:hAnsi="Calibri" w:cs="Calibri"/>
                <w:snapToGrid/>
                <w:kern w:val="0"/>
                <w:szCs w:val="22"/>
              </w:rPr>
            </w:pPr>
            <w:r w:rsidRPr="00A032ED">
              <w:rPr>
                <w:rFonts w:ascii="Calibri" w:hAnsi="Calibri" w:cs="Calibri"/>
                <w:snapToGrid/>
                <w:kern w:val="0"/>
                <w:szCs w:val="22"/>
              </w:rPr>
              <w:t>KTVM-TV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FA2455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277,657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F4BCBC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$2,006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9D5D76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BB56E2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$3,228 </w:t>
            </w:r>
          </w:p>
        </w:tc>
        <w:tc>
          <w:tcPr>
            <w:tcW w:w="266" w:type="dxa"/>
            <w:tcBorders>
              <w:top w:val="nil"/>
              <w:left w:val="nil"/>
              <w:bottom w:val="nil"/>
              <w:right w:val="nil"/>
            </w:tcBorders>
            <w:shd w:val="clear" w:color="auto" w:fill="auto"/>
            <w:noWrap/>
            <w:vAlign w:val="bottom"/>
            <w:hideMark/>
          </w:tcPr>
          <w:p w:rsidR="006F7AD6" w:rsidRPr="00A032ED" w:rsidP="00886011" w14:paraId="2A4F7894"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5D19869" w14:textId="77777777">
            <w:pPr>
              <w:widowControl/>
              <w:jc w:val="center"/>
              <w:rPr>
                <w:rFonts w:ascii="Calibri" w:hAnsi="Calibri" w:cs="Calibri"/>
                <w:snapToGrid/>
                <w:kern w:val="0"/>
                <w:szCs w:val="22"/>
              </w:rPr>
            </w:pPr>
            <w:r w:rsidRPr="00A032ED">
              <w:rPr>
                <w:rFonts w:ascii="Calibri" w:hAnsi="Calibri" w:cs="Calibri"/>
                <w:snapToGrid/>
                <w:kern w:val="0"/>
                <w:szCs w:val="22"/>
              </w:rPr>
              <w:t>KSTS</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4D0DB6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7,645,340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B7D971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$55,233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C195E2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43E35D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$54,616 </w:t>
            </w:r>
          </w:p>
        </w:tc>
      </w:tr>
      <w:tr w14:paraId="750DFA8A"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6B87F8F" w14:textId="77777777">
            <w:pPr>
              <w:widowControl/>
              <w:jc w:val="center"/>
              <w:rPr>
                <w:rFonts w:ascii="Calibri" w:hAnsi="Calibri" w:cs="Calibri"/>
                <w:snapToGrid/>
                <w:kern w:val="0"/>
                <w:szCs w:val="22"/>
              </w:rPr>
            </w:pPr>
            <w:r w:rsidRPr="00A032ED">
              <w:rPr>
                <w:rFonts w:ascii="Calibri" w:hAnsi="Calibri" w:cs="Calibri"/>
                <w:snapToGrid/>
                <w:kern w:val="0"/>
                <w:szCs w:val="22"/>
              </w:rPr>
              <w:t>KTVN</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F02418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955,300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497C05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$6,901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CB99DB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7E481D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$5,676 </w:t>
            </w:r>
          </w:p>
        </w:tc>
        <w:tc>
          <w:tcPr>
            <w:tcW w:w="266" w:type="dxa"/>
            <w:tcBorders>
              <w:top w:val="nil"/>
              <w:left w:val="nil"/>
              <w:bottom w:val="nil"/>
              <w:right w:val="nil"/>
            </w:tcBorders>
            <w:shd w:val="clear" w:color="auto" w:fill="auto"/>
            <w:noWrap/>
            <w:vAlign w:val="bottom"/>
            <w:hideMark/>
          </w:tcPr>
          <w:p w:rsidR="006F7AD6" w:rsidRPr="00A032ED" w:rsidP="00886011" w14:paraId="7455374B"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4372891" w14:textId="77777777">
            <w:pPr>
              <w:widowControl/>
              <w:jc w:val="center"/>
              <w:rPr>
                <w:rFonts w:ascii="Calibri" w:hAnsi="Calibri" w:cs="Calibri"/>
                <w:snapToGrid/>
                <w:kern w:val="0"/>
                <w:szCs w:val="22"/>
              </w:rPr>
            </w:pPr>
            <w:r w:rsidRPr="00A032ED">
              <w:rPr>
                <w:rFonts w:ascii="Calibri" w:hAnsi="Calibri" w:cs="Calibri"/>
                <w:snapToGrid/>
                <w:kern w:val="0"/>
                <w:szCs w:val="22"/>
              </w:rPr>
              <w:t>KTMW</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31C00F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2,261,671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45CF53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$16,339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D382CC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F199FA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$21,745 </w:t>
            </w:r>
          </w:p>
        </w:tc>
      </w:tr>
      <w:tr w14:paraId="507B7585"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4518787" w14:textId="77777777">
            <w:pPr>
              <w:widowControl/>
              <w:jc w:val="center"/>
              <w:rPr>
                <w:rFonts w:ascii="Calibri" w:hAnsi="Calibri" w:cs="Calibri"/>
                <w:snapToGrid/>
                <w:kern w:val="0"/>
                <w:szCs w:val="22"/>
              </w:rPr>
            </w:pPr>
            <w:r w:rsidRPr="00A032ED">
              <w:rPr>
                <w:rFonts w:ascii="Calibri" w:hAnsi="Calibri" w:cs="Calibri"/>
                <w:snapToGrid/>
                <w:kern w:val="0"/>
                <w:szCs w:val="22"/>
              </w:rPr>
              <w:t>KTVO</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6C9289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148,780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E2663C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$1,075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1CE6AA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6DDC28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$2,762 </w:t>
            </w:r>
          </w:p>
        </w:tc>
        <w:tc>
          <w:tcPr>
            <w:tcW w:w="266" w:type="dxa"/>
            <w:tcBorders>
              <w:top w:val="nil"/>
              <w:left w:val="nil"/>
              <w:bottom w:val="nil"/>
              <w:right w:val="nil"/>
            </w:tcBorders>
            <w:shd w:val="clear" w:color="auto" w:fill="auto"/>
            <w:noWrap/>
            <w:vAlign w:val="bottom"/>
            <w:hideMark/>
          </w:tcPr>
          <w:p w:rsidR="006F7AD6" w:rsidRPr="00A032ED" w:rsidP="00886011" w14:paraId="647CDB02"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4EAD962" w14:textId="77777777">
            <w:pPr>
              <w:widowControl/>
              <w:jc w:val="center"/>
              <w:rPr>
                <w:rFonts w:ascii="Calibri" w:hAnsi="Calibri" w:cs="Calibri"/>
                <w:snapToGrid/>
                <w:kern w:val="0"/>
                <w:szCs w:val="22"/>
              </w:rPr>
            </w:pPr>
            <w:r w:rsidRPr="00A032ED">
              <w:rPr>
                <w:rFonts w:ascii="Calibri" w:hAnsi="Calibri" w:cs="Calibri"/>
                <w:snapToGrid/>
                <w:kern w:val="0"/>
                <w:szCs w:val="22"/>
              </w:rPr>
              <w:t>KTNL-TV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0A24F8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8,642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DD1E07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$62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79CD05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5F2037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$2,256 </w:t>
            </w:r>
          </w:p>
        </w:tc>
      </w:tr>
      <w:tr w14:paraId="3940FF3C"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B585D3D" w14:textId="77777777">
            <w:pPr>
              <w:widowControl/>
              <w:jc w:val="center"/>
              <w:rPr>
                <w:rFonts w:ascii="Calibri" w:hAnsi="Calibri" w:cs="Calibri"/>
                <w:snapToGrid/>
                <w:kern w:val="0"/>
                <w:szCs w:val="22"/>
              </w:rPr>
            </w:pPr>
            <w:r w:rsidRPr="00A032ED">
              <w:rPr>
                <w:rFonts w:ascii="Calibri" w:hAnsi="Calibri" w:cs="Calibri"/>
                <w:snapToGrid/>
                <w:kern w:val="0"/>
                <w:szCs w:val="22"/>
              </w:rPr>
              <w:t>KTVQ</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7FDB28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179,797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AB75FF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$1,299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7E9DFC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23B771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$2,874 </w:t>
            </w:r>
          </w:p>
        </w:tc>
        <w:tc>
          <w:tcPr>
            <w:tcW w:w="266" w:type="dxa"/>
            <w:tcBorders>
              <w:top w:val="nil"/>
              <w:left w:val="nil"/>
              <w:bottom w:val="nil"/>
              <w:right w:val="nil"/>
            </w:tcBorders>
            <w:shd w:val="clear" w:color="auto" w:fill="auto"/>
            <w:noWrap/>
            <w:vAlign w:val="bottom"/>
            <w:hideMark/>
          </w:tcPr>
          <w:p w:rsidR="006F7AD6" w:rsidRPr="00A032ED" w:rsidP="00886011" w14:paraId="6E5583DA"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1B026D3" w14:textId="77777777">
            <w:pPr>
              <w:widowControl/>
              <w:jc w:val="center"/>
              <w:rPr>
                <w:rFonts w:ascii="Calibri" w:hAnsi="Calibri" w:cs="Calibri"/>
                <w:snapToGrid/>
                <w:kern w:val="0"/>
                <w:szCs w:val="22"/>
              </w:rPr>
            </w:pPr>
            <w:r w:rsidRPr="00A032ED">
              <w:rPr>
                <w:rFonts w:ascii="Calibri" w:hAnsi="Calibri" w:cs="Calibri"/>
                <w:snapToGrid/>
                <w:kern w:val="0"/>
                <w:szCs w:val="22"/>
              </w:rPr>
              <w:t>KTNV-TV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DCE446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2,094,506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D22A51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$15,131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52356D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7C8466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$21,141 </w:t>
            </w:r>
          </w:p>
        </w:tc>
      </w:tr>
      <w:tr w14:paraId="6CE94CDE"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D8C6E47" w14:textId="77777777">
            <w:pPr>
              <w:widowControl/>
              <w:jc w:val="center"/>
              <w:rPr>
                <w:rFonts w:ascii="Calibri" w:hAnsi="Calibri" w:cs="Calibri"/>
                <w:snapToGrid/>
                <w:kern w:val="0"/>
                <w:szCs w:val="22"/>
              </w:rPr>
            </w:pPr>
            <w:r w:rsidRPr="00A032ED">
              <w:rPr>
                <w:rFonts w:ascii="Calibri" w:hAnsi="Calibri" w:cs="Calibri"/>
                <w:snapToGrid/>
                <w:kern w:val="0"/>
                <w:szCs w:val="22"/>
              </w:rPr>
              <w:t>KTVT</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F6F463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6,912,366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AE5EDE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$49,937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1E4475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D9132E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$51,969 </w:t>
            </w:r>
          </w:p>
        </w:tc>
        <w:tc>
          <w:tcPr>
            <w:tcW w:w="266" w:type="dxa"/>
            <w:tcBorders>
              <w:top w:val="nil"/>
              <w:left w:val="nil"/>
              <w:bottom w:val="nil"/>
              <w:right w:val="nil"/>
            </w:tcBorders>
            <w:shd w:val="clear" w:color="auto" w:fill="auto"/>
            <w:noWrap/>
            <w:vAlign w:val="bottom"/>
            <w:hideMark/>
          </w:tcPr>
          <w:p w:rsidR="006F7AD6" w:rsidRPr="00A032ED" w:rsidP="00886011" w14:paraId="265A127F"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884586B" w14:textId="77777777">
            <w:pPr>
              <w:widowControl/>
              <w:jc w:val="center"/>
              <w:rPr>
                <w:rFonts w:ascii="Calibri" w:hAnsi="Calibri" w:cs="Calibri"/>
                <w:snapToGrid/>
                <w:kern w:val="0"/>
                <w:szCs w:val="22"/>
              </w:rPr>
            </w:pPr>
            <w:r w:rsidRPr="00A032ED">
              <w:rPr>
                <w:rFonts w:ascii="Calibri" w:hAnsi="Calibri" w:cs="Calibri"/>
                <w:snapToGrid/>
                <w:kern w:val="0"/>
                <w:szCs w:val="22"/>
              </w:rPr>
              <w:t>KTOO-TV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840E93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31,269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D40F0B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$226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F5EE29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626787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$2,338 </w:t>
            </w:r>
          </w:p>
        </w:tc>
      </w:tr>
      <w:tr w14:paraId="6439F6CD"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D36CB59" w14:textId="77777777">
            <w:pPr>
              <w:widowControl/>
              <w:jc w:val="center"/>
              <w:rPr>
                <w:rFonts w:ascii="Calibri" w:hAnsi="Calibri" w:cs="Calibri"/>
                <w:snapToGrid/>
                <w:kern w:val="0"/>
                <w:szCs w:val="22"/>
              </w:rPr>
            </w:pPr>
            <w:r w:rsidRPr="00A032ED">
              <w:rPr>
                <w:rFonts w:ascii="Calibri" w:hAnsi="Calibri" w:cs="Calibri"/>
                <w:snapToGrid/>
                <w:kern w:val="0"/>
                <w:szCs w:val="22"/>
              </w:rPr>
              <w:t>KTVU</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A23E1F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7,913,996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DA1536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$57,174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10A05A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88823C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$55,587 </w:t>
            </w:r>
          </w:p>
        </w:tc>
        <w:tc>
          <w:tcPr>
            <w:tcW w:w="266" w:type="dxa"/>
            <w:tcBorders>
              <w:top w:val="nil"/>
              <w:left w:val="nil"/>
              <w:bottom w:val="nil"/>
              <w:right w:val="nil"/>
            </w:tcBorders>
            <w:shd w:val="clear" w:color="auto" w:fill="auto"/>
            <w:noWrap/>
            <w:vAlign w:val="bottom"/>
            <w:hideMark/>
          </w:tcPr>
          <w:p w:rsidR="006F7AD6" w:rsidRPr="00A032ED" w:rsidP="00886011" w14:paraId="29D134AE"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9DEB134" w14:textId="77777777">
            <w:pPr>
              <w:widowControl/>
              <w:jc w:val="center"/>
              <w:rPr>
                <w:rFonts w:ascii="Calibri" w:hAnsi="Calibri" w:cs="Calibri"/>
                <w:snapToGrid/>
                <w:kern w:val="0"/>
                <w:szCs w:val="22"/>
              </w:rPr>
            </w:pPr>
            <w:r w:rsidRPr="00A032ED">
              <w:rPr>
                <w:rFonts w:ascii="Calibri" w:hAnsi="Calibri" w:cs="Calibri"/>
                <w:snapToGrid/>
                <w:kern w:val="0"/>
                <w:szCs w:val="22"/>
              </w:rPr>
              <w:t>KTPX-TV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F41085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1,066,196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CEA7D8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$7,703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ADF52A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473A97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$10,626 </w:t>
            </w:r>
          </w:p>
        </w:tc>
      </w:tr>
      <w:tr w14:paraId="74893DEE"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EBE00E0" w14:textId="77777777">
            <w:pPr>
              <w:widowControl/>
              <w:jc w:val="center"/>
              <w:rPr>
                <w:rFonts w:ascii="Calibri" w:hAnsi="Calibri" w:cs="Calibri"/>
                <w:snapToGrid/>
                <w:kern w:val="0"/>
                <w:szCs w:val="22"/>
              </w:rPr>
            </w:pPr>
            <w:r w:rsidRPr="00A032ED">
              <w:rPr>
                <w:rFonts w:ascii="Calibri" w:hAnsi="Calibri" w:cs="Calibri"/>
                <w:snapToGrid/>
                <w:kern w:val="0"/>
                <w:szCs w:val="22"/>
              </w:rPr>
              <w:t>KTVW-DT</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A34422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4,173,111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1DAB58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$30,148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E72AA1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FF55C4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$35,412 </w:t>
            </w:r>
          </w:p>
        </w:tc>
        <w:tc>
          <w:tcPr>
            <w:tcW w:w="266" w:type="dxa"/>
            <w:tcBorders>
              <w:top w:val="nil"/>
              <w:left w:val="nil"/>
              <w:bottom w:val="nil"/>
              <w:right w:val="nil"/>
            </w:tcBorders>
            <w:shd w:val="clear" w:color="auto" w:fill="auto"/>
            <w:noWrap/>
            <w:vAlign w:val="bottom"/>
            <w:hideMark/>
          </w:tcPr>
          <w:p w:rsidR="006F7AD6" w:rsidRPr="00A032ED" w:rsidP="00886011" w14:paraId="52E2C552"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0B8C257" w14:textId="77777777">
            <w:pPr>
              <w:widowControl/>
              <w:jc w:val="center"/>
              <w:rPr>
                <w:rFonts w:ascii="Calibri" w:hAnsi="Calibri" w:cs="Calibri"/>
                <w:snapToGrid/>
                <w:kern w:val="0"/>
                <w:szCs w:val="22"/>
              </w:rPr>
            </w:pPr>
            <w:r w:rsidRPr="00A032ED">
              <w:rPr>
                <w:rFonts w:ascii="Calibri" w:hAnsi="Calibri" w:cs="Calibri"/>
                <w:snapToGrid/>
                <w:kern w:val="0"/>
                <w:szCs w:val="22"/>
              </w:rPr>
              <w:t>KTRE</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B045E7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441,879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1A9EE4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$3,192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F26DFD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16681A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$3,821 </w:t>
            </w:r>
          </w:p>
        </w:tc>
      </w:tr>
      <w:tr w14:paraId="69B10946"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019D83C" w14:textId="77777777">
            <w:pPr>
              <w:widowControl/>
              <w:jc w:val="center"/>
              <w:rPr>
                <w:rFonts w:ascii="Calibri" w:hAnsi="Calibri" w:cs="Calibri"/>
                <w:snapToGrid/>
                <w:kern w:val="0"/>
                <w:szCs w:val="22"/>
              </w:rPr>
            </w:pPr>
            <w:r w:rsidRPr="00A032ED">
              <w:rPr>
                <w:rFonts w:ascii="Calibri" w:hAnsi="Calibri" w:cs="Calibri"/>
                <w:snapToGrid/>
                <w:kern w:val="0"/>
                <w:szCs w:val="22"/>
              </w:rPr>
              <w:t>KTVX</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A894A8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2,381,728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FFD7AA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$17,206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A584A4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826D3F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$22,178 </w:t>
            </w:r>
          </w:p>
        </w:tc>
        <w:tc>
          <w:tcPr>
            <w:tcW w:w="266" w:type="dxa"/>
            <w:tcBorders>
              <w:top w:val="nil"/>
              <w:left w:val="nil"/>
              <w:bottom w:val="nil"/>
              <w:right w:val="nil"/>
            </w:tcBorders>
            <w:shd w:val="clear" w:color="auto" w:fill="auto"/>
            <w:noWrap/>
            <w:vAlign w:val="bottom"/>
            <w:hideMark/>
          </w:tcPr>
          <w:p w:rsidR="006F7AD6" w:rsidRPr="00A032ED" w:rsidP="00886011" w14:paraId="449FB2AE"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D969D45" w14:textId="77777777">
            <w:pPr>
              <w:widowControl/>
              <w:jc w:val="center"/>
              <w:rPr>
                <w:rFonts w:ascii="Calibri" w:hAnsi="Calibri" w:cs="Calibri"/>
                <w:snapToGrid/>
                <w:kern w:val="0"/>
                <w:szCs w:val="22"/>
              </w:rPr>
            </w:pPr>
            <w:r w:rsidRPr="00A032ED">
              <w:rPr>
                <w:rFonts w:ascii="Calibri" w:hAnsi="Calibri" w:cs="Calibri"/>
                <w:snapToGrid/>
                <w:kern w:val="0"/>
                <w:szCs w:val="22"/>
              </w:rPr>
              <w:t>KTRK-TV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61C34A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6,114,259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31D140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$44,172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D9557A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551AEF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$49,086 </w:t>
            </w:r>
          </w:p>
        </w:tc>
      </w:tr>
      <w:tr w14:paraId="2EAC9674"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7BDA556" w14:textId="77777777">
            <w:pPr>
              <w:widowControl/>
              <w:jc w:val="center"/>
              <w:rPr>
                <w:rFonts w:ascii="Calibri" w:hAnsi="Calibri" w:cs="Calibri"/>
                <w:snapToGrid/>
                <w:kern w:val="0"/>
                <w:szCs w:val="22"/>
              </w:rPr>
            </w:pPr>
            <w:r w:rsidRPr="00A032ED">
              <w:rPr>
                <w:rFonts w:ascii="Calibri" w:hAnsi="Calibri" w:cs="Calibri"/>
                <w:snapToGrid/>
                <w:kern w:val="0"/>
                <w:szCs w:val="22"/>
              </w:rPr>
              <w:t>KTVZ</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17CA51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201,828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5D63CD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$1,458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6E8197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12671A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$2,954 </w:t>
            </w:r>
          </w:p>
        </w:tc>
        <w:tc>
          <w:tcPr>
            <w:tcW w:w="266" w:type="dxa"/>
            <w:tcBorders>
              <w:top w:val="nil"/>
              <w:left w:val="nil"/>
              <w:bottom w:val="nil"/>
              <w:right w:val="nil"/>
            </w:tcBorders>
            <w:shd w:val="clear" w:color="auto" w:fill="auto"/>
            <w:noWrap/>
            <w:vAlign w:val="bottom"/>
            <w:hideMark/>
          </w:tcPr>
          <w:p w:rsidR="006F7AD6" w:rsidRPr="00A032ED" w:rsidP="00886011" w14:paraId="7AE3EC8F"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4F72DAD" w14:textId="77777777">
            <w:pPr>
              <w:widowControl/>
              <w:jc w:val="center"/>
              <w:rPr>
                <w:rFonts w:ascii="Calibri" w:hAnsi="Calibri" w:cs="Calibri"/>
                <w:snapToGrid/>
                <w:kern w:val="0"/>
                <w:szCs w:val="22"/>
              </w:rPr>
            </w:pPr>
            <w:r w:rsidRPr="00A032ED">
              <w:rPr>
                <w:rFonts w:ascii="Calibri" w:hAnsi="Calibri" w:cs="Calibri"/>
                <w:snapToGrid/>
                <w:kern w:val="0"/>
                <w:szCs w:val="22"/>
              </w:rPr>
              <w:t>KTRV-TV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9A005E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714,833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B0FA11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$5,164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1A413A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E93944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$4,807 </w:t>
            </w:r>
          </w:p>
        </w:tc>
      </w:tr>
      <w:tr w14:paraId="09763B67"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E14A334" w14:textId="77777777">
            <w:pPr>
              <w:widowControl/>
              <w:jc w:val="center"/>
              <w:rPr>
                <w:rFonts w:ascii="Calibri" w:hAnsi="Calibri" w:cs="Calibri"/>
                <w:snapToGrid/>
                <w:kern w:val="0"/>
                <w:szCs w:val="22"/>
              </w:rPr>
            </w:pPr>
            <w:r w:rsidRPr="00A032ED">
              <w:rPr>
                <w:rFonts w:ascii="Calibri" w:hAnsi="Calibri" w:cs="Calibri"/>
                <w:snapToGrid/>
                <w:kern w:val="0"/>
                <w:szCs w:val="22"/>
              </w:rPr>
              <w:t>KTWO-TV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8C5CB2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80,426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710233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$581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122B7D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BF4617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$2,516 </w:t>
            </w:r>
          </w:p>
        </w:tc>
        <w:tc>
          <w:tcPr>
            <w:tcW w:w="266" w:type="dxa"/>
            <w:tcBorders>
              <w:top w:val="nil"/>
              <w:left w:val="nil"/>
              <w:bottom w:val="nil"/>
              <w:right w:val="nil"/>
            </w:tcBorders>
            <w:shd w:val="clear" w:color="auto" w:fill="auto"/>
            <w:noWrap/>
            <w:vAlign w:val="bottom"/>
            <w:hideMark/>
          </w:tcPr>
          <w:p w:rsidR="006F7AD6" w:rsidRPr="00A032ED" w:rsidP="00886011" w14:paraId="694B02D1"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DB7F2F3" w14:textId="77777777">
            <w:pPr>
              <w:widowControl/>
              <w:jc w:val="center"/>
              <w:rPr>
                <w:rFonts w:ascii="Calibri" w:hAnsi="Calibri" w:cs="Calibri"/>
                <w:snapToGrid/>
                <w:kern w:val="0"/>
                <w:szCs w:val="22"/>
              </w:rPr>
            </w:pPr>
            <w:r w:rsidRPr="00A032ED">
              <w:rPr>
                <w:rFonts w:ascii="Calibri" w:hAnsi="Calibri" w:cs="Calibri"/>
                <w:snapToGrid/>
                <w:kern w:val="0"/>
                <w:szCs w:val="22"/>
              </w:rPr>
              <w:t>KTSF</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4F04B1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7,921,124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17E74A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$57,225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B4EBBD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689A47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$55,613 </w:t>
            </w:r>
          </w:p>
        </w:tc>
      </w:tr>
      <w:tr w14:paraId="20AE8675"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7D18250" w14:textId="77777777">
            <w:pPr>
              <w:widowControl/>
              <w:jc w:val="center"/>
              <w:rPr>
                <w:rFonts w:ascii="Calibri" w:hAnsi="Calibri" w:cs="Calibri"/>
                <w:snapToGrid/>
                <w:kern w:val="0"/>
                <w:szCs w:val="22"/>
              </w:rPr>
            </w:pPr>
            <w:r w:rsidRPr="00A032ED">
              <w:rPr>
                <w:rFonts w:ascii="Calibri" w:hAnsi="Calibri" w:cs="Calibri"/>
                <w:snapToGrid/>
                <w:kern w:val="0"/>
                <w:szCs w:val="22"/>
              </w:rPr>
              <w:t>KTXA</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B80EAC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6,876,811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BBB216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$49,681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4FDD2E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89090E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$51,840 </w:t>
            </w:r>
          </w:p>
        </w:tc>
        <w:tc>
          <w:tcPr>
            <w:tcW w:w="266" w:type="dxa"/>
            <w:tcBorders>
              <w:top w:val="nil"/>
              <w:left w:val="nil"/>
              <w:bottom w:val="nil"/>
              <w:right w:val="nil"/>
            </w:tcBorders>
            <w:shd w:val="clear" w:color="auto" w:fill="auto"/>
            <w:noWrap/>
            <w:vAlign w:val="bottom"/>
            <w:hideMark/>
          </w:tcPr>
          <w:p w:rsidR="006F7AD6" w:rsidRPr="00A032ED" w:rsidP="00886011" w14:paraId="4D13D578"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CF1377C" w14:textId="77777777">
            <w:pPr>
              <w:widowControl/>
              <w:jc w:val="center"/>
              <w:rPr>
                <w:rFonts w:ascii="Calibri" w:hAnsi="Calibri" w:cs="Calibri"/>
                <w:snapToGrid/>
                <w:kern w:val="0"/>
                <w:szCs w:val="22"/>
              </w:rPr>
            </w:pPr>
            <w:r w:rsidRPr="00A032ED">
              <w:rPr>
                <w:rFonts w:ascii="Calibri" w:hAnsi="Calibri" w:cs="Calibri"/>
                <w:snapToGrid/>
                <w:kern w:val="0"/>
                <w:szCs w:val="22"/>
              </w:rPr>
              <w:t>KTSM-TV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CEA503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1,015,348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413077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$7,335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913669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8542F7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$10,443 </w:t>
            </w:r>
          </w:p>
        </w:tc>
      </w:tr>
      <w:tr w14:paraId="16F3C734"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2690B3F" w14:textId="77777777">
            <w:pPr>
              <w:widowControl/>
              <w:jc w:val="center"/>
              <w:rPr>
                <w:rFonts w:ascii="Calibri" w:hAnsi="Calibri" w:cs="Calibri"/>
                <w:snapToGrid/>
                <w:kern w:val="0"/>
                <w:szCs w:val="22"/>
              </w:rPr>
            </w:pPr>
            <w:r w:rsidRPr="00A032ED">
              <w:rPr>
                <w:rFonts w:ascii="Calibri" w:hAnsi="Calibri" w:cs="Calibri"/>
                <w:snapToGrid/>
                <w:kern w:val="0"/>
                <w:szCs w:val="22"/>
              </w:rPr>
              <w:t>KTXD-TV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2E15A6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6,546,692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A57396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$47,296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F41FF9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1F7B95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$50,648 </w:t>
            </w:r>
          </w:p>
        </w:tc>
        <w:tc>
          <w:tcPr>
            <w:tcW w:w="266" w:type="dxa"/>
            <w:tcBorders>
              <w:top w:val="nil"/>
              <w:left w:val="nil"/>
              <w:bottom w:val="nil"/>
              <w:right w:val="nil"/>
            </w:tcBorders>
            <w:shd w:val="clear" w:color="auto" w:fill="auto"/>
            <w:noWrap/>
            <w:vAlign w:val="bottom"/>
            <w:hideMark/>
          </w:tcPr>
          <w:p w:rsidR="006F7AD6" w:rsidRPr="00A032ED" w:rsidP="00886011" w14:paraId="478D5ABA"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4DE669E" w14:textId="77777777">
            <w:pPr>
              <w:widowControl/>
              <w:jc w:val="center"/>
              <w:rPr>
                <w:rFonts w:ascii="Calibri" w:hAnsi="Calibri" w:cs="Calibri"/>
                <w:snapToGrid/>
                <w:kern w:val="0"/>
                <w:szCs w:val="22"/>
              </w:rPr>
            </w:pPr>
            <w:r w:rsidRPr="00A032ED">
              <w:rPr>
                <w:rFonts w:ascii="Calibri" w:hAnsi="Calibri" w:cs="Calibri"/>
                <w:snapToGrid/>
                <w:kern w:val="0"/>
                <w:szCs w:val="22"/>
              </w:rPr>
              <w:t>KTTC</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313751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815,213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C7FEE5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$5,889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2E64FA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88B66C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$5,170 </w:t>
            </w:r>
          </w:p>
        </w:tc>
      </w:tr>
      <w:tr w14:paraId="0D21C6A1"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12DCBC4" w14:textId="77777777">
            <w:pPr>
              <w:widowControl/>
              <w:jc w:val="center"/>
              <w:rPr>
                <w:rFonts w:ascii="Calibri" w:hAnsi="Calibri" w:cs="Calibri"/>
                <w:snapToGrid/>
                <w:kern w:val="0"/>
                <w:szCs w:val="22"/>
              </w:rPr>
            </w:pPr>
            <w:r w:rsidRPr="00A032ED">
              <w:rPr>
                <w:rFonts w:ascii="Calibri" w:hAnsi="Calibri" w:cs="Calibri"/>
                <w:snapToGrid/>
                <w:kern w:val="0"/>
                <w:szCs w:val="22"/>
              </w:rPr>
              <w:t>KTXH</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4EEE8A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6,092,710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C614A2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$44,016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B67A10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198521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$49,008 </w:t>
            </w:r>
          </w:p>
        </w:tc>
        <w:tc>
          <w:tcPr>
            <w:tcW w:w="266" w:type="dxa"/>
            <w:tcBorders>
              <w:top w:val="nil"/>
              <w:left w:val="nil"/>
              <w:bottom w:val="nil"/>
              <w:right w:val="nil"/>
            </w:tcBorders>
            <w:shd w:val="clear" w:color="auto" w:fill="auto"/>
            <w:noWrap/>
            <w:vAlign w:val="bottom"/>
            <w:hideMark/>
          </w:tcPr>
          <w:p w:rsidR="006F7AD6" w:rsidRPr="00A032ED" w:rsidP="00886011" w14:paraId="6B932FEC"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8A26793" w14:textId="77777777">
            <w:pPr>
              <w:widowControl/>
              <w:jc w:val="center"/>
              <w:rPr>
                <w:rFonts w:ascii="Calibri" w:hAnsi="Calibri" w:cs="Calibri"/>
                <w:snapToGrid/>
                <w:kern w:val="0"/>
                <w:szCs w:val="22"/>
              </w:rPr>
            </w:pPr>
            <w:r w:rsidRPr="00A032ED">
              <w:rPr>
                <w:rFonts w:ascii="Calibri" w:hAnsi="Calibri" w:cs="Calibri"/>
                <w:snapToGrid/>
                <w:kern w:val="0"/>
                <w:szCs w:val="22"/>
              </w:rPr>
              <w:t>KTTM</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96C292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76,133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57474B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$550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FAE9AB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87289E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$2,500 </w:t>
            </w:r>
          </w:p>
        </w:tc>
      </w:tr>
      <w:tr w14:paraId="6D2D6BAF"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3CDC230" w14:textId="77777777">
            <w:pPr>
              <w:widowControl/>
              <w:jc w:val="center"/>
              <w:rPr>
                <w:rFonts w:ascii="Calibri" w:hAnsi="Calibri" w:cs="Calibri"/>
                <w:snapToGrid/>
                <w:kern w:val="0"/>
                <w:szCs w:val="22"/>
              </w:rPr>
            </w:pPr>
            <w:r w:rsidRPr="00A032ED">
              <w:rPr>
                <w:rFonts w:ascii="Calibri" w:hAnsi="Calibri" w:cs="Calibri"/>
                <w:snapToGrid/>
                <w:kern w:val="0"/>
                <w:szCs w:val="22"/>
              </w:rPr>
              <w:t>KTXL</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79F920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7,355,088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FB1707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$53,136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534EE0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A9C908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$46,905 </w:t>
            </w:r>
          </w:p>
        </w:tc>
        <w:tc>
          <w:tcPr>
            <w:tcW w:w="266" w:type="dxa"/>
            <w:tcBorders>
              <w:top w:val="nil"/>
              <w:left w:val="nil"/>
              <w:bottom w:val="nil"/>
              <w:right w:val="nil"/>
            </w:tcBorders>
            <w:shd w:val="clear" w:color="auto" w:fill="auto"/>
            <w:noWrap/>
            <w:vAlign w:val="bottom"/>
            <w:hideMark/>
          </w:tcPr>
          <w:p w:rsidR="006F7AD6" w:rsidRPr="00A032ED" w:rsidP="00886011" w14:paraId="43619343"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15B53B9" w14:textId="77777777">
            <w:pPr>
              <w:widowControl/>
              <w:jc w:val="center"/>
              <w:rPr>
                <w:rFonts w:ascii="Calibri" w:hAnsi="Calibri" w:cs="Calibri"/>
                <w:snapToGrid/>
                <w:kern w:val="0"/>
                <w:szCs w:val="22"/>
              </w:rPr>
            </w:pPr>
            <w:r w:rsidRPr="00A032ED">
              <w:rPr>
                <w:rFonts w:ascii="Calibri" w:hAnsi="Calibri" w:cs="Calibri"/>
                <w:snapToGrid/>
                <w:kern w:val="0"/>
                <w:szCs w:val="22"/>
              </w:rPr>
              <w:t>KTTU</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7A7A6A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1,324,801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5B0B18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$9,571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6975AB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77EF94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$11,560 </w:t>
            </w:r>
          </w:p>
        </w:tc>
      </w:tr>
      <w:tr w14:paraId="50183FFC"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2890B72" w14:textId="77777777">
            <w:pPr>
              <w:widowControl/>
              <w:jc w:val="center"/>
              <w:rPr>
                <w:rFonts w:ascii="Calibri" w:hAnsi="Calibri" w:cs="Calibri"/>
                <w:snapToGrid/>
                <w:kern w:val="0"/>
                <w:szCs w:val="22"/>
              </w:rPr>
            </w:pPr>
            <w:r w:rsidRPr="00A032ED">
              <w:rPr>
                <w:rFonts w:ascii="Calibri" w:hAnsi="Calibri" w:cs="Calibri"/>
                <w:snapToGrid/>
                <w:kern w:val="0"/>
                <w:szCs w:val="22"/>
              </w:rPr>
              <w:t>KTXS-TV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E88B30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247,603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D4A2B7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$1,789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171EC4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A82A2F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$3,119 </w:t>
            </w:r>
          </w:p>
        </w:tc>
        <w:tc>
          <w:tcPr>
            <w:tcW w:w="266" w:type="dxa"/>
            <w:tcBorders>
              <w:top w:val="nil"/>
              <w:left w:val="nil"/>
              <w:bottom w:val="nil"/>
              <w:right w:val="nil"/>
            </w:tcBorders>
            <w:shd w:val="clear" w:color="auto" w:fill="auto"/>
            <w:noWrap/>
            <w:vAlign w:val="bottom"/>
            <w:hideMark/>
          </w:tcPr>
          <w:p w:rsidR="006F7AD6" w:rsidRPr="00A032ED" w:rsidP="00886011" w14:paraId="30B357B1"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B37F957" w14:textId="77777777">
            <w:pPr>
              <w:widowControl/>
              <w:jc w:val="center"/>
              <w:rPr>
                <w:rFonts w:ascii="Calibri" w:hAnsi="Calibri" w:cs="Calibri"/>
                <w:snapToGrid/>
                <w:kern w:val="0"/>
                <w:szCs w:val="22"/>
              </w:rPr>
            </w:pPr>
            <w:r w:rsidRPr="00A032ED">
              <w:rPr>
                <w:rFonts w:ascii="Calibri" w:hAnsi="Calibri" w:cs="Calibri"/>
                <w:snapToGrid/>
                <w:kern w:val="0"/>
                <w:szCs w:val="22"/>
              </w:rPr>
              <w:t>KTTV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D6568D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17,952,596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67462E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$129,696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A037E2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30C760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$91,848 </w:t>
            </w:r>
          </w:p>
        </w:tc>
      </w:tr>
      <w:tr w14:paraId="0AE196BE"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D5B79CB" w14:textId="77777777">
            <w:pPr>
              <w:widowControl/>
              <w:jc w:val="center"/>
              <w:rPr>
                <w:rFonts w:ascii="Calibri" w:hAnsi="Calibri" w:cs="Calibri"/>
                <w:snapToGrid/>
                <w:kern w:val="0"/>
                <w:szCs w:val="22"/>
              </w:rPr>
            </w:pPr>
            <w:r w:rsidRPr="00A032ED">
              <w:rPr>
                <w:rFonts w:ascii="Calibri" w:hAnsi="Calibri" w:cs="Calibri"/>
                <w:snapToGrid/>
                <w:kern w:val="0"/>
                <w:szCs w:val="22"/>
              </w:rPr>
              <w:t>KUAM-TV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95C330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159,358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11E0B3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$1,151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8A183B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745EC0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$2,801 </w:t>
            </w:r>
          </w:p>
        </w:tc>
        <w:tc>
          <w:tcPr>
            <w:tcW w:w="266" w:type="dxa"/>
            <w:tcBorders>
              <w:top w:val="nil"/>
              <w:left w:val="nil"/>
              <w:bottom w:val="nil"/>
              <w:right w:val="nil"/>
            </w:tcBorders>
            <w:shd w:val="clear" w:color="auto" w:fill="auto"/>
            <w:noWrap/>
            <w:vAlign w:val="bottom"/>
            <w:hideMark/>
          </w:tcPr>
          <w:p w:rsidR="006F7AD6" w:rsidRPr="00A032ED" w:rsidP="00886011" w14:paraId="307D84E4"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A5FF452" w14:textId="77777777">
            <w:pPr>
              <w:widowControl/>
              <w:jc w:val="center"/>
              <w:rPr>
                <w:rFonts w:ascii="Calibri" w:hAnsi="Calibri" w:cs="Calibri"/>
                <w:snapToGrid/>
                <w:kern w:val="0"/>
                <w:szCs w:val="22"/>
              </w:rPr>
            </w:pPr>
            <w:r w:rsidRPr="00A032ED">
              <w:rPr>
                <w:rFonts w:ascii="Calibri" w:hAnsi="Calibri" w:cs="Calibri"/>
                <w:snapToGrid/>
                <w:kern w:val="0"/>
                <w:szCs w:val="22"/>
              </w:rPr>
              <w:t>KTTW</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E2CD14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329,557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8660C7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$2,381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DF9832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82A53E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$3,415 </w:t>
            </w:r>
          </w:p>
        </w:tc>
      </w:tr>
      <w:tr w14:paraId="1D9E3552"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B60B7FD" w14:textId="77777777">
            <w:pPr>
              <w:widowControl/>
              <w:jc w:val="center"/>
              <w:rPr>
                <w:rFonts w:ascii="Calibri" w:hAnsi="Calibri" w:cs="Calibri"/>
                <w:snapToGrid/>
                <w:kern w:val="0"/>
                <w:szCs w:val="22"/>
              </w:rPr>
            </w:pPr>
            <w:r w:rsidRPr="00A032ED">
              <w:rPr>
                <w:rFonts w:ascii="Calibri" w:hAnsi="Calibri" w:cs="Calibri"/>
                <w:snapToGrid/>
                <w:kern w:val="0"/>
                <w:szCs w:val="22"/>
              </w:rPr>
              <w:t>KUBD</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87F2AE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14,858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19D5FB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$107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D6CF49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7F06F9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$2,279 </w:t>
            </w:r>
          </w:p>
        </w:tc>
        <w:tc>
          <w:tcPr>
            <w:tcW w:w="266" w:type="dxa"/>
            <w:tcBorders>
              <w:top w:val="nil"/>
              <w:left w:val="nil"/>
              <w:bottom w:val="nil"/>
              <w:right w:val="nil"/>
            </w:tcBorders>
            <w:shd w:val="clear" w:color="auto" w:fill="auto"/>
            <w:noWrap/>
            <w:vAlign w:val="bottom"/>
            <w:hideMark/>
          </w:tcPr>
          <w:p w:rsidR="006F7AD6" w:rsidRPr="00A032ED" w:rsidP="00886011" w14:paraId="2DF6D8BE"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1E5AA6A" w14:textId="77777777">
            <w:pPr>
              <w:widowControl/>
              <w:jc w:val="center"/>
              <w:rPr>
                <w:rFonts w:ascii="Calibri" w:hAnsi="Calibri" w:cs="Calibri"/>
                <w:snapToGrid/>
                <w:kern w:val="0"/>
                <w:szCs w:val="22"/>
              </w:rPr>
            </w:pPr>
            <w:r w:rsidRPr="00A032ED">
              <w:rPr>
                <w:rFonts w:ascii="Calibri" w:hAnsi="Calibri" w:cs="Calibri"/>
                <w:snapToGrid/>
                <w:kern w:val="0"/>
                <w:szCs w:val="22"/>
              </w:rPr>
              <w:t>KTUL</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2C7A9F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1,416,959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0CFE2D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$10,237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23D11F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BE7FB3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$11,893 </w:t>
            </w:r>
          </w:p>
        </w:tc>
      </w:tr>
      <w:tr w14:paraId="02C4F926"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9703C51" w14:textId="77777777">
            <w:pPr>
              <w:widowControl/>
              <w:jc w:val="center"/>
              <w:rPr>
                <w:rFonts w:ascii="Calibri" w:hAnsi="Calibri" w:cs="Calibri"/>
                <w:snapToGrid/>
                <w:kern w:val="0"/>
                <w:szCs w:val="22"/>
              </w:rPr>
            </w:pPr>
            <w:r w:rsidRPr="00A032ED">
              <w:rPr>
                <w:rFonts w:ascii="Calibri" w:hAnsi="Calibri" w:cs="Calibri"/>
                <w:snapToGrid/>
                <w:kern w:val="0"/>
                <w:szCs w:val="22"/>
              </w:rPr>
              <w:t>KUBE-TV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1C6CBB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6,062,183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282E31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$43,795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24F6DA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C2EA09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$48,898 </w:t>
            </w:r>
          </w:p>
        </w:tc>
        <w:tc>
          <w:tcPr>
            <w:tcW w:w="266" w:type="dxa"/>
            <w:tcBorders>
              <w:top w:val="nil"/>
              <w:left w:val="nil"/>
              <w:bottom w:val="nil"/>
              <w:right w:val="nil"/>
            </w:tcBorders>
            <w:shd w:val="clear" w:color="auto" w:fill="auto"/>
            <w:noWrap/>
            <w:vAlign w:val="bottom"/>
            <w:hideMark/>
          </w:tcPr>
          <w:p w:rsidR="006F7AD6" w:rsidRPr="00A032ED" w:rsidP="00886011" w14:paraId="53D4D564"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70B513E" w14:textId="77777777">
            <w:pPr>
              <w:widowControl/>
              <w:jc w:val="center"/>
              <w:rPr>
                <w:rFonts w:ascii="Calibri" w:hAnsi="Calibri" w:cs="Calibri"/>
                <w:snapToGrid/>
                <w:kern w:val="0"/>
                <w:szCs w:val="22"/>
              </w:rPr>
            </w:pPr>
            <w:r w:rsidRPr="00A032ED">
              <w:rPr>
                <w:rFonts w:ascii="Calibri" w:hAnsi="Calibri" w:cs="Calibri"/>
                <w:snapToGrid/>
                <w:kern w:val="0"/>
                <w:szCs w:val="22"/>
              </w:rPr>
              <w:t>KTUU-TV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838914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380,240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D2A8E9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$2,747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4ACEE1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9364A1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$3,598 </w:t>
            </w:r>
          </w:p>
        </w:tc>
      </w:tr>
      <w:tr w14:paraId="1ECB1B01"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996E166" w14:textId="77777777">
            <w:pPr>
              <w:widowControl/>
              <w:jc w:val="center"/>
              <w:rPr>
                <w:rFonts w:ascii="Calibri" w:hAnsi="Calibri" w:cs="Calibri"/>
                <w:snapToGrid/>
                <w:kern w:val="0"/>
                <w:szCs w:val="22"/>
              </w:rPr>
            </w:pPr>
            <w:r w:rsidRPr="00A032ED">
              <w:rPr>
                <w:rFonts w:ascii="Calibri" w:hAnsi="Calibri" w:cs="Calibri"/>
                <w:snapToGrid/>
                <w:kern w:val="0"/>
                <w:szCs w:val="22"/>
              </w:rPr>
              <w:t>KUCW</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C51E18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2,388,146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C467A0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$17,253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6C3FA9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77063F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$22,201 </w:t>
            </w:r>
          </w:p>
        </w:tc>
        <w:tc>
          <w:tcPr>
            <w:tcW w:w="266" w:type="dxa"/>
            <w:tcBorders>
              <w:top w:val="nil"/>
              <w:left w:val="nil"/>
              <w:bottom w:val="nil"/>
              <w:right w:val="nil"/>
            </w:tcBorders>
            <w:shd w:val="clear" w:color="auto" w:fill="auto"/>
            <w:noWrap/>
            <w:vAlign w:val="bottom"/>
            <w:hideMark/>
          </w:tcPr>
          <w:p w:rsidR="006F7AD6" w:rsidRPr="00A032ED" w:rsidP="00886011" w14:paraId="0DB7EC1A"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3E94E1A" w14:textId="77777777">
            <w:pPr>
              <w:widowControl/>
              <w:jc w:val="center"/>
              <w:rPr>
                <w:rFonts w:ascii="Calibri" w:hAnsi="Calibri" w:cs="Calibri"/>
                <w:snapToGrid/>
                <w:kern w:val="0"/>
                <w:szCs w:val="22"/>
              </w:rPr>
            </w:pPr>
            <w:r w:rsidRPr="00A032ED">
              <w:rPr>
                <w:rFonts w:ascii="Calibri" w:hAnsi="Calibri" w:cs="Calibri"/>
                <w:snapToGrid/>
                <w:kern w:val="0"/>
                <w:szCs w:val="22"/>
              </w:rPr>
              <w:t>KTUZ-TV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8661F2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1,668,531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0C6D21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$12,054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677C1C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B5108C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$19,602 </w:t>
            </w:r>
          </w:p>
        </w:tc>
      </w:tr>
      <w:tr w14:paraId="1F9C7C5C"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0D7C54F" w14:textId="77777777">
            <w:pPr>
              <w:widowControl/>
              <w:jc w:val="center"/>
              <w:rPr>
                <w:rFonts w:ascii="Calibri" w:hAnsi="Calibri" w:cs="Calibri"/>
                <w:snapToGrid/>
                <w:kern w:val="0"/>
                <w:szCs w:val="22"/>
              </w:rPr>
            </w:pPr>
            <w:r w:rsidRPr="00A032ED">
              <w:rPr>
                <w:rFonts w:ascii="Calibri" w:hAnsi="Calibri" w:cs="Calibri"/>
                <w:snapToGrid/>
                <w:kern w:val="0"/>
                <w:szCs w:val="22"/>
              </w:rPr>
              <w:t>KULR-TV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0B960A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177,242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2BD074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$1,280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8CD4C9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7002B3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$2,865 </w:t>
            </w:r>
          </w:p>
        </w:tc>
        <w:tc>
          <w:tcPr>
            <w:tcW w:w="266" w:type="dxa"/>
            <w:tcBorders>
              <w:top w:val="nil"/>
              <w:left w:val="nil"/>
              <w:bottom w:val="nil"/>
              <w:right w:val="nil"/>
            </w:tcBorders>
            <w:shd w:val="clear" w:color="auto" w:fill="auto"/>
            <w:noWrap/>
            <w:vAlign w:val="bottom"/>
            <w:hideMark/>
          </w:tcPr>
          <w:p w:rsidR="006F7AD6" w:rsidRPr="00A032ED" w:rsidP="00886011" w14:paraId="0C872FE8"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94596F9" w14:textId="77777777">
            <w:pPr>
              <w:widowControl/>
              <w:jc w:val="center"/>
              <w:rPr>
                <w:rFonts w:ascii="Calibri" w:hAnsi="Calibri" w:cs="Calibri"/>
                <w:snapToGrid/>
                <w:kern w:val="0"/>
                <w:szCs w:val="22"/>
              </w:rPr>
            </w:pPr>
            <w:r w:rsidRPr="00A032ED">
              <w:rPr>
                <w:rFonts w:ascii="Calibri" w:hAnsi="Calibri" w:cs="Calibri"/>
                <w:snapToGrid/>
                <w:kern w:val="0"/>
                <w:szCs w:val="22"/>
              </w:rPr>
              <w:t>KTVA</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DBD911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342,517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C73256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$2,474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86D927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E97C63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$3,462 </w:t>
            </w:r>
          </w:p>
        </w:tc>
      </w:tr>
      <w:tr w14:paraId="48B29CF5"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15B8E71" w14:textId="77777777">
            <w:pPr>
              <w:widowControl/>
              <w:jc w:val="center"/>
              <w:rPr>
                <w:rFonts w:ascii="Calibri" w:hAnsi="Calibri" w:cs="Calibri"/>
                <w:snapToGrid/>
                <w:kern w:val="0"/>
                <w:szCs w:val="22"/>
              </w:rPr>
            </w:pPr>
            <w:r w:rsidRPr="00A032ED">
              <w:rPr>
                <w:rFonts w:ascii="Calibri" w:hAnsi="Calibri" w:cs="Calibri"/>
                <w:snapToGrid/>
                <w:kern w:val="0"/>
                <w:szCs w:val="22"/>
              </w:rPr>
              <w:t>KUMV-TV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07467A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41,607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CB9735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$301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18BC71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A61DDC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$2,375 </w:t>
            </w:r>
          </w:p>
        </w:tc>
        <w:tc>
          <w:tcPr>
            <w:tcW w:w="266" w:type="dxa"/>
            <w:tcBorders>
              <w:top w:val="nil"/>
              <w:left w:val="nil"/>
              <w:bottom w:val="nil"/>
              <w:right w:val="nil"/>
            </w:tcBorders>
            <w:shd w:val="clear" w:color="auto" w:fill="auto"/>
            <w:noWrap/>
            <w:vAlign w:val="bottom"/>
            <w:hideMark/>
          </w:tcPr>
          <w:p w:rsidR="006F7AD6" w:rsidRPr="00A032ED" w:rsidP="00886011" w14:paraId="4785F103"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87BDD99" w14:textId="77777777">
            <w:pPr>
              <w:widowControl/>
              <w:jc w:val="center"/>
              <w:rPr>
                <w:rFonts w:ascii="Calibri" w:hAnsi="Calibri" w:cs="Calibri"/>
                <w:snapToGrid/>
                <w:kern w:val="0"/>
                <w:szCs w:val="22"/>
              </w:rPr>
            </w:pPr>
            <w:r w:rsidRPr="00A032ED">
              <w:rPr>
                <w:rFonts w:ascii="Calibri" w:hAnsi="Calibri" w:cs="Calibri"/>
                <w:snapToGrid/>
                <w:kern w:val="0"/>
                <w:szCs w:val="22"/>
              </w:rPr>
              <w:t>KTVB</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2F12AC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719,145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903A37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$5,195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BA2A70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9EF9EF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$4,823 </w:t>
            </w:r>
          </w:p>
        </w:tc>
      </w:tr>
      <w:tr w14:paraId="2FC36C70"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73C4F6E" w14:textId="77777777">
            <w:pPr>
              <w:widowControl/>
              <w:jc w:val="center"/>
              <w:rPr>
                <w:rFonts w:ascii="Calibri" w:hAnsi="Calibri" w:cs="Calibri"/>
                <w:snapToGrid/>
                <w:kern w:val="0"/>
                <w:szCs w:val="22"/>
              </w:rPr>
            </w:pPr>
            <w:r w:rsidRPr="00A032ED">
              <w:rPr>
                <w:rFonts w:ascii="Calibri" w:hAnsi="Calibri" w:cs="Calibri"/>
                <w:snapToGrid/>
                <w:kern w:val="0"/>
                <w:szCs w:val="22"/>
              </w:rPr>
              <w:t>KUNP</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FBFDC1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130,559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E6A5F5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$943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1D8DE1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7CD868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$20,809 </w:t>
            </w:r>
          </w:p>
        </w:tc>
        <w:tc>
          <w:tcPr>
            <w:tcW w:w="266" w:type="dxa"/>
            <w:tcBorders>
              <w:top w:val="nil"/>
              <w:left w:val="nil"/>
              <w:bottom w:val="nil"/>
              <w:right w:val="nil"/>
            </w:tcBorders>
            <w:shd w:val="clear" w:color="auto" w:fill="auto"/>
            <w:noWrap/>
            <w:vAlign w:val="bottom"/>
            <w:hideMark/>
          </w:tcPr>
          <w:p w:rsidR="006F7AD6" w:rsidRPr="00A032ED" w:rsidP="00886011" w14:paraId="22AFB9C6"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A76B6B9" w14:textId="77777777">
            <w:pPr>
              <w:widowControl/>
              <w:jc w:val="center"/>
              <w:rPr>
                <w:rFonts w:ascii="Calibri" w:hAnsi="Calibri" w:cs="Calibri"/>
                <w:snapToGrid/>
                <w:kern w:val="0"/>
                <w:szCs w:val="22"/>
              </w:rPr>
            </w:pPr>
            <w:r w:rsidRPr="00A032ED">
              <w:rPr>
                <w:rFonts w:ascii="Calibri" w:hAnsi="Calibri" w:cs="Calibri"/>
                <w:snapToGrid/>
                <w:kern w:val="0"/>
                <w:szCs w:val="22"/>
              </w:rPr>
              <w:t>KTVC</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74CB03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137,239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4114C7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$991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6AEDE8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D9A9E9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$2,721 </w:t>
            </w:r>
          </w:p>
        </w:tc>
      </w:tr>
      <w:tr w14:paraId="4124395D"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723CD24" w14:textId="77777777">
            <w:pPr>
              <w:widowControl/>
              <w:jc w:val="center"/>
              <w:rPr>
                <w:rFonts w:ascii="Calibri" w:hAnsi="Calibri" w:cs="Calibri"/>
                <w:snapToGrid/>
                <w:kern w:val="0"/>
                <w:szCs w:val="22"/>
              </w:rPr>
            </w:pPr>
            <w:r w:rsidRPr="00A032ED">
              <w:rPr>
                <w:rFonts w:ascii="Calibri" w:hAnsi="Calibri" w:cs="Calibri"/>
                <w:snapToGrid/>
                <w:kern w:val="0"/>
                <w:szCs w:val="22"/>
              </w:rPr>
              <w:t>KUNS-TV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381D0B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4,023,436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630F96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$29,067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FDC1CE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A4EF21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$34,871 </w:t>
            </w:r>
          </w:p>
        </w:tc>
        <w:tc>
          <w:tcPr>
            <w:tcW w:w="266" w:type="dxa"/>
            <w:tcBorders>
              <w:top w:val="nil"/>
              <w:left w:val="nil"/>
              <w:bottom w:val="nil"/>
              <w:right w:val="nil"/>
            </w:tcBorders>
            <w:shd w:val="clear" w:color="auto" w:fill="auto"/>
            <w:noWrap/>
            <w:vAlign w:val="bottom"/>
            <w:hideMark/>
          </w:tcPr>
          <w:p w:rsidR="006F7AD6" w:rsidRPr="00A032ED" w:rsidP="00886011" w14:paraId="71AA1A2B"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5BADE35" w14:textId="77777777">
            <w:pPr>
              <w:widowControl/>
              <w:jc w:val="center"/>
              <w:rPr>
                <w:rFonts w:ascii="Calibri" w:hAnsi="Calibri" w:cs="Calibri"/>
                <w:snapToGrid/>
                <w:kern w:val="0"/>
                <w:szCs w:val="22"/>
              </w:rPr>
            </w:pPr>
            <w:r w:rsidRPr="00A032ED">
              <w:rPr>
                <w:rFonts w:ascii="Calibri" w:hAnsi="Calibri" w:cs="Calibri"/>
                <w:snapToGrid/>
                <w:kern w:val="0"/>
                <w:szCs w:val="22"/>
              </w:rPr>
              <w:t>KTVD</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CEB510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3,845,148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A902EB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$27,779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85E078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A531A4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$34,227 </w:t>
            </w:r>
          </w:p>
        </w:tc>
      </w:tr>
      <w:tr w14:paraId="56099AAB"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5B96C45" w14:textId="77777777">
            <w:pPr>
              <w:widowControl/>
              <w:jc w:val="center"/>
              <w:rPr>
                <w:rFonts w:ascii="Calibri" w:hAnsi="Calibri" w:cs="Calibri"/>
                <w:snapToGrid/>
                <w:kern w:val="0"/>
                <w:szCs w:val="22"/>
              </w:rPr>
            </w:pPr>
            <w:r w:rsidRPr="00A032ED">
              <w:rPr>
                <w:rFonts w:ascii="Calibri" w:hAnsi="Calibri" w:cs="Calibri"/>
                <w:snapToGrid/>
                <w:kern w:val="0"/>
                <w:szCs w:val="22"/>
              </w:rPr>
              <w:t>KUOK</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57B517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28,974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6F1C14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$209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390F30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AC8F1F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$13,680 </w:t>
            </w:r>
          </w:p>
        </w:tc>
        <w:tc>
          <w:tcPr>
            <w:tcW w:w="266" w:type="dxa"/>
            <w:tcBorders>
              <w:top w:val="nil"/>
              <w:left w:val="nil"/>
              <w:bottom w:val="nil"/>
              <w:right w:val="nil"/>
            </w:tcBorders>
            <w:shd w:val="clear" w:color="auto" w:fill="auto"/>
            <w:noWrap/>
            <w:vAlign w:val="bottom"/>
            <w:hideMark/>
          </w:tcPr>
          <w:p w:rsidR="006F7AD6" w:rsidRPr="00A032ED" w:rsidP="00886011" w14:paraId="69F886EC"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E5CE9EA" w14:textId="77777777">
            <w:pPr>
              <w:widowControl/>
              <w:jc w:val="center"/>
              <w:rPr>
                <w:rFonts w:ascii="Calibri" w:hAnsi="Calibri" w:cs="Calibri"/>
                <w:snapToGrid/>
                <w:kern w:val="0"/>
                <w:szCs w:val="22"/>
              </w:rPr>
            </w:pPr>
            <w:r w:rsidRPr="00A032ED">
              <w:rPr>
                <w:rFonts w:ascii="Calibri" w:hAnsi="Calibri" w:cs="Calibri"/>
                <w:snapToGrid/>
                <w:kern w:val="0"/>
                <w:szCs w:val="22"/>
              </w:rPr>
              <w:t>KTVE</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D86C29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641,139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5E351F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$4,632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CCBBB3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EDAAC1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$4,541 </w:t>
            </w:r>
          </w:p>
        </w:tc>
      </w:tr>
      <w:tr w14:paraId="14369A9A"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97F6C8F" w14:textId="77777777">
            <w:pPr>
              <w:widowControl/>
              <w:jc w:val="center"/>
              <w:rPr>
                <w:rFonts w:ascii="Calibri" w:hAnsi="Calibri" w:cs="Calibri"/>
                <w:snapToGrid/>
                <w:kern w:val="0"/>
                <w:szCs w:val="22"/>
              </w:rPr>
            </w:pPr>
            <w:r w:rsidRPr="00A032ED">
              <w:rPr>
                <w:rFonts w:ascii="Calibri" w:hAnsi="Calibri" w:cs="Calibri"/>
                <w:snapToGrid/>
                <w:kern w:val="0"/>
                <w:szCs w:val="22"/>
              </w:rPr>
              <w:t>KUPB</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8748D0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318,914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A523E2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$2,304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027090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492277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$3,377 </w:t>
            </w:r>
          </w:p>
        </w:tc>
        <w:tc>
          <w:tcPr>
            <w:tcW w:w="266" w:type="dxa"/>
            <w:tcBorders>
              <w:top w:val="nil"/>
              <w:left w:val="nil"/>
              <w:bottom w:val="nil"/>
              <w:right w:val="nil"/>
            </w:tcBorders>
            <w:shd w:val="clear" w:color="auto" w:fill="auto"/>
            <w:noWrap/>
            <w:vAlign w:val="bottom"/>
            <w:hideMark/>
          </w:tcPr>
          <w:p w:rsidR="006F7AD6" w:rsidRPr="00A032ED" w:rsidP="00886011" w14:paraId="1601A713"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8735460" w14:textId="77777777">
            <w:pPr>
              <w:widowControl/>
              <w:jc w:val="center"/>
              <w:rPr>
                <w:rFonts w:ascii="Calibri" w:hAnsi="Calibri" w:cs="Calibri"/>
                <w:snapToGrid/>
                <w:kern w:val="0"/>
                <w:szCs w:val="22"/>
              </w:rPr>
            </w:pPr>
            <w:r w:rsidRPr="00A032ED">
              <w:rPr>
                <w:rFonts w:ascii="Calibri" w:hAnsi="Calibri" w:cs="Calibri"/>
                <w:snapToGrid/>
                <w:kern w:val="0"/>
                <w:szCs w:val="22"/>
              </w:rPr>
              <w:t>KTVF</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B78C3D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68,847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2FEB8B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$497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10156F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B721FB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$2,474 </w:t>
            </w:r>
          </w:p>
        </w:tc>
      </w:tr>
      <w:tr w14:paraId="2C1C19BD"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DD5BC92" w14:textId="77777777">
            <w:pPr>
              <w:widowControl/>
              <w:jc w:val="center"/>
              <w:rPr>
                <w:rFonts w:ascii="Calibri" w:hAnsi="Calibri" w:cs="Calibri"/>
                <w:snapToGrid/>
                <w:kern w:val="0"/>
                <w:szCs w:val="22"/>
              </w:rPr>
            </w:pPr>
            <w:r w:rsidRPr="00A032ED">
              <w:rPr>
                <w:rFonts w:ascii="Calibri" w:hAnsi="Calibri" w:cs="Calibri"/>
                <w:snapToGrid/>
                <w:kern w:val="0"/>
                <w:szCs w:val="22"/>
              </w:rPr>
              <w:t>KUPK</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BAFF07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149,642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7A93E1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$1,081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2BF633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34E795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$7,316 </w:t>
            </w:r>
          </w:p>
        </w:tc>
        <w:tc>
          <w:tcPr>
            <w:tcW w:w="266" w:type="dxa"/>
            <w:tcBorders>
              <w:top w:val="nil"/>
              <w:left w:val="nil"/>
              <w:bottom w:val="nil"/>
              <w:right w:val="nil"/>
            </w:tcBorders>
            <w:shd w:val="clear" w:color="auto" w:fill="auto"/>
            <w:noWrap/>
            <w:vAlign w:val="bottom"/>
            <w:hideMark/>
          </w:tcPr>
          <w:p w:rsidR="006F7AD6" w:rsidRPr="00A032ED" w:rsidP="00886011" w14:paraId="7492E80F"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2DD8147" w14:textId="77777777">
            <w:pPr>
              <w:widowControl/>
              <w:jc w:val="center"/>
              <w:rPr>
                <w:rFonts w:ascii="Calibri" w:hAnsi="Calibri" w:cs="Calibri"/>
                <w:snapToGrid/>
                <w:kern w:val="0"/>
                <w:szCs w:val="22"/>
              </w:rPr>
            </w:pPr>
            <w:r w:rsidRPr="00A032ED">
              <w:rPr>
                <w:rFonts w:ascii="Calibri" w:hAnsi="Calibri" w:cs="Calibri"/>
                <w:snapToGrid/>
                <w:kern w:val="0"/>
                <w:szCs w:val="22"/>
              </w:rPr>
              <w:t>KTVH-DT</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6B5607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228,832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743007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$1,653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074938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34D009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$3,052 </w:t>
            </w:r>
          </w:p>
        </w:tc>
      </w:tr>
      <w:tr w14:paraId="65CB6E70"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D1437AF" w14:textId="77777777">
            <w:pPr>
              <w:widowControl/>
              <w:jc w:val="center"/>
              <w:rPr>
                <w:rFonts w:ascii="Calibri" w:hAnsi="Calibri" w:cs="Calibri"/>
                <w:snapToGrid/>
                <w:kern w:val="0"/>
                <w:szCs w:val="22"/>
              </w:rPr>
            </w:pPr>
            <w:r w:rsidRPr="00A032ED">
              <w:rPr>
                <w:rFonts w:ascii="Calibri" w:hAnsi="Calibri" w:cs="Calibri"/>
                <w:snapToGrid/>
                <w:kern w:val="0"/>
                <w:szCs w:val="22"/>
              </w:rPr>
              <w:t>KUPT</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BA90E1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87,602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F8F4AB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$633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731788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FEA12D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$13,891 </w:t>
            </w:r>
          </w:p>
        </w:tc>
        <w:tc>
          <w:tcPr>
            <w:tcW w:w="266" w:type="dxa"/>
            <w:tcBorders>
              <w:top w:val="nil"/>
              <w:left w:val="nil"/>
              <w:bottom w:val="nil"/>
              <w:right w:val="nil"/>
            </w:tcBorders>
            <w:shd w:val="clear" w:color="auto" w:fill="auto"/>
            <w:noWrap/>
            <w:vAlign w:val="bottom"/>
            <w:hideMark/>
          </w:tcPr>
          <w:p w:rsidR="006F7AD6" w:rsidRPr="00A032ED" w:rsidP="00886011" w14:paraId="11E25BC4"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3E71983" w14:textId="77777777">
            <w:pPr>
              <w:widowControl/>
              <w:jc w:val="center"/>
              <w:rPr>
                <w:rFonts w:ascii="Calibri" w:hAnsi="Calibri" w:cs="Calibri"/>
                <w:snapToGrid/>
                <w:kern w:val="0"/>
                <w:szCs w:val="22"/>
              </w:rPr>
            </w:pPr>
            <w:r w:rsidRPr="00A032ED">
              <w:rPr>
                <w:rFonts w:ascii="Calibri" w:hAnsi="Calibri" w:cs="Calibri"/>
                <w:snapToGrid/>
                <w:kern w:val="0"/>
                <w:szCs w:val="22"/>
              </w:rPr>
              <w:t>KTVI</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3CA8FF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2,979,889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D025E6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$21,528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EECADE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8D81C8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$31,101 </w:t>
            </w:r>
          </w:p>
        </w:tc>
      </w:tr>
      <w:tr w14:paraId="03A23BA9"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858A125" w14:textId="77777777">
            <w:pPr>
              <w:widowControl/>
              <w:jc w:val="center"/>
              <w:rPr>
                <w:rFonts w:ascii="Calibri" w:hAnsi="Calibri" w:cs="Calibri"/>
                <w:snapToGrid/>
                <w:kern w:val="0"/>
                <w:szCs w:val="22"/>
              </w:rPr>
            </w:pPr>
            <w:r w:rsidRPr="00A032ED">
              <w:rPr>
                <w:rFonts w:ascii="Calibri" w:hAnsi="Calibri" w:cs="Calibri"/>
                <w:snapToGrid/>
                <w:kern w:val="0"/>
                <w:szCs w:val="22"/>
              </w:rPr>
              <w:t>KUPX-TV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B2AD5D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2,374,672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55A8B4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$17,156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D9EB58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CA7E55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$22,153 </w:t>
            </w:r>
          </w:p>
        </w:tc>
        <w:tc>
          <w:tcPr>
            <w:tcW w:w="266" w:type="dxa"/>
            <w:tcBorders>
              <w:top w:val="nil"/>
              <w:left w:val="nil"/>
              <w:bottom w:val="nil"/>
              <w:right w:val="nil"/>
            </w:tcBorders>
            <w:shd w:val="clear" w:color="auto" w:fill="auto"/>
            <w:noWrap/>
            <w:vAlign w:val="bottom"/>
            <w:hideMark/>
          </w:tcPr>
          <w:p w:rsidR="006F7AD6" w:rsidRPr="00A032ED" w:rsidP="00886011" w14:paraId="60165C60"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4E2AEEF" w14:textId="77777777">
            <w:pPr>
              <w:widowControl/>
              <w:jc w:val="center"/>
              <w:rPr>
                <w:rFonts w:ascii="Calibri" w:hAnsi="Calibri" w:cs="Calibri"/>
                <w:snapToGrid/>
                <w:kern w:val="0"/>
                <w:szCs w:val="22"/>
              </w:rPr>
            </w:pPr>
            <w:r w:rsidRPr="00A032ED">
              <w:rPr>
                <w:rFonts w:ascii="Calibri" w:hAnsi="Calibri" w:cs="Calibri"/>
                <w:snapToGrid/>
                <w:kern w:val="0"/>
                <w:szCs w:val="22"/>
              </w:rPr>
              <w:t>KTVK</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75DDB6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4,184,825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6B7747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$30,233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6FC800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FC780B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$35,454 </w:t>
            </w:r>
          </w:p>
        </w:tc>
      </w:tr>
      <w:tr w14:paraId="3F1CE47A"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1D77EF1" w14:textId="77777777">
            <w:pPr>
              <w:widowControl/>
              <w:jc w:val="center"/>
              <w:rPr>
                <w:rFonts w:ascii="Calibri" w:hAnsi="Calibri" w:cs="Calibri"/>
                <w:snapToGrid/>
                <w:kern w:val="0"/>
                <w:szCs w:val="22"/>
              </w:rPr>
            </w:pPr>
            <w:r w:rsidRPr="00A032ED">
              <w:rPr>
                <w:rFonts w:ascii="Calibri" w:hAnsi="Calibri" w:cs="Calibri"/>
                <w:snapToGrid/>
                <w:kern w:val="0"/>
                <w:szCs w:val="22"/>
              </w:rPr>
              <w:t>KUSA</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32D8E0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3,803,461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5AEC8B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$27,478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D57C07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A8086B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$34,076 </w:t>
            </w:r>
          </w:p>
        </w:tc>
        <w:tc>
          <w:tcPr>
            <w:tcW w:w="266" w:type="dxa"/>
            <w:tcBorders>
              <w:top w:val="nil"/>
              <w:left w:val="nil"/>
              <w:bottom w:val="nil"/>
              <w:right w:val="nil"/>
            </w:tcBorders>
            <w:shd w:val="clear" w:color="auto" w:fill="auto"/>
            <w:noWrap/>
            <w:vAlign w:val="bottom"/>
            <w:hideMark/>
          </w:tcPr>
          <w:p w:rsidR="006F7AD6" w:rsidRPr="00A032ED" w:rsidP="00886011" w14:paraId="7FBC7490"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BD0BBF5" w14:textId="77777777">
            <w:pPr>
              <w:widowControl/>
              <w:jc w:val="center"/>
              <w:rPr>
                <w:rFonts w:ascii="Calibri" w:hAnsi="Calibri" w:cs="Calibri"/>
                <w:snapToGrid/>
                <w:kern w:val="0"/>
                <w:szCs w:val="22"/>
              </w:rPr>
            </w:pPr>
            <w:r w:rsidRPr="00A032ED">
              <w:rPr>
                <w:rFonts w:ascii="Calibri" w:hAnsi="Calibri" w:cs="Calibri"/>
                <w:snapToGrid/>
                <w:kern w:val="0"/>
                <w:szCs w:val="22"/>
              </w:rPr>
              <w:t>KTVL</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1C7ABC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415,327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414C76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$3,000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C33A94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4F17B8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$3,725 </w:t>
            </w:r>
          </w:p>
        </w:tc>
      </w:tr>
      <w:tr w14:paraId="4AA3FBEA"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275EE84" w14:textId="77777777">
            <w:pPr>
              <w:widowControl/>
              <w:jc w:val="center"/>
              <w:rPr>
                <w:rFonts w:ascii="Calibri" w:hAnsi="Calibri" w:cs="Calibri"/>
                <w:snapToGrid/>
                <w:kern w:val="0"/>
                <w:szCs w:val="22"/>
              </w:rPr>
            </w:pPr>
            <w:r w:rsidRPr="00A032ED">
              <w:rPr>
                <w:rFonts w:ascii="Calibri" w:hAnsi="Calibri" w:cs="Calibri"/>
                <w:snapToGrid/>
                <w:kern w:val="0"/>
                <w:szCs w:val="22"/>
              </w:rPr>
              <w:t>KVVU-TV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14C21C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2,042,029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0B7E73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$14,752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A2E1DB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636F58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$20,951 </w:t>
            </w:r>
          </w:p>
        </w:tc>
        <w:tc>
          <w:tcPr>
            <w:tcW w:w="266" w:type="dxa"/>
            <w:tcBorders>
              <w:top w:val="nil"/>
              <w:left w:val="nil"/>
              <w:bottom w:val="nil"/>
              <w:right w:val="nil"/>
            </w:tcBorders>
            <w:shd w:val="clear" w:color="auto" w:fill="auto"/>
            <w:noWrap/>
            <w:vAlign w:val="bottom"/>
            <w:hideMark/>
          </w:tcPr>
          <w:p w:rsidR="006F7AD6" w:rsidRPr="00A032ED" w:rsidP="00886011" w14:paraId="35764C81"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661D27F" w14:textId="77777777">
            <w:pPr>
              <w:widowControl/>
              <w:jc w:val="center"/>
              <w:rPr>
                <w:rFonts w:ascii="Calibri" w:hAnsi="Calibri" w:cs="Calibri"/>
                <w:snapToGrid/>
                <w:kern w:val="0"/>
                <w:szCs w:val="22"/>
              </w:rPr>
            </w:pPr>
            <w:r w:rsidRPr="00A032ED">
              <w:rPr>
                <w:rFonts w:ascii="Calibri" w:hAnsi="Calibri" w:cs="Calibri"/>
                <w:snapToGrid/>
                <w:kern w:val="0"/>
                <w:szCs w:val="22"/>
              </w:rPr>
              <w:t>KUSI-TV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1D51F9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3,572,818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82A9CD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$25,811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5CF663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090B60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$26,481 </w:t>
            </w:r>
          </w:p>
        </w:tc>
      </w:tr>
      <w:tr w14:paraId="4B15DD7A"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00423E4" w14:textId="77777777">
            <w:pPr>
              <w:widowControl/>
              <w:jc w:val="center"/>
              <w:rPr>
                <w:rFonts w:ascii="Calibri" w:hAnsi="Calibri" w:cs="Calibri"/>
                <w:snapToGrid/>
                <w:kern w:val="0"/>
                <w:szCs w:val="22"/>
              </w:rPr>
            </w:pPr>
            <w:r w:rsidRPr="00A032ED">
              <w:rPr>
                <w:rFonts w:ascii="Calibri" w:hAnsi="Calibri" w:cs="Calibri"/>
                <w:snapToGrid/>
                <w:kern w:val="0"/>
                <w:szCs w:val="22"/>
              </w:rPr>
              <w:t>KVYE</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9E1A5A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396,495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09C46D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$2,864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655894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A80625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$3,657 </w:t>
            </w:r>
          </w:p>
        </w:tc>
        <w:tc>
          <w:tcPr>
            <w:tcW w:w="266" w:type="dxa"/>
            <w:tcBorders>
              <w:top w:val="nil"/>
              <w:left w:val="nil"/>
              <w:bottom w:val="nil"/>
              <w:right w:val="nil"/>
            </w:tcBorders>
            <w:shd w:val="clear" w:color="auto" w:fill="auto"/>
            <w:noWrap/>
            <w:vAlign w:val="bottom"/>
            <w:hideMark/>
          </w:tcPr>
          <w:p w:rsidR="006F7AD6" w:rsidRPr="00A032ED" w:rsidP="00886011" w14:paraId="3A48FBF8"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CF72F90" w14:textId="77777777">
            <w:pPr>
              <w:widowControl/>
              <w:jc w:val="center"/>
              <w:rPr>
                <w:rFonts w:ascii="Calibri" w:hAnsi="Calibri" w:cs="Calibri"/>
                <w:snapToGrid/>
                <w:kern w:val="0"/>
                <w:szCs w:val="22"/>
              </w:rPr>
            </w:pPr>
            <w:r w:rsidRPr="00A032ED">
              <w:rPr>
                <w:rFonts w:ascii="Calibri" w:hAnsi="Calibri" w:cs="Calibri"/>
                <w:snapToGrid/>
                <w:kern w:val="0"/>
                <w:szCs w:val="22"/>
              </w:rPr>
              <w:t>KUTH-DT</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1E8725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2,219,788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D76607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$16,037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15ED92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EBD313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$21,593 </w:t>
            </w:r>
          </w:p>
        </w:tc>
      </w:tr>
      <w:tr w14:paraId="2954D20F"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0DE6AA3" w14:textId="77777777">
            <w:pPr>
              <w:widowControl/>
              <w:jc w:val="center"/>
              <w:rPr>
                <w:rFonts w:ascii="Calibri" w:hAnsi="Calibri" w:cs="Calibri"/>
                <w:snapToGrid/>
                <w:kern w:val="0"/>
                <w:szCs w:val="22"/>
              </w:rPr>
            </w:pPr>
            <w:r w:rsidRPr="00A032ED">
              <w:rPr>
                <w:rFonts w:ascii="Calibri" w:hAnsi="Calibri" w:cs="Calibri"/>
                <w:snapToGrid/>
                <w:kern w:val="0"/>
                <w:szCs w:val="22"/>
              </w:rPr>
              <w:t>KWAB-TV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FADB67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50,707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63E0FD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$366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5F229F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641669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$2,408 </w:t>
            </w:r>
          </w:p>
        </w:tc>
        <w:tc>
          <w:tcPr>
            <w:tcW w:w="266" w:type="dxa"/>
            <w:tcBorders>
              <w:top w:val="nil"/>
              <w:left w:val="nil"/>
              <w:bottom w:val="nil"/>
              <w:right w:val="nil"/>
            </w:tcBorders>
            <w:shd w:val="clear" w:color="auto" w:fill="auto"/>
            <w:noWrap/>
            <w:vAlign w:val="bottom"/>
            <w:hideMark/>
          </w:tcPr>
          <w:p w:rsidR="006F7AD6" w:rsidRPr="00A032ED" w:rsidP="00886011" w14:paraId="6609719D"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3588E2C" w14:textId="77777777">
            <w:pPr>
              <w:widowControl/>
              <w:jc w:val="center"/>
              <w:rPr>
                <w:rFonts w:ascii="Calibri" w:hAnsi="Calibri" w:cs="Calibri"/>
                <w:snapToGrid/>
                <w:kern w:val="0"/>
                <w:szCs w:val="22"/>
              </w:rPr>
            </w:pPr>
            <w:r w:rsidRPr="00A032ED">
              <w:rPr>
                <w:rFonts w:ascii="Calibri" w:hAnsi="Calibri" w:cs="Calibri"/>
                <w:snapToGrid/>
                <w:kern w:val="0"/>
                <w:szCs w:val="22"/>
              </w:rPr>
              <w:t>KUTP</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752E44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4,191,015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20D78A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$30,277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9D9685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485BA9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$35,476 </w:t>
            </w:r>
          </w:p>
        </w:tc>
      </w:tr>
      <w:tr w14:paraId="0125EF13"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60B45B1" w14:textId="77777777">
            <w:pPr>
              <w:widowControl/>
              <w:jc w:val="center"/>
              <w:rPr>
                <w:rFonts w:ascii="Calibri" w:hAnsi="Calibri" w:cs="Calibri"/>
                <w:snapToGrid/>
                <w:kern w:val="0"/>
                <w:szCs w:val="22"/>
              </w:rPr>
            </w:pPr>
            <w:r w:rsidRPr="00A032ED">
              <w:rPr>
                <w:rFonts w:ascii="Calibri" w:hAnsi="Calibri" w:cs="Calibri"/>
                <w:snapToGrid/>
                <w:kern w:val="0"/>
                <w:szCs w:val="22"/>
              </w:rPr>
              <w:t>KWBA-TV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97D72A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1,129,524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CA3C12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$8,160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1363BF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8A6D55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$10,855 </w:t>
            </w:r>
          </w:p>
        </w:tc>
        <w:tc>
          <w:tcPr>
            <w:tcW w:w="266" w:type="dxa"/>
            <w:tcBorders>
              <w:top w:val="nil"/>
              <w:left w:val="nil"/>
              <w:bottom w:val="nil"/>
              <w:right w:val="nil"/>
            </w:tcBorders>
            <w:shd w:val="clear" w:color="auto" w:fill="auto"/>
            <w:noWrap/>
            <w:vAlign w:val="bottom"/>
            <w:hideMark/>
          </w:tcPr>
          <w:p w:rsidR="006F7AD6" w:rsidRPr="00A032ED" w:rsidP="00886011" w14:paraId="5353FC78"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80968F6" w14:textId="77777777">
            <w:pPr>
              <w:widowControl/>
              <w:jc w:val="center"/>
              <w:rPr>
                <w:rFonts w:ascii="Calibri" w:hAnsi="Calibri" w:cs="Calibri"/>
                <w:snapToGrid/>
                <w:kern w:val="0"/>
                <w:szCs w:val="22"/>
              </w:rPr>
            </w:pPr>
            <w:r w:rsidRPr="00A032ED">
              <w:rPr>
                <w:rFonts w:ascii="Calibri" w:hAnsi="Calibri" w:cs="Calibri"/>
                <w:snapToGrid/>
                <w:kern w:val="0"/>
                <w:szCs w:val="22"/>
              </w:rPr>
              <w:t>KUTV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C0C93F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2,388,211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995221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$17,253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94A224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C11C7A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$22,202 </w:t>
            </w:r>
          </w:p>
        </w:tc>
      </w:tr>
      <w:tr w14:paraId="06FA8C9E"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7515A6F" w14:textId="77777777">
            <w:pPr>
              <w:widowControl/>
              <w:jc w:val="center"/>
              <w:rPr>
                <w:rFonts w:ascii="Calibri" w:hAnsi="Calibri" w:cs="Calibri"/>
                <w:snapToGrid/>
                <w:kern w:val="0"/>
                <w:szCs w:val="22"/>
              </w:rPr>
            </w:pPr>
            <w:r w:rsidRPr="00A032ED">
              <w:rPr>
                <w:rFonts w:ascii="Calibri" w:hAnsi="Calibri" w:cs="Calibri"/>
                <w:snapToGrid/>
                <w:kern w:val="0"/>
                <w:szCs w:val="22"/>
              </w:rPr>
              <w:t>KWBN</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707267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953,207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85ACBC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$6,886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E476F5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5887B9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$10,218 </w:t>
            </w:r>
          </w:p>
        </w:tc>
        <w:tc>
          <w:tcPr>
            <w:tcW w:w="266" w:type="dxa"/>
            <w:tcBorders>
              <w:top w:val="nil"/>
              <w:left w:val="nil"/>
              <w:bottom w:val="nil"/>
              <w:right w:val="nil"/>
            </w:tcBorders>
            <w:shd w:val="clear" w:color="auto" w:fill="auto"/>
            <w:noWrap/>
            <w:vAlign w:val="bottom"/>
            <w:hideMark/>
          </w:tcPr>
          <w:p w:rsidR="006F7AD6" w:rsidRPr="00A032ED" w:rsidP="00886011" w14:paraId="2FF8F418"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CB8F9B5" w14:textId="77777777">
            <w:pPr>
              <w:widowControl/>
              <w:jc w:val="center"/>
              <w:rPr>
                <w:rFonts w:ascii="Calibri" w:hAnsi="Calibri" w:cs="Calibri"/>
                <w:snapToGrid/>
                <w:kern w:val="0"/>
                <w:szCs w:val="22"/>
              </w:rPr>
            </w:pPr>
            <w:r w:rsidRPr="00A032ED">
              <w:rPr>
                <w:rFonts w:ascii="Calibri" w:hAnsi="Calibri" w:cs="Calibri"/>
                <w:snapToGrid/>
                <w:kern w:val="0"/>
                <w:szCs w:val="22"/>
              </w:rPr>
              <w:t>KUVE-DT</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F508F6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1,264,962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09A965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$9,139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585A63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345C74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$11,344 </w:t>
            </w:r>
          </w:p>
        </w:tc>
      </w:tr>
      <w:tr w14:paraId="17A26552"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4F1481D" w14:textId="77777777">
            <w:pPr>
              <w:widowControl/>
              <w:jc w:val="center"/>
              <w:rPr>
                <w:rFonts w:ascii="Calibri" w:hAnsi="Calibri" w:cs="Calibri"/>
                <w:snapToGrid/>
                <w:kern w:val="0"/>
                <w:szCs w:val="22"/>
              </w:rPr>
            </w:pPr>
            <w:r w:rsidRPr="00A032ED">
              <w:rPr>
                <w:rFonts w:ascii="Calibri" w:hAnsi="Calibri" w:cs="Calibri"/>
                <w:snapToGrid/>
                <w:kern w:val="0"/>
                <w:szCs w:val="22"/>
              </w:rPr>
              <w:t>KWBQ</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7685BA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1,148,810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990C45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$8,299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1C96A6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70352E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$17,725 </w:t>
            </w:r>
          </w:p>
        </w:tc>
        <w:tc>
          <w:tcPr>
            <w:tcW w:w="266" w:type="dxa"/>
            <w:tcBorders>
              <w:top w:val="nil"/>
              <w:left w:val="nil"/>
              <w:bottom w:val="nil"/>
              <w:right w:val="nil"/>
            </w:tcBorders>
            <w:shd w:val="clear" w:color="auto" w:fill="auto"/>
            <w:noWrap/>
            <w:vAlign w:val="bottom"/>
            <w:hideMark/>
          </w:tcPr>
          <w:p w:rsidR="006F7AD6" w:rsidRPr="00A032ED" w:rsidP="00886011" w14:paraId="55910458"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760914A" w14:textId="77777777">
            <w:pPr>
              <w:widowControl/>
              <w:jc w:val="center"/>
              <w:rPr>
                <w:rFonts w:ascii="Calibri" w:hAnsi="Calibri" w:cs="Calibri"/>
                <w:snapToGrid/>
                <w:kern w:val="0"/>
                <w:szCs w:val="22"/>
              </w:rPr>
            </w:pPr>
            <w:r w:rsidRPr="00A032ED">
              <w:rPr>
                <w:rFonts w:ascii="Calibri" w:hAnsi="Calibri" w:cs="Calibri"/>
                <w:snapToGrid/>
                <w:kern w:val="0"/>
                <w:szCs w:val="22"/>
              </w:rPr>
              <w:t>KUVI-DT</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EB29E4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1,006,905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56DB2F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$7,274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C77DD5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D7409A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$5,862 </w:t>
            </w:r>
          </w:p>
        </w:tc>
      </w:tr>
      <w:tr w14:paraId="576185CF"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C15A9C5" w14:textId="77777777">
            <w:pPr>
              <w:widowControl/>
              <w:jc w:val="center"/>
              <w:rPr>
                <w:rFonts w:ascii="Calibri" w:hAnsi="Calibri" w:cs="Calibri"/>
                <w:snapToGrid/>
                <w:kern w:val="0"/>
                <w:szCs w:val="22"/>
              </w:rPr>
            </w:pPr>
            <w:r w:rsidRPr="00A032ED">
              <w:rPr>
                <w:rFonts w:ascii="Calibri" w:hAnsi="Calibri" w:cs="Calibri"/>
                <w:snapToGrid/>
                <w:kern w:val="0"/>
                <w:szCs w:val="22"/>
              </w:rPr>
              <w:t>KWCH-DT</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61EC02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883,647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4BDC2D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$6,384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EE7F6D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3F555F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$9,967 </w:t>
            </w:r>
          </w:p>
        </w:tc>
        <w:tc>
          <w:tcPr>
            <w:tcW w:w="266" w:type="dxa"/>
            <w:tcBorders>
              <w:top w:val="nil"/>
              <w:left w:val="nil"/>
              <w:bottom w:val="nil"/>
              <w:right w:val="nil"/>
            </w:tcBorders>
            <w:shd w:val="clear" w:color="auto" w:fill="auto"/>
            <w:noWrap/>
            <w:vAlign w:val="bottom"/>
            <w:hideMark/>
          </w:tcPr>
          <w:p w:rsidR="006F7AD6" w:rsidRPr="00A032ED" w:rsidP="00886011" w14:paraId="65EEF576"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B4B93D3" w14:textId="77777777">
            <w:pPr>
              <w:widowControl/>
              <w:jc w:val="center"/>
              <w:rPr>
                <w:rFonts w:ascii="Calibri" w:hAnsi="Calibri" w:cs="Calibri"/>
                <w:snapToGrid/>
                <w:kern w:val="0"/>
                <w:szCs w:val="22"/>
              </w:rPr>
            </w:pPr>
            <w:r w:rsidRPr="00A032ED">
              <w:rPr>
                <w:rFonts w:ascii="Calibri" w:hAnsi="Calibri" w:cs="Calibri"/>
                <w:snapToGrid/>
                <w:kern w:val="0"/>
                <w:szCs w:val="22"/>
              </w:rPr>
              <w:t>KUVN-DT</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D72C4F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6,682,825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6FB243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$48,279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BA99F8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559215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$51,140 </w:t>
            </w:r>
          </w:p>
        </w:tc>
      </w:tr>
      <w:tr w14:paraId="205C1664"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35749AA" w14:textId="77777777">
            <w:pPr>
              <w:widowControl/>
              <w:jc w:val="center"/>
              <w:rPr>
                <w:rFonts w:ascii="Calibri" w:hAnsi="Calibri" w:cs="Calibri"/>
                <w:snapToGrid/>
                <w:kern w:val="0"/>
                <w:szCs w:val="22"/>
              </w:rPr>
            </w:pPr>
            <w:r w:rsidRPr="00A032ED">
              <w:rPr>
                <w:rFonts w:ascii="Calibri" w:hAnsi="Calibri" w:cs="Calibri"/>
                <w:snapToGrid/>
                <w:kern w:val="0"/>
                <w:szCs w:val="22"/>
              </w:rPr>
              <w:t>KWCM-TV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6B1D51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252,284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F481D5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$1,823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C9A212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FF6453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$21,249 </w:t>
            </w:r>
          </w:p>
        </w:tc>
        <w:tc>
          <w:tcPr>
            <w:tcW w:w="266" w:type="dxa"/>
            <w:tcBorders>
              <w:top w:val="nil"/>
              <w:left w:val="nil"/>
              <w:bottom w:val="nil"/>
              <w:right w:val="nil"/>
            </w:tcBorders>
            <w:shd w:val="clear" w:color="auto" w:fill="auto"/>
            <w:noWrap/>
            <w:vAlign w:val="bottom"/>
            <w:hideMark/>
          </w:tcPr>
          <w:p w:rsidR="006F7AD6" w:rsidRPr="00A032ED" w:rsidP="00886011" w14:paraId="75C9E801"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DD661D4" w14:textId="77777777">
            <w:pPr>
              <w:widowControl/>
              <w:jc w:val="center"/>
              <w:rPr>
                <w:rFonts w:ascii="Calibri" w:hAnsi="Calibri" w:cs="Calibri"/>
                <w:snapToGrid/>
                <w:kern w:val="0"/>
                <w:szCs w:val="22"/>
              </w:rPr>
            </w:pPr>
            <w:r w:rsidRPr="00A032ED">
              <w:rPr>
                <w:rFonts w:ascii="Calibri" w:hAnsi="Calibri" w:cs="Calibri"/>
                <w:snapToGrid/>
                <w:kern w:val="0"/>
                <w:szCs w:val="22"/>
              </w:rPr>
              <w:t>KUVS-DT</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473D86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4,043,413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B41F82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$29,211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CDAD3D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1FE35A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$34,943 </w:t>
            </w:r>
          </w:p>
        </w:tc>
      </w:tr>
      <w:tr w14:paraId="67F0EE80"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7D3B6F3" w14:textId="77777777">
            <w:pPr>
              <w:widowControl/>
              <w:jc w:val="center"/>
              <w:rPr>
                <w:rFonts w:ascii="Calibri" w:hAnsi="Calibri" w:cs="Calibri"/>
                <w:snapToGrid/>
                <w:kern w:val="0"/>
                <w:szCs w:val="22"/>
              </w:rPr>
            </w:pPr>
            <w:r w:rsidRPr="00A032ED">
              <w:rPr>
                <w:rFonts w:ascii="Calibri" w:hAnsi="Calibri" w:cs="Calibri"/>
                <w:snapToGrid/>
                <w:kern w:val="0"/>
                <w:szCs w:val="22"/>
              </w:rPr>
              <w:t>KWES-TV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01E39B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424,862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299904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$3,069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840C95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879B8E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$3,760 </w:t>
            </w:r>
          </w:p>
        </w:tc>
        <w:tc>
          <w:tcPr>
            <w:tcW w:w="266" w:type="dxa"/>
            <w:tcBorders>
              <w:top w:val="nil"/>
              <w:left w:val="nil"/>
              <w:bottom w:val="nil"/>
              <w:right w:val="nil"/>
            </w:tcBorders>
            <w:shd w:val="clear" w:color="auto" w:fill="auto"/>
            <w:noWrap/>
            <w:vAlign w:val="bottom"/>
            <w:hideMark/>
          </w:tcPr>
          <w:p w:rsidR="006F7AD6" w:rsidRPr="00A032ED" w:rsidP="00886011" w14:paraId="00B71E4F"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C126C82" w14:textId="77777777">
            <w:pPr>
              <w:widowControl/>
              <w:jc w:val="center"/>
              <w:rPr>
                <w:rFonts w:ascii="Calibri" w:hAnsi="Calibri" w:cs="Calibri"/>
                <w:snapToGrid/>
                <w:kern w:val="0"/>
                <w:szCs w:val="22"/>
              </w:rPr>
            </w:pPr>
            <w:r w:rsidRPr="00A032ED">
              <w:rPr>
                <w:rFonts w:ascii="Calibri" w:hAnsi="Calibri" w:cs="Calibri"/>
                <w:snapToGrid/>
                <w:kern w:val="0"/>
                <w:szCs w:val="22"/>
              </w:rPr>
              <w:t>KVAL-TV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9D9665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1,016,673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438A01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$7,345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B6176A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511D3A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$5,897 </w:t>
            </w:r>
          </w:p>
        </w:tc>
      </w:tr>
      <w:tr w14:paraId="1643FA88"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0FA9FFC" w14:textId="77777777">
            <w:pPr>
              <w:widowControl/>
              <w:jc w:val="center"/>
              <w:rPr>
                <w:rFonts w:ascii="Calibri" w:hAnsi="Calibri" w:cs="Calibri"/>
                <w:snapToGrid/>
                <w:kern w:val="0"/>
                <w:szCs w:val="22"/>
              </w:rPr>
            </w:pPr>
            <w:r w:rsidRPr="00A032ED">
              <w:rPr>
                <w:rFonts w:ascii="Calibri" w:hAnsi="Calibri" w:cs="Calibri"/>
                <w:snapToGrid/>
                <w:kern w:val="0"/>
                <w:szCs w:val="22"/>
              </w:rPr>
              <w:t>KWEX-DT</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9D8473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2,365,653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930B31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$17,090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C53565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424316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$22,120 </w:t>
            </w:r>
          </w:p>
        </w:tc>
        <w:tc>
          <w:tcPr>
            <w:tcW w:w="266" w:type="dxa"/>
            <w:tcBorders>
              <w:top w:val="nil"/>
              <w:left w:val="nil"/>
              <w:bottom w:val="nil"/>
              <w:right w:val="nil"/>
            </w:tcBorders>
            <w:shd w:val="clear" w:color="auto" w:fill="auto"/>
            <w:noWrap/>
            <w:vAlign w:val="bottom"/>
            <w:hideMark/>
          </w:tcPr>
          <w:p w:rsidR="006F7AD6" w:rsidRPr="00A032ED" w:rsidP="00886011" w14:paraId="4B88288A"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1881418" w14:textId="77777777">
            <w:pPr>
              <w:widowControl/>
              <w:jc w:val="center"/>
              <w:rPr>
                <w:rFonts w:ascii="Calibri" w:hAnsi="Calibri" w:cs="Calibri"/>
                <w:snapToGrid/>
                <w:kern w:val="0"/>
                <w:szCs w:val="22"/>
              </w:rPr>
            </w:pPr>
            <w:r w:rsidRPr="00A032ED">
              <w:rPr>
                <w:rFonts w:ascii="Calibri" w:hAnsi="Calibri" w:cs="Calibri"/>
                <w:snapToGrid/>
                <w:kern w:val="0"/>
                <w:szCs w:val="22"/>
              </w:rPr>
              <w:t>KVAW</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C77AE0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76,153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65BAC5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$550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5F04E9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F04CD4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$13,850 </w:t>
            </w:r>
          </w:p>
        </w:tc>
      </w:tr>
      <w:tr w14:paraId="16D964C6"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8EEEFCC" w14:textId="77777777">
            <w:pPr>
              <w:widowControl/>
              <w:jc w:val="center"/>
              <w:rPr>
                <w:rFonts w:ascii="Calibri" w:hAnsi="Calibri" w:cs="Calibri"/>
                <w:snapToGrid/>
                <w:kern w:val="0"/>
                <w:szCs w:val="22"/>
              </w:rPr>
            </w:pPr>
            <w:r w:rsidRPr="00A032ED">
              <w:rPr>
                <w:rFonts w:ascii="Calibri" w:hAnsi="Calibri" w:cs="Calibri"/>
                <w:snapToGrid/>
                <w:kern w:val="0"/>
                <w:szCs w:val="22"/>
              </w:rPr>
              <w:t>KWGN-TV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1724E6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3,706,495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935E74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$26,777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3F7962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C47D81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$33,726 </w:t>
            </w:r>
          </w:p>
        </w:tc>
        <w:tc>
          <w:tcPr>
            <w:tcW w:w="266" w:type="dxa"/>
            <w:tcBorders>
              <w:top w:val="nil"/>
              <w:left w:val="nil"/>
              <w:bottom w:val="nil"/>
              <w:right w:val="nil"/>
            </w:tcBorders>
            <w:shd w:val="clear" w:color="auto" w:fill="auto"/>
            <w:noWrap/>
            <w:vAlign w:val="bottom"/>
            <w:hideMark/>
          </w:tcPr>
          <w:p w:rsidR="006F7AD6" w:rsidRPr="00A032ED" w:rsidP="00886011" w14:paraId="4B3AC619"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8CE86B3" w14:textId="77777777">
            <w:pPr>
              <w:widowControl/>
              <w:jc w:val="center"/>
              <w:rPr>
                <w:rFonts w:ascii="Calibri" w:hAnsi="Calibri" w:cs="Calibri"/>
                <w:snapToGrid/>
                <w:kern w:val="0"/>
                <w:szCs w:val="22"/>
              </w:rPr>
            </w:pPr>
            <w:r w:rsidRPr="00A032ED">
              <w:rPr>
                <w:rFonts w:ascii="Calibri" w:hAnsi="Calibri" w:cs="Calibri"/>
                <w:snapToGrid/>
                <w:kern w:val="0"/>
                <w:szCs w:val="22"/>
              </w:rPr>
              <w:t>KVCT</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6123DC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288,221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4D97A7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$2,082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63D4D9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8D6E34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$3,266 </w:t>
            </w:r>
          </w:p>
        </w:tc>
      </w:tr>
      <w:tr w14:paraId="4E1E0551"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CFBB4D5" w14:textId="77777777">
            <w:pPr>
              <w:widowControl/>
              <w:jc w:val="center"/>
              <w:rPr>
                <w:rFonts w:ascii="Calibri" w:hAnsi="Calibri" w:cs="Calibri"/>
                <w:snapToGrid/>
                <w:kern w:val="0"/>
                <w:szCs w:val="22"/>
              </w:rPr>
            </w:pPr>
            <w:r w:rsidRPr="00A032ED">
              <w:rPr>
                <w:rFonts w:ascii="Calibri" w:hAnsi="Calibri" w:cs="Calibri"/>
                <w:snapToGrid/>
                <w:kern w:val="0"/>
                <w:szCs w:val="22"/>
              </w:rPr>
              <w:t>KWHB</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F550BF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1,104,914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CBA0D7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$7,982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8A2F07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DF09A9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$10,766 </w:t>
            </w:r>
          </w:p>
        </w:tc>
        <w:tc>
          <w:tcPr>
            <w:tcW w:w="266" w:type="dxa"/>
            <w:tcBorders>
              <w:top w:val="nil"/>
              <w:left w:val="nil"/>
              <w:bottom w:val="nil"/>
              <w:right w:val="nil"/>
            </w:tcBorders>
            <w:shd w:val="clear" w:color="auto" w:fill="auto"/>
            <w:noWrap/>
            <w:vAlign w:val="bottom"/>
            <w:hideMark/>
          </w:tcPr>
          <w:p w:rsidR="006F7AD6" w:rsidRPr="00A032ED" w:rsidP="00886011" w14:paraId="12686383"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9BE5069" w14:textId="77777777">
            <w:pPr>
              <w:widowControl/>
              <w:jc w:val="center"/>
              <w:rPr>
                <w:rFonts w:ascii="Calibri" w:hAnsi="Calibri" w:cs="Calibri"/>
                <w:snapToGrid/>
                <w:kern w:val="0"/>
                <w:szCs w:val="22"/>
              </w:rPr>
            </w:pPr>
            <w:r w:rsidRPr="00A032ED">
              <w:rPr>
                <w:rFonts w:ascii="Calibri" w:hAnsi="Calibri" w:cs="Calibri"/>
                <w:snapToGrid/>
                <w:kern w:val="0"/>
                <w:szCs w:val="22"/>
              </w:rPr>
              <w:t>KVCW</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51FB25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33,709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C09D0E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$244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F9F2BB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85C0AF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$13,697 </w:t>
            </w:r>
          </w:p>
        </w:tc>
      </w:tr>
      <w:tr w14:paraId="4003F2E4"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0BECEDD" w14:textId="77777777">
            <w:pPr>
              <w:widowControl/>
              <w:jc w:val="center"/>
              <w:rPr>
                <w:rFonts w:ascii="Calibri" w:hAnsi="Calibri" w:cs="Calibri"/>
                <w:snapToGrid/>
                <w:kern w:val="0"/>
                <w:szCs w:val="22"/>
              </w:rPr>
            </w:pPr>
            <w:r w:rsidRPr="00A032ED">
              <w:rPr>
                <w:rFonts w:ascii="Calibri" w:hAnsi="Calibri" w:cs="Calibri"/>
                <w:snapToGrid/>
                <w:kern w:val="0"/>
                <w:szCs w:val="22"/>
              </w:rPr>
              <w:t>KWHD</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312D75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97,959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4DC038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$708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780A44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D2B9EF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$7,129 </w:t>
            </w:r>
          </w:p>
        </w:tc>
        <w:tc>
          <w:tcPr>
            <w:tcW w:w="266" w:type="dxa"/>
            <w:tcBorders>
              <w:top w:val="nil"/>
              <w:left w:val="nil"/>
              <w:bottom w:val="nil"/>
              <w:right w:val="nil"/>
            </w:tcBorders>
            <w:shd w:val="clear" w:color="auto" w:fill="auto"/>
            <w:noWrap/>
            <w:vAlign w:val="bottom"/>
            <w:hideMark/>
          </w:tcPr>
          <w:p w:rsidR="006F7AD6" w:rsidRPr="00A032ED" w:rsidP="00886011" w14:paraId="1D7D919E"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5481CDB" w14:textId="77777777">
            <w:pPr>
              <w:widowControl/>
              <w:jc w:val="center"/>
              <w:rPr>
                <w:rFonts w:ascii="Calibri" w:hAnsi="Calibri" w:cs="Calibri"/>
                <w:snapToGrid/>
                <w:kern w:val="0"/>
                <w:szCs w:val="22"/>
              </w:rPr>
            </w:pPr>
            <w:r w:rsidRPr="00A032ED">
              <w:rPr>
                <w:rFonts w:ascii="Calibri" w:hAnsi="Calibri" w:cs="Calibri"/>
                <w:snapToGrid/>
                <w:kern w:val="0"/>
                <w:szCs w:val="22"/>
              </w:rPr>
              <w:t>KVDA</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A88022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2,400,582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EC88C0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$17,343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EB0E94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3F1D84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$22,246 </w:t>
            </w:r>
          </w:p>
        </w:tc>
      </w:tr>
      <w:tr w14:paraId="316B1AE5"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289E466" w14:textId="77777777">
            <w:pPr>
              <w:widowControl/>
              <w:jc w:val="center"/>
              <w:rPr>
                <w:rFonts w:ascii="Calibri" w:hAnsi="Calibri" w:cs="Calibri"/>
                <w:snapToGrid/>
                <w:kern w:val="0"/>
                <w:szCs w:val="22"/>
              </w:rPr>
            </w:pPr>
            <w:r w:rsidRPr="00A032ED">
              <w:rPr>
                <w:rFonts w:ascii="Calibri" w:hAnsi="Calibri" w:cs="Calibri"/>
                <w:snapToGrid/>
                <w:kern w:val="0"/>
                <w:szCs w:val="22"/>
              </w:rPr>
              <w:t>KWHE</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F0C198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952,966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E3B853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$6,885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C71710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70A1DA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$10,217 </w:t>
            </w:r>
          </w:p>
        </w:tc>
        <w:tc>
          <w:tcPr>
            <w:tcW w:w="266" w:type="dxa"/>
            <w:tcBorders>
              <w:top w:val="nil"/>
              <w:left w:val="nil"/>
              <w:bottom w:val="nil"/>
              <w:right w:val="nil"/>
            </w:tcBorders>
            <w:shd w:val="clear" w:color="auto" w:fill="auto"/>
            <w:noWrap/>
            <w:vAlign w:val="bottom"/>
            <w:hideMark/>
          </w:tcPr>
          <w:p w:rsidR="006F7AD6" w:rsidRPr="00A032ED" w:rsidP="00886011" w14:paraId="1A1FFF56"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8934927" w14:textId="77777777">
            <w:pPr>
              <w:widowControl/>
              <w:jc w:val="center"/>
              <w:rPr>
                <w:rFonts w:ascii="Calibri" w:hAnsi="Calibri" w:cs="Calibri"/>
                <w:snapToGrid/>
                <w:kern w:val="0"/>
                <w:szCs w:val="22"/>
              </w:rPr>
            </w:pPr>
            <w:r w:rsidRPr="00A032ED">
              <w:rPr>
                <w:rFonts w:ascii="Calibri" w:hAnsi="Calibri" w:cs="Calibri"/>
                <w:snapToGrid/>
                <w:kern w:val="0"/>
                <w:szCs w:val="22"/>
              </w:rPr>
              <w:t>KVEA</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56A3EE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17,925,427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7FAEBD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$129,500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035A5F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52CC41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$91,750 </w:t>
            </w:r>
          </w:p>
        </w:tc>
      </w:tr>
      <w:tr w14:paraId="597F7431"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4F37EAE" w14:textId="77777777">
            <w:pPr>
              <w:widowControl/>
              <w:jc w:val="center"/>
              <w:rPr>
                <w:rFonts w:ascii="Calibri" w:hAnsi="Calibri" w:cs="Calibri"/>
                <w:snapToGrid/>
                <w:kern w:val="0"/>
                <w:szCs w:val="22"/>
              </w:rPr>
            </w:pPr>
            <w:r w:rsidRPr="00A032ED">
              <w:rPr>
                <w:rFonts w:ascii="Calibri" w:hAnsi="Calibri" w:cs="Calibri"/>
                <w:snapToGrid/>
                <w:kern w:val="0"/>
                <w:szCs w:val="22"/>
              </w:rPr>
              <w:t>KWHM</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C4FE1F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175,045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F9C3A8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$1,265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77D8A8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6376BA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$7,407 </w:t>
            </w:r>
          </w:p>
        </w:tc>
        <w:tc>
          <w:tcPr>
            <w:tcW w:w="266" w:type="dxa"/>
            <w:tcBorders>
              <w:top w:val="nil"/>
              <w:left w:val="nil"/>
              <w:bottom w:val="nil"/>
              <w:right w:val="nil"/>
            </w:tcBorders>
            <w:shd w:val="clear" w:color="auto" w:fill="auto"/>
            <w:noWrap/>
            <w:vAlign w:val="bottom"/>
            <w:hideMark/>
          </w:tcPr>
          <w:p w:rsidR="006F7AD6" w:rsidRPr="00A032ED" w:rsidP="00886011" w14:paraId="472AAC81"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B28B6FD" w14:textId="77777777">
            <w:pPr>
              <w:widowControl/>
              <w:jc w:val="center"/>
              <w:rPr>
                <w:rFonts w:ascii="Calibri" w:hAnsi="Calibri" w:cs="Calibri"/>
                <w:snapToGrid/>
                <w:kern w:val="0"/>
                <w:szCs w:val="22"/>
              </w:rPr>
            </w:pPr>
            <w:r w:rsidRPr="00A032ED">
              <w:rPr>
                <w:rFonts w:ascii="Calibri" w:hAnsi="Calibri" w:cs="Calibri"/>
                <w:snapToGrid/>
                <w:kern w:val="0"/>
                <w:szCs w:val="22"/>
              </w:rPr>
              <w:t>KVEO-TV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400F7D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1,244,504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4314E4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$8,991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294927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8C2F00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$11,270 </w:t>
            </w:r>
          </w:p>
        </w:tc>
      </w:tr>
      <w:tr w14:paraId="65FC180A"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9995D5C" w14:textId="77777777">
            <w:pPr>
              <w:widowControl/>
              <w:jc w:val="center"/>
              <w:rPr>
                <w:rFonts w:ascii="Calibri" w:hAnsi="Calibri" w:cs="Calibri"/>
                <w:snapToGrid/>
                <w:kern w:val="0"/>
                <w:szCs w:val="22"/>
              </w:rPr>
            </w:pPr>
            <w:r w:rsidRPr="00A032ED">
              <w:rPr>
                <w:rFonts w:ascii="Calibri" w:hAnsi="Calibri" w:cs="Calibri"/>
                <w:snapToGrid/>
                <w:kern w:val="0"/>
                <w:szCs w:val="22"/>
              </w:rPr>
              <w:t>KWHY-TV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B9F58E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17,343,236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B23796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$125,294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AF44CB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92EDC9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$89,647 </w:t>
            </w:r>
          </w:p>
        </w:tc>
        <w:tc>
          <w:tcPr>
            <w:tcW w:w="266" w:type="dxa"/>
            <w:tcBorders>
              <w:top w:val="nil"/>
              <w:left w:val="nil"/>
              <w:bottom w:val="nil"/>
              <w:right w:val="nil"/>
            </w:tcBorders>
            <w:shd w:val="clear" w:color="auto" w:fill="auto"/>
            <w:noWrap/>
            <w:vAlign w:val="bottom"/>
            <w:hideMark/>
          </w:tcPr>
          <w:p w:rsidR="006F7AD6" w:rsidRPr="00A032ED" w:rsidP="00886011" w14:paraId="55D19958"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4F4B4E9" w14:textId="77777777">
            <w:pPr>
              <w:widowControl/>
              <w:jc w:val="center"/>
              <w:rPr>
                <w:rFonts w:ascii="Calibri" w:hAnsi="Calibri" w:cs="Calibri"/>
                <w:snapToGrid/>
                <w:kern w:val="0"/>
                <w:szCs w:val="22"/>
              </w:rPr>
            </w:pPr>
            <w:r w:rsidRPr="00A032ED">
              <w:rPr>
                <w:rFonts w:ascii="Calibri" w:hAnsi="Calibri" w:cs="Calibri"/>
                <w:snapToGrid/>
                <w:kern w:val="0"/>
                <w:szCs w:val="22"/>
              </w:rPr>
              <w:t>KVEW</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ACD36B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476,720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DB9162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$3,444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093797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4A76C8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$3,947 </w:t>
            </w:r>
          </w:p>
        </w:tc>
      </w:tr>
      <w:tr w14:paraId="6BB98135"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3332807" w14:textId="77777777">
            <w:pPr>
              <w:widowControl/>
              <w:jc w:val="center"/>
              <w:rPr>
                <w:rFonts w:ascii="Calibri" w:hAnsi="Calibri" w:cs="Calibri"/>
                <w:snapToGrid/>
                <w:kern w:val="0"/>
                <w:szCs w:val="22"/>
              </w:rPr>
            </w:pPr>
            <w:r w:rsidRPr="00A032ED">
              <w:rPr>
                <w:rFonts w:ascii="Calibri" w:hAnsi="Calibri" w:cs="Calibri"/>
                <w:snapToGrid/>
                <w:kern w:val="0"/>
                <w:szCs w:val="22"/>
              </w:rPr>
              <w:t>KWKB</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C9359B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1,121,676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BE51AF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$8,103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F48680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7CA7B8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$10,827 </w:t>
            </w:r>
          </w:p>
        </w:tc>
        <w:tc>
          <w:tcPr>
            <w:tcW w:w="266" w:type="dxa"/>
            <w:tcBorders>
              <w:top w:val="nil"/>
              <w:left w:val="nil"/>
              <w:bottom w:val="nil"/>
              <w:right w:val="nil"/>
            </w:tcBorders>
            <w:shd w:val="clear" w:color="auto" w:fill="auto"/>
            <w:noWrap/>
            <w:vAlign w:val="bottom"/>
            <w:hideMark/>
          </w:tcPr>
          <w:p w:rsidR="006F7AD6" w:rsidRPr="00A032ED" w:rsidP="00886011" w14:paraId="5DF2A8DC"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144FB8E" w14:textId="77777777">
            <w:pPr>
              <w:widowControl/>
              <w:jc w:val="center"/>
              <w:rPr>
                <w:rFonts w:ascii="Calibri" w:hAnsi="Calibri" w:cs="Calibri"/>
                <w:snapToGrid/>
                <w:kern w:val="0"/>
                <w:szCs w:val="22"/>
              </w:rPr>
            </w:pPr>
            <w:r w:rsidRPr="00A032ED">
              <w:rPr>
                <w:rFonts w:ascii="Calibri" w:hAnsi="Calibri" w:cs="Calibri"/>
                <w:snapToGrid/>
                <w:kern w:val="0"/>
                <w:szCs w:val="22"/>
              </w:rPr>
              <w:t>KVHP</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E73453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743,167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7320AA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$5,369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5D01FD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C62F76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$4,909 </w:t>
            </w:r>
          </w:p>
        </w:tc>
      </w:tr>
      <w:tr w14:paraId="4B8B21B0"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69EABD7" w14:textId="77777777">
            <w:pPr>
              <w:widowControl/>
              <w:jc w:val="center"/>
              <w:rPr>
                <w:rFonts w:ascii="Calibri" w:hAnsi="Calibri" w:cs="Calibri"/>
                <w:snapToGrid/>
                <w:kern w:val="0"/>
                <w:szCs w:val="22"/>
              </w:rPr>
            </w:pPr>
            <w:r w:rsidRPr="00A032ED">
              <w:rPr>
                <w:rFonts w:ascii="Calibri" w:hAnsi="Calibri" w:cs="Calibri"/>
                <w:snapToGrid/>
                <w:kern w:val="0"/>
                <w:szCs w:val="22"/>
              </w:rPr>
              <w:t>KWKT-TV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0332C0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1,010,550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62BCE1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$7,301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98F581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B3392F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$10,425 </w:t>
            </w:r>
          </w:p>
        </w:tc>
        <w:tc>
          <w:tcPr>
            <w:tcW w:w="266" w:type="dxa"/>
            <w:tcBorders>
              <w:top w:val="nil"/>
              <w:left w:val="nil"/>
              <w:bottom w:val="nil"/>
              <w:right w:val="nil"/>
            </w:tcBorders>
            <w:shd w:val="clear" w:color="auto" w:fill="auto"/>
            <w:noWrap/>
            <w:vAlign w:val="bottom"/>
            <w:hideMark/>
          </w:tcPr>
          <w:p w:rsidR="006F7AD6" w:rsidRPr="00A032ED" w:rsidP="00886011" w14:paraId="44991BEA"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0D0BD38" w14:textId="77777777">
            <w:pPr>
              <w:widowControl/>
              <w:jc w:val="center"/>
              <w:rPr>
                <w:rFonts w:ascii="Calibri" w:hAnsi="Calibri" w:cs="Calibri"/>
                <w:snapToGrid/>
                <w:kern w:val="0"/>
                <w:szCs w:val="22"/>
              </w:rPr>
            </w:pPr>
            <w:r w:rsidRPr="00A032ED">
              <w:rPr>
                <w:rFonts w:ascii="Calibri" w:hAnsi="Calibri" w:cs="Calibri"/>
                <w:snapToGrid/>
                <w:kern w:val="0"/>
                <w:szCs w:val="22"/>
              </w:rPr>
              <w:t>KVIA-TV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2F7E5B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1,015,350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B334A5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$7,335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9B77DF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F68337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$10,443 </w:t>
            </w:r>
          </w:p>
        </w:tc>
      </w:tr>
      <w:tr w14:paraId="37D6C2EE"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3984563" w14:textId="77777777">
            <w:pPr>
              <w:widowControl/>
              <w:jc w:val="center"/>
              <w:rPr>
                <w:rFonts w:ascii="Calibri" w:hAnsi="Calibri" w:cs="Calibri"/>
                <w:snapToGrid/>
                <w:kern w:val="0"/>
                <w:szCs w:val="22"/>
              </w:rPr>
            </w:pPr>
            <w:r w:rsidRPr="00A032ED">
              <w:rPr>
                <w:rFonts w:ascii="Calibri" w:hAnsi="Calibri" w:cs="Calibri"/>
                <w:snapToGrid/>
                <w:kern w:val="0"/>
                <w:szCs w:val="22"/>
              </w:rPr>
              <w:t>KWNB-TV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3AAC8B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91,093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9E422C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$658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017DD0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E87253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$2,554 </w:t>
            </w:r>
          </w:p>
        </w:tc>
        <w:tc>
          <w:tcPr>
            <w:tcW w:w="266" w:type="dxa"/>
            <w:tcBorders>
              <w:top w:val="nil"/>
              <w:left w:val="nil"/>
              <w:bottom w:val="nil"/>
              <w:right w:val="nil"/>
            </w:tcBorders>
            <w:shd w:val="clear" w:color="auto" w:fill="auto"/>
            <w:noWrap/>
            <w:vAlign w:val="bottom"/>
            <w:hideMark/>
          </w:tcPr>
          <w:p w:rsidR="006F7AD6" w:rsidRPr="00A032ED" w:rsidP="00886011" w14:paraId="51AAA5DC"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AA9D9D7" w14:textId="77777777">
            <w:pPr>
              <w:widowControl/>
              <w:jc w:val="center"/>
              <w:rPr>
                <w:rFonts w:ascii="Calibri" w:hAnsi="Calibri" w:cs="Calibri"/>
                <w:snapToGrid/>
                <w:kern w:val="0"/>
                <w:szCs w:val="22"/>
              </w:rPr>
            </w:pPr>
            <w:r w:rsidRPr="00A032ED">
              <w:rPr>
                <w:rFonts w:ascii="Calibri" w:hAnsi="Calibri" w:cs="Calibri"/>
                <w:snapToGrid/>
                <w:kern w:val="0"/>
                <w:szCs w:val="22"/>
              </w:rPr>
              <w:t>KVIE</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116DCA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10,772,354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51CD54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$77,823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E2FDFD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DABEE0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$59,249 </w:t>
            </w:r>
          </w:p>
        </w:tc>
      </w:tr>
      <w:tr w14:paraId="70CD9BE5"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500F622" w14:textId="77777777">
            <w:pPr>
              <w:widowControl/>
              <w:jc w:val="center"/>
              <w:rPr>
                <w:rFonts w:ascii="Calibri" w:hAnsi="Calibri" w:cs="Calibri"/>
                <w:snapToGrid/>
                <w:kern w:val="0"/>
                <w:szCs w:val="22"/>
              </w:rPr>
            </w:pPr>
            <w:r w:rsidRPr="00A032ED">
              <w:rPr>
                <w:rFonts w:ascii="Calibri" w:hAnsi="Calibri" w:cs="Calibri"/>
                <w:snapToGrid/>
                <w:kern w:val="0"/>
                <w:szCs w:val="22"/>
              </w:rPr>
              <w:t>KWPX-TV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0EF4FB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4,220,008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7D2FA4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$30,487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3D7350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219335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$35,581 </w:t>
            </w:r>
          </w:p>
        </w:tc>
        <w:tc>
          <w:tcPr>
            <w:tcW w:w="266" w:type="dxa"/>
            <w:tcBorders>
              <w:top w:val="nil"/>
              <w:left w:val="nil"/>
              <w:bottom w:val="nil"/>
              <w:right w:val="nil"/>
            </w:tcBorders>
            <w:shd w:val="clear" w:color="auto" w:fill="auto"/>
            <w:noWrap/>
            <w:vAlign w:val="bottom"/>
            <w:hideMark/>
          </w:tcPr>
          <w:p w:rsidR="006F7AD6" w:rsidRPr="00A032ED" w:rsidP="00886011" w14:paraId="0BD3717E"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9B59CEE" w14:textId="77777777">
            <w:pPr>
              <w:widowControl/>
              <w:jc w:val="center"/>
              <w:rPr>
                <w:rFonts w:ascii="Calibri" w:hAnsi="Calibri" w:cs="Calibri"/>
                <w:snapToGrid/>
                <w:kern w:val="0"/>
                <w:szCs w:val="22"/>
              </w:rPr>
            </w:pPr>
            <w:r w:rsidRPr="00A032ED">
              <w:rPr>
                <w:rFonts w:ascii="Calibri" w:hAnsi="Calibri" w:cs="Calibri"/>
                <w:snapToGrid/>
                <w:kern w:val="0"/>
                <w:szCs w:val="22"/>
              </w:rPr>
              <w:t>KVIH-TV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7522C1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91,912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672D2E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$664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E11287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349C9B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$2,557 </w:t>
            </w:r>
          </w:p>
        </w:tc>
      </w:tr>
      <w:tr w14:paraId="105BE5A9"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AE2959B" w14:textId="77777777">
            <w:pPr>
              <w:widowControl/>
              <w:jc w:val="center"/>
              <w:rPr>
                <w:rFonts w:ascii="Calibri" w:hAnsi="Calibri" w:cs="Calibri"/>
                <w:snapToGrid/>
                <w:kern w:val="0"/>
                <w:szCs w:val="22"/>
              </w:rPr>
            </w:pPr>
            <w:r w:rsidRPr="00A032ED">
              <w:rPr>
                <w:rFonts w:ascii="Calibri" w:hAnsi="Calibri" w:cs="Calibri"/>
                <w:snapToGrid/>
                <w:kern w:val="0"/>
                <w:szCs w:val="22"/>
              </w:rPr>
              <w:t>KWQC-TV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192271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1,080,156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EF15CC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$7,803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C81924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1D51AB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$6,127 </w:t>
            </w:r>
          </w:p>
        </w:tc>
        <w:tc>
          <w:tcPr>
            <w:tcW w:w="266" w:type="dxa"/>
            <w:tcBorders>
              <w:top w:val="nil"/>
              <w:left w:val="nil"/>
              <w:bottom w:val="nil"/>
              <w:right w:val="nil"/>
            </w:tcBorders>
            <w:shd w:val="clear" w:color="auto" w:fill="auto"/>
            <w:noWrap/>
            <w:vAlign w:val="bottom"/>
            <w:hideMark/>
          </w:tcPr>
          <w:p w:rsidR="006F7AD6" w:rsidRPr="00A032ED" w:rsidP="00886011" w14:paraId="276D9FA4"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39217EB" w14:textId="77777777">
            <w:pPr>
              <w:widowControl/>
              <w:jc w:val="center"/>
              <w:rPr>
                <w:rFonts w:ascii="Calibri" w:hAnsi="Calibri" w:cs="Calibri"/>
                <w:snapToGrid/>
                <w:kern w:val="0"/>
                <w:szCs w:val="22"/>
              </w:rPr>
            </w:pPr>
            <w:r w:rsidRPr="00A032ED">
              <w:rPr>
                <w:rFonts w:ascii="Calibri" w:hAnsi="Calibri" w:cs="Calibri"/>
                <w:snapToGrid/>
                <w:kern w:val="0"/>
                <w:szCs w:val="22"/>
              </w:rPr>
              <w:t>KVII-TV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6AC54D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379,042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C3F4DA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$2,738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392536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F95C96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$3,594 </w:t>
            </w:r>
          </w:p>
        </w:tc>
      </w:tr>
      <w:tr w14:paraId="43553298"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0864030" w14:textId="77777777">
            <w:pPr>
              <w:widowControl/>
              <w:jc w:val="center"/>
              <w:rPr>
                <w:rFonts w:ascii="Calibri" w:hAnsi="Calibri" w:cs="Calibri"/>
                <w:snapToGrid/>
                <w:kern w:val="0"/>
                <w:szCs w:val="22"/>
              </w:rPr>
            </w:pPr>
            <w:r w:rsidRPr="00A032ED">
              <w:rPr>
                <w:rFonts w:ascii="Calibri" w:hAnsi="Calibri" w:cs="Calibri"/>
                <w:snapToGrid/>
                <w:kern w:val="0"/>
                <w:szCs w:val="22"/>
              </w:rPr>
              <w:t>KWSD</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959495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280,675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15EF7D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$2,028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356517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18006B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$3,239 </w:t>
            </w:r>
          </w:p>
        </w:tc>
        <w:tc>
          <w:tcPr>
            <w:tcW w:w="266" w:type="dxa"/>
            <w:tcBorders>
              <w:top w:val="nil"/>
              <w:left w:val="nil"/>
              <w:bottom w:val="nil"/>
              <w:right w:val="nil"/>
            </w:tcBorders>
            <w:shd w:val="clear" w:color="auto" w:fill="auto"/>
            <w:noWrap/>
            <w:vAlign w:val="bottom"/>
            <w:hideMark/>
          </w:tcPr>
          <w:p w:rsidR="006F7AD6" w:rsidRPr="00A032ED" w:rsidP="00886011" w14:paraId="578E7511"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F2DFE3F" w14:textId="77777777">
            <w:pPr>
              <w:widowControl/>
              <w:jc w:val="center"/>
              <w:rPr>
                <w:rFonts w:ascii="Calibri" w:hAnsi="Calibri" w:cs="Calibri"/>
                <w:snapToGrid/>
                <w:kern w:val="0"/>
                <w:szCs w:val="22"/>
              </w:rPr>
            </w:pPr>
            <w:r w:rsidRPr="00A032ED">
              <w:rPr>
                <w:rFonts w:ascii="Calibri" w:hAnsi="Calibri" w:cs="Calibri"/>
                <w:snapToGrid/>
                <w:kern w:val="0"/>
                <w:szCs w:val="22"/>
              </w:rPr>
              <w:t>KVLY-TV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27F6E0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347,517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DAD1D1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$2,511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542FD9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608313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$3,480 </w:t>
            </w:r>
          </w:p>
        </w:tc>
      </w:tr>
      <w:tr w14:paraId="2318B1FB"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682D7B9" w14:textId="77777777">
            <w:pPr>
              <w:widowControl/>
              <w:jc w:val="center"/>
              <w:rPr>
                <w:rFonts w:ascii="Calibri" w:hAnsi="Calibri" w:cs="Calibri"/>
                <w:snapToGrid/>
                <w:kern w:val="0"/>
                <w:szCs w:val="22"/>
              </w:rPr>
            </w:pPr>
            <w:r w:rsidRPr="00A032ED">
              <w:rPr>
                <w:rFonts w:ascii="Calibri" w:hAnsi="Calibri" w:cs="Calibri"/>
                <w:snapToGrid/>
                <w:kern w:val="0"/>
                <w:szCs w:val="22"/>
              </w:rPr>
              <w:t>KWTV-DT</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49A9A4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1,628,106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A1CF62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$11,762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41CDD2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25D4C4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$19,456 </w:t>
            </w:r>
          </w:p>
        </w:tc>
        <w:tc>
          <w:tcPr>
            <w:tcW w:w="266" w:type="dxa"/>
            <w:tcBorders>
              <w:top w:val="nil"/>
              <w:left w:val="nil"/>
              <w:bottom w:val="nil"/>
              <w:right w:val="nil"/>
            </w:tcBorders>
            <w:shd w:val="clear" w:color="auto" w:fill="auto"/>
            <w:noWrap/>
            <w:vAlign w:val="bottom"/>
            <w:hideMark/>
          </w:tcPr>
          <w:p w:rsidR="006F7AD6" w:rsidRPr="00A032ED" w:rsidP="00886011" w14:paraId="00452116"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712E6E3" w14:textId="77777777">
            <w:pPr>
              <w:widowControl/>
              <w:jc w:val="center"/>
              <w:rPr>
                <w:rFonts w:ascii="Calibri" w:hAnsi="Calibri" w:cs="Calibri"/>
                <w:snapToGrid/>
                <w:kern w:val="0"/>
                <w:szCs w:val="22"/>
              </w:rPr>
            </w:pPr>
            <w:r w:rsidRPr="00A032ED">
              <w:rPr>
                <w:rFonts w:ascii="Calibri" w:hAnsi="Calibri" w:cs="Calibri"/>
                <w:snapToGrid/>
                <w:kern w:val="0"/>
                <w:szCs w:val="22"/>
              </w:rPr>
              <w:t>KVMD</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B307E8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6,145,526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E724CF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$44,398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1FF96B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545D56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$49,199 </w:t>
            </w:r>
          </w:p>
        </w:tc>
      </w:tr>
      <w:tr w14:paraId="56856852"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570A156" w14:textId="77777777">
            <w:pPr>
              <w:widowControl/>
              <w:jc w:val="center"/>
              <w:rPr>
                <w:rFonts w:ascii="Calibri" w:hAnsi="Calibri" w:cs="Calibri"/>
                <w:snapToGrid/>
                <w:kern w:val="0"/>
                <w:szCs w:val="22"/>
              </w:rPr>
            </w:pPr>
            <w:r w:rsidRPr="00A032ED">
              <w:rPr>
                <w:rFonts w:ascii="Calibri" w:hAnsi="Calibri" w:cs="Calibri"/>
                <w:snapToGrid/>
                <w:kern w:val="0"/>
                <w:szCs w:val="22"/>
              </w:rPr>
              <w:t>KWTX-TV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CEA07B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2,071,023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937603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$14,962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C72B1D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71D3DC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$14,256 </w:t>
            </w:r>
          </w:p>
        </w:tc>
        <w:tc>
          <w:tcPr>
            <w:tcW w:w="266" w:type="dxa"/>
            <w:tcBorders>
              <w:top w:val="nil"/>
              <w:left w:val="nil"/>
              <w:bottom w:val="nil"/>
              <w:right w:val="nil"/>
            </w:tcBorders>
            <w:shd w:val="clear" w:color="auto" w:fill="auto"/>
            <w:noWrap/>
            <w:vAlign w:val="bottom"/>
            <w:hideMark/>
          </w:tcPr>
          <w:p w:rsidR="006F7AD6" w:rsidRPr="00A032ED" w:rsidP="00886011" w14:paraId="07D6D4E2"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7B18551" w14:textId="77777777">
            <w:pPr>
              <w:widowControl/>
              <w:jc w:val="center"/>
              <w:rPr>
                <w:rFonts w:ascii="Calibri" w:hAnsi="Calibri" w:cs="Calibri"/>
                <w:snapToGrid/>
                <w:kern w:val="0"/>
                <w:szCs w:val="22"/>
              </w:rPr>
            </w:pPr>
            <w:r w:rsidRPr="00A032ED">
              <w:rPr>
                <w:rFonts w:ascii="Calibri" w:hAnsi="Calibri" w:cs="Calibri"/>
                <w:snapToGrid/>
                <w:kern w:val="0"/>
                <w:szCs w:val="22"/>
              </w:rPr>
              <w:t>KVME-TV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0545C8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26,711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F6D7FC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$193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6CCCB7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9A7697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$27,096 </w:t>
            </w:r>
          </w:p>
        </w:tc>
      </w:tr>
      <w:tr w14:paraId="3970DDB5"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700022E" w14:textId="77777777">
            <w:pPr>
              <w:widowControl/>
              <w:jc w:val="center"/>
              <w:rPr>
                <w:rFonts w:ascii="Calibri" w:hAnsi="Calibri" w:cs="Calibri"/>
                <w:snapToGrid/>
                <w:kern w:val="0"/>
                <w:szCs w:val="22"/>
              </w:rPr>
            </w:pPr>
            <w:r w:rsidRPr="00A032ED">
              <w:rPr>
                <w:rFonts w:ascii="Calibri" w:hAnsi="Calibri" w:cs="Calibri"/>
                <w:snapToGrid/>
                <w:kern w:val="0"/>
                <w:szCs w:val="22"/>
              </w:rPr>
              <w:t>KWWL</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6608A3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1,171,751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0A3EC6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$8,465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BAFEAC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6CEAE3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$11,008 </w:t>
            </w:r>
          </w:p>
        </w:tc>
        <w:tc>
          <w:tcPr>
            <w:tcW w:w="266" w:type="dxa"/>
            <w:tcBorders>
              <w:top w:val="nil"/>
              <w:left w:val="nil"/>
              <w:bottom w:val="nil"/>
              <w:right w:val="nil"/>
            </w:tcBorders>
            <w:shd w:val="clear" w:color="auto" w:fill="auto"/>
            <w:noWrap/>
            <w:vAlign w:val="bottom"/>
            <w:hideMark/>
          </w:tcPr>
          <w:p w:rsidR="006F7AD6" w:rsidRPr="00A032ED" w:rsidP="00886011" w14:paraId="01FDFFE6"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84EC977" w14:textId="77777777">
            <w:pPr>
              <w:widowControl/>
              <w:jc w:val="center"/>
              <w:rPr>
                <w:rFonts w:ascii="Calibri" w:hAnsi="Calibri" w:cs="Calibri"/>
                <w:snapToGrid/>
                <w:kern w:val="0"/>
                <w:szCs w:val="22"/>
              </w:rPr>
            </w:pPr>
            <w:r w:rsidRPr="00A032ED">
              <w:rPr>
                <w:rFonts w:ascii="Calibri" w:hAnsi="Calibri" w:cs="Calibri"/>
                <w:snapToGrid/>
                <w:kern w:val="0"/>
                <w:szCs w:val="22"/>
              </w:rPr>
              <w:t>KVOA</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193827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1,317,956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30114D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$9,521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B8881A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EE384F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$11,536 </w:t>
            </w:r>
          </w:p>
        </w:tc>
      </w:tr>
      <w:tr w14:paraId="2AE11AE7"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9F64AC3" w14:textId="77777777">
            <w:pPr>
              <w:widowControl/>
              <w:jc w:val="center"/>
              <w:rPr>
                <w:rFonts w:ascii="Calibri" w:hAnsi="Calibri" w:cs="Calibri"/>
                <w:snapToGrid/>
                <w:kern w:val="0"/>
                <w:szCs w:val="22"/>
              </w:rPr>
            </w:pPr>
            <w:r w:rsidRPr="00A032ED">
              <w:rPr>
                <w:rFonts w:ascii="Calibri" w:hAnsi="Calibri" w:cs="Calibri"/>
                <w:snapToGrid/>
                <w:kern w:val="0"/>
                <w:szCs w:val="22"/>
              </w:rPr>
              <w:t>KWWT</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89EE4C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293,291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2BC244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$2,119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6C96EA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8A7880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$3,284 </w:t>
            </w:r>
          </w:p>
        </w:tc>
        <w:tc>
          <w:tcPr>
            <w:tcW w:w="266" w:type="dxa"/>
            <w:tcBorders>
              <w:top w:val="nil"/>
              <w:left w:val="nil"/>
              <w:bottom w:val="nil"/>
              <w:right w:val="nil"/>
            </w:tcBorders>
            <w:shd w:val="clear" w:color="auto" w:fill="auto"/>
            <w:noWrap/>
            <w:vAlign w:val="bottom"/>
            <w:hideMark/>
          </w:tcPr>
          <w:p w:rsidR="006F7AD6" w:rsidRPr="00A032ED" w:rsidP="00886011" w14:paraId="0E19B887"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BC8D9EE" w14:textId="77777777">
            <w:pPr>
              <w:widowControl/>
              <w:jc w:val="center"/>
              <w:rPr>
                <w:rFonts w:ascii="Calibri" w:hAnsi="Calibri" w:cs="Calibri"/>
                <w:snapToGrid/>
                <w:kern w:val="0"/>
                <w:szCs w:val="22"/>
              </w:rPr>
            </w:pPr>
            <w:r w:rsidRPr="00A032ED">
              <w:rPr>
                <w:rFonts w:ascii="Calibri" w:hAnsi="Calibri" w:cs="Calibri"/>
                <w:snapToGrid/>
                <w:kern w:val="0"/>
                <w:szCs w:val="22"/>
              </w:rPr>
              <w:t>KVOS-TV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35D2C7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2,019,168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880BDF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$14,587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E0528B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6F7C8D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$27,631 </w:t>
            </w:r>
          </w:p>
        </w:tc>
      </w:tr>
      <w:tr w14:paraId="51267FC9"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8D1E33E" w14:textId="77777777">
            <w:pPr>
              <w:widowControl/>
              <w:jc w:val="center"/>
              <w:rPr>
                <w:rFonts w:ascii="Calibri" w:hAnsi="Calibri" w:cs="Calibri"/>
                <w:snapToGrid/>
                <w:kern w:val="0"/>
                <w:szCs w:val="22"/>
              </w:rPr>
            </w:pPr>
            <w:r w:rsidRPr="00A032ED">
              <w:rPr>
                <w:rFonts w:ascii="Calibri" w:hAnsi="Calibri" w:cs="Calibri"/>
                <w:snapToGrid/>
                <w:kern w:val="0"/>
                <w:szCs w:val="22"/>
              </w:rPr>
              <w:t>KWYB</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707746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86,495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40953B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$625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4DD1AB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15802F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$2,537 </w:t>
            </w:r>
          </w:p>
        </w:tc>
        <w:tc>
          <w:tcPr>
            <w:tcW w:w="266" w:type="dxa"/>
            <w:tcBorders>
              <w:top w:val="nil"/>
              <w:left w:val="nil"/>
              <w:bottom w:val="nil"/>
              <w:right w:val="nil"/>
            </w:tcBorders>
            <w:shd w:val="clear" w:color="auto" w:fill="auto"/>
            <w:noWrap/>
            <w:vAlign w:val="bottom"/>
            <w:hideMark/>
          </w:tcPr>
          <w:p w:rsidR="006F7AD6" w:rsidRPr="00A032ED" w:rsidP="00886011" w14:paraId="087718C0"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BFD2EC0" w14:textId="77777777">
            <w:pPr>
              <w:widowControl/>
              <w:jc w:val="center"/>
              <w:rPr>
                <w:rFonts w:ascii="Calibri" w:hAnsi="Calibri" w:cs="Calibri"/>
                <w:snapToGrid/>
                <w:kern w:val="0"/>
                <w:szCs w:val="22"/>
              </w:rPr>
            </w:pPr>
            <w:r w:rsidRPr="00A032ED">
              <w:rPr>
                <w:rFonts w:ascii="Calibri" w:hAnsi="Calibri" w:cs="Calibri"/>
                <w:snapToGrid/>
                <w:kern w:val="0"/>
                <w:szCs w:val="22"/>
              </w:rPr>
              <w:t>KVRR</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AF7740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356,645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22A5F0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$2,577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E8C2B0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25C11D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$3,513 </w:t>
            </w:r>
          </w:p>
        </w:tc>
      </w:tr>
      <w:tr w14:paraId="5164516C"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D0131E3" w14:textId="77777777">
            <w:pPr>
              <w:widowControl/>
              <w:jc w:val="center"/>
              <w:rPr>
                <w:rFonts w:ascii="Calibri" w:hAnsi="Calibri" w:cs="Calibri"/>
                <w:snapToGrid/>
                <w:kern w:val="0"/>
                <w:szCs w:val="22"/>
              </w:rPr>
            </w:pPr>
            <w:r w:rsidRPr="00A032ED">
              <w:rPr>
                <w:rFonts w:ascii="Calibri" w:hAnsi="Calibri" w:cs="Calibri"/>
                <w:snapToGrid/>
                <w:kern w:val="0"/>
                <w:szCs w:val="22"/>
              </w:rPr>
              <w:t>KXAN-TV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1E3B29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2,678,666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746747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$19,352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4EEC28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6A8E7C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$23,251 </w:t>
            </w:r>
          </w:p>
        </w:tc>
        <w:tc>
          <w:tcPr>
            <w:tcW w:w="266" w:type="dxa"/>
            <w:tcBorders>
              <w:top w:val="nil"/>
              <w:left w:val="nil"/>
              <w:bottom w:val="nil"/>
              <w:right w:val="nil"/>
            </w:tcBorders>
            <w:shd w:val="clear" w:color="auto" w:fill="auto"/>
            <w:noWrap/>
            <w:vAlign w:val="bottom"/>
            <w:hideMark/>
          </w:tcPr>
          <w:p w:rsidR="006F7AD6" w:rsidRPr="00A032ED" w:rsidP="00886011" w14:paraId="68D1262B"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AB22E24" w14:textId="77777777">
            <w:pPr>
              <w:widowControl/>
              <w:jc w:val="center"/>
              <w:rPr>
                <w:rFonts w:ascii="Calibri" w:hAnsi="Calibri" w:cs="Calibri"/>
                <w:snapToGrid/>
                <w:kern w:val="0"/>
                <w:szCs w:val="22"/>
              </w:rPr>
            </w:pPr>
            <w:r w:rsidRPr="00A032ED">
              <w:rPr>
                <w:rFonts w:ascii="Calibri" w:hAnsi="Calibri" w:cs="Calibri"/>
                <w:snapToGrid/>
                <w:kern w:val="0"/>
                <w:szCs w:val="22"/>
              </w:rPr>
              <w:t>KVSN-DT</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0A0F1D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2,711,724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96AD25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$19,590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21462D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321C3E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$16,570 </w:t>
            </w:r>
          </w:p>
        </w:tc>
      </w:tr>
      <w:tr w14:paraId="6A11FA55"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0948F67" w14:textId="77777777">
            <w:pPr>
              <w:widowControl/>
              <w:jc w:val="center"/>
              <w:rPr>
                <w:rFonts w:ascii="Calibri" w:hAnsi="Calibri" w:cs="Calibri"/>
                <w:snapToGrid/>
                <w:kern w:val="0"/>
                <w:szCs w:val="22"/>
              </w:rPr>
            </w:pPr>
            <w:r w:rsidRPr="00A032ED">
              <w:rPr>
                <w:rFonts w:ascii="Calibri" w:hAnsi="Calibri" w:cs="Calibri"/>
                <w:snapToGrid/>
                <w:kern w:val="0"/>
                <w:szCs w:val="22"/>
              </w:rPr>
              <w:t>KXAS-TV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E4E1CD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6,774,295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5B617D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$48,940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5BD468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946B3E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$51,470 </w:t>
            </w:r>
          </w:p>
        </w:tc>
        <w:tc>
          <w:tcPr>
            <w:tcW w:w="266" w:type="dxa"/>
            <w:tcBorders>
              <w:top w:val="nil"/>
              <w:left w:val="nil"/>
              <w:bottom w:val="nil"/>
              <w:right w:val="nil"/>
            </w:tcBorders>
            <w:shd w:val="clear" w:color="auto" w:fill="auto"/>
            <w:noWrap/>
            <w:vAlign w:val="bottom"/>
            <w:hideMark/>
          </w:tcPr>
          <w:p w:rsidR="006F7AD6" w:rsidRPr="00A032ED" w:rsidP="00886011" w14:paraId="68718EF8"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786B44E" w14:textId="77777777">
            <w:pPr>
              <w:widowControl/>
              <w:jc w:val="center"/>
              <w:rPr>
                <w:rFonts w:ascii="Calibri" w:hAnsi="Calibri" w:cs="Calibri"/>
                <w:snapToGrid/>
                <w:kern w:val="0"/>
                <w:szCs w:val="22"/>
              </w:rPr>
            </w:pPr>
            <w:r w:rsidRPr="00A032ED">
              <w:rPr>
                <w:rFonts w:ascii="Calibri" w:hAnsi="Calibri" w:cs="Calibri"/>
                <w:snapToGrid/>
                <w:kern w:val="0"/>
                <w:szCs w:val="22"/>
              </w:rPr>
              <w:t>KVTH-DT</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5C009F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303,744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34B760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$2,194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0FC3CA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7AF45B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$7,872 </w:t>
            </w:r>
          </w:p>
        </w:tc>
      </w:tr>
      <w:tr w14:paraId="2C17CF99"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EBD76F4" w14:textId="77777777">
            <w:pPr>
              <w:widowControl/>
              <w:jc w:val="center"/>
              <w:rPr>
                <w:rFonts w:ascii="Calibri" w:hAnsi="Calibri" w:cs="Calibri"/>
                <w:snapToGrid/>
                <w:kern w:val="0"/>
                <w:szCs w:val="22"/>
              </w:rPr>
            </w:pPr>
            <w:r w:rsidRPr="00A032ED">
              <w:rPr>
                <w:rFonts w:ascii="Calibri" w:hAnsi="Calibri" w:cs="Calibri"/>
                <w:snapToGrid/>
                <w:kern w:val="0"/>
                <w:szCs w:val="22"/>
              </w:rPr>
              <w:t>KXGN-TV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58953F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14,217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066349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$103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BFB8DB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C78AD0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$2,276 </w:t>
            </w:r>
          </w:p>
        </w:tc>
        <w:tc>
          <w:tcPr>
            <w:tcW w:w="266" w:type="dxa"/>
            <w:tcBorders>
              <w:top w:val="nil"/>
              <w:left w:val="nil"/>
              <w:bottom w:val="nil"/>
              <w:right w:val="nil"/>
            </w:tcBorders>
            <w:shd w:val="clear" w:color="auto" w:fill="auto"/>
            <w:noWrap/>
            <w:vAlign w:val="bottom"/>
            <w:hideMark/>
          </w:tcPr>
          <w:p w:rsidR="006F7AD6" w:rsidRPr="00A032ED" w:rsidP="00886011" w14:paraId="7C92AF92"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2665F90" w14:textId="77777777">
            <w:pPr>
              <w:widowControl/>
              <w:jc w:val="center"/>
              <w:rPr>
                <w:rFonts w:ascii="Calibri" w:hAnsi="Calibri" w:cs="Calibri"/>
                <w:snapToGrid/>
                <w:kern w:val="0"/>
                <w:szCs w:val="22"/>
              </w:rPr>
            </w:pPr>
            <w:r w:rsidRPr="00A032ED">
              <w:rPr>
                <w:rFonts w:ascii="Calibri" w:hAnsi="Calibri" w:cs="Calibri"/>
                <w:snapToGrid/>
                <w:kern w:val="0"/>
                <w:szCs w:val="22"/>
              </w:rPr>
              <w:t>KVTJ-DT</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C6CE3F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1,466,517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8724D9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$10,595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417E2B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36245A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$7,522 </w:t>
            </w:r>
          </w:p>
        </w:tc>
      </w:tr>
      <w:tr w14:paraId="3D9B3BDC"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883DA94" w14:textId="77777777">
            <w:pPr>
              <w:widowControl/>
              <w:jc w:val="center"/>
              <w:rPr>
                <w:rFonts w:ascii="Calibri" w:hAnsi="Calibri" w:cs="Calibri"/>
                <w:snapToGrid/>
                <w:kern w:val="0"/>
                <w:szCs w:val="22"/>
              </w:rPr>
            </w:pPr>
            <w:r w:rsidRPr="00A032ED">
              <w:rPr>
                <w:rFonts w:ascii="Calibri" w:hAnsi="Calibri" w:cs="Calibri"/>
                <w:snapToGrid/>
                <w:kern w:val="0"/>
                <w:szCs w:val="22"/>
              </w:rPr>
              <w:t>KXII</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56529D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2,323,974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5041C2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$16,789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9B8598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04FA91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$10,620 </w:t>
            </w:r>
          </w:p>
        </w:tc>
        <w:tc>
          <w:tcPr>
            <w:tcW w:w="266" w:type="dxa"/>
            <w:tcBorders>
              <w:top w:val="nil"/>
              <w:left w:val="nil"/>
              <w:bottom w:val="nil"/>
              <w:right w:val="nil"/>
            </w:tcBorders>
            <w:shd w:val="clear" w:color="auto" w:fill="auto"/>
            <w:noWrap/>
            <w:vAlign w:val="bottom"/>
            <w:hideMark/>
          </w:tcPr>
          <w:p w:rsidR="006F7AD6" w:rsidRPr="00A032ED" w:rsidP="00886011" w14:paraId="3B17E79F"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F1DA531" w14:textId="77777777">
            <w:pPr>
              <w:widowControl/>
              <w:jc w:val="center"/>
              <w:rPr>
                <w:rFonts w:ascii="Calibri" w:hAnsi="Calibri" w:cs="Calibri"/>
                <w:snapToGrid/>
                <w:kern w:val="0"/>
                <w:szCs w:val="22"/>
              </w:rPr>
            </w:pPr>
            <w:r w:rsidRPr="00A032ED">
              <w:rPr>
                <w:rFonts w:ascii="Calibri" w:hAnsi="Calibri" w:cs="Calibri"/>
                <w:snapToGrid/>
                <w:kern w:val="0"/>
                <w:szCs w:val="22"/>
              </w:rPr>
              <w:t>KVTN-DT</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F5707E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936,328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8D68D6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$6,764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9FC28A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9B1306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$10,157 </w:t>
            </w:r>
          </w:p>
        </w:tc>
      </w:tr>
      <w:tr w14:paraId="4B82A4CD"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754293D" w14:textId="77777777">
            <w:pPr>
              <w:widowControl/>
              <w:jc w:val="center"/>
              <w:rPr>
                <w:rFonts w:ascii="Calibri" w:hAnsi="Calibri" w:cs="Calibri"/>
                <w:snapToGrid/>
                <w:kern w:val="0"/>
                <w:szCs w:val="22"/>
              </w:rPr>
            </w:pPr>
            <w:r w:rsidRPr="00A032ED">
              <w:rPr>
                <w:rFonts w:ascii="Calibri" w:hAnsi="Calibri" w:cs="Calibri"/>
                <w:snapToGrid/>
                <w:kern w:val="0"/>
                <w:szCs w:val="22"/>
              </w:rPr>
              <w:t>KXLA</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2BEB31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17,653,508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8EA7B5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$127,535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68977B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2C3790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$90,768 </w:t>
            </w:r>
          </w:p>
        </w:tc>
        <w:tc>
          <w:tcPr>
            <w:tcW w:w="266" w:type="dxa"/>
            <w:tcBorders>
              <w:top w:val="nil"/>
              <w:left w:val="nil"/>
              <w:bottom w:val="nil"/>
              <w:right w:val="nil"/>
            </w:tcBorders>
            <w:shd w:val="clear" w:color="auto" w:fill="auto"/>
            <w:noWrap/>
            <w:vAlign w:val="bottom"/>
            <w:hideMark/>
          </w:tcPr>
          <w:p w:rsidR="006F7AD6" w:rsidRPr="00A032ED" w:rsidP="00886011" w14:paraId="40070CE9"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9871AC9" w14:textId="77777777">
            <w:pPr>
              <w:widowControl/>
              <w:jc w:val="center"/>
              <w:rPr>
                <w:rFonts w:ascii="Calibri" w:hAnsi="Calibri" w:cs="Calibri"/>
                <w:snapToGrid/>
                <w:kern w:val="0"/>
                <w:szCs w:val="22"/>
              </w:rPr>
            </w:pPr>
            <w:r w:rsidRPr="00A032ED">
              <w:rPr>
                <w:rFonts w:ascii="Calibri" w:hAnsi="Calibri" w:cs="Calibri"/>
                <w:snapToGrid/>
                <w:kern w:val="0"/>
                <w:szCs w:val="22"/>
              </w:rPr>
              <w:t>KVUE</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F1B908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2,661,290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F852A8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$19,226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2BDEEB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B7AA7C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$23,188 </w:t>
            </w:r>
          </w:p>
        </w:tc>
      </w:tr>
      <w:tr w14:paraId="10463E76"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DF938D1" w14:textId="77777777">
            <w:pPr>
              <w:widowControl/>
              <w:jc w:val="center"/>
              <w:rPr>
                <w:rFonts w:ascii="Calibri" w:hAnsi="Calibri" w:cs="Calibri"/>
                <w:snapToGrid/>
                <w:kern w:val="0"/>
                <w:szCs w:val="22"/>
              </w:rPr>
            </w:pPr>
            <w:r w:rsidRPr="00A032ED">
              <w:rPr>
                <w:rFonts w:ascii="Calibri" w:hAnsi="Calibri" w:cs="Calibri"/>
                <w:snapToGrid/>
                <w:kern w:val="0"/>
                <w:szCs w:val="22"/>
              </w:rPr>
              <w:t>KXLF-TV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D059CC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258,100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B5CDCC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$1,865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48DBD1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C9CFC0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$3,157 </w:t>
            </w:r>
          </w:p>
        </w:tc>
        <w:tc>
          <w:tcPr>
            <w:tcW w:w="266" w:type="dxa"/>
            <w:tcBorders>
              <w:top w:val="nil"/>
              <w:left w:val="nil"/>
              <w:bottom w:val="nil"/>
              <w:right w:val="nil"/>
            </w:tcBorders>
            <w:shd w:val="clear" w:color="auto" w:fill="auto"/>
            <w:noWrap/>
            <w:vAlign w:val="bottom"/>
            <w:hideMark/>
          </w:tcPr>
          <w:p w:rsidR="006F7AD6" w:rsidRPr="00A032ED" w:rsidP="00886011" w14:paraId="5D7E0B29"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77F03BA" w14:textId="77777777">
            <w:pPr>
              <w:widowControl/>
              <w:jc w:val="center"/>
              <w:rPr>
                <w:rFonts w:ascii="Calibri" w:hAnsi="Calibri" w:cs="Calibri"/>
                <w:snapToGrid/>
                <w:kern w:val="0"/>
                <w:szCs w:val="22"/>
              </w:rPr>
            </w:pPr>
            <w:r w:rsidRPr="00A032ED">
              <w:rPr>
                <w:rFonts w:ascii="Calibri" w:hAnsi="Calibri" w:cs="Calibri"/>
                <w:snapToGrid/>
                <w:kern w:val="0"/>
                <w:szCs w:val="22"/>
              </w:rPr>
              <w:t>KVUI</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EBEDC9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248,405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B22A8B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$1,795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BB0209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EDE469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$3,122 </w:t>
            </w:r>
          </w:p>
        </w:tc>
      </w:tr>
      <w:tr w14:paraId="3CE5A806"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1D6EC29" w14:textId="77777777">
            <w:pPr>
              <w:widowControl/>
              <w:jc w:val="center"/>
              <w:rPr>
                <w:rFonts w:ascii="Calibri" w:hAnsi="Calibri" w:cs="Calibri"/>
                <w:snapToGrid/>
                <w:kern w:val="0"/>
                <w:szCs w:val="22"/>
              </w:rPr>
            </w:pPr>
            <w:r w:rsidRPr="00A032ED">
              <w:rPr>
                <w:rFonts w:ascii="Calibri" w:hAnsi="Calibri" w:cs="Calibri"/>
                <w:snapToGrid/>
                <w:kern w:val="0"/>
                <w:szCs w:val="22"/>
              </w:rPr>
              <w:t>KXLT-TV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D2EE30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348,025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AC90A7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$2,514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DA35F8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F94B84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$3,482 </w:t>
            </w:r>
          </w:p>
        </w:tc>
        <w:tc>
          <w:tcPr>
            <w:tcW w:w="266" w:type="dxa"/>
            <w:tcBorders>
              <w:top w:val="nil"/>
              <w:left w:val="nil"/>
              <w:bottom w:val="nil"/>
              <w:right w:val="nil"/>
            </w:tcBorders>
            <w:shd w:val="clear" w:color="auto" w:fill="auto"/>
            <w:noWrap/>
            <w:vAlign w:val="bottom"/>
            <w:hideMark/>
          </w:tcPr>
          <w:p w:rsidR="006F7AD6" w:rsidRPr="00A032ED" w:rsidP="00886011" w14:paraId="476D52E8"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8125816" w14:textId="77777777">
            <w:pPr>
              <w:widowControl/>
              <w:jc w:val="center"/>
              <w:rPr>
                <w:rFonts w:ascii="Calibri" w:hAnsi="Calibri" w:cs="Calibri"/>
                <w:snapToGrid/>
                <w:kern w:val="0"/>
                <w:szCs w:val="22"/>
              </w:rPr>
            </w:pPr>
            <w:r w:rsidRPr="00A032ED">
              <w:rPr>
                <w:rFonts w:ascii="Calibri" w:hAnsi="Calibri" w:cs="Calibri"/>
                <w:snapToGrid/>
                <w:kern w:val="0"/>
                <w:szCs w:val="22"/>
              </w:rPr>
              <w:t>WACY-TV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2CA1A9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920,090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E6BAB9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$6,647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3A370D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02BD70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$10,099 </w:t>
            </w:r>
          </w:p>
        </w:tc>
      </w:tr>
      <w:tr w14:paraId="32439082"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16BBEA7" w14:textId="77777777">
            <w:pPr>
              <w:widowControl/>
              <w:jc w:val="center"/>
              <w:rPr>
                <w:rFonts w:ascii="Calibri" w:hAnsi="Calibri" w:cs="Calibri"/>
                <w:snapToGrid/>
                <w:kern w:val="0"/>
                <w:szCs w:val="22"/>
              </w:rPr>
            </w:pPr>
            <w:r w:rsidRPr="00A032ED">
              <w:rPr>
                <w:rFonts w:ascii="Calibri" w:hAnsi="Calibri" w:cs="Calibri"/>
                <w:snapToGrid/>
                <w:kern w:val="0"/>
                <w:szCs w:val="22"/>
              </w:rPr>
              <w:t>KXLY-TV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D7DE9A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784,334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279957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$5,666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D67E25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56374A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$9,608 </w:t>
            </w:r>
          </w:p>
        </w:tc>
        <w:tc>
          <w:tcPr>
            <w:tcW w:w="266" w:type="dxa"/>
            <w:tcBorders>
              <w:top w:val="nil"/>
              <w:left w:val="nil"/>
              <w:bottom w:val="nil"/>
              <w:right w:val="nil"/>
            </w:tcBorders>
            <w:shd w:val="clear" w:color="auto" w:fill="auto"/>
            <w:noWrap/>
            <w:vAlign w:val="bottom"/>
            <w:hideMark/>
          </w:tcPr>
          <w:p w:rsidR="006F7AD6" w:rsidRPr="00A032ED" w:rsidP="00886011" w14:paraId="437F2254"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F54CD6C" w14:textId="77777777">
            <w:pPr>
              <w:widowControl/>
              <w:jc w:val="center"/>
              <w:rPr>
                <w:rFonts w:ascii="Calibri" w:hAnsi="Calibri" w:cs="Calibri"/>
                <w:snapToGrid/>
                <w:kern w:val="0"/>
                <w:szCs w:val="22"/>
              </w:rPr>
            </w:pPr>
            <w:r w:rsidRPr="00A032ED">
              <w:rPr>
                <w:rFonts w:ascii="Calibri" w:hAnsi="Calibri" w:cs="Calibri"/>
                <w:snapToGrid/>
                <w:kern w:val="0"/>
                <w:szCs w:val="22"/>
              </w:rPr>
              <w:t>WADL</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359B16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4,610,514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2F892E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$33,308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528FFA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0E3E7E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$36,992 </w:t>
            </w:r>
          </w:p>
        </w:tc>
      </w:tr>
      <w:tr w14:paraId="51D111E6"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50BA909" w14:textId="77777777">
            <w:pPr>
              <w:widowControl/>
              <w:jc w:val="center"/>
              <w:rPr>
                <w:rFonts w:ascii="Calibri" w:hAnsi="Calibri" w:cs="Calibri"/>
                <w:snapToGrid/>
                <w:kern w:val="0"/>
                <w:szCs w:val="22"/>
              </w:rPr>
            </w:pPr>
            <w:r w:rsidRPr="00A032ED">
              <w:rPr>
                <w:rFonts w:ascii="Calibri" w:hAnsi="Calibri" w:cs="Calibri"/>
                <w:snapToGrid/>
                <w:kern w:val="0"/>
                <w:szCs w:val="22"/>
              </w:rPr>
              <w:t>KXMA-TV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B60A7F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32,005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619A06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$231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02C57A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02C7F2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$2,341 </w:t>
            </w:r>
          </w:p>
        </w:tc>
        <w:tc>
          <w:tcPr>
            <w:tcW w:w="266" w:type="dxa"/>
            <w:tcBorders>
              <w:top w:val="nil"/>
              <w:left w:val="nil"/>
              <w:bottom w:val="nil"/>
              <w:right w:val="nil"/>
            </w:tcBorders>
            <w:shd w:val="clear" w:color="auto" w:fill="auto"/>
            <w:noWrap/>
            <w:vAlign w:val="bottom"/>
            <w:hideMark/>
          </w:tcPr>
          <w:p w:rsidR="006F7AD6" w:rsidRPr="00A032ED" w:rsidP="00886011" w14:paraId="76161BC8"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934BF2B" w14:textId="77777777">
            <w:pPr>
              <w:widowControl/>
              <w:jc w:val="center"/>
              <w:rPr>
                <w:rFonts w:ascii="Calibri" w:hAnsi="Calibri" w:cs="Calibri"/>
                <w:snapToGrid/>
                <w:kern w:val="0"/>
                <w:szCs w:val="22"/>
              </w:rPr>
            </w:pPr>
            <w:r w:rsidRPr="00A032ED">
              <w:rPr>
                <w:rFonts w:ascii="Calibri" w:hAnsi="Calibri" w:cs="Calibri"/>
                <w:snapToGrid/>
                <w:kern w:val="0"/>
                <w:szCs w:val="22"/>
              </w:rPr>
              <w:t>WAFB</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796A3A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1,857,882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911C92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$13,422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A5F154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CBFB6B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$13,486 </w:t>
            </w:r>
          </w:p>
        </w:tc>
      </w:tr>
      <w:tr w14:paraId="3D0C7B5F"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CA87DB8" w14:textId="77777777">
            <w:pPr>
              <w:widowControl/>
              <w:jc w:val="center"/>
              <w:rPr>
                <w:rFonts w:ascii="Calibri" w:hAnsi="Calibri" w:cs="Calibri"/>
                <w:snapToGrid/>
                <w:kern w:val="0"/>
                <w:szCs w:val="22"/>
              </w:rPr>
            </w:pPr>
            <w:r w:rsidRPr="00A032ED">
              <w:rPr>
                <w:rFonts w:ascii="Calibri" w:hAnsi="Calibri" w:cs="Calibri"/>
                <w:snapToGrid/>
                <w:kern w:val="0"/>
                <w:szCs w:val="22"/>
              </w:rPr>
              <w:t>KXMB-TV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6EBDB8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142,755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151A22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$1,031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3C6C9C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C368FD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$2,741 </w:t>
            </w:r>
          </w:p>
        </w:tc>
        <w:tc>
          <w:tcPr>
            <w:tcW w:w="266" w:type="dxa"/>
            <w:tcBorders>
              <w:top w:val="nil"/>
              <w:left w:val="nil"/>
              <w:bottom w:val="nil"/>
              <w:right w:val="nil"/>
            </w:tcBorders>
            <w:shd w:val="clear" w:color="auto" w:fill="auto"/>
            <w:noWrap/>
            <w:vAlign w:val="bottom"/>
            <w:hideMark/>
          </w:tcPr>
          <w:p w:rsidR="006F7AD6" w:rsidRPr="00A032ED" w:rsidP="00886011" w14:paraId="6438CA59"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1B7AEB7" w14:textId="77777777">
            <w:pPr>
              <w:widowControl/>
              <w:jc w:val="center"/>
              <w:rPr>
                <w:rFonts w:ascii="Calibri" w:hAnsi="Calibri" w:cs="Calibri"/>
                <w:snapToGrid/>
                <w:kern w:val="0"/>
                <w:szCs w:val="22"/>
              </w:rPr>
            </w:pPr>
            <w:r w:rsidRPr="00A032ED">
              <w:rPr>
                <w:rFonts w:ascii="Calibri" w:hAnsi="Calibri" w:cs="Calibri"/>
                <w:snapToGrid/>
                <w:kern w:val="0"/>
                <w:szCs w:val="22"/>
              </w:rPr>
              <w:t>WAFF</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EB6A26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1,197,068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F8065D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$8,648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BCFB39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A294A1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$11,099 </w:t>
            </w:r>
          </w:p>
        </w:tc>
      </w:tr>
      <w:tr w14:paraId="760DA45E"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2E5C0A2" w14:textId="77777777">
            <w:pPr>
              <w:widowControl/>
              <w:jc w:val="center"/>
              <w:rPr>
                <w:rFonts w:ascii="Calibri" w:hAnsi="Calibri" w:cs="Calibri"/>
                <w:snapToGrid/>
                <w:kern w:val="0"/>
                <w:szCs w:val="22"/>
              </w:rPr>
            </w:pPr>
            <w:r w:rsidRPr="00A032ED">
              <w:rPr>
                <w:rFonts w:ascii="Calibri" w:hAnsi="Calibri" w:cs="Calibri"/>
                <w:snapToGrid/>
                <w:kern w:val="0"/>
                <w:szCs w:val="22"/>
              </w:rPr>
              <w:t>KXMC-TV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31BC78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97,569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BC1E36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$705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83EA99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6FCA2E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$2,577 </w:t>
            </w:r>
          </w:p>
        </w:tc>
        <w:tc>
          <w:tcPr>
            <w:tcW w:w="266" w:type="dxa"/>
            <w:tcBorders>
              <w:top w:val="nil"/>
              <w:left w:val="nil"/>
              <w:bottom w:val="nil"/>
              <w:right w:val="nil"/>
            </w:tcBorders>
            <w:shd w:val="clear" w:color="auto" w:fill="auto"/>
            <w:noWrap/>
            <w:vAlign w:val="bottom"/>
            <w:hideMark/>
          </w:tcPr>
          <w:p w:rsidR="006F7AD6" w:rsidRPr="00A032ED" w:rsidP="00886011" w14:paraId="15034A39"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A43244E" w14:textId="77777777">
            <w:pPr>
              <w:widowControl/>
              <w:jc w:val="center"/>
              <w:rPr>
                <w:rFonts w:ascii="Calibri" w:hAnsi="Calibri" w:cs="Calibri"/>
                <w:snapToGrid/>
                <w:kern w:val="0"/>
                <w:szCs w:val="22"/>
              </w:rPr>
            </w:pPr>
            <w:r w:rsidRPr="00A032ED">
              <w:rPr>
                <w:rFonts w:ascii="Calibri" w:hAnsi="Calibri" w:cs="Calibri"/>
                <w:snapToGrid/>
                <w:kern w:val="0"/>
                <w:szCs w:val="22"/>
              </w:rPr>
              <w:t>WAGA-TV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CD495A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6,000,355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27D44C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$43,349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AC3CFA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502C35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$48,674 </w:t>
            </w:r>
          </w:p>
        </w:tc>
      </w:tr>
      <w:tr w14:paraId="5A0C781A"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467A556" w14:textId="77777777">
            <w:pPr>
              <w:widowControl/>
              <w:jc w:val="center"/>
              <w:rPr>
                <w:rFonts w:ascii="Calibri" w:hAnsi="Calibri" w:cs="Calibri"/>
                <w:snapToGrid/>
                <w:kern w:val="0"/>
                <w:szCs w:val="22"/>
              </w:rPr>
            </w:pPr>
            <w:r w:rsidRPr="00A032ED">
              <w:rPr>
                <w:rFonts w:ascii="Calibri" w:hAnsi="Calibri" w:cs="Calibri"/>
                <w:snapToGrid/>
                <w:kern w:val="0"/>
                <w:szCs w:val="22"/>
              </w:rPr>
              <w:t>KXMD-TV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73E790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37,962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2B608D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$274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C7EE1C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AA83A7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$2,362 </w:t>
            </w:r>
          </w:p>
        </w:tc>
        <w:tc>
          <w:tcPr>
            <w:tcW w:w="266" w:type="dxa"/>
            <w:tcBorders>
              <w:top w:val="nil"/>
              <w:left w:val="nil"/>
              <w:bottom w:val="nil"/>
              <w:right w:val="nil"/>
            </w:tcBorders>
            <w:shd w:val="clear" w:color="auto" w:fill="auto"/>
            <w:noWrap/>
            <w:vAlign w:val="bottom"/>
            <w:hideMark/>
          </w:tcPr>
          <w:p w:rsidR="006F7AD6" w:rsidRPr="00A032ED" w:rsidP="00886011" w14:paraId="42D73F98"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6AF80AF" w14:textId="77777777">
            <w:pPr>
              <w:widowControl/>
              <w:jc w:val="center"/>
              <w:rPr>
                <w:rFonts w:ascii="Calibri" w:hAnsi="Calibri" w:cs="Calibri"/>
                <w:snapToGrid/>
                <w:kern w:val="0"/>
                <w:szCs w:val="22"/>
              </w:rPr>
            </w:pPr>
            <w:r w:rsidRPr="00A032ED">
              <w:rPr>
                <w:rFonts w:ascii="Calibri" w:hAnsi="Calibri" w:cs="Calibri"/>
                <w:snapToGrid/>
                <w:kern w:val="0"/>
                <w:szCs w:val="22"/>
              </w:rPr>
              <w:t>WAGM-TV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5E8AAF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64,721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9F2B29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$468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EB96EC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ADB4C5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$7,009 </w:t>
            </w:r>
          </w:p>
        </w:tc>
      </w:tr>
      <w:tr w14:paraId="016CBFC3"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B6856C3" w14:textId="77777777">
            <w:pPr>
              <w:widowControl/>
              <w:jc w:val="center"/>
              <w:rPr>
                <w:rFonts w:ascii="Calibri" w:hAnsi="Calibri" w:cs="Calibri"/>
                <w:snapToGrid/>
                <w:kern w:val="0"/>
                <w:szCs w:val="22"/>
              </w:rPr>
            </w:pPr>
            <w:r w:rsidRPr="00A032ED">
              <w:rPr>
                <w:rFonts w:ascii="Calibri" w:hAnsi="Calibri" w:cs="Calibri"/>
                <w:snapToGrid/>
                <w:kern w:val="0"/>
                <w:szCs w:val="22"/>
              </w:rPr>
              <w:t>KXNW</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CD53E1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602,168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BBC14F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$4,350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97CC69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2DC0CC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$8,950 </w:t>
            </w:r>
          </w:p>
        </w:tc>
        <w:tc>
          <w:tcPr>
            <w:tcW w:w="266" w:type="dxa"/>
            <w:tcBorders>
              <w:top w:val="nil"/>
              <w:left w:val="nil"/>
              <w:bottom w:val="nil"/>
              <w:right w:val="nil"/>
            </w:tcBorders>
            <w:shd w:val="clear" w:color="auto" w:fill="auto"/>
            <w:noWrap/>
            <w:vAlign w:val="bottom"/>
            <w:hideMark/>
          </w:tcPr>
          <w:p w:rsidR="006F7AD6" w:rsidRPr="00A032ED" w:rsidP="00886011" w14:paraId="0EE36B31"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593E70E" w14:textId="77777777">
            <w:pPr>
              <w:widowControl/>
              <w:jc w:val="center"/>
              <w:rPr>
                <w:rFonts w:ascii="Calibri" w:hAnsi="Calibri" w:cs="Calibri"/>
                <w:snapToGrid/>
                <w:kern w:val="0"/>
                <w:szCs w:val="22"/>
              </w:rPr>
            </w:pPr>
            <w:r w:rsidRPr="00A032ED">
              <w:rPr>
                <w:rFonts w:ascii="Calibri" w:hAnsi="Calibri" w:cs="Calibri"/>
                <w:snapToGrid/>
                <w:kern w:val="0"/>
                <w:szCs w:val="22"/>
              </w:rPr>
              <w:t>WAKA</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613DD0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769,765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313205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$5,561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FCBCE4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8B4F6C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$5,006 </w:t>
            </w:r>
          </w:p>
        </w:tc>
      </w:tr>
      <w:tr w14:paraId="68E06040"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405528A" w14:textId="77777777">
            <w:pPr>
              <w:widowControl/>
              <w:jc w:val="center"/>
              <w:rPr>
                <w:rFonts w:ascii="Calibri" w:hAnsi="Calibri" w:cs="Calibri"/>
                <w:snapToGrid/>
                <w:kern w:val="0"/>
                <w:szCs w:val="22"/>
              </w:rPr>
            </w:pPr>
            <w:r w:rsidRPr="00A032ED">
              <w:rPr>
                <w:rFonts w:ascii="Calibri" w:hAnsi="Calibri" w:cs="Calibri"/>
                <w:snapToGrid/>
                <w:kern w:val="0"/>
                <w:szCs w:val="22"/>
              </w:rPr>
              <w:t>KXRM-TV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B3C428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1,843,363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1D1753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$13,317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B8B551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B4D1CF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$13,434 </w:t>
            </w:r>
          </w:p>
        </w:tc>
        <w:tc>
          <w:tcPr>
            <w:tcW w:w="266" w:type="dxa"/>
            <w:tcBorders>
              <w:top w:val="nil"/>
              <w:left w:val="nil"/>
              <w:bottom w:val="nil"/>
              <w:right w:val="nil"/>
            </w:tcBorders>
            <w:shd w:val="clear" w:color="auto" w:fill="auto"/>
            <w:noWrap/>
            <w:vAlign w:val="bottom"/>
            <w:hideMark/>
          </w:tcPr>
          <w:p w:rsidR="006F7AD6" w:rsidRPr="00A032ED" w:rsidP="00886011" w14:paraId="585D0AFE"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47B9568" w14:textId="77777777">
            <w:pPr>
              <w:widowControl/>
              <w:jc w:val="center"/>
              <w:rPr>
                <w:rFonts w:ascii="Calibri" w:hAnsi="Calibri" w:cs="Calibri"/>
                <w:snapToGrid/>
                <w:kern w:val="0"/>
                <w:szCs w:val="22"/>
              </w:rPr>
            </w:pPr>
            <w:r w:rsidRPr="00A032ED">
              <w:rPr>
                <w:rFonts w:ascii="Calibri" w:hAnsi="Calibri" w:cs="Calibri"/>
                <w:snapToGrid/>
                <w:kern w:val="0"/>
                <w:szCs w:val="22"/>
              </w:rPr>
              <w:t>WALA-TV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41F762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1,320,419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605431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$9,539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2EB794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E99AF2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$11,545 </w:t>
            </w:r>
          </w:p>
        </w:tc>
      </w:tr>
      <w:tr w14:paraId="7BF50ADB"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2D95A62" w14:textId="77777777">
            <w:pPr>
              <w:widowControl/>
              <w:jc w:val="center"/>
              <w:rPr>
                <w:rFonts w:ascii="Calibri" w:hAnsi="Calibri" w:cs="Calibri"/>
                <w:snapToGrid/>
                <w:kern w:val="0"/>
                <w:szCs w:val="22"/>
              </w:rPr>
            </w:pPr>
            <w:r w:rsidRPr="00A032ED">
              <w:rPr>
                <w:rFonts w:ascii="Calibri" w:hAnsi="Calibri" w:cs="Calibri"/>
                <w:snapToGrid/>
                <w:kern w:val="0"/>
                <w:szCs w:val="22"/>
              </w:rPr>
              <w:t>KXTV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76D20F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10,759,864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0977D6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$77,733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EB1B93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31A8D8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$59,204 </w:t>
            </w:r>
          </w:p>
        </w:tc>
        <w:tc>
          <w:tcPr>
            <w:tcW w:w="266" w:type="dxa"/>
            <w:tcBorders>
              <w:top w:val="nil"/>
              <w:left w:val="nil"/>
              <w:bottom w:val="nil"/>
              <w:right w:val="nil"/>
            </w:tcBorders>
            <w:shd w:val="clear" w:color="auto" w:fill="auto"/>
            <w:noWrap/>
            <w:vAlign w:val="bottom"/>
            <w:hideMark/>
          </w:tcPr>
          <w:p w:rsidR="006F7AD6" w:rsidRPr="00A032ED" w:rsidP="00886011" w14:paraId="5CB45021"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C72E4F9" w14:textId="77777777">
            <w:pPr>
              <w:widowControl/>
              <w:jc w:val="center"/>
              <w:rPr>
                <w:rFonts w:ascii="Calibri" w:hAnsi="Calibri" w:cs="Calibri"/>
                <w:snapToGrid/>
                <w:kern w:val="0"/>
                <w:szCs w:val="22"/>
              </w:rPr>
            </w:pPr>
            <w:r w:rsidRPr="00A032ED">
              <w:rPr>
                <w:rFonts w:ascii="Calibri" w:hAnsi="Calibri" w:cs="Calibri"/>
                <w:snapToGrid/>
                <w:kern w:val="0"/>
                <w:szCs w:val="22"/>
              </w:rPr>
              <w:t>WALB</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EC6D5E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773,899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D0920F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$5,591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2435F7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DB2B5C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$5,020 </w:t>
            </w:r>
          </w:p>
        </w:tc>
      </w:tr>
      <w:tr w14:paraId="35A81836"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2AE69E0" w14:textId="77777777">
            <w:pPr>
              <w:widowControl/>
              <w:jc w:val="center"/>
              <w:rPr>
                <w:rFonts w:ascii="Calibri" w:hAnsi="Calibri" w:cs="Calibri"/>
                <w:snapToGrid/>
                <w:kern w:val="0"/>
                <w:szCs w:val="22"/>
              </w:rPr>
            </w:pPr>
            <w:r w:rsidRPr="00A032ED">
              <w:rPr>
                <w:rFonts w:ascii="Calibri" w:hAnsi="Calibri" w:cs="Calibri"/>
                <w:snapToGrid/>
                <w:kern w:val="0"/>
                <w:szCs w:val="22"/>
              </w:rPr>
              <w:t>KXTX-TV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82062A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6,716,749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D75AE4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$48,524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6ABFC9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F06E18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$51,262 </w:t>
            </w:r>
          </w:p>
        </w:tc>
        <w:tc>
          <w:tcPr>
            <w:tcW w:w="266" w:type="dxa"/>
            <w:tcBorders>
              <w:top w:val="nil"/>
              <w:left w:val="nil"/>
              <w:bottom w:val="nil"/>
              <w:right w:val="nil"/>
            </w:tcBorders>
            <w:shd w:val="clear" w:color="auto" w:fill="auto"/>
            <w:noWrap/>
            <w:vAlign w:val="bottom"/>
            <w:hideMark/>
          </w:tcPr>
          <w:p w:rsidR="006F7AD6" w:rsidRPr="00A032ED" w:rsidP="00886011" w14:paraId="06081294"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EBD7341" w14:textId="77777777">
            <w:pPr>
              <w:widowControl/>
              <w:jc w:val="center"/>
              <w:rPr>
                <w:rFonts w:ascii="Calibri" w:hAnsi="Calibri" w:cs="Calibri"/>
                <w:snapToGrid/>
                <w:kern w:val="0"/>
                <w:szCs w:val="22"/>
              </w:rPr>
            </w:pPr>
            <w:r w:rsidRPr="00A032ED">
              <w:rPr>
                <w:rFonts w:ascii="Calibri" w:hAnsi="Calibri" w:cs="Calibri"/>
                <w:snapToGrid/>
                <w:kern w:val="0"/>
                <w:szCs w:val="22"/>
              </w:rPr>
              <w:t>WAMI-DT</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4FB8D5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5,406,932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16AC8E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$39,062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8AB296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95F3CB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$39,868 </w:t>
            </w:r>
          </w:p>
        </w:tc>
      </w:tr>
      <w:tr w14:paraId="56CE085A"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CB59527" w14:textId="77777777">
            <w:pPr>
              <w:widowControl/>
              <w:jc w:val="center"/>
              <w:rPr>
                <w:rFonts w:ascii="Calibri" w:hAnsi="Calibri" w:cs="Calibri"/>
                <w:snapToGrid/>
                <w:kern w:val="0"/>
                <w:szCs w:val="22"/>
              </w:rPr>
            </w:pPr>
            <w:r w:rsidRPr="00A032ED">
              <w:rPr>
                <w:rFonts w:ascii="Calibri" w:hAnsi="Calibri" w:cs="Calibri"/>
                <w:snapToGrid/>
                <w:kern w:val="0"/>
                <w:szCs w:val="22"/>
              </w:rPr>
              <w:t>KXVA</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D27C23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185,478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952E25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$1,340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BC30BF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4ADBD3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$2,895 </w:t>
            </w:r>
          </w:p>
        </w:tc>
        <w:tc>
          <w:tcPr>
            <w:tcW w:w="266" w:type="dxa"/>
            <w:tcBorders>
              <w:top w:val="nil"/>
              <w:left w:val="nil"/>
              <w:bottom w:val="nil"/>
              <w:right w:val="nil"/>
            </w:tcBorders>
            <w:shd w:val="clear" w:color="auto" w:fill="auto"/>
            <w:noWrap/>
            <w:vAlign w:val="bottom"/>
            <w:hideMark/>
          </w:tcPr>
          <w:p w:rsidR="006F7AD6" w:rsidRPr="00A032ED" w:rsidP="00886011" w14:paraId="4840EEAD"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E113AE3" w14:textId="77777777">
            <w:pPr>
              <w:widowControl/>
              <w:jc w:val="center"/>
              <w:rPr>
                <w:rFonts w:ascii="Calibri" w:hAnsi="Calibri" w:cs="Calibri"/>
                <w:snapToGrid/>
                <w:kern w:val="0"/>
                <w:szCs w:val="22"/>
              </w:rPr>
            </w:pPr>
            <w:r w:rsidRPr="00A032ED">
              <w:rPr>
                <w:rFonts w:ascii="Calibri" w:hAnsi="Calibri" w:cs="Calibri"/>
                <w:snapToGrid/>
                <w:kern w:val="0"/>
                <w:szCs w:val="22"/>
              </w:rPr>
              <w:t>WAND</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60D00B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1,400,271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BE135D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$10,116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9DB25F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74D2D4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$11,833 </w:t>
            </w:r>
          </w:p>
        </w:tc>
      </w:tr>
      <w:tr w14:paraId="6842C4E2"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9235A8F" w14:textId="77777777">
            <w:pPr>
              <w:widowControl/>
              <w:jc w:val="center"/>
              <w:rPr>
                <w:rFonts w:ascii="Calibri" w:hAnsi="Calibri" w:cs="Calibri"/>
                <w:snapToGrid/>
                <w:kern w:val="0"/>
                <w:szCs w:val="22"/>
              </w:rPr>
            </w:pPr>
            <w:r w:rsidRPr="00A032ED">
              <w:rPr>
                <w:rFonts w:ascii="Calibri" w:hAnsi="Calibri" w:cs="Calibri"/>
                <w:snapToGrid/>
                <w:kern w:val="0"/>
                <w:szCs w:val="22"/>
              </w:rPr>
              <w:t>KXVO</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C55EF1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1,333,338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7C17E8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$9,633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520A81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0DE1F8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$11,591 </w:t>
            </w:r>
          </w:p>
        </w:tc>
        <w:tc>
          <w:tcPr>
            <w:tcW w:w="266" w:type="dxa"/>
            <w:tcBorders>
              <w:top w:val="nil"/>
              <w:left w:val="nil"/>
              <w:bottom w:val="nil"/>
              <w:right w:val="nil"/>
            </w:tcBorders>
            <w:shd w:val="clear" w:color="auto" w:fill="auto"/>
            <w:noWrap/>
            <w:vAlign w:val="bottom"/>
            <w:hideMark/>
          </w:tcPr>
          <w:p w:rsidR="006F7AD6" w:rsidRPr="00A032ED" w:rsidP="00886011" w14:paraId="346D34D9"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C912D64" w14:textId="77777777">
            <w:pPr>
              <w:widowControl/>
              <w:jc w:val="center"/>
              <w:rPr>
                <w:rFonts w:ascii="Calibri" w:hAnsi="Calibri" w:cs="Calibri"/>
                <w:snapToGrid/>
                <w:kern w:val="0"/>
                <w:szCs w:val="22"/>
              </w:rPr>
            </w:pPr>
            <w:r w:rsidRPr="00A032ED">
              <w:rPr>
                <w:rFonts w:ascii="Calibri" w:hAnsi="Calibri" w:cs="Calibri"/>
                <w:snapToGrid/>
                <w:kern w:val="0"/>
                <w:szCs w:val="22"/>
              </w:rPr>
              <w:t>WANE-TV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88736E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1,108,844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65168F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$8,011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C34EF5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5D0045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$6,230 </w:t>
            </w:r>
          </w:p>
        </w:tc>
      </w:tr>
      <w:tr w14:paraId="33298016"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487FF0C" w14:textId="77777777">
            <w:pPr>
              <w:widowControl/>
              <w:jc w:val="center"/>
              <w:rPr>
                <w:rFonts w:ascii="Calibri" w:hAnsi="Calibri" w:cs="Calibri"/>
                <w:snapToGrid/>
                <w:kern w:val="0"/>
                <w:szCs w:val="22"/>
              </w:rPr>
            </w:pPr>
            <w:r w:rsidRPr="00A032ED">
              <w:rPr>
                <w:rFonts w:ascii="Calibri" w:hAnsi="Calibri" w:cs="Calibri"/>
                <w:snapToGrid/>
                <w:kern w:val="0"/>
                <w:szCs w:val="22"/>
              </w:rPr>
              <w:t>KXXV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0504D3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1,771,620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3B0343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$12,799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9D0030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C106C8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$13,174 </w:t>
            </w:r>
          </w:p>
        </w:tc>
        <w:tc>
          <w:tcPr>
            <w:tcW w:w="266" w:type="dxa"/>
            <w:tcBorders>
              <w:top w:val="nil"/>
              <w:left w:val="nil"/>
              <w:bottom w:val="nil"/>
              <w:right w:val="nil"/>
            </w:tcBorders>
            <w:shd w:val="clear" w:color="auto" w:fill="auto"/>
            <w:noWrap/>
            <w:vAlign w:val="bottom"/>
            <w:hideMark/>
          </w:tcPr>
          <w:p w:rsidR="006F7AD6" w:rsidRPr="00A032ED" w:rsidP="00886011" w14:paraId="6D210442"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6AD4A2B" w14:textId="77777777">
            <w:pPr>
              <w:widowControl/>
              <w:jc w:val="center"/>
              <w:rPr>
                <w:rFonts w:ascii="Calibri" w:hAnsi="Calibri" w:cs="Calibri"/>
                <w:snapToGrid/>
                <w:kern w:val="0"/>
                <w:szCs w:val="22"/>
              </w:rPr>
            </w:pPr>
            <w:r w:rsidRPr="00A032ED">
              <w:rPr>
                <w:rFonts w:ascii="Calibri" w:hAnsi="Calibri" w:cs="Calibri"/>
                <w:snapToGrid/>
                <w:kern w:val="0"/>
                <w:szCs w:val="22"/>
              </w:rPr>
              <w:t>WAOE</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103269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613,812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0EB657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$4,434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19F4E9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7967C4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$4,442 </w:t>
            </w:r>
          </w:p>
        </w:tc>
      </w:tr>
      <w:tr w14:paraId="3C71B985"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A23A7DA" w14:textId="77777777">
            <w:pPr>
              <w:widowControl/>
              <w:jc w:val="center"/>
              <w:rPr>
                <w:rFonts w:ascii="Calibri" w:hAnsi="Calibri" w:cs="Calibri"/>
                <w:snapToGrid/>
                <w:kern w:val="0"/>
                <w:szCs w:val="22"/>
              </w:rPr>
            </w:pPr>
            <w:r w:rsidRPr="00A032ED">
              <w:rPr>
                <w:rFonts w:ascii="Calibri" w:hAnsi="Calibri" w:cs="Calibri"/>
                <w:snapToGrid/>
                <w:kern w:val="0"/>
                <w:szCs w:val="22"/>
              </w:rPr>
              <w:t>KYAZ</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4EB4A9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6,075,053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1982D2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$43,888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609563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F3E1BA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$48,944 </w:t>
            </w:r>
          </w:p>
        </w:tc>
        <w:tc>
          <w:tcPr>
            <w:tcW w:w="266" w:type="dxa"/>
            <w:tcBorders>
              <w:top w:val="nil"/>
              <w:left w:val="nil"/>
              <w:bottom w:val="nil"/>
              <w:right w:val="nil"/>
            </w:tcBorders>
            <w:shd w:val="clear" w:color="auto" w:fill="auto"/>
            <w:noWrap/>
            <w:vAlign w:val="bottom"/>
            <w:hideMark/>
          </w:tcPr>
          <w:p w:rsidR="006F7AD6" w:rsidRPr="00A032ED" w:rsidP="00886011" w14:paraId="6CB6D59D"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D2DD7FB" w14:textId="77777777">
            <w:pPr>
              <w:widowControl/>
              <w:jc w:val="center"/>
              <w:rPr>
                <w:rFonts w:ascii="Calibri" w:hAnsi="Calibri" w:cs="Calibri"/>
                <w:snapToGrid/>
                <w:kern w:val="0"/>
                <w:szCs w:val="22"/>
              </w:rPr>
            </w:pPr>
            <w:r w:rsidRPr="00A032ED">
              <w:rPr>
                <w:rFonts w:ascii="Calibri" w:hAnsi="Calibri" w:cs="Calibri"/>
                <w:snapToGrid/>
                <w:kern w:val="0"/>
                <w:szCs w:val="22"/>
              </w:rPr>
              <w:t>WAOW</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2C37A0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636,957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02DEB3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$4,602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CA6449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1A184D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$4,526 </w:t>
            </w:r>
          </w:p>
        </w:tc>
      </w:tr>
      <w:tr w14:paraId="63E09CE3"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1E6EA7F" w14:textId="77777777">
            <w:pPr>
              <w:widowControl/>
              <w:jc w:val="center"/>
              <w:rPr>
                <w:rFonts w:ascii="Calibri" w:hAnsi="Calibri" w:cs="Calibri"/>
                <w:snapToGrid/>
                <w:kern w:val="0"/>
                <w:szCs w:val="22"/>
              </w:rPr>
            </w:pPr>
            <w:r w:rsidRPr="00A032ED">
              <w:rPr>
                <w:rFonts w:ascii="Calibri" w:hAnsi="Calibri" w:cs="Calibri"/>
                <w:snapToGrid/>
                <w:kern w:val="0"/>
                <w:szCs w:val="22"/>
              </w:rPr>
              <w:t>KYES-TV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2BEF96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381,413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372DA9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$2,755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8384AC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299035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$3,603 </w:t>
            </w:r>
          </w:p>
        </w:tc>
        <w:tc>
          <w:tcPr>
            <w:tcW w:w="266" w:type="dxa"/>
            <w:tcBorders>
              <w:top w:val="nil"/>
              <w:left w:val="nil"/>
              <w:bottom w:val="nil"/>
              <w:right w:val="nil"/>
            </w:tcBorders>
            <w:shd w:val="clear" w:color="auto" w:fill="auto"/>
            <w:noWrap/>
            <w:vAlign w:val="bottom"/>
            <w:hideMark/>
          </w:tcPr>
          <w:p w:rsidR="006F7AD6" w:rsidRPr="00A032ED" w:rsidP="00886011" w14:paraId="4322EF89"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E4C3211" w14:textId="77777777">
            <w:pPr>
              <w:widowControl/>
              <w:jc w:val="center"/>
              <w:rPr>
                <w:rFonts w:ascii="Calibri" w:hAnsi="Calibri" w:cs="Calibri"/>
                <w:snapToGrid/>
                <w:kern w:val="0"/>
                <w:szCs w:val="22"/>
              </w:rPr>
            </w:pPr>
            <w:r w:rsidRPr="00A032ED">
              <w:rPr>
                <w:rFonts w:ascii="Calibri" w:hAnsi="Calibri" w:cs="Calibri"/>
                <w:snapToGrid/>
                <w:kern w:val="0"/>
                <w:szCs w:val="22"/>
              </w:rPr>
              <w:t>WAPA-TV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C2971B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3,764,742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CFD6F6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$27,198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1A6783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A5D99C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$15,824 </w:t>
            </w:r>
          </w:p>
        </w:tc>
      </w:tr>
      <w:tr w14:paraId="3FEE4326"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AEFA282" w14:textId="77777777">
            <w:pPr>
              <w:widowControl/>
              <w:jc w:val="center"/>
              <w:rPr>
                <w:rFonts w:ascii="Calibri" w:hAnsi="Calibri" w:cs="Calibri"/>
                <w:snapToGrid/>
                <w:kern w:val="0"/>
                <w:szCs w:val="22"/>
              </w:rPr>
            </w:pPr>
            <w:r w:rsidRPr="00A032ED">
              <w:rPr>
                <w:rFonts w:ascii="Calibri" w:hAnsi="Calibri" w:cs="Calibri"/>
                <w:snapToGrid/>
                <w:kern w:val="0"/>
                <w:szCs w:val="22"/>
              </w:rPr>
              <w:t>KYLE-TV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63A1A3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324,032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E0D54C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$2,341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07B109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C39569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$7,945 </w:t>
            </w:r>
          </w:p>
        </w:tc>
        <w:tc>
          <w:tcPr>
            <w:tcW w:w="266" w:type="dxa"/>
            <w:tcBorders>
              <w:top w:val="nil"/>
              <w:left w:val="nil"/>
              <w:bottom w:val="nil"/>
              <w:right w:val="nil"/>
            </w:tcBorders>
            <w:shd w:val="clear" w:color="auto" w:fill="auto"/>
            <w:noWrap/>
            <w:vAlign w:val="bottom"/>
            <w:hideMark/>
          </w:tcPr>
          <w:p w:rsidR="006F7AD6" w:rsidRPr="00A032ED" w:rsidP="00886011" w14:paraId="7EBAB224"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B511B7E" w14:textId="77777777">
            <w:pPr>
              <w:widowControl/>
              <w:jc w:val="center"/>
              <w:rPr>
                <w:rFonts w:ascii="Calibri" w:hAnsi="Calibri" w:cs="Calibri"/>
                <w:snapToGrid/>
                <w:kern w:val="0"/>
                <w:szCs w:val="22"/>
              </w:rPr>
            </w:pPr>
            <w:r w:rsidRPr="00A032ED">
              <w:rPr>
                <w:rFonts w:ascii="Calibri" w:hAnsi="Calibri" w:cs="Calibri"/>
                <w:snapToGrid/>
                <w:kern w:val="0"/>
                <w:szCs w:val="22"/>
              </w:rPr>
              <w:t>WAPT</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19899E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793,621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654E05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$5,733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12EACD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6A9820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$9,642 </w:t>
            </w:r>
          </w:p>
        </w:tc>
      </w:tr>
      <w:tr w14:paraId="0E62624E"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292E544" w14:textId="77777777">
            <w:pPr>
              <w:widowControl/>
              <w:jc w:val="center"/>
              <w:rPr>
                <w:rFonts w:ascii="Calibri" w:hAnsi="Calibri" w:cs="Calibri"/>
                <w:snapToGrid/>
                <w:kern w:val="0"/>
                <w:szCs w:val="22"/>
              </w:rPr>
            </w:pPr>
            <w:r w:rsidRPr="00A032ED">
              <w:rPr>
                <w:rFonts w:ascii="Calibri" w:hAnsi="Calibri" w:cs="Calibri"/>
                <w:snapToGrid/>
                <w:kern w:val="0"/>
                <w:szCs w:val="22"/>
              </w:rPr>
              <w:t>KYMA-DT</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872411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398,681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237CB9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$2,880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18A87E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A8D2C5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$3,665 </w:t>
            </w:r>
          </w:p>
        </w:tc>
        <w:tc>
          <w:tcPr>
            <w:tcW w:w="266" w:type="dxa"/>
            <w:tcBorders>
              <w:top w:val="nil"/>
              <w:left w:val="nil"/>
              <w:bottom w:val="nil"/>
              <w:right w:val="nil"/>
            </w:tcBorders>
            <w:shd w:val="clear" w:color="auto" w:fill="auto"/>
            <w:noWrap/>
            <w:vAlign w:val="bottom"/>
            <w:hideMark/>
          </w:tcPr>
          <w:p w:rsidR="006F7AD6" w:rsidRPr="00A032ED" w:rsidP="00886011" w14:paraId="64EA197B"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3E07FC5" w14:textId="77777777">
            <w:pPr>
              <w:widowControl/>
              <w:jc w:val="center"/>
              <w:rPr>
                <w:rFonts w:ascii="Calibri" w:hAnsi="Calibri" w:cs="Calibri"/>
                <w:snapToGrid/>
                <w:kern w:val="0"/>
                <w:szCs w:val="22"/>
              </w:rPr>
            </w:pPr>
            <w:r w:rsidRPr="00A032ED">
              <w:rPr>
                <w:rFonts w:ascii="Calibri" w:hAnsi="Calibri" w:cs="Calibri"/>
                <w:snapToGrid/>
                <w:kern w:val="0"/>
                <w:szCs w:val="22"/>
              </w:rPr>
              <w:t>WAQP</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692544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1,992,340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6B6F11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$14,393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34CEBE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9020AB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$13,972 </w:t>
            </w:r>
          </w:p>
        </w:tc>
      </w:tr>
      <w:tr w14:paraId="2C13E8AF"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F6210EA" w14:textId="77777777">
            <w:pPr>
              <w:widowControl/>
              <w:jc w:val="center"/>
              <w:rPr>
                <w:rFonts w:ascii="Calibri" w:hAnsi="Calibri" w:cs="Calibri"/>
                <w:snapToGrid/>
                <w:kern w:val="0"/>
                <w:szCs w:val="22"/>
              </w:rPr>
            </w:pPr>
            <w:r w:rsidRPr="00A032ED">
              <w:rPr>
                <w:rFonts w:ascii="Calibri" w:hAnsi="Calibri" w:cs="Calibri"/>
                <w:snapToGrid/>
                <w:kern w:val="0"/>
                <w:szCs w:val="22"/>
              </w:rPr>
              <w:t>KYOU-TV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02FE54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651,334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87ADF6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$4,705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CD8743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6F0267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$4,578 </w:t>
            </w:r>
          </w:p>
        </w:tc>
        <w:tc>
          <w:tcPr>
            <w:tcW w:w="266" w:type="dxa"/>
            <w:tcBorders>
              <w:top w:val="nil"/>
              <w:left w:val="nil"/>
              <w:bottom w:val="nil"/>
              <w:right w:val="nil"/>
            </w:tcBorders>
            <w:shd w:val="clear" w:color="auto" w:fill="auto"/>
            <w:noWrap/>
            <w:vAlign w:val="bottom"/>
            <w:hideMark/>
          </w:tcPr>
          <w:p w:rsidR="006F7AD6" w:rsidRPr="00A032ED" w:rsidP="00886011" w14:paraId="6601A3E9"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7FA1050" w14:textId="77777777">
            <w:pPr>
              <w:widowControl/>
              <w:jc w:val="center"/>
              <w:rPr>
                <w:rFonts w:ascii="Calibri" w:hAnsi="Calibri" w:cs="Calibri"/>
                <w:snapToGrid/>
                <w:kern w:val="0"/>
                <w:szCs w:val="22"/>
              </w:rPr>
            </w:pPr>
            <w:r w:rsidRPr="00A032ED">
              <w:rPr>
                <w:rFonts w:ascii="Calibri" w:hAnsi="Calibri" w:cs="Calibri"/>
                <w:snapToGrid/>
                <w:kern w:val="0"/>
                <w:szCs w:val="22"/>
              </w:rPr>
              <w:t>WATC-DT</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F50B1C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5,637,070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5C08AD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$40,724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69B1D7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7C6436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$47,362 </w:t>
            </w:r>
          </w:p>
        </w:tc>
      </w:tr>
      <w:tr w14:paraId="1AB967EB"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2D25280" w14:textId="77777777">
            <w:pPr>
              <w:widowControl/>
              <w:jc w:val="center"/>
              <w:rPr>
                <w:rFonts w:ascii="Calibri" w:hAnsi="Calibri" w:cs="Calibri"/>
                <w:snapToGrid/>
                <w:kern w:val="0"/>
                <w:szCs w:val="22"/>
              </w:rPr>
            </w:pPr>
            <w:r w:rsidRPr="00A032ED">
              <w:rPr>
                <w:rFonts w:ascii="Calibri" w:hAnsi="Calibri" w:cs="Calibri"/>
                <w:snapToGrid/>
                <w:kern w:val="0"/>
                <w:szCs w:val="22"/>
              </w:rPr>
              <w:t>KYTV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9B3B29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1,041,020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DD65C1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$7,521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3988C8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E54796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$10,535 </w:t>
            </w:r>
          </w:p>
        </w:tc>
        <w:tc>
          <w:tcPr>
            <w:tcW w:w="266" w:type="dxa"/>
            <w:tcBorders>
              <w:top w:val="nil"/>
              <w:left w:val="nil"/>
              <w:bottom w:val="nil"/>
              <w:right w:val="nil"/>
            </w:tcBorders>
            <w:shd w:val="clear" w:color="auto" w:fill="auto"/>
            <w:noWrap/>
            <w:vAlign w:val="bottom"/>
            <w:hideMark/>
          </w:tcPr>
          <w:p w:rsidR="006F7AD6" w:rsidRPr="00A032ED" w:rsidP="00886011" w14:paraId="29C23425"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A572D1C" w14:textId="77777777">
            <w:pPr>
              <w:widowControl/>
              <w:jc w:val="center"/>
              <w:rPr>
                <w:rFonts w:ascii="Calibri" w:hAnsi="Calibri" w:cs="Calibri"/>
                <w:snapToGrid/>
                <w:kern w:val="0"/>
                <w:szCs w:val="22"/>
              </w:rPr>
            </w:pPr>
            <w:r w:rsidRPr="00A032ED">
              <w:rPr>
                <w:rFonts w:ascii="Calibri" w:hAnsi="Calibri" w:cs="Calibri"/>
                <w:snapToGrid/>
                <w:kern w:val="0"/>
                <w:szCs w:val="22"/>
              </w:rPr>
              <w:t>WATE-TV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D6A517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1,874,433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2C3B78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$13,542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9641DC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0D6C7B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$13,546 </w:t>
            </w:r>
          </w:p>
        </w:tc>
      </w:tr>
      <w:tr w14:paraId="7E372E64"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5D45612" w14:textId="77777777">
            <w:pPr>
              <w:widowControl/>
              <w:jc w:val="center"/>
              <w:rPr>
                <w:rFonts w:ascii="Calibri" w:hAnsi="Calibri" w:cs="Calibri"/>
                <w:snapToGrid/>
                <w:kern w:val="0"/>
                <w:szCs w:val="22"/>
              </w:rPr>
            </w:pPr>
            <w:r w:rsidRPr="00A032ED">
              <w:rPr>
                <w:rFonts w:ascii="Calibri" w:hAnsi="Calibri" w:cs="Calibri"/>
                <w:snapToGrid/>
                <w:kern w:val="0"/>
                <w:szCs w:val="22"/>
              </w:rPr>
              <w:t>KYTX</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DF6D71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901,751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1A766E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$6,515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E24617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4BB39F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$5,482 </w:t>
            </w:r>
          </w:p>
        </w:tc>
        <w:tc>
          <w:tcPr>
            <w:tcW w:w="266" w:type="dxa"/>
            <w:tcBorders>
              <w:top w:val="nil"/>
              <w:left w:val="nil"/>
              <w:bottom w:val="nil"/>
              <w:right w:val="nil"/>
            </w:tcBorders>
            <w:shd w:val="clear" w:color="auto" w:fill="auto"/>
            <w:noWrap/>
            <w:vAlign w:val="bottom"/>
            <w:hideMark/>
          </w:tcPr>
          <w:p w:rsidR="006F7AD6" w:rsidRPr="00A032ED" w:rsidP="00886011" w14:paraId="0DAB939F"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A4AFAE7" w14:textId="77777777">
            <w:pPr>
              <w:widowControl/>
              <w:jc w:val="center"/>
              <w:rPr>
                <w:rFonts w:ascii="Calibri" w:hAnsi="Calibri" w:cs="Calibri"/>
                <w:snapToGrid/>
                <w:kern w:val="0"/>
                <w:szCs w:val="22"/>
              </w:rPr>
            </w:pPr>
            <w:r w:rsidRPr="00A032ED">
              <w:rPr>
                <w:rFonts w:ascii="Calibri" w:hAnsi="Calibri" w:cs="Calibri"/>
                <w:snapToGrid/>
                <w:kern w:val="0"/>
                <w:szCs w:val="22"/>
              </w:rPr>
              <w:t>WATL</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98835F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5,882,837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98B8B4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$42,500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96B7D3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BAF46A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$48,250 </w:t>
            </w:r>
          </w:p>
        </w:tc>
      </w:tr>
      <w:tr w14:paraId="24541DB6"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5FBA07A" w14:textId="77777777">
            <w:pPr>
              <w:widowControl/>
              <w:jc w:val="center"/>
              <w:rPr>
                <w:rFonts w:ascii="Calibri" w:hAnsi="Calibri" w:cs="Calibri"/>
                <w:snapToGrid/>
                <w:kern w:val="0"/>
                <w:szCs w:val="22"/>
              </w:rPr>
            </w:pPr>
            <w:r w:rsidRPr="00A032ED">
              <w:rPr>
                <w:rFonts w:ascii="Calibri" w:hAnsi="Calibri" w:cs="Calibri"/>
                <w:snapToGrid/>
                <w:kern w:val="0"/>
                <w:szCs w:val="22"/>
              </w:rPr>
              <w:t>KYUR</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1481C6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379,943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67631C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$2,745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F5F4B2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5D3A83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$3,597 </w:t>
            </w:r>
          </w:p>
        </w:tc>
        <w:tc>
          <w:tcPr>
            <w:tcW w:w="266" w:type="dxa"/>
            <w:tcBorders>
              <w:top w:val="nil"/>
              <w:left w:val="nil"/>
              <w:bottom w:val="nil"/>
              <w:right w:val="nil"/>
            </w:tcBorders>
            <w:shd w:val="clear" w:color="auto" w:fill="auto"/>
            <w:noWrap/>
            <w:vAlign w:val="bottom"/>
            <w:hideMark/>
          </w:tcPr>
          <w:p w:rsidR="006F7AD6" w:rsidRPr="00A032ED" w:rsidP="00886011" w14:paraId="23E8CF33"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561981E" w14:textId="77777777">
            <w:pPr>
              <w:widowControl/>
              <w:jc w:val="center"/>
              <w:rPr>
                <w:rFonts w:ascii="Calibri" w:hAnsi="Calibri" w:cs="Calibri"/>
                <w:snapToGrid/>
                <w:kern w:val="0"/>
                <w:szCs w:val="22"/>
              </w:rPr>
            </w:pPr>
            <w:r w:rsidRPr="00A032ED">
              <w:rPr>
                <w:rFonts w:ascii="Calibri" w:hAnsi="Calibri" w:cs="Calibri"/>
                <w:snapToGrid/>
                <w:kern w:val="0"/>
                <w:szCs w:val="22"/>
              </w:rPr>
              <w:t>WATM-TV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C15806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937,438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FEBD08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$6,772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4AB8E1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4776B1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$5,611 </w:t>
            </w:r>
          </w:p>
        </w:tc>
      </w:tr>
      <w:tr w14:paraId="17B1405D"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A048630" w14:textId="77777777">
            <w:pPr>
              <w:widowControl/>
              <w:jc w:val="center"/>
              <w:rPr>
                <w:rFonts w:ascii="Calibri" w:hAnsi="Calibri" w:cs="Calibri"/>
                <w:snapToGrid/>
                <w:kern w:val="0"/>
                <w:szCs w:val="22"/>
              </w:rPr>
            </w:pPr>
            <w:r w:rsidRPr="00A032ED">
              <w:rPr>
                <w:rFonts w:ascii="Calibri" w:hAnsi="Calibri" w:cs="Calibri"/>
                <w:snapToGrid/>
                <w:kern w:val="0"/>
                <w:szCs w:val="22"/>
              </w:rPr>
              <w:t>KYUS-TV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A9CCCA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12,496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C6528F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$90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FE1924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BB6768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$2,270 </w:t>
            </w:r>
          </w:p>
        </w:tc>
        <w:tc>
          <w:tcPr>
            <w:tcW w:w="266" w:type="dxa"/>
            <w:tcBorders>
              <w:top w:val="nil"/>
              <w:left w:val="nil"/>
              <w:bottom w:val="nil"/>
              <w:right w:val="nil"/>
            </w:tcBorders>
            <w:shd w:val="clear" w:color="auto" w:fill="auto"/>
            <w:noWrap/>
            <w:vAlign w:val="bottom"/>
            <w:hideMark/>
          </w:tcPr>
          <w:p w:rsidR="006F7AD6" w:rsidRPr="00A032ED" w:rsidP="00886011" w14:paraId="21ED073C"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D3B50A8" w14:textId="77777777">
            <w:pPr>
              <w:widowControl/>
              <w:jc w:val="center"/>
              <w:rPr>
                <w:rFonts w:ascii="Calibri" w:hAnsi="Calibri" w:cs="Calibri"/>
                <w:snapToGrid/>
                <w:kern w:val="0"/>
                <w:szCs w:val="22"/>
              </w:rPr>
            </w:pPr>
            <w:r w:rsidRPr="00A032ED">
              <w:rPr>
                <w:rFonts w:ascii="Calibri" w:hAnsi="Calibri" w:cs="Calibri"/>
                <w:snapToGrid/>
                <w:kern w:val="0"/>
                <w:szCs w:val="22"/>
              </w:rPr>
              <w:t>WATN-TV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791F7E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1,787,595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5E1101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$12,914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633501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995823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$13,232 </w:t>
            </w:r>
          </w:p>
        </w:tc>
      </w:tr>
      <w:tr w14:paraId="668E8E8B"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5FEF519" w14:textId="77777777">
            <w:pPr>
              <w:widowControl/>
              <w:jc w:val="center"/>
              <w:rPr>
                <w:rFonts w:ascii="Calibri" w:hAnsi="Calibri" w:cs="Calibri"/>
                <w:snapToGrid/>
                <w:kern w:val="0"/>
                <w:szCs w:val="22"/>
              </w:rPr>
            </w:pPr>
            <w:r w:rsidRPr="00A032ED">
              <w:rPr>
                <w:rFonts w:ascii="Calibri" w:hAnsi="Calibri" w:cs="Calibri"/>
                <w:snapToGrid/>
                <w:kern w:val="0"/>
                <w:szCs w:val="22"/>
              </w:rPr>
              <w:t>KYVV-TV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10D743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67,201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C30E57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$485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ADF942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E44073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$13,818 </w:t>
            </w:r>
          </w:p>
        </w:tc>
        <w:tc>
          <w:tcPr>
            <w:tcW w:w="266" w:type="dxa"/>
            <w:tcBorders>
              <w:top w:val="nil"/>
              <w:left w:val="nil"/>
              <w:bottom w:val="nil"/>
              <w:right w:val="nil"/>
            </w:tcBorders>
            <w:shd w:val="clear" w:color="auto" w:fill="auto"/>
            <w:noWrap/>
            <w:vAlign w:val="bottom"/>
            <w:hideMark/>
          </w:tcPr>
          <w:p w:rsidR="006F7AD6" w:rsidRPr="00A032ED" w:rsidP="00886011" w14:paraId="62D5C1C3"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D774E8D" w14:textId="77777777">
            <w:pPr>
              <w:widowControl/>
              <w:jc w:val="center"/>
              <w:rPr>
                <w:rFonts w:ascii="Calibri" w:hAnsi="Calibri" w:cs="Calibri"/>
                <w:snapToGrid/>
                <w:kern w:val="0"/>
                <w:szCs w:val="22"/>
              </w:rPr>
            </w:pPr>
            <w:r w:rsidRPr="00A032ED">
              <w:rPr>
                <w:rFonts w:ascii="Calibri" w:hAnsi="Calibri" w:cs="Calibri"/>
                <w:snapToGrid/>
                <w:kern w:val="0"/>
                <w:szCs w:val="22"/>
              </w:rPr>
              <w:t>WAVE</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50D429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1,846,212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8C0DD7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$13,338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9FC2D8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A6BD9C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$20,244 </w:t>
            </w:r>
          </w:p>
        </w:tc>
      </w:tr>
      <w:tr w14:paraId="580F3B2D"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5FF4FE1" w14:textId="77777777">
            <w:pPr>
              <w:widowControl/>
              <w:jc w:val="center"/>
              <w:rPr>
                <w:rFonts w:ascii="Calibri" w:hAnsi="Calibri" w:cs="Calibri"/>
                <w:snapToGrid/>
                <w:kern w:val="0"/>
                <w:szCs w:val="22"/>
              </w:rPr>
            </w:pPr>
            <w:r w:rsidRPr="00A032ED">
              <w:rPr>
                <w:rFonts w:ascii="Calibri" w:hAnsi="Calibri" w:cs="Calibri"/>
                <w:snapToGrid/>
                <w:kern w:val="0"/>
                <w:szCs w:val="22"/>
              </w:rPr>
              <w:t>KYW-TV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EA8150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11,061,941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13A659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$79,916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857008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CBB41B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$66,958 </w:t>
            </w:r>
          </w:p>
        </w:tc>
        <w:tc>
          <w:tcPr>
            <w:tcW w:w="266" w:type="dxa"/>
            <w:tcBorders>
              <w:top w:val="nil"/>
              <w:left w:val="nil"/>
              <w:bottom w:val="nil"/>
              <w:right w:val="nil"/>
            </w:tcBorders>
            <w:shd w:val="clear" w:color="auto" w:fill="auto"/>
            <w:noWrap/>
            <w:vAlign w:val="bottom"/>
            <w:hideMark/>
          </w:tcPr>
          <w:p w:rsidR="006F7AD6" w:rsidRPr="00A032ED" w:rsidP="00886011" w14:paraId="36D5ABAE"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E27F8B8" w14:textId="77777777">
            <w:pPr>
              <w:widowControl/>
              <w:jc w:val="center"/>
              <w:rPr>
                <w:rFonts w:ascii="Calibri" w:hAnsi="Calibri" w:cs="Calibri"/>
                <w:snapToGrid/>
                <w:kern w:val="0"/>
                <w:szCs w:val="22"/>
              </w:rPr>
            </w:pPr>
            <w:r w:rsidRPr="00A032ED">
              <w:rPr>
                <w:rFonts w:ascii="Calibri" w:hAnsi="Calibri" w:cs="Calibri"/>
                <w:snapToGrid/>
                <w:kern w:val="0"/>
                <w:szCs w:val="22"/>
              </w:rPr>
              <w:t>WAVY-TV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E7D81C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2,039,358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FE7E44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$14,733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E2DCB8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DE6531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$20,942 </w:t>
            </w:r>
          </w:p>
        </w:tc>
      </w:tr>
      <w:tr w14:paraId="47CE8FFD"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B5E1DAA" w14:textId="77777777">
            <w:pPr>
              <w:widowControl/>
              <w:jc w:val="center"/>
              <w:rPr>
                <w:rFonts w:ascii="Calibri" w:hAnsi="Calibri" w:cs="Calibri"/>
                <w:snapToGrid/>
                <w:kern w:val="0"/>
                <w:szCs w:val="22"/>
              </w:rPr>
            </w:pPr>
            <w:r w:rsidRPr="00A032ED">
              <w:rPr>
                <w:rFonts w:ascii="Calibri" w:hAnsi="Calibri" w:cs="Calibri"/>
                <w:snapToGrid/>
                <w:kern w:val="0"/>
                <w:szCs w:val="22"/>
              </w:rPr>
              <w:t>KZJL</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4A4E75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6,007,975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54AB8C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$43,404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E9EDC5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F78DF9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$48,702 </w:t>
            </w:r>
          </w:p>
        </w:tc>
        <w:tc>
          <w:tcPr>
            <w:tcW w:w="266" w:type="dxa"/>
            <w:tcBorders>
              <w:top w:val="nil"/>
              <w:left w:val="nil"/>
              <w:bottom w:val="nil"/>
              <w:right w:val="nil"/>
            </w:tcBorders>
            <w:shd w:val="clear" w:color="auto" w:fill="auto"/>
            <w:noWrap/>
            <w:vAlign w:val="bottom"/>
            <w:hideMark/>
          </w:tcPr>
          <w:p w:rsidR="006F7AD6" w:rsidRPr="00A032ED" w:rsidP="00886011" w14:paraId="6B26445F"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619EA45" w14:textId="77777777">
            <w:pPr>
              <w:widowControl/>
              <w:jc w:val="center"/>
              <w:rPr>
                <w:rFonts w:ascii="Calibri" w:hAnsi="Calibri" w:cs="Calibri"/>
                <w:snapToGrid/>
                <w:kern w:val="0"/>
                <w:szCs w:val="22"/>
              </w:rPr>
            </w:pPr>
            <w:r w:rsidRPr="00A032ED">
              <w:rPr>
                <w:rFonts w:ascii="Calibri" w:hAnsi="Calibri" w:cs="Calibri"/>
                <w:snapToGrid/>
                <w:kern w:val="0"/>
                <w:szCs w:val="22"/>
              </w:rPr>
              <w:t>WAWD</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B3D395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553,676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6CDF4D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$4,000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6365FA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EFF6B9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$8,775 </w:t>
            </w:r>
          </w:p>
        </w:tc>
      </w:tr>
      <w:tr w14:paraId="20BF700D"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A76AF7B" w14:textId="77777777">
            <w:pPr>
              <w:widowControl/>
              <w:jc w:val="center"/>
              <w:rPr>
                <w:rFonts w:ascii="Calibri" w:hAnsi="Calibri" w:cs="Calibri"/>
                <w:snapToGrid/>
                <w:kern w:val="0"/>
                <w:szCs w:val="22"/>
              </w:rPr>
            </w:pPr>
            <w:r w:rsidRPr="00A032ED">
              <w:rPr>
                <w:rFonts w:ascii="Calibri" w:hAnsi="Calibri" w:cs="Calibri"/>
                <w:snapToGrid/>
                <w:kern w:val="0"/>
                <w:szCs w:val="22"/>
              </w:rPr>
              <w:t>KZJO</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636E1F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4,179,154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287AA3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$30,192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99A69A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3D526A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$35,433 </w:t>
            </w:r>
          </w:p>
        </w:tc>
        <w:tc>
          <w:tcPr>
            <w:tcW w:w="266" w:type="dxa"/>
            <w:tcBorders>
              <w:top w:val="nil"/>
              <w:left w:val="nil"/>
              <w:bottom w:val="nil"/>
              <w:right w:val="nil"/>
            </w:tcBorders>
            <w:shd w:val="clear" w:color="auto" w:fill="auto"/>
            <w:noWrap/>
            <w:vAlign w:val="bottom"/>
            <w:hideMark/>
          </w:tcPr>
          <w:p w:rsidR="006F7AD6" w:rsidRPr="00A032ED" w:rsidP="00886011" w14:paraId="5338CAD4"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4CA1217" w14:textId="77777777">
            <w:pPr>
              <w:widowControl/>
              <w:jc w:val="center"/>
              <w:rPr>
                <w:rFonts w:ascii="Calibri" w:hAnsi="Calibri" w:cs="Calibri"/>
                <w:snapToGrid/>
                <w:kern w:val="0"/>
                <w:szCs w:val="22"/>
              </w:rPr>
            </w:pPr>
            <w:r w:rsidRPr="00A032ED">
              <w:rPr>
                <w:rFonts w:ascii="Calibri" w:hAnsi="Calibri" w:cs="Calibri"/>
                <w:snapToGrid/>
                <w:kern w:val="0"/>
                <w:szCs w:val="22"/>
              </w:rPr>
              <w:t>WAWV-TV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724C57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705,549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8B90AA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$5,097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DDB668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4F89D8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$4,774 </w:t>
            </w:r>
          </w:p>
        </w:tc>
      </w:tr>
      <w:tr w14:paraId="4B181F38"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B3A64CF" w14:textId="77777777">
            <w:pPr>
              <w:widowControl/>
              <w:jc w:val="center"/>
              <w:rPr>
                <w:rFonts w:ascii="Calibri" w:hAnsi="Calibri" w:cs="Calibri"/>
                <w:snapToGrid/>
                <w:kern w:val="0"/>
                <w:szCs w:val="22"/>
              </w:rPr>
            </w:pPr>
            <w:r w:rsidRPr="00A032ED">
              <w:rPr>
                <w:rFonts w:ascii="Calibri" w:hAnsi="Calibri" w:cs="Calibri"/>
                <w:snapToGrid/>
                <w:kern w:val="0"/>
                <w:szCs w:val="22"/>
              </w:rPr>
              <w:t>KZTV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A3A3AF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567,635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6F58AA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$4,101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4D5BA0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64DAA2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$4,275 </w:t>
            </w:r>
          </w:p>
        </w:tc>
        <w:tc>
          <w:tcPr>
            <w:tcW w:w="266" w:type="dxa"/>
            <w:tcBorders>
              <w:top w:val="nil"/>
              <w:left w:val="nil"/>
              <w:bottom w:val="nil"/>
              <w:right w:val="nil"/>
            </w:tcBorders>
            <w:shd w:val="clear" w:color="auto" w:fill="auto"/>
            <w:noWrap/>
            <w:vAlign w:val="bottom"/>
            <w:hideMark/>
          </w:tcPr>
          <w:p w:rsidR="006F7AD6" w:rsidRPr="00A032ED" w:rsidP="00886011" w14:paraId="2C867D41"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E7FF896" w14:textId="77777777">
            <w:pPr>
              <w:widowControl/>
              <w:jc w:val="center"/>
              <w:rPr>
                <w:rFonts w:ascii="Calibri" w:hAnsi="Calibri" w:cs="Calibri"/>
                <w:snapToGrid/>
                <w:kern w:val="0"/>
                <w:szCs w:val="22"/>
              </w:rPr>
            </w:pPr>
            <w:r w:rsidRPr="00A032ED">
              <w:rPr>
                <w:rFonts w:ascii="Calibri" w:hAnsi="Calibri" w:cs="Calibri"/>
                <w:snapToGrid/>
                <w:kern w:val="0"/>
                <w:szCs w:val="22"/>
              </w:rPr>
              <w:t>WAXN-TV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E70616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659,816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8551D6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$4,767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456F89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78B03A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$22,721 </w:t>
            </w:r>
          </w:p>
        </w:tc>
      </w:tr>
      <w:tr w14:paraId="3A3BB90F"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772835A" w14:textId="77777777">
            <w:pPr>
              <w:widowControl/>
              <w:jc w:val="center"/>
              <w:rPr>
                <w:rFonts w:ascii="Calibri" w:hAnsi="Calibri" w:cs="Calibri"/>
                <w:snapToGrid/>
                <w:kern w:val="0"/>
                <w:szCs w:val="22"/>
              </w:rPr>
            </w:pPr>
            <w:r w:rsidRPr="00A032ED">
              <w:rPr>
                <w:rFonts w:ascii="Calibri" w:hAnsi="Calibri" w:cs="Calibri"/>
                <w:snapToGrid/>
                <w:kern w:val="0"/>
                <w:szCs w:val="22"/>
              </w:rPr>
              <w:t>WAAY-TV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F2615F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1,530,431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326ACA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$11,056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DBB6F5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AAB5E9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$12,303 </w:t>
            </w:r>
          </w:p>
        </w:tc>
        <w:tc>
          <w:tcPr>
            <w:tcW w:w="266" w:type="dxa"/>
            <w:tcBorders>
              <w:top w:val="nil"/>
              <w:left w:val="nil"/>
              <w:bottom w:val="nil"/>
              <w:right w:val="nil"/>
            </w:tcBorders>
            <w:shd w:val="clear" w:color="auto" w:fill="auto"/>
            <w:noWrap/>
            <w:vAlign w:val="bottom"/>
            <w:hideMark/>
          </w:tcPr>
          <w:p w:rsidR="006F7AD6" w:rsidRPr="00A032ED" w:rsidP="00886011" w14:paraId="6B593FC4"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9F02BC7" w14:textId="77777777">
            <w:pPr>
              <w:widowControl/>
              <w:jc w:val="center"/>
              <w:rPr>
                <w:rFonts w:ascii="Calibri" w:hAnsi="Calibri" w:cs="Calibri"/>
                <w:snapToGrid/>
                <w:kern w:val="0"/>
                <w:szCs w:val="22"/>
              </w:rPr>
            </w:pPr>
            <w:r w:rsidRPr="00A032ED">
              <w:rPr>
                <w:rFonts w:ascii="Calibri" w:hAnsi="Calibri" w:cs="Calibri"/>
                <w:snapToGrid/>
                <w:kern w:val="0"/>
                <w:szCs w:val="22"/>
              </w:rPr>
              <w:t>WBAL-TV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DCC489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9,596,587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1096D6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$69,329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1B7944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AC09C5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$48,240 </w:t>
            </w:r>
          </w:p>
        </w:tc>
      </w:tr>
      <w:tr w14:paraId="03602853"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0375868" w14:textId="77777777">
            <w:pPr>
              <w:widowControl/>
              <w:jc w:val="center"/>
              <w:rPr>
                <w:rFonts w:ascii="Calibri" w:hAnsi="Calibri" w:cs="Calibri"/>
                <w:snapToGrid/>
                <w:kern w:val="0"/>
                <w:szCs w:val="22"/>
              </w:rPr>
            </w:pPr>
            <w:r w:rsidRPr="00A032ED">
              <w:rPr>
                <w:rFonts w:ascii="Calibri" w:hAnsi="Calibri" w:cs="Calibri"/>
                <w:snapToGrid/>
                <w:kern w:val="0"/>
                <w:szCs w:val="22"/>
              </w:rPr>
              <w:t>WABC-TV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6474D1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22,032,680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8657E3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$159,172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8A7DE6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B0C920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$106,586 </w:t>
            </w:r>
          </w:p>
        </w:tc>
        <w:tc>
          <w:tcPr>
            <w:tcW w:w="266" w:type="dxa"/>
            <w:tcBorders>
              <w:top w:val="nil"/>
              <w:left w:val="nil"/>
              <w:bottom w:val="nil"/>
              <w:right w:val="nil"/>
            </w:tcBorders>
            <w:shd w:val="clear" w:color="auto" w:fill="auto"/>
            <w:noWrap/>
            <w:vAlign w:val="bottom"/>
            <w:hideMark/>
          </w:tcPr>
          <w:p w:rsidR="006F7AD6" w:rsidRPr="00A032ED" w:rsidP="00886011" w14:paraId="7C49EFC0"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B7F8C37" w14:textId="77777777">
            <w:pPr>
              <w:widowControl/>
              <w:jc w:val="center"/>
              <w:rPr>
                <w:rFonts w:ascii="Calibri" w:hAnsi="Calibri" w:cs="Calibri"/>
                <w:snapToGrid/>
                <w:kern w:val="0"/>
                <w:szCs w:val="22"/>
              </w:rPr>
            </w:pPr>
            <w:r w:rsidRPr="00A032ED">
              <w:rPr>
                <w:rFonts w:ascii="Calibri" w:hAnsi="Calibri" w:cs="Calibri"/>
                <w:snapToGrid/>
                <w:kern w:val="0"/>
                <w:szCs w:val="22"/>
              </w:rPr>
              <w:t>WBAY-TV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732F06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1,225,928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83C56E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$8,857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DDEFFC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F07A56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$11,203 </w:t>
            </w:r>
          </w:p>
        </w:tc>
      </w:tr>
      <w:tr w14:paraId="316F70A8"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AF7A077" w14:textId="77777777">
            <w:pPr>
              <w:widowControl/>
              <w:jc w:val="center"/>
              <w:rPr>
                <w:rFonts w:ascii="Calibri" w:hAnsi="Calibri" w:cs="Calibri"/>
                <w:snapToGrid/>
                <w:kern w:val="0"/>
                <w:szCs w:val="22"/>
              </w:rPr>
            </w:pPr>
            <w:r w:rsidRPr="00A032ED">
              <w:rPr>
                <w:rFonts w:ascii="Calibri" w:hAnsi="Calibri" w:cs="Calibri"/>
                <w:snapToGrid/>
                <w:kern w:val="0"/>
                <w:szCs w:val="22"/>
              </w:rPr>
              <w:t>WABG-TV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8D3C46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393,020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F23899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$2,839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161AF8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B97DA2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$3,645 </w:t>
            </w:r>
          </w:p>
        </w:tc>
        <w:tc>
          <w:tcPr>
            <w:tcW w:w="266" w:type="dxa"/>
            <w:tcBorders>
              <w:top w:val="nil"/>
              <w:left w:val="nil"/>
              <w:bottom w:val="nil"/>
              <w:right w:val="nil"/>
            </w:tcBorders>
            <w:shd w:val="clear" w:color="auto" w:fill="auto"/>
            <w:noWrap/>
            <w:vAlign w:val="bottom"/>
            <w:hideMark/>
          </w:tcPr>
          <w:p w:rsidR="006F7AD6" w:rsidRPr="00A032ED" w:rsidP="00886011" w14:paraId="1B992426"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D0C83B2" w14:textId="77777777">
            <w:pPr>
              <w:widowControl/>
              <w:jc w:val="center"/>
              <w:rPr>
                <w:rFonts w:ascii="Calibri" w:hAnsi="Calibri" w:cs="Calibri"/>
                <w:snapToGrid/>
                <w:kern w:val="0"/>
                <w:szCs w:val="22"/>
              </w:rPr>
            </w:pPr>
            <w:r w:rsidRPr="00A032ED">
              <w:rPr>
                <w:rFonts w:ascii="Calibri" w:hAnsi="Calibri" w:cs="Calibri"/>
                <w:snapToGrid/>
                <w:kern w:val="0"/>
                <w:szCs w:val="22"/>
              </w:rPr>
              <w:t>WBBH-TV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4251ED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2,046,391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F1D6D3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$14,784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6F3663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2A43AC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$14,167 </w:t>
            </w:r>
          </w:p>
        </w:tc>
      </w:tr>
      <w:tr w14:paraId="45315AD2"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B41B5C0" w14:textId="77777777">
            <w:pPr>
              <w:widowControl/>
              <w:jc w:val="center"/>
              <w:rPr>
                <w:rFonts w:ascii="Calibri" w:hAnsi="Calibri" w:cs="Calibri"/>
                <w:snapToGrid/>
                <w:kern w:val="0"/>
                <w:szCs w:val="22"/>
              </w:rPr>
            </w:pPr>
            <w:r w:rsidRPr="00A032ED">
              <w:rPr>
                <w:rFonts w:ascii="Calibri" w:hAnsi="Calibri" w:cs="Calibri"/>
                <w:snapToGrid/>
                <w:kern w:val="0"/>
                <w:szCs w:val="22"/>
              </w:rPr>
              <w:t>WABI-TV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2E63CA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530,773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5B0909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$3,835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1A852E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181B53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$4,142 </w:t>
            </w:r>
          </w:p>
        </w:tc>
        <w:tc>
          <w:tcPr>
            <w:tcW w:w="266" w:type="dxa"/>
            <w:tcBorders>
              <w:top w:val="nil"/>
              <w:left w:val="nil"/>
              <w:bottom w:val="nil"/>
              <w:right w:val="nil"/>
            </w:tcBorders>
            <w:shd w:val="clear" w:color="auto" w:fill="auto"/>
            <w:noWrap/>
            <w:vAlign w:val="bottom"/>
            <w:hideMark/>
          </w:tcPr>
          <w:p w:rsidR="006F7AD6" w:rsidRPr="00A032ED" w:rsidP="00886011" w14:paraId="081219DC"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976D1B5" w14:textId="77777777">
            <w:pPr>
              <w:widowControl/>
              <w:jc w:val="center"/>
              <w:rPr>
                <w:rFonts w:ascii="Calibri" w:hAnsi="Calibri" w:cs="Calibri"/>
                <w:snapToGrid/>
                <w:kern w:val="0"/>
                <w:szCs w:val="22"/>
              </w:rPr>
            </w:pPr>
            <w:r w:rsidRPr="00A032ED">
              <w:rPr>
                <w:rFonts w:ascii="Calibri" w:hAnsi="Calibri" w:cs="Calibri"/>
                <w:snapToGrid/>
                <w:kern w:val="0"/>
                <w:szCs w:val="22"/>
              </w:rPr>
              <w:t>WBBJ-TV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E57DCD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662,148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BC077B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$4,784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1BD0C6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C92C23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$4,617 </w:t>
            </w:r>
          </w:p>
        </w:tc>
      </w:tr>
      <w:tr w14:paraId="6170CFD4"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17615E4" w14:textId="77777777">
            <w:pPr>
              <w:widowControl/>
              <w:jc w:val="center"/>
              <w:rPr>
                <w:rFonts w:ascii="Calibri" w:hAnsi="Calibri" w:cs="Calibri"/>
                <w:snapToGrid/>
                <w:kern w:val="0"/>
                <w:szCs w:val="22"/>
              </w:rPr>
            </w:pPr>
            <w:r w:rsidRPr="00A032ED">
              <w:rPr>
                <w:rFonts w:ascii="Calibri" w:hAnsi="Calibri" w:cs="Calibri"/>
                <w:snapToGrid/>
                <w:kern w:val="0"/>
                <w:szCs w:val="22"/>
              </w:rPr>
              <w:t>WABM</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A32790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1,703,202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D592FD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$12,305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18E587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CE416E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$19,727 </w:t>
            </w:r>
          </w:p>
        </w:tc>
        <w:tc>
          <w:tcPr>
            <w:tcW w:w="266" w:type="dxa"/>
            <w:tcBorders>
              <w:top w:val="nil"/>
              <w:left w:val="nil"/>
              <w:bottom w:val="nil"/>
              <w:right w:val="nil"/>
            </w:tcBorders>
            <w:shd w:val="clear" w:color="auto" w:fill="auto"/>
            <w:noWrap/>
            <w:vAlign w:val="bottom"/>
            <w:hideMark/>
          </w:tcPr>
          <w:p w:rsidR="006F7AD6" w:rsidRPr="00A032ED" w:rsidP="00886011" w14:paraId="454FA809"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BEE2E60" w14:textId="77777777">
            <w:pPr>
              <w:widowControl/>
              <w:jc w:val="center"/>
              <w:rPr>
                <w:rFonts w:ascii="Calibri" w:hAnsi="Calibri" w:cs="Calibri"/>
                <w:snapToGrid/>
                <w:kern w:val="0"/>
                <w:szCs w:val="22"/>
              </w:rPr>
            </w:pPr>
            <w:r w:rsidRPr="00A032ED">
              <w:rPr>
                <w:rFonts w:ascii="Calibri" w:hAnsi="Calibri" w:cs="Calibri"/>
                <w:snapToGrid/>
                <w:kern w:val="0"/>
                <w:szCs w:val="22"/>
              </w:rPr>
              <w:t>WBBM-TV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B75C8D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9,977,169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0A6507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$72,079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76900A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24BCFD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$63,039 </w:t>
            </w:r>
          </w:p>
        </w:tc>
      </w:tr>
      <w:tr w14:paraId="040E4C7D"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FE1F3B9" w14:textId="77777777">
            <w:pPr>
              <w:widowControl/>
              <w:jc w:val="center"/>
              <w:rPr>
                <w:rFonts w:ascii="Calibri" w:hAnsi="Calibri" w:cs="Calibri"/>
                <w:snapToGrid/>
                <w:kern w:val="0"/>
                <w:szCs w:val="22"/>
              </w:rPr>
            </w:pPr>
            <w:r w:rsidRPr="00A032ED">
              <w:rPr>
                <w:rFonts w:ascii="Calibri" w:hAnsi="Calibri" w:cs="Calibri"/>
                <w:snapToGrid/>
                <w:kern w:val="0"/>
                <w:szCs w:val="22"/>
              </w:rPr>
              <w:t>WACH</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A4FD5C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1,317,429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3C8F76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$9,518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FC8088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7FC024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$11,534 </w:t>
            </w:r>
          </w:p>
        </w:tc>
        <w:tc>
          <w:tcPr>
            <w:tcW w:w="266" w:type="dxa"/>
            <w:tcBorders>
              <w:top w:val="nil"/>
              <w:left w:val="nil"/>
              <w:bottom w:val="nil"/>
              <w:right w:val="nil"/>
            </w:tcBorders>
            <w:shd w:val="clear" w:color="auto" w:fill="auto"/>
            <w:noWrap/>
            <w:vAlign w:val="bottom"/>
            <w:hideMark/>
          </w:tcPr>
          <w:p w:rsidR="006F7AD6" w:rsidRPr="00A032ED" w:rsidP="00886011" w14:paraId="69F03276"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ECCBC73" w14:textId="77777777">
            <w:pPr>
              <w:widowControl/>
              <w:jc w:val="center"/>
              <w:rPr>
                <w:rFonts w:ascii="Calibri" w:hAnsi="Calibri" w:cs="Calibri"/>
                <w:snapToGrid/>
                <w:kern w:val="0"/>
                <w:szCs w:val="22"/>
              </w:rPr>
            </w:pPr>
            <w:r w:rsidRPr="00A032ED">
              <w:rPr>
                <w:rFonts w:ascii="Calibri" w:hAnsi="Calibri" w:cs="Calibri"/>
                <w:snapToGrid/>
                <w:kern w:val="0"/>
                <w:szCs w:val="22"/>
              </w:rPr>
              <w:t>WBBZ-TV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F664A9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1,269,256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24943C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$9,170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FB9DB7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826657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$11,360 </w:t>
            </w:r>
          </w:p>
        </w:tc>
      </w:tr>
      <w:tr w14:paraId="045614C3"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398FFDF" w14:textId="77777777">
            <w:pPr>
              <w:widowControl/>
              <w:jc w:val="center"/>
              <w:rPr>
                <w:rFonts w:ascii="Calibri" w:hAnsi="Calibri" w:cs="Calibri"/>
                <w:snapToGrid/>
                <w:kern w:val="0"/>
                <w:szCs w:val="22"/>
              </w:rPr>
            </w:pPr>
            <w:r w:rsidRPr="00A032ED">
              <w:rPr>
                <w:rFonts w:ascii="Calibri" w:hAnsi="Calibri" w:cs="Calibri"/>
                <w:snapToGrid/>
                <w:kern w:val="0"/>
                <w:szCs w:val="22"/>
              </w:rPr>
              <w:t>WACP</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F9CEB2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9,415,263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1F5E22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$68,019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0F2BC3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B2BDBC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$61,010 </w:t>
            </w:r>
          </w:p>
        </w:tc>
        <w:tc>
          <w:tcPr>
            <w:tcW w:w="266" w:type="dxa"/>
            <w:tcBorders>
              <w:top w:val="nil"/>
              <w:left w:val="nil"/>
              <w:bottom w:val="nil"/>
              <w:right w:val="nil"/>
            </w:tcBorders>
            <w:shd w:val="clear" w:color="auto" w:fill="auto"/>
            <w:noWrap/>
            <w:vAlign w:val="bottom"/>
            <w:hideMark/>
          </w:tcPr>
          <w:p w:rsidR="006F7AD6" w:rsidRPr="00A032ED" w:rsidP="00886011" w14:paraId="7C9B51E8"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DA231B5" w14:textId="77777777">
            <w:pPr>
              <w:widowControl/>
              <w:jc w:val="center"/>
              <w:rPr>
                <w:rFonts w:ascii="Calibri" w:hAnsi="Calibri" w:cs="Calibri"/>
                <w:snapToGrid/>
                <w:kern w:val="0"/>
                <w:szCs w:val="22"/>
              </w:rPr>
            </w:pPr>
            <w:r w:rsidRPr="00A032ED">
              <w:rPr>
                <w:rFonts w:ascii="Calibri" w:hAnsi="Calibri" w:cs="Calibri"/>
                <w:snapToGrid/>
                <w:kern w:val="0"/>
                <w:szCs w:val="22"/>
              </w:rPr>
              <w:t>WBDT</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259D37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3,660,544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B12F0B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$26,445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0A9B74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9E9405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$19,998 </w:t>
            </w:r>
          </w:p>
        </w:tc>
      </w:tr>
      <w:tr w14:paraId="2615D978"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5673781" w14:textId="77777777">
            <w:pPr>
              <w:widowControl/>
              <w:jc w:val="center"/>
              <w:rPr>
                <w:rFonts w:ascii="Calibri" w:hAnsi="Calibri" w:cs="Calibri"/>
                <w:snapToGrid/>
                <w:kern w:val="0"/>
                <w:szCs w:val="22"/>
              </w:rPr>
            </w:pPr>
            <w:r w:rsidRPr="00A032ED">
              <w:rPr>
                <w:rFonts w:ascii="Calibri" w:hAnsi="Calibri" w:cs="Calibri"/>
                <w:snapToGrid/>
                <w:kern w:val="0"/>
                <w:szCs w:val="22"/>
              </w:rPr>
              <w:t>WBFF</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3C958A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8,509,757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E5BFF2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$61,478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A57486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180EF0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$44,314 </w:t>
            </w:r>
          </w:p>
        </w:tc>
        <w:tc>
          <w:tcPr>
            <w:tcW w:w="266" w:type="dxa"/>
            <w:tcBorders>
              <w:top w:val="nil"/>
              <w:left w:val="nil"/>
              <w:bottom w:val="nil"/>
              <w:right w:val="nil"/>
            </w:tcBorders>
            <w:shd w:val="clear" w:color="auto" w:fill="auto"/>
            <w:noWrap/>
            <w:vAlign w:val="bottom"/>
            <w:hideMark/>
          </w:tcPr>
          <w:p w:rsidR="006F7AD6" w:rsidRPr="00A032ED" w:rsidP="00886011" w14:paraId="6A5EE36A"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5474DB8" w14:textId="77777777">
            <w:pPr>
              <w:widowControl/>
              <w:jc w:val="center"/>
              <w:rPr>
                <w:rFonts w:ascii="Calibri" w:hAnsi="Calibri" w:cs="Calibri"/>
                <w:snapToGrid/>
                <w:kern w:val="0"/>
                <w:szCs w:val="22"/>
              </w:rPr>
            </w:pPr>
            <w:r w:rsidRPr="00A032ED">
              <w:rPr>
                <w:rFonts w:ascii="Calibri" w:hAnsi="Calibri" w:cs="Calibri"/>
                <w:snapToGrid/>
                <w:kern w:val="0"/>
                <w:szCs w:val="22"/>
              </w:rPr>
              <w:t>WCCT-TV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B7D817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4,776,733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8DD2C4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$34,509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7F80BB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1E62B3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$30,829 </w:t>
            </w:r>
          </w:p>
        </w:tc>
      </w:tr>
      <w:tr w14:paraId="1DE673D3"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F449275" w14:textId="77777777">
            <w:pPr>
              <w:widowControl/>
              <w:jc w:val="center"/>
              <w:rPr>
                <w:rFonts w:ascii="Calibri" w:hAnsi="Calibri" w:cs="Calibri"/>
                <w:snapToGrid/>
                <w:kern w:val="0"/>
                <w:szCs w:val="22"/>
              </w:rPr>
            </w:pPr>
            <w:r w:rsidRPr="00A032ED">
              <w:rPr>
                <w:rFonts w:ascii="Calibri" w:hAnsi="Calibri" w:cs="Calibri"/>
                <w:snapToGrid/>
                <w:kern w:val="0"/>
                <w:szCs w:val="22"/>
              </w:rPr>
              <w:t>WBFS-TV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4B35F6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5,349,613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05EF40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$38,648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5C406F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C4BC61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$39,661 </w:t>
            </w:r>
          </w:p>
        </w:tc>
        <w:tc>
          <w:tcPr>
            <w:tcW w:w="266" w:type="dxa"/>
            <w:tcBorders>
              <w:top w:val="nil"/>
              <w:left w:val="nil"/>
              <w:bottom w:val="nil"/>
              <w:right w:val="nil"/>
            </w:tcBorders>
            <w:shd w:val="clear" w:color="auto" w:fill="auto"/>
            <w:noWrap/>
            <w:vAlign w:val="bottom"/>
            <w:hideMark/>
          </w:tcPr>
          <w:p w:rsidR="006F7AD6" w:rsidRPr="00A032ED" w:rsidP="00886011" w14:paraId="01FC099A"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D08FBF0" w14:textId="77777777">
            <w:pPr>
              <w:widowControl/>
              <w:jc w:val="center"/>
              <w:rPr>
                <w:rFonts w:ascii="Calibri" w:hAnsi="Calibri" w:cs="Calibri"/>
                <w:snapToGrid/>
                <w:kern w:val="0"/>
                <w:szCs w:val="22"/>
              </w:rPr>
            </w:pPr>
            <w:r w:rsidRPr="00A032ED">
              <w:rPr>
                <w:rFonts w:ascii="Calibri" w:hAnsi="Calibri" w:cs="Calibri"/>
                <w:snapToGrid/>
                <w:kern w:val="0"/>
                <w:szCs w:val="22"/>
              </w:rPr>
              <w:t>WCCU</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CB5F95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395,106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C2C20B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$2,854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3F0656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86ECE2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$8,202 </w:t>
            </w:r>
          </w:p>
        </w:tc>
      </w:tr>
      <w:tr w14:paraId="0517527D"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CF62318" w14:textId="77777777">
            <w:pPr>
              <w:widowControl/>
              <w:jc w:val="center"/>
              <w:rPr>
                <w:rFonts w:ascii="Calibri" w:hAnsi="Calibri" w:cs="Calibri"/>
                <w:snapToGrid/>
                <w:kern w:val="0"/>
                <w:szCs w:val="22"/>
              </w:rPr>
            </w:pPr>
            <w:r w:rsidRPr="00A032ED">
              <w:rPr>
                <w:rFonts w:ascii="Calibri" w:hAnsi="Calibri" w:cs="Calibri"/>
                <w:snapToGrid/>
                <w:kern w:val="0"/>
                <w:szCs w:val="22"/>
              </w:rPr>
              <w:t>WBIH</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9AD277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736,501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2CFA83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$5,321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3762C5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790BD7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$4,885 </w:t>
            </w:r>
          </w:p>
        </w:tc>
        <w:tc>
          <w:tcPr>
            <w:tcW w:w="266" w:type="dxa"/>
            <w:tcBorders>
              <w:top w:val="nil"/>
              <w:left w:val="nil"/>
              <w:bottom w:val="nil"/>
              <w:right w:val="nil"/>
            </w:tcBorders>
            <w:shd w:val="clear" w:color="auto" w:fill="auto"/>
            <w:noWrap/>
            <w:vAlign w:val="bottom"/>
            <w:hideMark/>
          </w:tcPr>
          <w:p w:rsidR="006F7AD6" w:rsidRPr="00A032ED" w:rsidP="00886011" w14:paraId="26C121F9"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A411995" w14:textId="77777777">
            <w:pPr>
              <w:widowControl/>
              <w:jc w:val="center"/>
              <w:rPr>
                <w:rFonts w:ascii="Calibri" w:hAnsi="Calibri" w:cs="Calibri"/>
                <w:snapToGrid/>
                <w:kern w:val="0"/>
                <w:szCs w:val="22"/>
              </w:rPr>
            </w:pPr>
            <w:r w:rsidRPr="00A032ED">
              <w:rPr>
                <w:rFonts w:ascii="Calibri" w:hAnsi="Calibri" w:cs="Calibri"/>
                <w:snapToGrid/>
                <w:kern w:val="0"/>
                <w:szCs w:val="22"/>
              </w:rPr>
              <w:t>WCHS-TV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E7F57F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1,352,824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65DD18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$9,773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83D0AF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8DB033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$11,662 </w:t>
            </w:r>
          </w:p>
        </w:tc>
      </w:tr>
      <w:tr w14:paraId="1766C7AA"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AC44279" w14:textId="77777777">
            <w:pPr>
              <w:widowControl/>
              <w:jc w:val="center"/>
              <w:rPr>
                <w:rFonts w:ascii="Calibri" w:hAnsi="Calibri" w:cs="Calibri"/>
                <w:snapToGrid/>
                <w:kern w:val="0"/>
                <w:szCs w:val="22"/>
              </w:rPr>
            </w:pPr>
            <w:r w:rsidRPr="00A032ED">
              <w:rPr>
                <w:rFonts w:ascii="Calibri" w:hAnsi="Calibri" w:cs="Calibri"/>
                <w:snapToGrid/>
                <w:kern w:val="0"/>
                <w:szCs w:val="22"/>
              </w:rPr>
              <w:t>WBIR-TV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6371D9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1,978,347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B76C01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$14,292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5B4C9F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3B5C44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$13,921 </w:t>
            </w:r>
          </w:p>
        </w:tc>
        <w:tc>
          <w:tcPr>
            <w:tcW w:w="266" w:type="dxa"/>
            <w:tcBorders>
              <w:top w:val="nil"/>
              <w:left w:val="nil"/>
              <w:bottom w:val="nil"/>
              <w:right w:val="nil"/>
            </w:tcBorders>
            <w:shd w:val="clear" w:color="auto" w:fill="auto"/>
            <w:noWrap/>
            <w:vAlign w:val="bottom"/>
            <w:hideMark/>
          </w:tcPr>
          <w:p w:rsidR="006F7AD6" w:rsidRPr="00A032ED" w:rsidP="00886011" w14:paraId="4F36C72E"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3841A30" w14:textId="77777777">
            <w:pPr>
              <w:widowControl/>
              <w:jc w:val="center"/>
              <w:rPr>
                <w:rFonts w:ascii="Calibri" w:hAnsi="Calibri" w:cs="Calibri"/>
                <w:snapToGrid/>
                <w:kern w:val="0"/>
                <w:szCs w:val="22"/>
              </w:rPr>
            </w:pPr>
            <w:r w:rsidRPr="00A032ED">
              <w:rPr>
                <w:rFonts w:ascii="Calibri" w:hAnsi="Calibri" w:cs="Calibri"/>
                <w:snapToGrid/>
                <w:kern w:val="0"/>
                <w:szCs w:val="22"/>
              </w:rPr>
              <w:t>WCIA</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DED5B2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796,609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5CFF95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$5,755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69C207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E95799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$9,652 </w:t>
            </w:r>
          </w:p>
        </w:tc>
      </w:tr>
      <w:tr w14:paraId="2DCA058D"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D067982" w14:textId="77777777">
            <w:pPr>
              <w:widowControl/>
              <w:jc w:val="center"/>
              <w:rPr>
                <w:rFonts w:ascii="Calibri" w:hAnsi="Calibri" w:cs="Calibri"/>
                <w:snapToGrid/>
                <w:kern w:val="0"/>
                <w:szCs w:val="22"/>
              </w:rPr>
            </w:pPr>
            <w:r w:rsidRPr="00A032ED">
              <w:rPr>
                <w:rFonts w:ascii="Calibri" w:hAnsi="Calibri" w:cs="Calibri"/>
                <w:snapToGrid/>
                <w:kern w:val="0"/>
                <w:szCs w:val="22"/>
              </w:rPr>
              <w:t>WBKB-TV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C70454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136,823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A1E482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$988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6C1C83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32AE8F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$2,719 </w:t>
            </w:r>
          </w:p>
        </w:tc>
        <w:tc>
          <w:tcPr>
            <w:tcW w:w="266" w:type="dxa"/>
            <w:tcBorders>
              <w:top w:val="nil"/>
              <w:left w:val="nil"/>
              <w:bottom w:val="nil"/>
              <w:right w:val="nil"/>
            </w:tcBorders>
            <w:shd w:val="clear" w:color="auto" w:fill="auto"/>
            <w:noWrap/>
            <w:vAlign w:val="bottom"/>
            <w:hideMark/>
          </w:tcPr>
          <w:p w:rsidR="006F7AD6" w:rsidRPr="00A032ED" w:rsidP="00886011" w14:paraId="0037C5F7"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6B248BA" w14:textId="77777777">
            <w:pPr>
              <w:widowControl/>
              <w:jc w:val="center"/>
              <w:rPr>
                <w:rFonts w:ascii="Calibri" w:hAnsi="Calibri" w:cs="Calibri"/>
                <w:snapToGrid/>
                <w:kern w:val="0"/>
                <w:szCs w:val="22"/>
              </w:rPr>
            </w:pPr>
            <w:r w:rsidRPr="00A032ED">
              <w:rPr>
                <w:rFonts w:ascii="Calibri" w:hAnsi="Calibri" w:cs="Calibri"/>
                <w:snapToGrid/>
                <w:kern w:val="0"/>
                <w:szCs w:val="22"/>
              </w:rPr>
              <w:t>WCIU-TV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09D0A0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9,891,328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396533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$71,459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902051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D8A4D7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$62,729 </w:t>
            </w:r>
          </w:p>
        </w:tc>
      </w:tr>
      <w:tr w14:paraId="08C4CA88"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A43C4B8" w14:textId="77777777">
            <w:pPr>
              <w:widowControl/>
              <w:jc w:val="center"/>
              <w:rPr>
                <w:rFonts w:ascii="Calibri" w:hAnsi="Calibri" w:cs="Calibri"/>
                <w:snapToGrid/>
                <w:kern w:val="0"/>
                <w:szCs w:val="22"/>
              </w:rPr>
            </w:pPr>
            <w:r w:rsidRPr="00A032ED">
              <w:rPr>
                <w:rFonts w:ascii="Calibri" w:hAnsi="Calibri" w:cs="Calibri"/>
                <w:snapToGrid/>
                <w:kern w:val="0"/>
                <w:szCs w:val="22"/>
              </w:rPr>
              <w:t>WBKI</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4DEA02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1,983,992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BB30C2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$14,333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EE6040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935E5B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$9,392 </w:t>
            </w:r>
          </w:p>
        </w:tc>
        <w:tc>
          <w:tcPr>
            <w:tcW w:w="266" w:type="dxa"/>
            <w:tcBorders>
              <w:top w:val="nil"/>
              <w:left w:val="nil"/>
              <w:bottom w:val="nil"/>
              <w:right w:val="nil"/>
            </w:tcBorders>
            <w:shd w:val="clear" w:color="auto" w:fill="auto"/>
            <w:noWrap/>
            <w:vAlign w:val="bottom"/>
            <w:hideMark/>
          </w:tcPr>
          <w:p w:rsidR="006F7AD6" w:rsidRPr="00A032ED" w:rsidP="00886011" w14:paraId="23BBC2BB"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52A3A99" w14:textId="77777777">
            <w:pPr>
              <w:widowControl/>
              <w:jc w:val="center"/>
              <w:rPr>
                <w:rFonts w:ascii="Calibri" w:hAnsi="Calibri" w:cs="Calibri"/>
                <w:snapToGrid/>
                <w:kern w:val="0"/>
                <w:szCs w:val="22"/>
              </w:rPr>
            </w:pPr>
            <w:r w:rsidRPr="00A032ED">
              <w:rPr>
                <w:rFonts w:ascii="Calibri" w:hAnsi="Calibri" w:cs="Calibri"/>
                <w:snapToGrid/>
                <w:kern w:val="0"/>
                <w:szCs w:val="22"/>
              </w:rPr>
              <w:t>WCIV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017086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1,125,558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EAA24F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$8,131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05917E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4F7FD8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$10,841 </w:t>
            </w:r>
          </w:p>
        </w:tc>
      </w:tr>
      <w:tr w14:paraId="6FB502E7"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09A6B46" w14:textId="77777777">
            <w:pPr>
              <w:widowControl/>
              <w:jc w:val="center"/>
              <w:rPr>
                <w:rFonts w:ascii="Calibri" w:hAnsi="Calibri" w:cs="Calibri"/>
                <w:snapToGrid/>
                <w:kern w:val="0"/>
                <w:szCs w:val="22"/>
              </w:rPr>
            </w:pPr>
            <w:r w:rsidRPr="00A032ED">
              <w:rPr>
                <w:rFonts w:ascii="Calibri" w:hAnsi="Calibri" w:cs="Calibri"/>
                <w:snapToGrid/>
                <w:kern w:val="0"/>
                <w:szCs w:val="22"/>
              </w:rPr>
              <w:t>WBKO</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F1201D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963,413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0DCA14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$6,960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B239A0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FD9B13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$5,705 </w:t>
            </w:r>
          </w:p>
        </w:tc>
        <w:tc>
          <w:tcPr>
            <w:tcW w:w="266" w:type="dxa"/>
            <w:tcBorders>
              <w:top w:val="nil"/>
              <w:left w:val="nil"/>
              <w:bottom w:val="nil"/>
              <w:right w:val="nil"/>
            </w:tcBorders>
            <w:shd w:val="clear" w:color="auto" w:fill="auto"/>
            <w:noWrap/>
            <w:vAlign w:val="bottom"/>
            <w:hideMark/>
          </w:tcPr>
          <w:p w:rsidR="006F7AD6" w:rsidRPr="00A032ED" w:rsidP="00886011" w14:paraId="1D70C302"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9F5DB67" w14:textId="77777777">
            <w:pPr>
              <w:widowControl/>
              <w:jc w:val="center"/>
              <w:rPr>
                <w:rFonts w:ascii="Calibri" w:hAnsi="Calibri" w:cs="Calibri"/>
                <w:snapToGrid/>
                <w:kern w:val="0"/>
                <w:szCs w:val="22"/>
              </w:rPr>
            </w:pPr>
            <w:r w:rsidRPr="00A032ED">
              <w:rPr>
                <w:rFonts w:ascii="Calibri" w:hAnsi="Calibri" w:cs="Calibri"/>
                <w:snapToGrid/>
                <w:kern w:val="0"/>
                <w:szCs w:val="22"/>
              </w:rPr>
              <w:t>WCIX</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7EEB05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554,002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AEF129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$4,002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0A89AF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F4E08D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$8,776 </w:t>
            </w:r>
          </w:p>
        </w:tc>
      </w:tr>
      <w:tr w14:paraId="55933E12"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E3D5520" w14:textId="77777777">
            <w:pPr>
              <w:widowControl/>
              <w:jc w:val="center"/>
              <w:rPr>
                <w:rFonts w:ascii="Calibri" w:hAnsi="Calibri" w:cs="Calibri"/>
                <w:snapToGrid/>
                <w:kern w:val="0"/>
                <w:szCs w:val="22"/>
              </w:rPr>
            </w:pPr>
            <w:r w:rsidRPr="00A032ED">
              <w:rPr>
                <w:rFonts w:ascii="Calibri" w:hAnsi="Calibri" w:cs="Calibri"/>
                <w:snapToGrid/>
                <w:kern w:val="0"/>
                <w:szCs w:val="22"/>
              </w:rPr>
              <w:t>WBKP</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1F7742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55,655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D30F47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$402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A1F0DF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468628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$2,426 </w:t>
            </w:r>
          </w:p>
        </w:tc>
        <w:tc>
          <w:tcPr>
            <w:tcW w:w="266" w:type="dxa"/>
            <w:tcBorders>
              <w:top w:val="nil"/>
              <w:left w:val="nil"/>
              <w:bottom w:val="nil"/>
              <w:right w:val="nil"/>
            </w:tcBorders>
            <w:shd w:val="clear" w:color="auto" w:fill="auto"/>
            <w:noWrap/>
            <w:vAlign w:val="bottom"/>
            <w:hideMark/>
          </w:tcPr>
          <w:p w:rsidR="006F7AD6" w:rsidRPr="00A032ED" w:rsidP="00886011" w14:paraId="139890B0"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EF379E4" w14:textId="77777777">
            <w:pPr>
              <w:widowControl/>
              <w:jc w:val="center"/>
              <w:rPr>
                <w:rFonts w:ascii="Calibri" w:hAnsi="Calibri" w:cs="Calibri"/>
                <w:snapToGrid/>
                <w:kern w:val="0"/>
                <w:szCs w:val="22"/>
              </w:rPr>
            </w:pPr>
            <w:r w:rsidRPr="00A032ED">
              <w:rPr>
                <w:rFonts w:ascii="Calibri" w:hAnsi="Calibri" w:cs="Calibri"/>
                <w:snapToGrid/>
                <w:kern w:val="0"/>
                <w:szCs w:val="22"/>
              </w:rPr>
              <w:t>WCJB-TV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D98046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977,492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BECF44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$7,062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C64F98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8C480E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$5,756 </w:t>
            </w:r>
          </w:p>
        </w:tc>
      </w:tr>
      <w:tr w14:paraId="3E5E6336"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CC10BF0" w14:textId="77777777">
            <w:pPr>
              <w:widowControl/>
              <w:jc w:val="center"/>
              <w:rPr>
                <w:rFonts w:ascii="Calibri" w:hAnsi="Calibri" w:cs="Calibri"/>
                <w:snapToGrid/>
                <w:kern w:val="0"/>
                <w:szCs w:val="22"/>
              </w:rPr>
            </w:pPr>
            <w:r w:rsidRPr="00A032ED">
              <w:rPr>
                <w:rFonts w:ascii="Calibri" w:hAnsi="Calibri" w:cs="Calibri"/>
                <w:snapToGrid/>
                <w:kern w:val="0"/>
                <w:szCs w:val="22"/>
              </w:rPr>
              <w:t>WBNA</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4F3B00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1,699,683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3B5056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$12,279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29E6E1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2F0FD4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$19,715 </w:t>
            </w:r>
          </w:p>
        </w:tc>
        <w:tc>
          <w:tcPr>
            <w:tcW w:w="266" w:type="dxa"/>
            <w:tcBorders>
              <w:top w:val="nil"/>
              <w:left w:val="nil"/>
              <w:bottom w:val="nil"/>
              <w:right w:val="nil"/>
            </w:tcBorders>
            <w:shd w:val="clear" w:color="auto" w:fill="auto"/>
            <w:noWrap/>
            <w:vAlign w:val="bottom"/>
            <w:hideMark/>
          </w:tcPr>
          <w:p w:rsidR="006F7AD6" w:rsidRPr="00A032ED" w:rsidP="00886011" w14:paraId="42327A98"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5960139" w14:textId="77777777">
            <w:pPr>
              <w:widowControl/>
              <w:jc w:val="center"/>
              <w:rPr>
                <w:rFonts w:ascii="Calibri" w:hAnsi="Calibri" w:cs="Calibri"/>
                <w:snapToGrid/>
                <w:kern w:val="0"/>
                <w:szCs w:val="22"/>
              </w:rPr>
            </w:pPr>
            <w:r w:rsidRPr="00A032ED">
              <w:rPr>
                <w:rFonts w:ascii="Calibri" w:hAnsi="Calibri" w:cs="Calibri"/>
                <w:snapToGrid/>
                <w:kern w:val="0"/>
                <w:szCs w:val="22"/>
              </w:rPr>
              <w:t>WCLJ-TV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6B99FA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2,258,426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A2FA3F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$16,316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0B2E93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AA9C7A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$21,733 </w:t>
            </w:r>
          </w:p>
        </w:tc>
      </w:tr>
      <w:tr w14:paraId="617BEEC3"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610D1E7" w14:textId="77777777">
            <w:pPr>
              <w:widowControl/>
              <w:jc w:val="center"/>
              <w:rPr>
                <w:rFonts w:ascii="Calibri" w:hAnsi="Calibri" w:cs="Calibri"/>
                <w:snapToGrid/>
                <w:kern w:val="0"/>
                <w:szCs w:val="22"/>
              </w:rPr>
            </w:pPr>
            <w:r w:rsidRPr="00A032ED">
              <w:rPr>
                <w:rFonts w:ascii="Calibri" w:hAnsi="Calibri" w:cs="Calibri"/>
                <w:snapToGrid/>
                <w:kern w:val="0"/>
                <w:szCs w:val="22"/>
              </w:rPr>
              <w:t>WBNG-TV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E51691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1,657,643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439F0A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$11,975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DD1E0D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7ABEF2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$8,213 </w:t>
            </w:r>
          </w:p>
        </w:tc>
        <w:tc>
          <w:tcPr>
            <w:tcW w:w="266" w:type="dxa"/>
            <w:tcBorders>
              <w:top w:val="nil"/>
              <w:left w:val="nil"/>
              <w:bottom w:val="nil"/>
              <w:right w:val="nil"/>
            </w:tcBorders>
            <w:shd w:val="clear" w:color="auto" w:fill="auto"/>
            <w:noWrap/>
            <w:vAlign w:val="bottom"/>
            <w:hideMark/>
          </w:tcPr>
          <w:p w:rsidR="006F7AD6" w:rsidRPr="00A032ED" w:rsidP="00886011" w14:paraId="3A026A7C"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9BBDD2F" w14:textId="77777777">
            <w:pPr>
              <w:widowControl/>
              <w:jc w:val="center"/>
              <w:rPr>
                <w:rFonts w:ascii="Calibri" w:hAnsi="Calibri" w:cs="Calibri"/>
                <w:snapToGrid/>
                <w:kern w:val="0"/>
                <w:szCs w:val="22"/>
              </w:rPr>
            </w:pPr>
            <w:r w:rsidRPr="00A032ED">
              <w:rPr>
                <w:rFonts w:ascii="Calibri" w:hAnsi="Calibri" w:cs="Calibri"/>
                <w:snapToGrid/>
                <w:kern w:val="0"/>
                <w:szCs w:val="22"/>
              </w:rPr>
              <w:t>WCMH-TV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721082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2,756,260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9427CD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$19,912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6BCE2B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7520AF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$23,531 </w:t>
            </w:r>
          </w:p>
        </w:tc>
      </w:tr>
      <w:tr w14:paraId="4789F505"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A8395CA" w14:textId="77777777">
            <w:pPr>
              <w:widowControl/>
              <w:jc w:val="center"/>
              <w:rPr>
                <w:rFonts w:ascii="Calibri" w:hAnsi="Calibri" w:cs="Calibri"/>
                <w:snapToGrid/>
                <w:kern w:val="0"/>
                <w:szCs w:val="22"/>
              </w:rPr>
            </w:pPr>
            <w:r w:rsidRPr="00A032ED">
              <w:rPr>
                <w:rFonts w:ascii="Calibri" w:hAnsi="Calibri" w:cs="Calibri"/>
                <w:snapToGrid/>
                <w:kern w:val="0"/>
                <w:szCs w:val="22"/>
              </w:rPr>
              <w:t>WBNS-TV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516564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2,847,721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4F7B65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$20,573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E1BAA7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668205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$23,861 </w:t>
            </w:r>
          </w:p>
        </w:tc>
        <w:tc>
          <w:tcPr>
            <w:tcW w:w="266" w:type="dxa"/>
            <w:tcBorders>
              <w:top w:val="nil"/>
              <w:left w:val="nil"/>
              <w:bottom w:val="nil"/>
              <w:right w:val="nil"/>
            </w:tcBorders>
            <w:shd w:val="clear" w:color="auto" w:fill="auto"/>
            <w:noWrap/>
            <w:vAlign w:val="bottom"/>
            <w:hideMark/>
          </w:tcPr>
          <w:p w:rsidR="006F7AD6" w:rsidRPr="00A032ED" w:rsidP="00886011" w14:paraId="23AD02B8"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F4E1C45" w14:textId="77777777">
            <w:pPr>
              <w:widowControl/>
              <w:jc w:val="center"/>
              <w:rPr>
                <w:rFonts w:ascii="Calibri" w:hAnsi="Calibri" w:cs="Calibri"/>
                <w:snapToGrid/>
                <w:kern w:val="0"/>
                <w:szCs w:val="22"/>
              </w:rPr>
            </w:pPr>
            <w:r w:rsidRPr="00A032ED">
              <w:rPr>
                <w:rFonts w:ascii="Calibri" w:hAnsi="Calibri" w:cs="Calibri"/>
                <w:snapToGrid/>
                <w:kern w:val="0"/>
                <w:szCs w:val="22"/>
              </w:rPr>
              <w:t>WCNC-TV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29F4B3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3,822,849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415A07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$27,618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CBA28D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CBD5C4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$34,146 </w:t>
            </w:r>
          </w:p>
        </w:tc>
      </w:tr>
      <w:tr w14:paraId="66B06109"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289A9DE" w14:textId="77777777">
            <w:pPr>
              <w:widowControl/>
              <w:jc w:val="center"/>
              <w:rPr>
                <w:rFonts w:ascii="Calibri" w:hAnsi="Calibri" w:cs="Calibri"/>
                <w:snapToGrid/>
                <w:kern w:val="0"/>
                <w:szCs w:val="22"/>
              </w:rPr>
            </w:pPr>
            <w:r w:rsidRPr="00A032ED">
              <w:rPr>
                <w:rFonts w:ascii="Calibri" w:hAnsi="Calibri" w:cs="Calibri"/>
                <w:snapToGrid/>
                <w:kern w:val="0"/>
                <w:szCs w:val="22"/>
              </w:rPr>
              <w:t>WBNX-TV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646767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3,642,304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83AFA9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$26,313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9AC1A0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A6FF1C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$33,494 </w:t>
            </w:r>
          </w:p>
        </w:tc>
        <w:tc>
          <w:tcPr>
            <w:tcW w:w="266" w:type="dxa"/>
            <w:tcBorders>
              <w:top w:val="nil"/>
              <w:left w:val="nil"/>
              <w:bottom w:val="nil"/>
              <w:right w:val="nil"/>
            </w:tcBorders>
            <w:shd w:val="clear" w:color="auto" w:fill="auto"/>
            <w:noWrap/>
            <w:vAlign w:val="bottom"/>
            <w:hideMark/>
          </w:tcPr>
          <w:p w:rsidR="006F7AD6" w:rsidRPr="00A032ED" w:rsidP="00886011" w14:paraId="439A908B"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BA80202" w14:textId="77777777">
            <w:pPr>
              <w:widowControl/>
              <w:jc w:val="center"/>
              <w:rPr>
                <w:rFonts w:ascii="Calibri" w:hAnsi="Calibri" w:cs="Calibri"/>
                <w:snapToGrid/>
                <w:kern w:val="0"/>
                <w:szCs w:val="22"/>
              </w:rPr>
            </w:pPr>
            <w:r w:rsidRPr="00A032ED">
              <w:rPr>
                <w:rFonts w:ascii="Calibri" w:hAnsi="Calibri" w:cs="Calibri"/>
                <w:snapToGrid/>
                <w:kern w:val="0"/>
                <w:szCs w:val="22"/>
              </w:rPr>
              <w:t>WCOV-TV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761D49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862,899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F25010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$6,234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9A5BD3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658C5F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$5,342 </w:t>
            </w:r>
          </w:p>
        </w:tc>
      </w:tr>
      <w:tr w14:paraId="1B2BAFDD"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7878637" w14:textId="77777777">
            <w:pPr>
              <w:widowControl/>
              <w:jc w:val="center"/>
              <w:rPr>
                <w:rFonts w:ascii="Calibri" w:hAnsi="Calibri" w:cs="Calibri"/>
                <w:snapToGrid/>
                <w:kern w:val="0"/>
                <w:szCs w:val="22"/>
              </w:rPr>
            </w:pPr>
            <w:r w:rsidRPr="00A032ED">
              <w:rPr>
                <w:rFonts w:ascii="Calibri" w:hAnsi="Calibri" w:cs="Calibri"/>
                <w:snapToGrid/>
                <w:kern w:val="0"/>
                <w:szCs w:val="22"/>
              </w:rPr>
              <w:t>WBOC-TV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534ADB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783,438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0F8449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$5,660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F6CB7F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8DA476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$5,055 </w:t>
            </w:r>
          </w:p>
        </w:tc>
        <w:tc>
          <w:tcPr>
            <w:tcW w:w="266" w:type="dxa"/>
            <w:tcBorders>
              <w:top w:val="nil"/>
              <w:left w:val="nil"/>
              <w:bottom w:val="nil"/>
              <w:right w:val="nil"/>
            </w:tcBorders>
            <w:shd w:val="clear" w:color="auto" w:fill="auto"/>
            <w:noWrap/>
            <w:vAlign w:val="bottom"/>
            <w:hideMark/>
          </w:tcPr>
          <w:p w:rsidR="006F7AD6" w:rsidRPr="00A032ED" w:rsidP="00886011" w14:paraId="58F26853"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699288B" w14:textId="77777777">
            <w:pPr>
              <w:widowControl/>
              <w:jc w:val="center"/>
              <w:rPr>
                <w:rFonts w:ascii="Calibri" w:hAnsi="Calibri" w:cs="Calibri"/>
                <w:snapToGrid/>
                <w:kern w:val="0"/>
                <w:szCs w:val="22"/>
              </w:rPr>
            </w:pPr>
            <w:r w:rsidRPr="00A032ED">
              <w:rPr>
                <w:rFonts w:ascii="Calibri" w:hAnsi="Calibri" w:cs="Calibri"/>
                <w:snapToGrid/>
                <w:kern w:val="0"/>
                <w:szCs w:val="22"/>
              </w:rPr>
              <w:t>WCPO-TV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CB5480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3,328,920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198B46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$24,049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A4D529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3666B3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$25,600 </w:t>
            </w:r>
          </w:p>
        </w:tc>
      </w:tr>
      <w:tr w14:paraId="288CB823"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606826E" w14:textId="77777777">
            <w:pPr>
              <w:widowControl/>
              <w:jc w:val="center"/>
              <w:rPr>
                <w:rFonts w:ascii="Calibri" w:hAnsi="Calibri" w:cs="Calibri"/>
                <w:snapToGrid/>
                <w:kern w:val="0"/>
                <w:szCs w:val="22"/>
              </w:rPr>
            </w:pPr>
            <w:r w:rsidRPr="00A032ED">
              <w:rPr>
                <w:rFonts w:ascii="Calibri" w:hAnsi="Calibri" w:cs="Calibri"/>
                <w:snapToGrid/>
                <w:kern w:val="0"/>
                <w:szCs w:val="22"/>
              </w:rPr>
              <w:t>WBOY-TV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2C6AB4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711,302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AA66DD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$5,139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DD05B8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D53E0A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$4,794 </w:t>
            </w:r>
          </w:p>
        </w:tc>
        <w:tc>
          <w:tcPr>
            <w:tcW w:w="266" w:type="dxa"/>
            <w:tcBorders>
              <w:top w:val="nil"/>
              <w:left w:val="nil"/>
              <w:bottom w:val="nil"/>
              <w:right w:val="nil"/>
            </w:tcBorders>
            <w:shd w:val="clear" w:color="auto" w:fill="auto"/>
            <w:noWrap/>
            <w:vAlign w:val="bottom"/>
            <w:hideMark/>
          </w:tcPr>
          <w:p w:rsidR="006F7AD6" w:rsidRPr="00A032ED" w:rsidP="00886011" w14:paraId="45DEFAEE"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64D4B37" w14:textId="77777777">
            <w:pPr>
              <w:widowControl/>
              <w:jc w:val="center"/>
              <w:rPr>
                <w:rFonts w:ascii="Calibri" w:hAnsi="Calibri" w:cs="Calibri"/>
                <w:snapToGrid/>
                <w:kern w:val="0"/>
                <w:szCs w:val="22"/>
              </w:rPr>
            </w:pPr>
            <w:r w:rsidRPr="00A032ED">
              <w:rPr>
                <w:rFonts w:ascii="Calibri" w:hAnsi="Calibri" w:cs="Calibri"/>
                <w:snapToGrid/>
                <w:kern w:val="0"/>
                <w:szCs w:val="22"/>
              </w:rPr>
              <w:t>WCPX-TV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E4B2CC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9,674,477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501F08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$69,892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674B51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6543BF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$61,946 </w:t>
            </w:r>
          </w:p>
        </w:tc>
      </w:tr>
      <w:tr w14:paraId="320688A2"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980EEE8" w14:textId="77777777">
            <w:pPr>
              <w:widowControl/>
              <w:jc w:val="center"/>
              <w:rPr>
                <w:rFonts w:ascii="Calibri" w:hAnsi="Calibri" w:cs="Calibri"/>
                <w:snapToGrid/>
                <w:kern w:val="0"/>
                <w:szCs w:val="22"/>
              </w:rPr>
            </w:pPr>
            <w:r w:rsidRPr="00A032ED">
              <w:rPr>
                <w:rFonts w:ascii="Calibri" w:hAnsi="Calibri" w:cs="Calibri"/>
                <w:snapToGrid/>
                <w:kern w:val="0"/>
                <w:szCs w:val="22"/>
              </w:rPr>
              <w:t>WBPH-TV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25A0C1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12,689,628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38F28C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$91,675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61BF9E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A4F52A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$72,837 </w:t>
            </w:r>
          </w:p>
        </w:tc>
        <w:tc>
          <w:tcPr>
            <w:tcW w:w="266" w:type="dxa"/>
            <w:tcBorders>
              <w:top w:val="nil"/>
              <w:left w:val="nil"/>
              <w:bottom w:val="nil"/>
              <w:right w:val="nil"/>
            </w:tcBorders>
            <w:shd w:val="clear" w:color="auto" w:fill="auto"/>
            <w:noWrap/>
            <w:vAlign w:val="bottom"/>
            <w:hideMark/>
          </w:tcPr>
          <w:p w:rsidR="006F7AD6" w:rsidRPr="00A032ED" w:rsidP="00886011" w14:paraId="2022F044"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768367E" w14:textId="77777777">
            <w:pPr>
              <w:widowControl/>
              <w:jc w:val="center"/>
              <w:rPr>
                <w:rFonts w:ascii="Calibri" w:hAnsi="Calibri" w:cs="Calibri"/>
                <w:snapToGrid/>
                <w:kern w:val="0"/>
                <w:szCs w:val="22"/>
              </w:rPr>
            </w:pPr>
            <w:r w:rsidRPr="00A032ED">
              <w:rPr>
                <w:rFonts w:ascii="Calibri" w:hAnsi="Calibri" w:cs="Calibri"/>
                <w:snapToGrid/>
                <w:kern w:val="0"/>
                <w:szCs w:val="22"/>
              </w:rPr>
              <w:t>WCSC-TV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3FF7F2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1,028,018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BBDCCE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$7,427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B6B0D7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4EF792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$10,488 </w:t>
            </w:r>
          </w:p>
        </w:tc>
      </w:tr>
      <w:tr w14:paraId="2782C1F6"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FB477AF" w14:textId="77777777">
            <w:pPr>
              <w:widowControl/>
              <w:jc w:val="center"/>
              <w:rPr>
                <w:rFonts w:ascii="Calibri" w:hAnsi="Calibri" w:cs="Calibri"/>
                <w:snapToGrid/>
                <w:kern w:val="0"/>
                <w:szCs w:val="22"/>
              </w:rPr>
            </w:pPr>
            <w:r w:rsidRPr="00A032ED">
              <w:rPr>
                <w:rFonts w:ascii="Calibri" w:hAnsi="Calibri" w:cs="Calibri"/>
                <w:snapToGrid/>
                <w:kern w:val="0"/>
                <w:szCs w:val="22"/>
              </w:rPr>
              <w:t>WBPX-TV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9603D5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6,732,628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C1DA7A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$48,639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8B6110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BB8257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$51,319 </w:t>
            </w:r>
          </w:p>
        </w:tc>
        <w:tc>
          <w:tcPr>
            <w:tcW w:w="266" w:type="dxa"/>
            <w:tcBorders>
              <w:top w:val="nil"/>
              <w:left w:val="nil"/>
              <w:bottom w:val="nil"/>
              <w:right w:val="nil"/>
            </w:tcBorders>
            <w:shd w:val="clear" w:color="auto" w:fill="auto"/>
            <w:noWrap/>
            <w:vAlign w:val="bottom"/>
            <w:hideMark/>
          </w:tcPr>
          <w:p w:rsidR="006F7AD6" w:rsidRPr="00A032ED" w:rsidP="00886011" w14:paraId="1281291C"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012CE8C" w14:textId="77777777">
            <w:pPr>
              <w:widowControl/>
              <w:jc w:val="center"/>
              <w:rPr>
                <w:rFonts w:ascii="Calibri" w:hAnsi="Calibri" w:cs="Calibri"/>
                <w:snapToGrid/>
                <w:kern w:val="0"/>
                <w:szCs w:val="22"/>
              </w:rPr>
            </w:pPr>
            <w:r w:rsidRPr="00A032ED">
              <w:rPr>
                <w:rFonts w:ascii="Calibri" w:hAnsi="Calibri" w:cs="Calibri"/>
                <w:snapToGrid/>
                <w:kern w:val="0"/>
                <w:szCs w:val="22"/>
              </w:rPr>
              <w:t>WCSH</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C8A8D4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1,682,955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A59B98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$12,158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F2F391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1AE51B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$12,854 </w:t>
            </w:r>
          </w:p>
        </w:tc>
      </w:tr>
      <w:tr w14:paraId="438D8897"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E57CF56" w14:textId="77777777">
            <w:pPr>
              <w:widowControl/>
              <w:jc w:val="center"/>
              <w:rPr>
                <w:rFonts w:ascii="Calibri" w:hAnsi="Calibri" w:cs="Calibri"/>
                <w:snapToGrid/>
                <w:kern w:val="0"/>
                <w:szCs w:val="22"/>
              </w:rPr>
            </w:pPr>
            <w:r w:rsidRPr="00A032ED">
              <w:rPr>
                <w:rFonts w:ascii="Calibri" w:hAnsi="Calibri" w:cs="Calibri"/>
                <w:snapToGrid/>
                <w:kern w:val="0"/>
                <w:szCs w:val="22"/>
              </w:rPr>
              <w:t>WBRC</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9B9EF5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1,852,997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D1F689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$13,387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8FC6B7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6B331F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$20,268 </w:t>
            </w:r>
          </w:p>
        </w:tc>
        <w:tc>
          <w:tcPr>
            <w:tcW w:w="266" w:type="dxa"/>
            <w:tcBorders>
              <w:top w:val="nil"/>
              <w:left w:val="nil"/>
              <w:bottom w:val="nil"/>
              <w:right w:val="nil"/>
            </w:tcBorders>
            <w:shd w:val="clear" w:color="auto" w:fill="auto"/>
            <w:noWrap/>
            <w:vAlign w:val="bottom"/>
            <w:hideMark/>
          </w:tcPr>
          <w:p w:rsidR="006F7AD6" w:rsidRPr="00A032ED" w:rsidP="00886011" w14:paraId="03915928"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A160761" w14:textId="77777777">
            <w:pPr>
              <w:widowControl/>
              <w:jc w:val="center"/>
              <w:rPr>
                <w:rFonts w:ascii="Calibri" w:hAnsi="Calibri" w:cs="Calibri"/>
                <w:snapToGrid/>
                <w:kern w:val="0"/>
                <w:szCs w:val="22"/>
              </w:rPr>
            </w:pPr>
            <w:r w:rsidRPr="00A032ED">
              <w:rPr>
                <w:rFonts w:ascii="Calibri" w:hAnsi="Calibri" w:cs="Calibri"/>
                <w:snapToGrid/>
                <w:kern w:val="0"/>
                <w:szCs w:val="22"/>
              </w:rPr>
              <w:t>WCTE</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A2608C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612,760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02A98F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$4,427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D3B5F8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9CC741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$15,788 </w:t>
            </w:r>
          </w:p>
        </w:tc>
      </w:tr>
      <w:tr w14:paraId="567CB989"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7BDEF95" w14:textId="77777777">
            <w:pPr>
              <w:widowControl/>
              <w:jc w:val="center"/>
              <w:rPr>
                <w:rFonts w:ascii="Calibri" w:hAnsi="Calibri" w:cs="Calibri"/>
                <w:snapToGrid/>
                <w:kern w:val="0"/>
                <w:szCs w:val="22"/>
              </w:rPr>
            </w:pPr>
            <w:r w:rsidRPr="00A032ED">
              <w:rPr>
                <w:rFonts w:ascii="Calibri" w:hAnsi="Calibri" w:cs="Calibri"/>
                <w:snapToGrid/>
                <w:kern w:val="0"/>
                <w:szCs w:val="22"/>
              </w:rPr>
              <w:t>WBRE-TV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C9D021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3,553,761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E6619D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$25,674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DF99BF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BE0B37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$19,612 </w:t>
            </w:r>
          </w:p>
        </w:tc>
        <w:tc>
          <w:tcPr>
            <w:tcW w:w="266" w:type="dxa"/>
            <w:tcBorders>
              <w:top w:val="nil"/>
              <w:left w:val="nil"/>
              <w:bottom w:val="nil"/>
              <w:right w:val="nil"/>
            </w:tcBorders>
            <w:shd w:val="clear" w:color="auto" w:fill="auto"/>
            <w:noWrap/>
            <w:vAlign w:val="bottom"/>
            <w:hideMark/>
          </w:tcPr>
          <w:p w:rsidR="006F7AD6" w:rsidRPr="00A032ED" w:rsidP="00886011" w14:paraId="06527FB5"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5F9E632" w14:textId="77777777">
            <w:pPr>
              <w:widowControl/>
              <w:jc w:val="center"/>
              <w:rPr>
                <w:rFonts w:ascii="Calibri" w:hAnsi="Calibri" w:cs="Calibri"/>
                <w:snapToGrid/>
                <w:kern w:val="0"/>
                <w:szCs w:val="22"/>
              </w:rPr>
            </w:pPr>
            <w:r w:rsidRPr="00A032ED">
              <w:rPr>
                <w:rFonts w:ascii="Calibri" w:hAnsi="Calibri" w:cs="Calibri"/>
                <w:snapToGrid/>
                <w:kern w:val="0"/>
                <w:szCs w:val="22"/>
              </w:rPr>
              <w:t>WCTI-TV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F00E2C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1,680,664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008EB9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$12,142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143176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5E6E8C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$12,846 </w:t>
            </w:r>
          </w:p>
        </w:tc>
      </w:tr>
      <w:tr w14:paraId="68857D5F"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9E6B329" w14:textId="77777777">
            <w:pPr>
              <w:widowControl/>
              <w:jc w:val="center"/>
              <w:rPr>
                <w:rFonts w:ascii="Calibri" w:hAnsi="Calibri" w:cs="Calibri"/>
                <w:snapToGrid/>
                <w:kern w:val="0"/>
                <w:szCs w:val="22"/>
              </w:rPr>
            </w:pPr>
            <w:r w:rsidRPr="00A032ED">
              <w:rPr>
                <w:rFonts w:ascii="Calibri" w:hAnsi="Calibri" w:cs="Calibri"/>
                <w:snapToGrid/>
                <w:kern w:val="0"/>
                <w:szCs w:val="22"/>
              </w:rPr>
              <w:t>WBRZ-TV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273DF1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2,223,336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24191B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$16,062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87F6A0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B144F6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$14,806 </w:t>
            </w:r>
          </w:p>
        </w:tc>
        <w:tc>
          <w:tcPr>
            <w:tcW w:w="266" w:type="dxa"/>
            <w:tcBorders>
              <w:top w:val="nil"/>
              <w:left w:val="nil"/>
              <w:bottom w:val="nil"/>
              <w:right w:val="nil"/>
            </w:tcBorders>
            <w:shd w:val="clear" w:color="auto" w:fill="auto"/>
            <w:noWrap/>
            <w:vAlign w:val="bottom"/>
            <w:hideMark/>
          </w:tcPr>
          <w:p w:rsidR="006F7AD6" w:rsidRPr="00A032ED" w:rsidP="00886011" w14:paraId="75365A8F"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13D18BC" w14:textId="77777777">
            <w:pPr>
              <w:widowControl/>
              <w:jc w:val="center"/>
              <w:rPr>
                <w:rFonts w:ascii="Calibri" w:hAnsi="Calibri" w:cs="Calibri"/>
                <w:snapToGrid/>
                <w:kern w:val="0"/>
                <w:szCs w:val="22"/>
              </w:rPr>
            </w:pPr>
            <w:r w:rsidRPr="00A032ED">
              <w:rPr>
                <w:rFonts w:ascii="Calibri" w:hAnsi="Calibri" w:cs="Calibri"/>
                <w:snapToGrid/>
                <w:kern w:val="0"/>
                <w:szCs w:val="22"/>
              </w:rPr>
              <w:t>WCTV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FEAB6A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1,049,825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A6DA35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$7,584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B1F504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B57F60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$6,017 </w:t>
            </w:r>
          </w:p>
        </w:tc>
      </w:tr>
      <w:tr w14:paraId="67A9F4F9"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4278CC3" w14:textId="77777777">
            <w:pPr>
              <w:widowControl/>
              <w:jc w:val="center"/>
              <w:rPr>
                <w:rFonts w:ascii="Calibri" w:hAnsi="Calibri" w:cs="Calibri"/>
                <w:snapToGrid/>
                <w:kern w:val="0"/>
                <w:szCs w:val="22"/>
              </w:rPr>
            </w:pPr>
            <w:r w:rsidRPr="00A032ED">
              <w:rPr>
                <w:rFonts w:ascii="Calibri" w:hAnsi="Calibri" w:cs="Calibri"/>
                <w:snapToGrid/>
                <w:kern w:val="0"/>
                <w:szCs w:val="22"/>
              </w:rPr>
              <w:t>WBSF</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C4FFA3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987,886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33F06F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$7,137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3FB1CA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387143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$10,343 </w:t>
            </w:r>
          </w:p>
        </w:tc>
        <w:tc>
          <w:tcPr>
            <w:tcW w:w="266" w:type="dxa"/>
            <w:tcBorders>
              <w:top w:val="nil"/>
              <w:left w:val="nil"/>
              <w:bottom w:val="nil"/>
              <w:right w:val="nil"/>
            </w:tcBorders>
            <w:shd w:val="clear" w:color="auto" w:fill="auto"/>
            <w:noWrap/>
            <w:vAlign w:val="bottom"/>
            <w:hideMark/>
          </w:tcPr>
          <w:p w:rsidR="006F7AD6" w:rsidRPr="00A032ED" w:rsidP="00886011" w14:paraId="201FD295"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FDE6BFA" w14:textId="77777777">
            <w:pPr>
              <w:widowControl/>
              <w:jc w:val="center"/>
              <w:rPr>
                <w:rFonts w:ascii="Calibri" w:hAnsi="Calibri" w:cs="Calibri"/>
                <w:snapToGrid/>
                <w:kern w:val="0"/>
                <w:szCs w:val="22"/>
              </w:rPr>
            </w:pPr>
            <w:r w:rsidRPr="00A032ED">
              <w:rPr>
                <w:rFonts w:ascii="Calibri" w:hAnsi="Calibri" w:cs="Calibri"/>
                <w:snapToGrid/>
                <w:kern w:val="0"/>
                <w:szCs w:val="22"/>
              </w:rPr>
              <w:t>WCTX</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2E14B7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7,845,782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818A83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$56,681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4FAF2B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A3F40E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$41,915 </w:t>
            </w:r>
          </w:p>
        </w:tc>
      </w:tr>
      <w:tr w14:paraId="064C9FD3"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E27D57C" w14:textId="77777777">
            <w:pPr>
              <w:widowControl/>
              <w:jc w:val="center"/>
              <w:rPr>
                <w:rFonts w:ascii="Calibri" w:hAnsi="Calibri" w:cs="Calibri"/>
                <w:snapToGrid/>
                <w:kern w:val="0"/>
                <w:szCs w:val="22"/>
              </w:rPr>
            </w:pPr>
            <w:r w:rsidRPr="00A032ED">
              <w:rPr>
                <w:rFonts w:ascii="Calibri" w:hAnsi="Calibri" w:cs="Calibri"/>
                <w:snapToGrid/>
                <w:kern w:val="0"/>
                <w:szCs w:val="22"/>
              </w:rPr>
              <w:t>WBTV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935FED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4,433,020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77F583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$32,026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B67764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B31E5F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$36,350 </w:t>
            </w:r>
          </w:p>
        </w:tc>
        <w:tc>
          <w:tcPr>
            <w:tcW w:w="266" w:type="dxa"/>
            <w:tcBorders>
              <w:top w:val="nil"/>
              <w:left w:val="nil"/>
              <w:bottom w:val="nil"/>
              <w:right w:val="nil"/>
            </w:tcBorders>
            <w:shd w:val="clear" w:color="auto" w:fill="auto"/>
            <w:noWrap/>
            <w:vAlign w:val="bottom"/>
            <w:hideMark/>
          </w:tcPr>
          <w:p w:rsidR="006F7AD6" w:rsidRPr="00A032ED" w:rsidP="00886011" w14:paraId="144F78CA"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7D9AB3C" w14:textId="77777777">
            <w:pPr>
              <w:widowControl/>
              <w:jc w:val="center"/>
              <w:rPr>
                <w:rFonts w:ascii="Calibri" w:hAnsi="Calibri" w:cs="Calibri"/>
                <w:snapToGrid/>
                <w:kern w:val="0"/>
                <w:szCs w:val="22"/>
              </w:rPr>
            </w:pPr>
            <w:r w:rsidRPr="00A032ED">
              <w:rPr>
                <w:rFonts w:ascii="Calibri" w:hAnsi="Calibri" w:cs="Calibri"/>
                <w:snapToGrid/>
                <w:kern w:val="0"/>
                <w:szCs w:val="22"/>
              </w:rPr>
              <w:t>WCVB-TV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48AEC1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7,741,540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08F4F1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$55,928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4DB374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8E4383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$54,964 </w:t>
            </w:r>
          </w:p>
        </w:tc>
      </w:tr>
      <w:tr w14:paraId="03084678"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49C03F8" w14:textId="77777777">
            <w:pPr>
              <w:widowControl/>
              <w:jc w:val="center"/>
              <w:rPr>
                <w:rFonts w:ascii="Calibri" w:hAnsi="Calibri" w:cs="Calibri"/>
                <w:snapToGrid/>
                <w:kern w:val="0"/>
                <w:szCs w:val="22"/>
              </w:rPr>
            </w:pPr>
            <w:r w:rsidRPr="00A032ED">
              <w:rPr>
                <w:rFonts w:ascii="Calibri" w:hAnsi="Calibri" w:cs="Calibri"/>
                <w:snapToGrid/>
                <w:kern w:val="0"/>
                <w:szCs w:val="22"/>
              </w:rPr>
              <w:t>WBTW</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051224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1,975,457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39CC7D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$14,271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0AAAED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F012E2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$9,361 </w:t>
            </w:r>
          </w:p>
        </w:tc>
        <w:tc>
          <w:tcPr>
            <w:tcW w:w="266" w:type="dxa"/>
            <w:tcBorders>
              <w:top w:val="nil"/>
              <w:left w:val="nil"/>
              <w:bottom w:val="nil"/>
              <w:right w:val="nil"/>
            </w:tcBorders>
            <w:shd w:val="clear" w:color="auto" w:fill="auto"/>
            <w:noWrap/>
            <w:vAlign w:val="bottom"/>
            <w:hideMark/>
          </w:tcPr>
          <w:p w:rsidR="006F7AD6" w:rsidRPr="00A032ED" w:rsidP="00886011" w14:paraId="7B53E6FA"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CD10519" w14:textId="77777777">
            <w:pPr>
              <w:widowControl/>
              <w:jc w:val="center"/>
              <w:rPr>
                <w:rFonts w:ascii="Calibri" w:hAnsi="Calibri" w:cs="Calibri"/>
                <w:snapToGrid/>
                <w:kern w:val="0"/>
                <w:szCs w:val="22"/>
              </w:rPr>
            </w:pPr>
            <w:r w:rsidRPr="00A032ED">
              <w:rPr>
                <w:rFonts w:ascii="Calibri" w:hAnsi="Calibri" w:cs="Calibri"/>
                <w:snapToGrid/>
                <w:kern w:val="0"/>
                <w:szCs w:val="22"/>
              </w:rPr>
              <w:t>WCVI-TV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9BD68B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50,601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267567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$366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16D54E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A5FA9F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$2,408 </w:t>
            </w:r>
          </w:p>
        </w:tc>
      </w:tr>
      <w:tr w14:paraId="38C1EA5D"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F8425FC" w14:textId="77777777">
            <w:pPr>
              <w:widowControl/>
              <w:jc w:val="center"/>
              <w:rPr>
                <w:rFonts w:ascii="Calibri" w:hAnsi="Calibri" w:cs="Calibri"/>
                <w:snapToGrid/>
                <w:kern w:val="0"/>
                <w:szCs w:val="22"/>
              </w:rPr>
            </w:pPr>
            <w:r w:rsidRPr="00A032ED">
              <w:rPr>
                <w:rFonts w:ascii="Calibri" w:hAnsi="Calibri" w:cs="Calibri"/>
                <w:snapToGrid/>
                <w:kern w:val="0"/>
                <w:szCs w:val="22"/>
              </w:rPr>
              <w:t>WBUI</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BB21DD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981,884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B2EFA0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$7,093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4399D6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15761B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$10,322 </w:t>
            </w:r>
          </w:p>
        </w:tc>
        <w:tc>
          <w:tcPr>
            <w:tcW w:w="266" w:type="dxa"/>
            <w:tcBorders>
              <w:top w:val="nil"/>
              <w:left w:val="nil"/>
              <w:bottom w:val="nil"/>
              <w:right w:val="nil"/>
            </w:tcBorders>
            <w:shd w:val="clear" w:color="auto" w:fill="auto"/>
            <w:noWrap/>
            <w:vAlign w:val="bottom"/>
            <w:hideMark/>
          </w:tcPr>
          <w:p w:rsidR="006F7AD6" w:rsidRPr="00A032ED" w:rsidP="00886011" w14:paraId="104D5ECA"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33A17AC" w14:textId="77777777">
            <w:pPr>
              <w:widowControl/>
              <w:jc w:val="center"/>
              <w:rPr>
                <w:rFonts w:ascii="Calibri" w:hAnsi="Calibri" w:cs="Calibri"/>
                <w:snapToGrid/>
                <w:kern w:val="0"/>
                <w:szCs w:val="22"/>
              </w:rPr>
            </w:pPr>
            <w:r w:rsidRPr="00A032ED">
              <w:rPr>
                <w:rFonts w:ascii="Calibri" w:hAnsi="Calibri" w:cs="Calibri"/>
                <w:snapToGrid/>
                <w:kern w:val="0"/>
                <w:szCs w:val="22"/>
              </w:rPr>
              <w:t>WCWF</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6AAC78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1,040,984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0B4BA4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$7,520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05A379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014605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$10,535 </w:t>
            </w:r>
          </w:p>
        </w:tc>
      </w:tr>
      <w:tr w14:paraId="1B9A4C28"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248C110" w14:textId="77777777">
            <w:pPr>
              <w:widowControl/>
              <w:jc w:val="center"/>
              <w:rPr>
                <w:rFonts w:ascii="Calibri" w:hAnsi="Calibri" w:cs="Calibri"/>
                <w:snapToGrid/>
                <w:kern w:val="0"/>
                <w:szCs w:val="22"/>
              </w:rPr>
            </w:pPr>
            <w:r w:rsidRPr="00A032ED">
              <w:rPr>
                <w:rFonts w:ascii="Calibri" w:hAnsi="Calibri" w:cs="Calibri"/>
                <w:snapToGrid/>
                <w:kern w:val="0"/>
                <w:szCs w:val="22"/>
              </w:rPr>
              <w:t>WBUP</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C233D0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126,472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EE93AE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$914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486202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88BC59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$2,682 </w:t>
            </w:r>
          </w:p>
        </w:tc>
        <w:tc>
          <w:tcPr>
            <w:tcW w:w="266" w:type="dxa"/>
            <w:tcBorders>
              <w:top w:val="nil"/>
              <w:left w:val="nil"/>
              <w:bottom w:val="nil"/>
              <w:right w:val="nil"/>
            </w:tcBorders>
            <w:shd w:val="clear" w:color="auto" w:fill="auto"/>
            <w:noWrap/>
            <w:vAlign w:val="bottom"/>
            <w:hideMark/>
          </w:tcPr>
          <w:p w:rsidR="006F7AD6" w:rsidRPr="00A032ED" w:rsidP="00886011" w14:paraId="55281AC1"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E974357" w14:textId="77777777">
            <w:pPr>
              <w:widowControl/>
              <w:jc w:val="center"/>
              <w:rPr>
                <w:rFonts w:ascii="Calibri" w:hAnsi="Calibri" w:cs="Calibri"/>
                <w:snapToGrid/>
                <w:kern w:val="0"/>
                <w:szCs w:val="22"/>
              </w:rPr>
            </w:pPr>
            <w:r w:rsidRPr="00A032ED">
              <w:rPr>
                <w:rFonts w:ascii="Calibri" w:hAnsi="Calibri" w:cs="Calibri"/>
                <w:snapToGrid/>
                <w:kern w:val="0"/>
                <w:szCs w:val="22"/>
              </w:rPr>
              <w:t>WCWJ</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BFF49A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1,582,959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BB97EF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$11,436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64951E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5D8DCC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$19,293 </w:t>
            </w:r>
          </w:p>
        </w:tc>
      </w:tr>
      <w:tr w14:paraId="4E4855F3"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968653D" w14:textId="77777777">
            <w:pPr>
              <w:widowControl/>
              <w:jc w:val="center"/>
              <w:rPr>
                <w:rFonts w:ascii="Calibri" w:hAnsi="Calibri" w:cs="Calibri"/>
                <w:snapToGrid/>
                <w:kern w:val="0"/>
                <w:szCs w:val="22"/>
              </w:rPr>
            </w:pPr>
            <w:r w:rsidRPr="00A032ED">
              <w:rPr>
                <w:rFonts w:ascii="Calibri" w:hAnsi="Calibri" w:cs="Calibri"/>
                <w:snapToGrid/>
                <w:kern w:val="0"/>
                <w:szCs w:val="22"/>
              </w:rPr>
              <w:t>WBXX-TV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5008C5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2,142,548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113808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$15,479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437707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DE398B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$14,514 </w:t>
            </w:r>
          </w:p>
        </w:tc>
        <w:tc>
          <w:tcPr>
            <w:tcW w:w="266" w:type="dxa"/>
            <w:tcBorders>
              <w:top w:val="nil"/>
              <w:left w:val="nil"/>
              <w:bottom w:val="nil"/>
              <w:right w:val="nil"/>
            </w:tcBorders>
            <w:shd w:val="clear" w:color="auto" w:fill="auto"/>
            <w:noWrap/>
            <w:vAlign w:val="bottom"/>
            <w:hideMark/>
          </w:tcPr>
          <w:p w:rsidR="006F7AD6" w:rsidRPr="00A032ED" w:rsidP="00886011" w14:paraId="5F66B551"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246C28A" w14:textId="77777777">
            <w:pPr>
              <w:widowControl/>
              <w:jc w:val="center"/>
              <w:rPr>
                <w:rFonts w:ascii="Calibri" w:hAnsi="Calibri" w:cs="Calibri"/>
                <w:snapToGrid/>
                <w:kern w:val="0"/>
                <w:szCs w:val="22"/>
              </w:rPr>
            </w:pPr>
            <w:r w:rsidRPr="00A032ED">
              <w:rPr>
                <w:rFonts w:ascii="Calibri" w:hAnsi="Calibri" w:cs="Calibri"/>
                <w:snapToGrid/>
                <w:kern w:val="0"/>
                <w:szCs w:val="22"/>
              </w:rPr>
              <w:t>WCWN</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FA1E10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1,698,469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041B80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$12,270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43E059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A684C6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$12,910 </w:t>
            </w:r>
          </w:p>
        </w:tc>
      </w:tr>
      <w:tr w14:paraId="03C8D67D"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8162424" w14:textId="77777777">
            <w:pPr>
              <w:widowControl/>
              <w:jc w:val="center"/>
              <w:rPr>
                <w:rFonts w:ascii="Calibri" w:hAnsi="Calibri" w:cs="Calibri"/>
                <w:snapToGrid/>
                <w:kern w:val="0"/>
                <w:szCs w:val="22"/>
              </w:rPr>
            </w:pPr>
            <w:r w:rsidRPr="00A032ED">
              <w:rPr>
                <w:rFonts w:ascii="Calibri" w:hAnsi="Calibri" w:cs="Calibri"/>
                <w:snapToGrid/>
                <w:kern w:val="0"/>
                <w:szCs w:val="22"/>
              </w:rPr>
              <w:t>WBZ-TV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475634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7,764,394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66D76D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$56,093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075528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FECBE7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$55,046 </w:t>
            </w:r>
          </w:p>
        </w:tc>
        <w:tc>
          <w:tcPr>
            <w:tcW w:w="266" w:type="dxa"/>
            <w:tcBorders>
              <w:top w:val="nil"/>
              <w:left w:val="nil"/>
              <w:bottom w:val="nil"/>
              <w:right w:val="nil"/>
            </w:tcBorders>
            <w:shd w:val="clear" w:color="auto" w:fill="auto"/>
            <w:noWrap/>
            <w:vAlign w:val="bottom"/>
            <w:hideMark/>
          </w:tcPr>
          <w:p w:rsidR="006F7AD6" w:rsidRPr="00A032ED" w:rsidP="00886011" w14:paraId="0853D3DE"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2F3B010" w14:textId="77777777">
            <w:pPr>
              <w:widowControl/>
              <w:jc w:val="center"/>
              <w:rPr>
                <w:rFonts w:ascii="Calibri" w:hAnsi="Calibri" w:cs="Calibri"/>
                <w:snapToGrid/>
                <w:kern w:val="0"/>
                <w:szCs w:val="22"/>
              </w:rPr>
            </w:pPr>
            <w:r w:rsidRPr="00A032ED">
              <w:rPr>
                <w:rFonts w:ascii="Calibri" w:hAnsi="Calibri" w:cs="Calibri"/>
                <w:snapToGrid/>
                <w:kern w:val="0"/>
                <w:szCs w:val="22"/>
              </w:rPr>
              <w:t>WCYB-TV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9B6031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3,032,475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6A0984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$21,908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9FF250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C3D393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$17,729 </w:t>
            </w:r>
          </w:p>
        </w:tc>
      </w:tr>
      <w:tr w14:paraId="2F17B457"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AD93547" w14:textId="77777777">
            <w:pPr>
              <w:widowControl/>
              <w:jc w:val="center"/>
              <w:rPr>
                <w:rFonts w:ascii="Calibri" w:hAnsi="Calibri" w:cs="Calibri"/>
                <w:snapToGrid/>
                <w:kern w:val="0"/>
                <w:szCs w:val="22"/>
              </w:rPr>
            </w:pPr>
            <w:r w:rsidRPr="00A032ED">
              <w:rPr>
                <w:rFonts w:ascii="Calibri" w:hAnsi="Calibri" w:cs="Calibri"/>
                <w:snapToGrid/>
                <w:kern w:val="0"/>
                <w:szCs w:val="22"/>
              </w:rPr>
              <w:t>WCAU</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9DDC3A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11,012,279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BA7B5D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$79,557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BF88AB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8EF825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$66,778 </w:t>
            </w:r>
          </w:p>
        </w:tc>
        <w:tc>
          <w:tcPr>
            <w:tcW w:w="266" w:type="dxa"/>
            <w:tcBorders>
              <w:top w:val="nil"/>
              <w:left w:val="nil"/>
              <w:bottom w:val="nil"/>
              <w:right w:val="nil"/>
            </w:tcBorders>
            <w:shd w:val="clear" w:color="auto" w:fill="auto"/>
            <w:noWrap/>
            <w:vAlign w:val="bottom"/>
            <w:hideMark/>
          </w:tcPr>
          <w:p w:rsidR="006F7AD6" w:rsidRPr="00A032ED" w:rsidP="00886011" w14:paraId="77687CAD"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E83EBB6" w14:textId="77777777">
            <w:pPr>
              <w:widowControl/>
              <w:jc w:val="center"/>
              <w:rPr>
                <w:rFonts w:ascii="Calibri" w:hAnsi="Calibri" w:cs="Calibri"/>
                <w:snapToGrid/>
                <w:kern w:val="0"/>
                <w:szCs w:val="22"/>
              </w:rPr>
            </w:pPr>
            <w:r w:rsidRPr="00A032ED">
              <w:rPr>
                <w:rFonts w:ascii="Calibri" w:hAnsi="Calibri" w:cs="Calibri"/>
                <w:snapToGrid/>
                <w:kern w:val="0"/>
                <w:szCs w:val="22"/>
              </w:rPr>
              <w:t>WDAF-TV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5F6907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2,539,581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F11F07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$18,347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E43C68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923D7B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$22,748 </w:t>
            </w:r>
          </w:p>
        </w:tc>
      </w:tr>
      <w:tr w14:paraId="091A3813"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B6E492B" w14:textId="77777777">
            <w:pPr>
              <w:widowControl/>
              <w:jc w:val="center"/>
              <w:rPr>
                <w:rFonts w:ascii="Calibri" w:hAnsi="Calibri" w:cs="Calibri"/>
                <w:snapToGrid/>
                <w:kern w:val="0"/>
                <w:szCs w:val="22"/>
              </w:rPr>
            </w:pPr>
            <w:r w:rsidRPr="00A032ED">
              <w:rPr>
                <w:rFonts w:ascii="Calibri" w:hAnsi="Calibri" w:cs="Calibri"/>
                <w:snapToGrid/>
                <w:kern w:val="0"/>
                <w:szCs w:val="22"/>
              </w:rPr>
              <w:t>WCAV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0F9CF1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949,729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A8B52D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$6,861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DF6E57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3CEDA4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$5,656 </w:t>
            </w:r>
          </w:p>
        </w:tc>
        <w:tc>
          <w:tcPr>
            <w:tcW w:w="266" w:type="dxa"/>
            <w:tcBorders>
              <w:top w:val="nil"/>
              <w:left w:val="nil"/>
              <w:bottom w:val="nil"/>
              <w:right w:val="nil"/>
            </w:tcBorders>
            <w:shd w:val="clear" w:color="auto" w:fill="auto"/>
            <w:noWrap/>
            <w:vAlign w:val="bottom"/>
            <w:hideMark/>
          </w:tcPr>
          <w:p w:rsidR="006F7AD6" w:rsidRPr="00A032ED" w:rsidP="00886011" w14:paraId="6197D464"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8BBE602" w14:textId="77777777">
            <w:pPr>
              <w:widowControl/>
              <w:jc w:val="center"/>
              <w:rPr>
                <w:rFonts w:ascii="Calibri" w:hAnsi="Calibri" w:cs="Calibri"/>
                <w:snapToGrid/>
                <w:kern w:val="0"/>
                <w:szCs w:val="22"/>
              </w:rPr>
            </w:pPr>
            <w:r w:rsidRPr="00A032ED">
              <w:rPr>
                <w:rFonts w:ascii="Calibri" w:hAnsi="Calibri" w:cs="Calibri"/>
                <w:snapToGrid/>
                <w:kern w:val="0"/>
                <w:szCs w:val="22"/>
              </w:rPr>
              <w:t>WDAM-TV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B73A0D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512,594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DEEF25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$3,703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2D4968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0A084F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$4,077 </w:t>
            </w:r>
          </w:p>
        </w:tc>
      </w:tr>
      <w:tr w14:paraId="5121DF78"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DE5EECB" w14:textId="77777777">
            <w:pPr>
              <w:widowControl/>
              <w:jc w:val="center"/>
              <w:rPr>
                <w:rFonts w:ascii="Calibri" w:hAnsi="Calibri" w:cs="Calibri"/>
                <w:snapToGrid/>
                <w:kern w:val="0"/>
                <w:szCs w:val="22"/>
              </w:rPr>
            </w:pPr>
            <w:r w:rsidRPr="00A032ED">
              <w:rPr>
                <w:rFonts w:ascii="Calibri" w:hAnsi="Calibri" w:cs="Calibri"/>
                <w:snapToGrid/>
                <w:kern w:val="0"/>
                <w:szCs w:val="22"/>
              </w:rPr>
              <w:t>WCAX-TV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906BCF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784,748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28AF8D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$5,669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87905A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5DBB92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$9,610 </w:t>
            </w:r>
          </w:p>
        </w:tc>
        <w:tc>
          <w:tcPr>
            <w:tcW w:w="266" w:type="dxa"/>
            <w:tcBorders>
              <w:top w:val="nil"/>
              <w:left w:val="nil"/>
              <w:bottom w:val="nil"/>
              <w:right w:val="nil"/>
            </w:tcBorders>
            <w:shd w:val="clear" w:color="auto" w:fill="auto"/>
            <w:noWrap/>
            <w:vAlign w:val="bottom"/>
            <w:hideMark/>
          </w:tcPr>
          <w:p w:rsidR="006F7AD6" w:rsidRPr="00A032ED" w:rsidP="00886011" w14:paraId="795BF2CC"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77E7B30" w14:textId="77777777">
            <w:pPr>
              <w:widowControl/>
              <w:jc w:val="center"/>
              <w:rPr>
                <w:rFonts w:ascii="Calibri" w:hAnsi="Calibri" w:cs="Calibri"/>
                <w:snapToGrid/>
                <w:kern w:val="0"/>
                <w:szCs w:val="22"/>
              </w:rPr>
            </w:pPr>
            <w:r w:rsidRPr="00A032ED">
              <w:rPr>
                <w:rFonts w:ascii="Calibri" w:hAnsi="Calibri" w:cs="Calibri"/>
                <w:snapToGrid/>
                <w:kern w:val="0"/>
                <w:szCs w:val="22"/>
              </w:rPr>
              <w:t>WDAY-TV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A48BCA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339,239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37B035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$2,451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13B761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12F5D7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$3,450 </w:t>
            </w:r>
          </w:p>
        </w:tc>
      </w:tr>
      <w:tr w14:paraId="67AD7A1D"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B86E9BE" w14:textId="77777777">
            <w:pPr>
              <w:widowControl/>
              <w:jc w:val="center"/>
              <w:rPr>
                <w:rFonts w:ascii="Calibri" w:hAnsi="Calibri" w:cs="Calibri"/>
                <w:snapToGrid/>
                <w:kern w:val="0"/>
                <w:szCs w:val="22"/>
              </w:rPr>
            </w:pPr>
            <w:r w:rsidRPr="00A032ED">
              <w:rPr>
                <w:rFonts w:ascii="Calibri" w:hAnsi="Calibri" w:cs="Calibri"/>
                <w:snapToGrid/>
                <w:kern w:val="0"/>
                <w:szCs w:val="22"/>
              </w:rPr>
              <w:t>WCBD-TV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1C1EE2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1,100,127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7D8FBC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$7,948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A3F8C9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302009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$10,749 </w:t>
            </w:r>
          </w:p>
        </w:tc>
        <w:tc>
          <w:tcPr>
            <w:tcW w:w="266" w:type="dxa"/>
            <w:tcBorders>
              <w:top w:val="nil"/>
              <w:left w:val="nil"/>
              <w:bottom w:val="nil"/>
              <w:right w:val="nil"/>
            </w:tcBorders>
            <w:shd w:val="clear" w:color="auto" w:fill="auto"/>
            <w:noWrap/>
            <w:vAlign w:val="bottom"/>
            <w:hideMark/>
          </w:tcPr>
          <w:p w:rsidR="006F7AD6" w:rsidRPr="00A032ED" w:rsidP="00886011" w14:paraId="7EDC3727"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13CBEC4" w14:textId="77777777">
            <w:pPr>
              <w:widowControl/>
              <w:jc w:val="center"/>
              <w:rPr>
                <w:rFonts w:ascii="Calibri" w:hAnsi="Calibri" w:cs="Calibri"/>
                <w:snapToGrid/>
                <w:kern w:val="0"/>
                <w:szCs w:val="22"/>
              </w:rPr>
            </w:pPr>
            <w:r w:rsidRPr="00A032ED">
              <w:rPr>
                <w:rFonts w:ascii="Calibri" w:hAnsi="Calibri" w:cs="Calibri"/>
                <w:snapToGrid/>
                <w:kern w:val="0"/>
                <w:szCs w:val="22"/>
              </w:rPr>
              <w:t>WDAZ-TV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26F4FD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151,720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3563DB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$1,096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E89D32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876FBF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$2,773 </w:t>
            </w:r>
          </w:p>
        </w:tc>
      </w:tr>
      <w:tr w14:paraId="7B4C7FDC"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53291A4" w14:textId="77777777">
            <w:pPr>
              <w:widowControl/>
              <w:jc w:val="center"/>
              <w:rPr>
                <w:rFonts w:ascii="Calibri" w:hAnsi="Calibri" w:cs="Calibri"/>
                <w:snapToGrid/>
                <w:kern w:val="0"/>
                <w:szCs w:val="22"/>
              </w:rPr>
            </w:pPr>
            <w:r w:rsidRPr="00A032ED">
              <w:rPr>
                <w:rFonts w:ascii="Calibri" w:hAnsi="Calibri" w:cs="Calibri"/>
                <w:snapToGrid/>
                <w:kern w:val="0"/>
                <w:szCs w:val="22"/>
              </w:rPr>
              <w:t>WCBI-TV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009F1A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680,511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88892E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$4,916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A78455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309F70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$4,683 </w:t>
            </w:r>
          </w:p>
        </w:tc>
        <w:tc>
          <w:tcPr>
            <w:tcW w:w="266" w:type="dxa"/>
            <w:tcBorders>
              <w:top w:val="nil"/>
              <w:left w:val="nil"/>
              <w:bottom w:val="nil"/>
              <w:right w:val="nil"/>
            </w:tcBorders>
            <w:shd w:val="clear" w:color="auto" w:fill="auto"/>
            <w:noWrap/>
            <w:vAlign w:val="bottom"/>
            <w:hideMark/>
          </w:tcPr>
          <w:p w:rsidR="006F7AD6" w:rsidRPr="00A032ED" w:rsidP="00886011" w14:paraId="305724BC"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A28FB92" w14:textId="77777777">
            <w:pPr>
              <w:widowControl/>
              <w:jc w:val="center"/>
              <w:rPr>
                <w:rFonts w:ascii="Calibri" w:hAnsi="Calibri" w:cs="Calibri"/>
                <w:snapToGrid/>
                <w:kern w:val="0"/>
                <w:szCs w:val="22"/>
              </w:rPr>
            </w:pPr>
            <w:r w:rsidRPr="00A032ED">
              <w:rPr>
                <w:rFonts w:ascii="Calibri" w:hAnsi="Calibri" w:cs="Calibri"/>
                <w:snapToGrid/>
                <w:kern w:val="0"/>
                <w:szCs w:val="22"/>
              </w:rPr>
              <w:t>WDBB</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147CE2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1,669,214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ABC9E4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$12,059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1103FF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773A9F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$19,605 </w:t>
            </w:r>
          </w:p>
        </w:tc>
      </w:tr>
      <w:tr w14:paraId="71932BF8"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0D202EC" w14:textId="77777777">
            <w:pPr>
              <w:widowControl/>
              <w:jc w:val="center"/>
              <w:rPr>
                <w:rFonts w:ascii="Calibri" w:hAnsi="Calibri" w:cs="Calibri"/>
                <w:snapToGrid/>
                <w:kern w:val="0"/>
                <w:szCs w:val="22"/>
              </w:rPr>
            </w:pPr>
            <w:r w:rsidRPr="00A032ED">
              <w:rPr>
                <w:rFonts w:ascii="Calibri" w:hAnsi="Calibri" w:cs="Calibri"/>
                <w:snapToGrid/>
                <w:kern w:val="0"/>
                <w:szCs w:val="22"/>
              </w:rPr>
              <w:t>WCBS-TV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3C6F61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1,752,130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2DADE5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$12,658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18F91B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BD697A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$33,329 </w:t>
            </w:r>
          </w:p>
        </w:tc>
        <w:tc>
          <w:tcPr>
            <w:tcW w:w="266" w:type="dxa"/>
            <w:tcBorders>
              <w:top w:val="nil"/>
              <w:left w:val="nil"/>
              <w:bottom w:val="nil"/>
              <w:right w:val="nil"/>
            </w:tcBorders>
            <w:shd w:val="clear" w:color="auto" w:fill="auto"/>
            <w:noWrap/>
            <w:vAlign w:val="bottom"/>
            <w:hideMark/>
          </w:tcPr>
          <w:p w:rsidR="006F7AD6" w:rsidRPr="00A032ED" w:rsidP="00886011" w14:paraId="628426D9"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2D33C7C" w14:textId="77777777">
            <w:pPr>
              <w:widowControl/>
              <w:jc w:val="center"/>
              <w:rPr>
                <w:rFonts w:ascii="Calibri" w:hAnsi="Calibri" w:cs="Calibri"/>
                <w:snapToGrid/>
                <w:kern w:val="0"/>
                <w:szCs w:val="22"/>
              </w:rPr>
            </w:pPr>
            <w:r w:rsidRPr="00A032ED">
              <w:rPr>
                <w:rFonts w:ascii="Calibri" w:hAnsi="Calibri" w:cs="Calibri"/>
                <w:snapToGrid/>
                <w:kern w:val="0"/>
                <w:szCs w:val="22"/>
              </w:rPr>
              <w:t>WDBD</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CC418D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919,098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9FAE2D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$6,640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8DDACD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B3BD62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$10,095 </w:t>
            </w:r>
          </w:p>
        </w:tc>
      </w:tr>
      <w:tr w14:paraId="37204980"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60AC3E7" w14:textId="77777777">
            <w:pPr>
              <w:widowControl/>
              <w:jc w:val="center"/>
              <w:rPr>
                <w:rFonts w:ascii="Calibri" w:hAnsi="Calibri" w:cs="Calibri"/>
                <w:snapToGrid/>
                <w:kern w:val="0"/>
                <w:szCs w:val="22"/>
              </w:rPr>
            </w:pPr>
            <w:r w:rsidRPr="00A032ED">
              <w:rPr>
                <w:rFonts w:ascii="Calibri" w:hAnsi="Calibri" w:cs="Calibri"/>
                <w:snapToGrid/>
                <w:kern w:val="0"/>
                <w:szCs w:val="22"/>
              </w:rPr>
              <w:t>WCCB</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60A43A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3,542,464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2D2CD4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$25,592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C1A656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BAFF76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$33,134 </w:t>
            </w:r>
          </w:p>
        </w:tc>
        <w:tc>
          <w:tcPr>
            <w:tcW w:w="266" w:type="dxa"/>
            <w:tcBorders>
              <w:top w:val="nil"/>
              <w:left w:val="nil"/>
              <w:bottom w:val="nil"/>
              <w:right w:val="nil"/>
            </w:tcBorders>
            <w:shd w:val="clear" w:color="auto" w:fill="auto"/>
            <w:noWrap/>
            <w:vAlign w:val="bottom"/>
            <w:hideMark/>
          </w:tcPr>
          <w:p w:rsidR="006F7AD6" w:rsidRPr="00A032ED" w:rsidP="00886011" w14:paraId="18B22679"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57AA875" w14:textId="77777777">
            <w:pPr>
              <w:widowControl/>
              <w:jc w:val="center"/>
              <w:rPr>
                <w:rFonts w:ascii="Calibri" w:hAnsi="Calibri" w:cs="Calibri"/>
                <w:snapToGrid/>
                <w:kern w:val="0"/>
                <w:szCs w:val="22"/>
              </w:rPr>
            </w:pPr>
            <w:r w:rsidRPr="00A032ED">
              <w:rPr>
                <w:rFonts w:ascii="Calibri" w:hAnsi="Calibri" w:cs="Calibri"/>
                <w:snapToGrid/>
                <w:kern w:val="0"/>
                <w:szCs w:val="22"/>
              </w:rPr>
              <w:t>WDBJ</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D9D425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1,606,844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50688B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$11,608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6B7225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AADC30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$12,579 </w:t>
            </w:r>
          </w:p>
        </w:tc>
      </w:tr>
      <w:tr w14:paraId="3BA70CBB"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CB0786E" w14:textId="77777777">
            <w:pPr>
              <w:widowControl/>
              <w:jc w:val="center"/>
              <w:rPr>
                <w:rFonts w:ascii="Calibri" w:hAnsi="Calibri" w:cs="Calibri"/>
                <w:snapToGrid/>
                <w:kern w:val="0"/>
                <w:szCs w:val="22"/>
              </w:rPr>
            </w:pPr>
            <w:r w:rsidRPr="00A032ED">
              <w:rPr>
                <w:rFonts w:ascii="Calibri" w:hAnsi="Calibri" w:cs="Calibri"/>
                <w:snapToGrid/>
                <w:kern w:val="0"/>
                <w:szCs w:val="22"/>
              </w:rPr>
              <w:t>WCCO-TV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909185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3,837,442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CF859C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$27,723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E986D9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8B165D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$34,199 </w:t>
            </w:r>
          </w:p>
        </w:tc>
        <w:tc>
          <w:tcPr>
            <w:tcW w:w="266" w:type="dxa"/>
            <w:tcBorders>
              <w:top w:val="nil"/>
              <w:left w:val="nil"/>
              <w:bottom w:val="nil"/>
              <w:right w:val="nil"/>
            </w:tcBorders>
            <w:shd w:val="clear" w:color="auto" w:fill="auto"/>
            <w:noWrap/>
            <w:vAlign w:val="bottom"/>
            <w:hideMark/>
          </w:tcPr>
          <w:p w:rsidR="006F7AD6" w:rsidRPr="00A032ED" w:rsidP="00886011" w14:paraId="689BD798"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DAAC5CD" w14:textId="77777777">
            <w:pPr>
              <w:widowControl/>
              <w:jc w:val="center"/>
              <w:rPr>
                <w:rFonts w:ascii="Calibri" w:hAnsi="Calibri" w:cs="Calibri"/>
                <w:snapToGrid/>
                <w:kern w:val="0"/>
                <w:szCs w:val="22"/>
              </w:rPr>
            </w:pPr>
            <w:r w:rsidRPr="00A032ED">
              <w:rPr>
                <w:rFonts w:ascii="Calibri" w:hAnsi="Calibri" w:cs="Calibri"/>
                <w:snapToGrid/>
                <w:kern w:val="0"/>
                <w:szCs w:val="22"/>
              </w:rPr>
              <w:t>WDCA</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B730C4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8,070,491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7AC0D6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$58,304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E8C5A4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96F3DE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$56,152 </w:t>
            </w:r>
          </w:p>
        </w:tc>
      </w:tr>
      <w:tr w14:paraId="682CD31A"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2A029CB" w14:textId="77777777">
            <w:pPr>
              <w:widowControl/>
              <w:jc w:val="center"/>
              <w:rPr>
                <w:rFonts w:ascii="Calibri" w:hAnsi="Calibri" w:cs="Calibri"/>
                <w:snapToGrid/>
                <w:kern w:val="0"/>
                <w:szCs w:val="22"/>
              </w:rPr>
            </w:pPr>
            <w:r w:rsidRPr="00A032ED">
              <w:rPr>
                <w:rFonts w:ascii="Calibri" w:hAnsi="Calibri" w:cs="Calibri"/>
                <w:snapToGrid/>
                <w:kern w:val="0"/>
                <w:szCs w:val="22"/>
              </w:rPr>
              <w:t>WDEF-TV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5700BA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1,731,483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67B639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$12,509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6A7E5C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227DCC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$13,029 </w:t>
            </w:r>
          </w:p>
        </w:tc>
        <w:tc>
          <w:tcPr>
            <w:tcW w:w="266" w:type="dxa"/>
            <w:tcBorders>
              <w:top w:val="nil"/>
              <w:left w:val="nil"/>
              <w:bottom w:val="nil"/>
              <w:right w:val="nil"/>
            </w:tcBorders>
            <w:shd w:val="clear" w:color="auto" w:fill="auto"/>
            <w:noWrap/>
            <w:vAlign w:val="bottom"/>
            <w:hideMark/>
          </w:tcPr>
          <w:p w:rsidR="006F7AD6" w:rsidRPr="00A032ED" w:rsidP="00886011" w14:paraId="4E4DF9C3"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0739984" w14:textId="77777777">
            <w:pPr>
              <w:widowControl/>
              <w:jc w:val="center"/>
              <w:rPr>
                <w:rFonts w:ascii="Calibri" w:hAnsi="Calibri" w:cs="Calibri"/>
                <w:snapToGrid/>
                <w:kern w:val="0"/>
                <w:szCs w:val="22"/>
              </w:rPr>
            </w:pPr>
            <w:r w:rsidRPr="00A032ED">
              <w:rPr>
                <w:rFonts w:ascii="Calibri" w:hAnsi="Calibri" w:cs="Calibri"/>
                <w:snapToGrid/>
                <w:kern w:val="0"/>
                <w:szCs w:val="22"/>
              </w:rPr>
              <w:t>WETP-TV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DD5281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2,087,588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57074C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$15,082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63C5EB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5097DD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$14,316 </w:t>
            </w:r>
          </w:p>
        </w:tc>
      </w:tr>
      <w:tr w14:paraId="4C07CA58"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AAB8947" w14:textId="77777777">
            <w:pPr>
              <w:widowControl/>
              <w:jc w:val="center"/>
              <w:rPr>
                <w:rFonts w:ascii="Calibri" w:hAnsi="Calibri" w:cs="Calibri"/>
                <w:snapToGrid/>
                <w:kern w:val="0"/>
                <w:szCs w:val="22"/>
              </w:rPr>
            </w:pPr>
            <w:r w:rsidRPr="00A032ED">
              <w:rPr>
                <w:rFonts w:ascii="Calibri" w:hAnsi="Calibri" w:cs="Calibri"/>
                <w:snapToGrid/>
                <w:kern w:val="0"/>
                <w:szCs w:val="22"/>
              </w:rPr>
              <w:t>WDFX-TV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1BE33C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271,499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8D5EC2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$1,961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1D091B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973109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$3,206 </w:t>
            </w:r>
          </w:p>
        </w:tc>
        <w:tc>
          <w:tcPr>
            <w:tcW w:w="266" w:type="dxa"/>
            <w:tcBorders>
              <w:top w:val="nil"/>
              <w:left w:val="nil"/>
              <w:bottom w:val="nil"/>
              <w:right w:val="nil"/>
            </w:tcBorders>
            <w:shd w:val="clear" w:color="auto" w:fill="auto"/>
            <w:noWrap/>
            <w:vAlign w:val="bottom"/>
            <w:hideMark/>
          </w:tcPr>
          <w:p w:rsidR="006F7AD6" w:rsidRPr="00A032ED" w:rsidP="00886011" w14:paraId="0E514FE6"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072F482" w14:textId="77777777">
            <w:pPr>
              <w:widowControl/>
              <w:jc w:val="center"/>
              <w:rPr>
                <w:rFonts w:ascii="Calibri" w:hAnsi="Calibri" w:cs="Calibri"/>
                <w:snapToGrid/>
                <w:kern w:val="0"/>
                <w:szCs w:val="22"/>
              </w:rPr>
            </w:pPr>
            <w:r w:rsidRPr="00A032ED">
              <w:rPr>
                <w:rFonts w:ascii="Calibri" w:hAnsi="Calibri" w:cs="Calibri"/>
                <w:snapToGrid/>
                <w:kern w:val="0"/>
                <w:szCs w:val="22"/>
              </w:rPr>
              <w:t>WEUX</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51B03C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379,158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86CE05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$2,739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3E7CE9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EED2DE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$3,595 </w:t>
            </w:r>
          </w:p>
        </w:tc>
      </w:tr>
      <w:tr w14:paraId="03E22CB1"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1EA655D" w14:textId="77777777">
            <w:pPr>
              <w:widowControl/>
              <w:jc w:val="center"/>
              <w:rPr>
                <w:rFonts w:ascii="Calibri" w:hAnsi="Calibri" w:cs="Calibri"/>
                <w:snapToGrid/>
                <w:kern w:val="0"/>
                <w:szCs w:val="22"/>
              </w:rPr>
            </w:pPr>
            <w:r w:rsidRPr="00A032ED">
              <w:rPr>
                <w:rFonts w:ascii="Calibri" w:hAnsi="Calibri" w:cs="Calibri"/>
                <w:snapToGrid/>
                <w:kern w:val="0"/>
                <w:szCs w:val="22"/>
              </w:rPr>
              <w:t>WDHN</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83F80F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452,377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74472C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$3,268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7F51D4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17121D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$3,859 </w:t>
            </w:r>
          </w:p>
        </w:tc>
        <w:tc>
          <w:tcPr>
            <w:tcW w:w="266" w:type="dxa"/>
            <w:tcBorders>
              <w:top w:val="nil"/>
              <w:left w:val="nil"/>
              <w:bottom w:val="nil"/>
              <w:right w:val="nil"/>
            </w:tcBorders>
            <w:shd w:val="clear" w:color="auto" w:fill="auto"/>
            <w:noWrap/>
            <w:vAlign w:val="bottom"/>
            <w:hideMark/>
          </w:tcPr>
          <w:p w:rsidR="006F7AD6" w:rsidRPr="00A032ED" w:rsidP="00886011" w14:paraId="1C2BB795"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42E8274" w14:textId="77777777">
            <w:pPr>
              <w:widowControl/>
              <w:jc w:val="center"/>
              <w:rPr>
                <w:rFonts w:ascii="Calibri" w:hAnsi="Calibri" w:cs="Calibri"/>
                <w:snapToGrid/>
                <w:kern w:val="0"/>
                <w:szCs w:val="22"/>
              </w:rPr>
            </w:pPr>
            <w:r w:rsidRPr="00A032ED">
              <w:rPr>
                <w:rFonts w:ascii="Calibri" w:hAnsi="Calibri" w:cs="Calibri"/>
                <w:snapToGrid/>
                <w:kern w:val="0"/>
                <w:szCs w:val="22"/>
              </w:rPr>
              <w:t>WEWS-TV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74F863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4,112,984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0DDB3C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$29,714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447403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C779D8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$35,194 </w:t>
            </w:r>
          </w:p>
        </w:tc>
      </w:tr>
      <w:tr w14:paraId="7CF3E825"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6D93914" w14:textId="77777777">
            <w:pPr>
              <w:widowControl/>
              <w:jc w:val="center"/>
              <w:rPr>
                <w:rFonts w:ascii="Calibri" w:hAnsi="Calibri" w:cs="Calibri"/>
                <w:snapToGrid/>
                <w:kern w:val="0"/>
                <w:szCs w:val="22"/>
              </w:rPr>
            </w:pPr>
            <w:r w:rsidRPr="00A032ED">
              <w:rPr>
                <w:rFonts w:ascii="Calibri" w:hAnsi="Calibri" w:cs="Calibri"/>
                <w:snapToGrid/>
                <w:kern w:val="0"/>
                <w:szCs w:val="22"/>
              </w:rPr>
              <w:t>WDIO-DT</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66F5F4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341,506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9A6E45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$2,467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291896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4514B6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$3,459 </w:t>
            </w:r>
          </w:p>
        </w:tc>
        <w:tc>
          <w:tcPr>
            <w:tcW w:w="266" w:type="dxa"/>
            <w:tcBorders>
              <w:top w:val="nil"/>
              <w:left w:val="nil"/>
              <w:bottom w:val="nil"/>
              <w:right w:val="nil"/>
            </w:tcBorders>
            <w:shd w:val="clear" w:color="auto" w:fill="auto"/>
            <w:noWrap/>
            <w:vAlign w:val="bottom"/>
            <w:hideMark/>
          </w:tcPr>
          <w:p w:rsidR="006F7AD6" w:rsidRPr="00A032ED" w:rsidP="00886011" w14:paraId="0DC6621F"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EAEFF7B" w14:textId="77777777">
            <w:pPr>
              <w:widowControl/>
              <w:jc w:val="center"/>
              <w:rPr>
                <w:rFonts w:ascii="Calibri" w:hAnsi="Calibri" w:cs="Calibri"/>
                <w:snapToGrid/>
                <w:kern w:val="0"/>
                <w:szCs w:val="22"/>
              </w:rPr>
            </w:pPr>
            <w:r w:rsidRPr="00A032ED">
              <w:rPr>
                <w:rFonts w:ascii="Calibri" w:hAnsi="Calibri" w:cs="Calibri"/>
                <w:snapToGrid/>
                <w:kern w:val="0"/>
                <w:szCs w:val="22"/>
              </w:rPr>
              <w:t>WEYI-TV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A8BB85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2,664,319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D2BFDA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$19,248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BAFE3C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5C18AB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$16,399 </w:t>
            </w:r>
          </w:p>
        </w:tc>
      </w:tr>
      <w:tr w14:paraId="2765C07D"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41DC6D5" w14:textId="77777777">
            <w:pPr>
              <w:widowControl/>
              <w:jc w:val="center"/>
              <w:rPr>
                <w:rFonts w:ascii="Calibri" w:hAnsi="Calibri" w:cs="Calibri"/>
                <w:snapToGrid/>
                <w:kern w:val="0"/>
                <w:szCs w:val="22"/>
              </w:rPr>
            </w:pPr>
            <w:r w:rsidRPr="00A032ED">
              <w:rPr>
                <w:rFonts w:ascii="Calibri" w:hAnsi="Calibri" w:cs="Calibri"/>
                <w:snapToGrid/>
                <w:kern w:val="0"/>
                <w:szCs w:val="22"/>
              </w:rPr>
              <w:t>WDIV-TV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561A8B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5,425,162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E92CF1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$39,193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120B34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E8B5F0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$39,934 </w:t>
            </w:r>
          </w:p>
        </w:tc>
        <w:tc>
          <w:tcPr>
            <w:tcW w:w="266" w:type="dxa"/>
            <w:tcBorders>
              <w:top w:val="nil"/>
              <w:left w:val="nil"/>
              <w:bottom w:val="nil"/>
              <w:right w:val="nil"/>
            </w:tcBorders>
            <w:shd w:val="clear" w:color="auto" w:fill="auto"/>
            <w:noWrap/>
            <w:vAlign w:val="bottom"/>
            <w:hideMark/>
          </w:tcPr>
          <w:p w:rsidR="006F7AD6" w:rsidRPr="00A032ED" w:rsidP="00886011" w14:paraId="43CA338A"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F28096D" w14:textId="77777777">
            <w:pPr>
              <w:widowControl/>
              <w:jc w:val="center"/>
              <w:rPr>
                <w:rFonts w:ascii="Calibri" w:hAnsi="Calibri" w:cs="Calibri"/>
                <w:snapToGrid/>
                <w:kern w:val="0"/>
                <w:szCs w:val="22"/>
              </w:rPr>
            </w:pPr>
            <w:r w:rsidRPr="00A032ED">
              <w:rPr>
                <w:rFonts w:ascii="Calibri" w:hAnsi="Calibri" w:cs="Calibri"/>
                <w:snapToGrid/>
                <w:kern w:val="0"/>
                <w:szCs w:val="22"/>
              </w:rPr>
              <w:t>WFAA</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DFE81B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6,957,935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7C2877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$50,267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CD3DF8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733558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$52,133 </w:t>
            </w:r>
          </w:p>
        </w:tc>
      </w:tr>
      <w:tr w14:paraId="529B6F66"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5965315" w14:textId="77777777">
            <w:pPr>
              <w:widowControl/>
              <w:jc w:val="center"/>
              <w:rPr>
                <w:rFonts w:ascii="Calibri" w:hAnsi="Calibri" w:cs="Calibri"/>
                <w:snapToGrid/>
                <w:kern w:val="0"/>
                <w:szCs w:val="22"/>
              </w:rPr>
            </w:pPr>
            <w:r w:rsidRPr="00A032ED">
              <w:rPr>
                <w:rFonts w:ascii="Calibri" w:hAnsi="Calibri" w:cs="Calibri"/>
                <w:snapToGrid/>
                <w:kern w:val="0"/>
                <w:szCs w:val="22"/>
              </w:rPr>
              <w:t>WDJT-TV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2FDEDA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3,085,540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293BD4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$22,291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8D1CFF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424423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$24,721 </w:t>
            </w:r>
          </w:p>
        </w:tc>
        <w:tc>
          <w:tcPr>
            <w:tcW w:w="266" w:type="dxa"/>
            <w:tcBorders>
              <w:top w:val="nil"/>
              <w:left w:val="nil"/>
              <w:bottom w:val="nil"/>
              <w:right w:val="nil"/>
            </w:tcBorders>
            <w:shd w:val="clear" w:color="auto" w:fill="auto"/>
            <w:noWrap/>
            <w:vAlign w:val="bottom"/>
            <w:hideMark/>
          </w:tcPr>
          <w:p w:rsidR="006F7AD6" w:rsidRPr="00A032ED" w:rsidP="00886011" w14:paraId="6E0E4CF7"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5AB9704" w14:textId="77777777">
            <w:pPr>
              <w:widowControl/>
              <w:jc w:val="center"/>
              <w:rPr>
                <w:rFonts w:ascii="Calibri" w:hAnsi="Calibri" w:cs="Calibri"/>
                <w:snapToGrid/>
                <w:kern w:val="0"/>
                <w:szCs w:val="22"/>
              </w:rPr>
            </w:pPr>
            <w:r w:rsidRPr="00A032ED">
              <w:rPr>
                <w:rFonts w:ascii="Calibri" w:hAnsi="Calibri" w:cs="Calibri"/>
                <w:snapToGrid/>
                <w:kern w:val="0"/>
                <w:szCs w:val="22"/>
              </w:rPr>
              <w:t>WFBD</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2CD54E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814,185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A3E598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$5,882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4FDCB2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766ECE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$9,716 </w:t>
            </w:r>
          </w:p>
        </w:tc>
      </w:tr>
      <w:tr w14:paraId="1A57F80D"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00D8435" w14:textId="77777777">
            <w:pPr>
              <w:widowControl/>
              <w:jc w:val="center"/>
              <w:rPr>
                <w:rFonts w:ascii="Calibri" w:hAnsi="Calibri" w:cs="Calibri"/>
                <w:snapToGrid/>
                <w:kern w:val="0"/>
                <w:szCs w:val="22"/>
              </w:rPr>
            </w:pPr>
            <w:r w:rsidRPr="00A032ED">
              <w:rPr>
                <w:rFonts w:ascii="Calibri" w:hAnsi="Calibri" w:cs="Calibri"/>
                <w:snapToGrid/>
                <w:kern w:val="0"/>
                <w:szCs w:val="22"/>
              </w:rPr>
              <w:t>WDKA</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195AB2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621,903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5D42FC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$4,493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83A47C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EE1612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$9,021 </w:t>
            </w:r>
          </w:p>
        </w:tc>
        <w:tc>
          <w:tcPr>
            <w:tcW w:w="266" w:type="dxa"/>
            <w:tcBorders>
              <w:top w:val="nil"/>
              <w:left w:val="nil"/>
              <w:bottom w:val="nil"/>
              <w:right w:val="nil"/>
            </w:tcBorders>
            <w:shd w:val="clear" w:color="auto" w:fill="auto"/>
            <w:noWrap/>
            <w:vAlign w:val="bottom"/>
            <w:hideMark/>
          </w:tcPr>
          <w:p w:rsidR="006F7AD6" w:rsidRPr="00A032ED" w:rsidP="00886011" w14:paraId="07583124"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D61F91C" w14:textId="77777777">
            <w:pPr>
              <w:widowControl/>
              <w:jc w:val="center"/>
              <w:rPr>
                <w:rFonts w:ascii="Calibri" w:hAnsi="Calibri" w:cs="Calibri"/>
                <w:snapToGrid/>
                <w:kern w:val="0"/>
                <w:szCs w:val="22"/>
              </w:rPr>
            </w:pPr>
            <w:r w:rsidRPr="00A032ED">
              <w:rPr>
                <w:rFonts w:ascii="Calibri" w:hAnsi="Calibri" w:cs="Calibri"/>
                <w:snapToGrid/>
                <w:kern w:val="0"/>
                <w:szCs w:val="22"/>
              </w:rPr>
              <w:t>WFDC-DT</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29E888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8,155,998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6E794D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$58,922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D456C4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B586CE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$56,461 </w:t>
            </w:r>
          </w:p>
        </w:tc>
      </w:tr>
      <w:tr w14:paraId="3A44173C"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BD3BB6D" w14:textId="77777777">
            <w:pPr>
              <w:widowControl/>
              <w:jc w:val="center"/>
              <w:rPr>
                <w:rFonts w:ascii="Calibri" w:hAnsi="Calibri" w:cs="Calibri"/>
                <w:snapToGrid/>
                <w:kern w:val="0"/>
                <w:szCs w:val="22"/>
              </w:rPr>
            </w:pPr>
            <w:r w:rsidRPr="00A032ED">
              <w:rPr>
                <w:rFonts w:ascii="Calibri" w:hAnsi="Calibri" w:cs="Calibri"/>
                <w:snapToGrid/>
                <w:kern w:val="0"/>
                <w:szCs w:val="22"/>
              </w:rPr>
              <w:t>WDKY-TV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4CA20F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1,159,126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9603BF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$8,374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BE9331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C59FAA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$10,962 </w:t>
            </w:r>
          </w:p>
        </w:tc>
        <w:tc>
          <w:tcPr>
            <w:tcW w:w="266" w:type="dxa"/>
            <w:tcBorders>
              <w:top w:val="nil"/>
              <w:left w:val="nil"/>
              <w:bottom w:val="nil"/>
              <w:right w:val="nil"/>
            </w:tcBorders>
            <w:shd w:val="clear" w:color="auto" w:fill="auto"/>
            <w:noWrap/>
            <w:vAlign w:val="bottom"/>
            <w:hideMark/>
          </w:tcPr>
          <w:p w:rsidR="006F7AD6" w:rsidRPr="00A032ED" w:rsidP="00886011" w14:paraId="02F2D2AF"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8894583" w14:textId="77777777">
            <w:pPr>
              <w:widowControl/>
              <w:jc w:val="center"/>
              <w:rPr>
                <w:rFonts w:ascii="Calibri" w:hAnsi="Calibri" w:cs="Calibri"/>
                <w:snapToGrid/>
                <w:kern w:val="0"/>
                <w:szCs w:val="22"/>
              </w:rPr>
            </w:pPr>
            <w:r w:rsidRPr="00A032ED">
              <w:rPr>
                <w:rFonts w:ascii="Calibri" w:hAnsi="Calibri" w:cs="Calibri"/>
                <w:snapToGrid/>
                <w:kern w:val="0"/>
                <w:szCs w:val="22"/>
              </w:rPr>
              <w:t>WFFF-TV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53C867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592,012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DFE4AF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$4,277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F8F664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B53D5F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$8,913 </w:t>
            </w:r>
          </w:p>
        </w:tc>
      </w:tr>
      <w:tr w14:paraId="58C6847A"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13C1C9B" w14:textId="77777777">
            <w:pPr>
              <w:widowControl/>
              <w:jc w:val="center"/>
              <w:rPr>
                <w:rFonts w:ascii="Calibri" w:hAnsi="Calibri" w:cs="Calibri"/>
                <w:snapToGrid/>
                <w:kern w:val="0"/>
                <w:szCs w:val="22"/>
              </w:rPr>
            </w:pPr>
            <w:r w:rsidRPr="00A032ED">
              <w:rPr>
                <w:rFonts w:ascii="Calibri" w:hAnsi="Calibri" w:cs="Calibri"/>
                <w:snapToGrid/>
                <w:kern w:val="0"/>
                <w:szCs w:val="22"/>
              </w:rPr>
              <w:t>WDLI-TV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A224EE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4,165,601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13A09F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$30,094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A9E752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C01E47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$35,384 </w:t>
            </w:r>
          </w:p>
        </w:tc>
        <w:tc>
          <w:tcPr>
            <w:tcW w:w="266" w:type="dxa"/>
            <w:tcBorders>
              <w:top w:val="nil"/>
              <w:left w:val="nil"/>
              <w:bottom w:val="nil"/>
              <w:right w:val="nil"/>
            </w:tcBorders>
            <w:shd w:val="clear" w:color="auto" w:fill="auto"/>
            <w:noWrap/>
            <w:vAlign w:val="bottom"/>
            <w:hideMark/>
          </w:tcPr>
          <w:p w:rsidR="006F7AD6" w:rsidRPr="00A032ED" w:rsidP="00886011" w14:paraId="3FA57328"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93F9089" w14:textId="77777777">
            <w:pPr>
              <w:widowControl/>
              <w:jc w:val="center"/>
              <w:rPr>
                <w:rFonts w:ascii="Calibri" w:hAnsi="Calibri" w:cs="Calibri"/>
                <w:snapToGrid/>
                <w:kern w:val="0"/>
                <w:szCs w:val="22"/>
              </w:rPr>
            </w:pPr>
            <w:r w:rsidRPr="00A032ED">
              <w:rPr>
                <w:rFonts w:ascii="Calibri" w:hAnsi="Calibri" w:cs="Calibri"/>
                <w:snapToGrid/>
                <w:kern w:val="0"/>
                <w:szCs w:val="22"/>
              </w:rPr>
              <w:t>WFFT-TV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698AAC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1,088,489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9DCEB1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$7,864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B34884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95E113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$6,157 </w:t>
            </w:r>
          </w:p>
        </w:tc>
      </w:tr>
      <w:tr w14:paraId="3F2B7B17"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2D529F1" w14:textId="77777777">
            <w:pPr>
              <w:widowControl/>
              <w:jc w:val="center"/>
              <w:rPr>
                <w:rFonts w:ascii="Calibri" w:hAnsi="Calibri" w:cs="Calibri"/>
                <w:snapToGrid/>
                <w:kern w:val="0"/>
                <w:szCs w:val="22"/>
              </w:rPr>
            </w:pPr>
            <w:r w:rsidRPr="00A032ED">
              <w:rPr>
                <w:rFonts w:ascii="Calibri" w:hAnsi="Calibri" w:cs="Calibri"/>
                <w:snapToGrid/>
                <w:kern w:val="0"/>
                <w:szCs w:val="22"/>
              </w:rPr>
              <w:t>WDPB</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6B6D26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594,332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EB36B3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$4,294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42467E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3B3FE9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$29,147 </w:t>
            </w:r>
          </w:p>
        </w:tc>
        <w:tc>
          <w:tcPr>
            <w:tcW w:w="266" w:type="dxa"/>
            <w:tcBorders>
              <w:top w:val="nil"/>
              <w:left w:val="nil"/>
              <w:bottom w:val="nil"/>
              <w:right w:val="nil"/>
            </w:tcBorders>
            <w:shd w:val="clear" w:color="auto" w:fill="auto"/>
            <w:noWrap/>
            <w:vAlign w:val="bottom"/>
            <w:hideMark/>
          </w:tcPr>
          <w:p w:rsidR="006F7AD6" w:rsidRPr="00A032ED" w:rsidP="00886011" w14:paraId="2B3A9443"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156AB08" w14:textId="77777777">
            <w:pPr>
              <w:widowControl/>
              <w:jc w:val="center"/>
              <w:rPr>
                <w:rFonts w:ascii="Calibri" w:hAnsi="Calibri" w:cs="Calibri"/>
                <w:snapToGrid/>
                <w:kern w:val="0"/>
                <w:szCs w:val="22"/>
              </w:rPr>
            </w:pPr>
            <w:r w:rsidRPr="00A032ED">
              <w:rPr>
                <w:rFonts w:ascii="Calibri" w:hAnsi="Calibri" w:cs="Calibri"/>
                <w:snapToGrid/>
                <w:kern w:val="0"/>
                <w:szCs w:val="22"/>
              </w:rPr>
              <w:t>WFGX</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4EBF97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1,440,245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BCE46D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$10,405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38067D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01BA23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$11,977 </w:t>
            </w:r>
          </w:p>
        </w:tc>
      </w:tr>
      <w:tr w14:paraId="1FDEA2F9"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21DEA0B" w14:textId="77777777">
            <w:pPr>
              <w:widowControl/>
              <w:jc w:val="center"/>
              <w:rPr>
                <w:rFonts w:ascii="Calibri" w:hAnsi="Calibri" w:cs="Calibri"/>
                <w:snapToGrid/>
                <w:kern w:val="0"/>
                <w:szCs w:val="22"/>
              </w:rPr>
            </w:pPr>
            <w:r w:rsidRPr="00A032ED">
              <w:rPr>
                <w:rFonts w:ascii="Calibri" w:hAnsi="Calibri" w:cs="Calibri"/>
                <w:snapToGrid/>
                <w:kern w:val="0"/>
                <w:szCs w:val="22"/>
              </w:rPr>
              <w:t>WDPN-TV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0A84AD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11,594,463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34BDF5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$83,763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0C3F72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8ED783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$68,881 </w:t>
            </w:r>
          </w:p>
        </w:tc>
        <w:tc>
          <w:tcPr>
            <w:tcW w:w="266" w:type="dxa"/>
            <w:tcBorders>
              <w:top w:val="nil"/>
              <w:left w:val="nil"/>
              <w:bottom w:val="nil"/>
              <w:right w:val="nil"/>
            </w:tcBorders>
            <w:shd w:val="clear" w:color="auto" w:fill="auto"/>
            <w:noWrap/>
            <w:vAlign w:val="bottom"/>
            <w:hideMark/>
          </w:tcPr>
          <w:p w:rsidR="006F7AD6" w:rsidRPr="00A032ED" w:rsidP="00886011" w14:paraId="392AE413"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D7C88EA" w14:textId="77777777">
            <w:pPr>
              <w:widowControl/>
              <w:jc w:val="center"/>
              <w:rPr>
                <w:rFonts w:ascii="Calibri" w:hAnsi="Calibri" w:cs="Calibri"/>
                <w:snapToGrid/>
                <w:kern w:val="0"/>
                <w:szCs w:val="22"/>
              </w:rPr>
            </w:pPr>
            <w:r w:rsidRPr="00A032ED">
              <w:rPr>
                <w:rFonts w:ascii="Calibri" w:hAnsi="Calibri" w:cs="Calibri"/>
                <w:snapToGrid/>
                <w:kern w:val="0"/>
                <w:szCs w:val="22"/>
              </w:rPr>
              <w:t>WFIE</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D9D54F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731,856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7D09CE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$5,287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91F635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432E74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$4,869 </w:t>
            </w:r>
          </w:p>
        </w:tc>
      </w:tr>
      <w:tr w14:paraId="59E707DB"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B1EF5B0" w14:textId="77777777">
            <w:pPr>
              <w:widowControl/>
              <w:jc w:val="center"/>
              <w:rPr>
                <w:rFonts w:ascii="Calibri" w:hAnsi="Calibri" w:cs="Calibri"/>
                <w:snapToGrid/>
                <w:kern w:val="0"/>
                <w:szCs w:val="22"/>
              </w:rPr>
            </w:pPr>
            <w:r w:rsidRPr="00A032ED">
              <w:rPr>
                <w:rFonts w:ascii="Calibri" w:hAnsi="Calibri" w:cs="Calibri"/>
                <w:snapToGrid/>
                <w:kern w:val="0"/>
                <w:szCs w:val="22"/>
              </w:rPr>
              <w:t>WDPX-TV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DC4228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6,732,628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86C5FD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$48,639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0A6998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25D57C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$51,319 </w:t>
            </w:r>
          </w:p>
        </w:tc>
        <w:tc>
          <w:tcPr>
            <w:tcW w:w="266" w:type="dxa"/>
            <w:tcBorders>
              <w:top w:val="nil"/>
              <w:left w:val="nil"/>
              <w:bottom w:val="nil"/>
              <w:right w:val="nil"/>
            </w:tcBorders>
            <w:shd w:val="clear" w:color="auto" w:fill="auto"/>
            <w:noWrap/>
            <w:vAlign w:val="bottom"/>
            <w:hideMark/>
          </w:tcPr>
          <w:p w:rsidR="006F7AD6" w:rsidRPr="00A032ED" w:rsidP="00886011" w14:paraId="71FDC89B"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005D58D" w14:textId="77777777">
            <w:pPr>
              <w:widowControl/>
              <w:jc w:val="center"/>
              <w:rPr>
                <w:rFonts w:ascii="Calibri" w:hAnsi="Calibri" w:cs="Calibri"/>
                <w:snapToGrid/>
                <w:kern w:val="0"/>
                <w:szCs w:val="22"/>
              </w:rPr>
            </w:pPr>
            <w:r w:rsidRPr="00A032ED">
              <w:rPr>
                <w:rFonts w:ascii="Calibri" w:hAnsi="Calibri" w:cs="Calibri"/>
                <w:snapToGrid/>
                <w:kern w:val="0"/>
                <w:szCs w:val="22"/>
              </w:rPr>
              <w:t>WFLA-TV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ADE43C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5,450,176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BDB4D6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$39,374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734A10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911C60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$40,025 </w:t>
            </w:r>
          </w:p>
        </w:tc>
      </w:tr>
      <w:tr w14:paraId="52FF1F37"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F254C6E" w14:textId="77777777">
            <w:pPr>
              <w:widowControl/>
              <w:jc w:val="center"/>
              <w:rPr>
                <w:rFonts w:ascii="Calibri" w:hAnsi="Calibri" w:cs="Calibri"/>
                <w:snapToGrid/>
                <w:kern w:val="0"/>
                <w:szCs w:val="22"/>
              </w:rPr>
            </w:pPr>
            <w:r w:rsidRPr="00A032ED">
              <w:rPr>
                <w:rFonts w:ascii="Calibri" w:hAnsi="Calibri" w:cs="Calibri"/>
                <w:snapToGrid/>
                <w:kern w:val="0"/>
                <w:szCs w:val="22"/>
              </w:rPr>
              <w:t>WDRB</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4F1D2B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1,987,708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C2D2CD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$14,360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C1D173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310189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$20,755 </w:t>
            </w:r>
          </w:p>
        </w:tc>
        <w:tc>
          <w:tcPr>
            <w:tcW w:w="266" w:type="dxa"/>
            <w:tcBorders>
              <w:top w:val="nil"/>
              <w:left w:val="nil"/>
              <w:bottom w:val="nil"/>
              <w:right w:val="nil"/>
            </w:tcBorders>
            <w:shd w:val="clear" w:color="auto" w:fill="auto"/>
            <w:noWrap/>
            <w:vAlign w:val="bottom"/>
            <w:hideMark/>
          </w:tcPr>
          <w:p w:rsidR="006F7AD6" w:rsidRPr="00A032ED" w:rsidP="00886011" w14:paraId="3B8CCFAB"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407B966" w14:textId="77777777">
            <w:pPr>
              <w:widowControl/>
              <w:jc w:val="center"/>
              <w:rPr>
                <w:rFonts w:ascii="Calibri" w:hAnsi="Calibri" w:cs="Calibri"/>
                <w:snapToGrid/>
                <w:kern w:val="0"/>
                <w:szCs w:val="22"/>
              </w:rPr>
            </w:pPr>
            <w:r w:rsidRPr="00A032ED">
              <w:rPr>
                <w:rFonts w:ascii="Calibri" w:hAnsi="Calibri" w:cs="Calibri"/>
                <w:snapToGrid/>
                <w:kern w:val="0"/>
                <w:szCs w:val="22"/>
              </w:rPr>
              <w:t>WFLD</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760559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9,957,301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5BFA1E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$71,935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3B1CE1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73B24C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$62,968 </w:t>
            </w:r>
          </w:p>
        </w:tc>
      </w:tr>
      <w:tr w14:paraId="19C7A8F0"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05D65E9" w14:textId="77777777">
            <w:pPr>
              <w:widowControl/>
              <w:jc w:val="center"/>
              <w:rPr>
                <w:rFonts w:ascii="Calibri" w:hAnsi="Calibri" w:cs="Calibri"/>
                <w:snapToGrid/>
                <w:kern w:val="0"/>
                <w:szCs w:val="22"/>
              </w:rPr>
            </w:pPr>
            <w:r w:rsidRPr="00A032ED">
              <w:rPr>
                <w:rFonts w:ascii="Calibri" w:hAnsi="Calibri" w:cs="Calibri"/>
                <w:snapToGrid/>
                <w:kern w:val="0"/>
                <w:szCs w:val="22"/>
              </w:rPr>
              <w:t>WDSE</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A1B68D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330,994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8911D9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$2,391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2286FB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45274C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$3,421 </w:t>
            </w:r>
          </w:p>
        </w:tc>
        <w:tc>
          <w:tcPr>
            <w:tcW w:w="266" w:type="dxa"/>
            <w:tcBorders>
              <w:top w:val="nil"/>
              <w:left w:val="nil"/>
              <w:bottom w:val="nil"/>
              <w:right w:val="nil"/>
            </w:tcBorders>
            <w:shd w:val="clear" w:color="auto" w:fill="auto"/>
            <w:noWrap/>
            <w:vAlign w:val="bottom"/>
            <w:hideMark/>
          </w:tcPr>
          <w:p w:rsidR="006F7AD6" w:rsidRPr="00A032ED" w:rsidP="00886011" w14:paraId="4A55EF93"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DD4B49D" w14:textId="77777777">
            <w:pPr>
              <w:widowControl/>
              <w:jc w:val="center"/>
              <w:rPr>
                <w:rFonts w:ascii="Calibri" w:hAnsi="Calibri" w:cs="Calibri"/>
                <w:snapToGrid/>
                <w:kern w:val="0"/>
                <w:szCs w:val="22"/>
              </w:rPr>
            </w:pPr>
            <w:r w:rsidRPr="00A032ED">
              <w:rPr>
                <w:rFonts w:ascii="Calibri" w:hAnsi="Calibri" w:cs="Calibri"/>
                <w:snapToGrid/>
                <w:kern w:val="0"/>
                <w:szCs w:val="22"/>
              </w:rPr>
              <w:t>WFLI-TV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421DF8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1,272,913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289E90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$9,196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FBCC1D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7649C2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$11,373 </w:t>
            </w:r>
          </w:p>
        </w:tc>
      </w:tr>
      <w:tr w14:paraId="3D40C82F"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BA8C313" w14:textId="77777777">
            <w:pPr>
              <w:widowControl/>
              <w:jc w:val="center"/>
              <w:rPr>
                <w:rFonts w:ascii="Calibri" w:hAnsi="Calibri" w:cs="Calibri"/>
                <w:snapToGrid/>
                <w:kern w:val="0"/>
                <w:szCs w:val="22"/>
              </w:rPr>
            </w:pPr>
            <w:r w:rsidRPr="00A032ED">
              <w:rPr>
                <w:rFonts w:ascii="Calibri" w:hAnsi="Calibri" w:cs="Calibri"/>
                <w:snapToGrid/>
                <w:kern w:val="0"/>
                <w:szCs w:val="22"/>
              </w:rPr>
              <w:t>WDSI-TV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450791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1,100,302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E42EC6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$7,949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874255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AC8CF4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$10,749 </w:t>
            </w:r>
          </w:p>
        </w:tc>
        <w:tc>
          <w:tcPr>
            <w:tcW w:w="266" w:type="dxa"/>
            <w:tcBorders>
              <w:top w:val="nil"/>
              <w:left w:val="nil"/>
              <w:bottom w:val="nil"/>
              <w:right w:val="nil"/>
            </w:tcBorders>
            <w:shd w:val="clear" w:color="auto" w:fill="auto"/>
            <w:noWrap/>
            <w:vAlign w:val="bottom"/>
            <w:hideMark/>
          </w:tcPr>
          <w:p w:rsidR="006F7AD6" w:rsidRPr="00A032ED" w:rsidP="00886011" w14:paraId="64C570E5"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588FCAD" w14:textId="77777777">
            <w:pPr>
              <w:widowControl/>
              <w:jc w:val="center"/>
              <w:rPr>
                <w:rFonts w:ascii="Calibri" w:hAnsi="Calibri" w:cs="Calibri"/>
                <w:snapToGrid/>
                <w:kern w:val="0"/>
                <w:szCs w:val="22"/>
              </w:rPr>
            </w:pPr>
            <w:r w:rsidRPr="00A032ED">
              <w:rPr>
                <w:rFonts w:ascii="Calibri" w:hAnsi="Calibri" w:cs="Calibri"/>
                <w:snapToGrid/>
                <w:kern w:val="0"/>
                <w:szCs w:val="22"/>
              </w:rPr>
              <w:t>WFLX</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352398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5,730,443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475271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$41,399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D686DF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A4ED4A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$34,274 </w:t>
            </w:r>
          </w:p>
        </w:tc>
      </w:tr>
      <w:tr w14:paraId="101D0637"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94C91DB" w14:textId="77777777">
            <w:pPr>
              <w:widowControl/>
              <w:jc w:val="center"/>
              <w:rPr>
                <w:rFonts w:ascii="Calibri" w:hAnsi="Calibri" w:cs="Calibri"/>
                <w:snapToGrid/>
                <w:kern w:val="0"/>
                <w:szCs w:val="22"/>
              </w:rPr>
            </w:pPr>
            <w:r w:rsidRPr="00A032ED">
              <w:rPr>
                <w:rFonts w:ascii="Calibri" w:hAnsi="Calibri" w:cs="Calibri"/>
                <w:snapToGrid/>
                <w:kern w:val="0"/>
                <w:szCs w:val="22"/>
              </w:rPr>
              <w:t>WDSU</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984762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1,613,076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9B53F6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$11,653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94D798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C3D061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$19,402 </w:t>
            </w:r>
          </w:p>
        </w:tc>
        <w:tc>
          <w:tcPr>
            <w:tcW w:w="266" w:type="dxa"/>
            <w:tcBorders>
              <w:top w:val="nil"/>
              <w:left w:val="nil"/>
              <w:bottom w:val="nil"/>
              <w:right w:val="nil"/>
            </w:tcBorders>
            <w:shd w:val="clear" w:color="auto" w:fill="auto"/>
            <w:noWrap/>
            <w:vAlign w:val="bottom"/>
            <w:hideMark/>
          </w:tcPr>
          <w:p w:rsidR="006F7AD6" w:rsidRPr="00A032ED" w:rsidP="00886011" w14:paraId="3C1F818A"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FB9552A" w14:textId="77777777">
            <w:pPr>
              <w:widowControl/>
              <w:jc w:val="center"/>
              <w:rPr>
                <w:rFonts w:ascii="Calibri" w:hAnsi="Calibri" w:cs="Calibri"/>
                <w:snapToGrid/>
                <w:kern w:val="0"/>
                <w:szCs w:val="22"/>
              </w:rPr>
            </w:pPr>
            <w:r w:rsidRPr="00A032ED">
              <w:rPr>
                <w:rFonts w:ascii="Calibri" w:hAnsi="Calibri" w:cs="Calibri"/>
                <w:snapToGrid/>
                <w:kern w:val="0"/>
                <w:szCs w:val="22"/>
              </w:rPr>
              <w:t>WFMJ-TV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404F16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3,504,955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CAE627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$25,321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903A1A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B5E6A3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$14,886 </w:t>
            </w:r>
          </w:p>
        </w:tc>
      </w:tr>
      <w:tr w14:paraId="594C5621"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4841DBC" w14:textId="77777777">
            <w:pPr>
              <w:widowControl/>
              <w:jc w:val="center"/>
              <w:rPr>
                <w:rFonts w:ascii="Calibri" w:hAnsi="Calibri" w:cs="Calibri"/>
                <w:snapToGrid/>
                <w:kern w:val="0"/>
                <w:szCs w:val="22"/>
              </w:rPr>
            </w:pPr>
            <w:r w:rsidRPr="00A032ED">
              <w:rPr>
                <w:rFonts w:ascii="Calibri" w:hAnsi="Calibri" w:cs="Calibri"/>
                <w:snapToGrid/>
                <w:kern w:val="0"/>
                <w:szCs w:val="22"/>
              </w:rPr>
              <w:t>WDTI</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B75802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2,095,312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5C21D4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$15,137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2E90C3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186B6B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$21,144 </w:t>
            </w:r>
          </w:p>
        </w:tc>
        <w:tc>
          <w:tcPr>
            <w:tcW w:w="266" w:type="dxa"/>
            <w:tcBorders>
              <w:top w:val="nil"/>
              <w:left w:val="nil"/>
              <w:bottom w:val="nil"/>
              <w:right w:val="nil"/>
            </w:tcBorders>
            <w:shd w:val="clear" w:color="auto" w:fill="auto"/>
            <w:noWrap/>
            <w:vAlign w:val="bottom"/>
            <w:hideMark/>
          </w:tcPr>
          <w:p w:rsidR="006F7AD6" w:rsidRPr="00A032ED" w:rsidP="00886011" w14:paraId="681CFD79"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B34FE1F" w14:textId="77777777">
            <w:pPr>
              <w:widowControl/>
              <w:jc w:val="center"/>
              <w:rPr>
                <w:rFonts w:ascii="Calibri" w:hAnsi="Calibri" w:cs="Calibri"/>
                <w:snapToGrid/>
                <w:kern w:val="0"/>
                <w:szCs w:val="22"/>
              </w:rPr>
            </w:pPr>
            <w:r w:rsidRPr="00A032ED">
              <w:rPr>
                <w:rFonts w:ascii="Calibri" w:hAnsi="Calibri" w:cs="Calibri"/>
                <w:snapToGrid/>
                <w:kern w:val="0"/>
                <w:szCs w:val="22"/>
              </w:rPr>
              <w:t>WFMY-TV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B05CC1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4,772,783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8729C1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$34,480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FDAF83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E7067D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$30,815 </w:t>
            </w:r>
          </w:p>
        </w:tc>
      </w:tr>
      <w:tr w14:paraId="41020E2E"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0912493" w14:textId="77777777">
            <w:pPr>
              <w:widowControl/>
              <w:jc w:val="center"/>
              <w:rPr>
                <w:rFonts w:ascii="Calibri" w:hAnsi="Calibri" w:cs="Calibri"/>
                <w:snapToGrid/>
                <w:kern w:val="0"/>
                <w:szCs w:val="22"/>
              </w:rPr>
            </w:pPr>
            <w:r w:rsidRPr="00A032ED">
              <w:rPr>
                <w:rFonts w:ascii="Calibri" w:hAnsi="Calibri" w:cs="Calibri"/>
                <w:snapToGrid/>
                <w:kern w:val="0"/>
                <w:szCs w:val="22"/>
              </w:rPr>
              <w:t>WDTN</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B350D8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3,660,544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D54734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$26,445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BD7E52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47DF79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$19,998 </w:t>
            </w:r>
          </w:p>
        </w:tc>
        <w:tc>
          <w:tcPr>
            <w:tcW w:w="266" w:type="dxa"/>
            <w:tcBorders>
              <w:top w:val="nil"/>
              <w:left w:val="nil"/>
              <w:bottom w:val="nil"/>
              <w:right w:val="nil"/>
            </w:tcBorders>
            <w:shd w:val="clear" w:color="auto" w:fill="auto"/>
            <w:noWrap/>
            <w:vAlign w:val="bottom"/>
            <w:hideMark/>
          </w:tcPr>
          <w:p w:rsidR="006F7AD6" w:rsidRPr="00A032ED" w:rsidP="00886011" w14:paraId="3F8FEBBE"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F539EFC" w14:textId="77777777">
            <w:pPr>
              <w:widowControl/>
              <w:jc w:val="center"/>
              <w:rPr>
                <w:rFonts w:ascii="Calibri" w:hAnsi="Calibri" w:cs="Calibri"/>
                <w:snapToGrid/>
                <w:kern w:val="0"/>
                <w:szCs w:val="22"/>
              </w:rPr>
            </w:pPr>
            <w:r w:rsidRPr="00A032ED">
              <w:rPr>
                <w:rFonts w:ascii="Calibri" w:hAnsi="Calibri" w:cs="Calibri"/>
                <w:snapToGrid/>
                <w:kern w:val="0"/>
                <w:szCs w:val="22"/>
              </w:rPr>
              <w:t>WFMZ-TV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606DD8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12,689,628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06E1FF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$91,675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BCC69D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C046E2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$72,837 </w:t>
            </w:r>
          </w:p>
        </w:tc>
      </w:tr>
      <w:tr w14:paraId="2651F016"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6E6CFE9" w14:textId="77777777">
            <w:pPr>
              <w:widowControl/>
              <w:jc w:val="center"/>
              <w:rPr>
                <w:rFonts w:ascii="Calibri" w:hAnsi="Calibri" w:cs="Calibri"/>
                <w:snapToGrid/>
                <w:kern w:val="0"/>
                <w:szCs w:val="22"/>
              </w:rPr>
            </w:pPr>
            <w:r w:rsidRPr="00A032ED">
              <w:rPr>
                <w:rFonts w:ascii="Calibri" w:hAnsi="Calibri" w:cs="Calibri"/>
                <w:snapToGrid/>
                <w:kern w:val="0"/>
                <w:szCs w:val="22"/>
              </w:rPr>
              <w:t>WDTV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FC2BEE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962,532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D22E35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$6,954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E791DC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77867F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$5,702 </w:t>
            </w:r>
          </w:p>
        </w:tc>
        <w:tc>
          <w:tcPr>
            <w:tcW w:w="266" w:type="dxa"/>
            <w:tcBorders>
              <w:top w:val="nil"/>
              <w:left w:val="nil"/>
              <w:bottom w:val="nil"/>
              <w:right w:val="nil"/>
            </w:tcBorders>
            <w:shd w:val="clear" w:color="auto" w:fill="auto"/>
            <w:noWrap/>
            <w:vAlign w:val="bottom"/>
            <w:hideMark/>
          </w:tcPr>
          <w:p w:rsidR="006F7AD6" w:rsidRPr="00A032ED" w:rsidP="00886011" w14:paraId="01381358"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F4AD070" w14:textId="77777777">
            <w:pPr>
              <w:widowControl/>
              <w:jc w:val="center"/>
              <w:rPr>
                <w:rFonts w:ascii="Calibri" w:hAnsi="Calibri" w:cs="Calibri"/>
                <w:snapToGrid/>
                <w:kern w:val="0"/>
                <w:szCs w:val="22"/>
              </w:rPr>
            </w:pPr>
            <w:r w:rsidRPr="00A032ED">
              <w:rPr>
                <w:rFonts w:ascii="Calibri" w:hAnsi="Calibri" w:cs="Calibri"/>
                <w:snapToGrid/>
                <w:kern w:val="0"/>
                <w:szCs w:val="22"/>
              </w:rPr>
              <w:t>WFNA</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42B3EB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1,283,160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A12CD1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$9,270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E531C4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5700A8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$11,410 </w:t>
            </w:r>
          </w:p>
        </w:tc>
      </w:tr>
      <w:tr w14:paraId="4E9268F9"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0743131" w14:textId="77777777">
            <w:pPr>
              <w:widowControl/>
              <w:jc w:val="center"/>
              <w:rPr>
                <w:rFonts w:ascii="Calibri" w:hAnsi="Calibri" w:cs="Calibri"/>
                <w:snapToGrid/>
                <w:kern w:val="0"/>
                <w:szCs w:val="22"/>
              </w:rPr>
            </w:pPr>
            <w:r w:rsidRPr="00A032ED">
              <w:rPr>
                <w:rFonts w:ascii="Calibri" w:hAnsi="Calibri" w:cs="Calibri"/>
                <w:snapToGrid/>
                <w:kern w:val="0"/>
                <w:szCs w:val="22"/>
              </w:rPr>
              <w:t>WDVM-TV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48FFD4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2,667,801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2F4ED9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$19,273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94B1D9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1BBB12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$36,637 </w:t>
            </w:r>
          </w:p>
        </w:tc>
        <w:tc>
          <w:tcPr>
            <w:tcW w:w="266" w:type="dxa"/>
            <w:tcBorders>
              <w:top w:val="nil"/>
              <w:left w:val="nil"/>
              <w:bottom w:val="nil"/>
              <w:right w:val="nil"/>
            </w:tcBorders>
            <w:shd w:val="clear" w:color="auto" w:fill="auto"/>
            <w:noWrap/>
            <w:vAlign w:val="bottom"/>
            <w:hideMark/>
          </w:tcPr>
          <w:p w:rsidR="006F7AD6" w:rsidRPr="00A032ED" w:rsidP="00886011" w14:paraId="488809F2"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5F26E98" w14:textId="77777777">
            <w:pPr>
              <w:widowControl/>
              <w:jc w:val="center"/>
              <w:rPr>
                <w:rFonts w:ascii="Calibri" w:hAnsi="Calibri" w:cs="Calibri"/>
                <w:snapToGrid/>
                <w:kern w:val="0"/>
                <w:szCs w:val="22"/>
              </w:rPr>
            </w:pPr>
            <w:r w:rsidRPr="00A032ED">
              <w:rPr>
                <w:rFonts w:ascii="Calibri" w:hAnsi="Calibri" w:cs="Calibri"/>
                <w:snapToGrid/>
                <w:kern w:val="0"/>
                <w:szCs w:val="22"/>
              </w:rPr>
              <w:t>WFOR-TV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089835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5,398,266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680EE2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$38,999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B3C716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8D7819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$39,837 </w:t>
            </w:r>
          </w:p>
        </w:tc>
      </w:tr>
      <w:tr w14:paraId="3E04FEA1"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1D1F55E" w14:textId="77777777">
            <w:pPr>
              <w:widowControl/>
              <w:jc w:val="center"/>
              <w:rPr>
                <w:rFonts w:ascii="Calibri" w:hAnsi="Calibri" w:cs="Calibri"/>
                <w:snapToGrid/>
                <w:kern w:val="0"/>
                <w:szCs w:val="22"/>
              </w:rPr>
            </w:pPr>
            <w:r w:rsidRPr="00A032ED">
              <w:rPr>
                <w:rFonts w:ascii="Calibri" w:hAnsi="Calibri" w:cs="Calibri"/>
                <w:snapToGrid/>
                <w:kern w:val="0"/>
                <w:szCs w:val="22"/>
              </w:rPr>
              <w:t>WDWL</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EBEF9F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2,638,361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F88DC1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$19,060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06F2F6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47A30E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$11,755 </w:t>
            </w:r>
          </w:p>
        </w:tc>
        <w:tc>
          <w:tcPr>
            <w:tcW w:w="266" w:type="dxa"/>
            <w:tcBorders>
              <w:top w:val="nil"/>
              <w:left w:val="nil"/>
              <w:bottom w:val="nil"/>
              <w:right w:val="nil"/>
            </w:tcBorders>
            <w:shd w:val="clear" w:color="auto" w:fill="auto"/>
            <w:noWrap/>
            <w:vAlign w:val="bottom"/>
            <w:hideMark/>
          </w:tcPr>
          <w:p w:rsidR="006F7AD6" w:rsidRPr="00A032ED" w:rsidP="00886011" w14:paraId="2EB1CC88"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60037FF" w14:textId="77777777">
            <w:pPr>
              <w:widowControl/>
              <w:jc w:val="center"/>
              <w:rPr>
                <w:rFonts w:ascii="Calibri" w:hAnsi="Calibri" w:cs="Calibri"/>
                <w:snapToGrid/>
                <w:kern w:val="0"/>
                <w:szCs w:val="22"/>
              </w:rPr>
            </w:pPr>
            <w:r w:rsidRPr="00A032ED">
              <w:rPr>
                <w:rFonts w:ascii="Calibri" w:hAnsi="Calibri" w:cs="Calibri"/>
                <w:snapToGrid/>
                <w:kern w:val="0"/>
                <w:szCs w:val="22"/>
              </w:rPr>
              <w:t>WFOX-TV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171337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1,602,888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ED1140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$11,580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5F9632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B5D86B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$19,365 </w:t>
            </w:r>
          </w:p>
        </w:tc>
      </w:tr>
      <w:tr w14:paraId="793099F2"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0A94785" w14:textId="77777777">
            <w:pPr>
              <w:widowControl/>
              <w:jc w:val="center"/>
              <w:rPr>
                <w:rFonts w:ascii="Calibri" w:hAnsi="Calibri" w:cs="Calibri"/>
                <w:snapToGrid/>
                <w:kern w:val="0"/>
                <w:szCs w:val="22"/>
              </w:rPr>
            </w:pPr>
            <w:r w:rsidRPr="00A032ED">
              <w:rPr>
                <w:rFonts w:ascii="Calibri" w:hAnsi="Calibri" w:cs="Calibri"/>
                <w:snapToGrid/>
                <w:kern w:val="0"/>
                <w:szCs w:val="22"/>
              </w:rPr>
              <w:t>WEAR-TV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9299BC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1,524,131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C49C85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$11,011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59730B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43462B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$12,280 </w:t>
            </w:r>
          </w:p>
        </w:tc>
        <w:tc>
          <w:tcPr>
            <w:tcW w:w="266" w:type="dxa"/>
            <w:tcBorders>
              <w:top w:val="nil"/>
              <w:left w:val="nil"/>
              <w:bottom w:val="nil"/>
              <w:right w:val="nil"/>
            </w:tcBorders>
            <w:shd w:val="clear" w:color="auto" w:fill="auto"/>
            <w:noWrap/>
            <w:vAlign w:val="bottom"/>
            <w:hideMark/>
          </w:tcPr>
          <w:p w:rsidR="006F7AD6" w:rsidRPr="00A032ED" w:rsidP="00886011" w14:paraId="58BB49CA"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40A9F47" w14:textId="77777777">
            <w:pPr>
              <w:widowControl/>
              <w:jc w:val="center"/>
              <w:rPr>
                <w:rFonts w:ascii="Calibri" w:hAnsi="Calibri" w:cs="Calibri"/>
                <w:snapToGrid/>
                <w:kern w:val="0"/>
                <w:szCs w:val="22"/>
              </w:rPr>
            </w:pPr>
            <w:r w:rsidRPr="00A032ED">
              <w:rPr>
                <w:rFonts w:ascii="Calibri" w:hAnsi="Calibri" w:cs="Calibri"/>
                <w:snapToGrid/>
                <w:kern w:val="0"/>
                <w:szCs w:val="22"/>
              </w:rPr>
              <w:t>WFPX-TV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68D38E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2,218,968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2CD45D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$16,031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7FD4B5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B3FC9E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$28,353 </w:t>
            </w:r>
          </w:p>
        </w:tc>
      </w:tr>
      <w:tr w14:paraId="7A2558F1"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88ED79E" w14:textId="77777777">
            <w:pPr>
              <w:widowControl/>
              <w:jc w:val="center"/>
              <w:rPr>
                <w:rFonts w:ascii="Calibri" w:hAnsi="Calibri" w:cs="Calibri"/>
                <w:snapToGrid/>
                <w:kern w:val="0"/>
                <w:szCs w:val="22"/>
              </w:rPr>
            </w:pPr>
            <w:r w:rsidRPr="00A032ED">
              <w:rPr>
                <w:rFonts w:ascii="Calibri" w:hAnsi="Calibri" w:cs="Calibri"/>
                <w:snapToGrid/>
                <w:kern w:val="0"/>
                <w:szCs w:val="22"/>
              </w:rPr>
              <w:t>WEAU</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AF2A83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991,019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A2CC57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$7,159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2A10F2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7CFDEC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$5,805 </w:t>
            </w:r>
          </w:p>
        </w:tc>
        <w:tc>
          <w:tcPr>
            <w:tcW w:w="266" w:type="dxa"/>
            <w:tcBorders>
              <w:top w:val="nil"/>
              <w:left w:val="nil"/>
              <w:bottom w:val="nil"/>
              <w:right w:val="nil"/>
            </w:tcBorders>
            <w:shd w:val="clear" w:color="auto" w:fill="auto"/>
            <w:noWrap/>
            <w:vAlign w:val="bottom"/>
            <w:hideMark/>
          </w:tcPr>
          <w:p w:rsidR="006F7AD6" w:rsidRPr="00A032ED" w:rsidP="00886011" w14:paraId="2CA16ECD"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8247C66" w14:textId="77777777">
            <w:pPr>
              <w:widowControl/>
              <w:jc w:val="center"/>
              <w:rPr>
                <w:rFonts w:ascii="Calibri" w:hAnsi="Calibri" w:cs="Calibri"/>
                <w:snapToGrid/>
                <w:kern w:val="0"/>
                <w:szCs w:val="22"/>
              </w:rPr>
            </w:pPr>
            <w:r w:rsidRPr="00A032ED">
              <w:rPr>
                <w:rFonts w:ascii="Calibri" w:hAnsi="Calibri" w:cs="Calibri"/>
                <w:snapToGrid/>
                <w:kern w:val="0"/>
                <w:szCs w:val="22"/>
              </w:rPr>
              <w:t>WFQX-TV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AC52B4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537,340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91ADF1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$3,882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6EC94E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D1A045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$4,166 </w:t>
            </w:r>
          </w:p>
        </w:tc>
      </w:tr>
      <w:tr w14:paraId="2D0A98F0"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5D1FF81" w14:textId="77777777">
            <w:pPr>
              <w:widowControl/>
              <w:jc w:val="center"/>
              <w:rPr>
                <w:rFonts w:ascii="Calibri" w:hAnsi="Calibri" w:cs="Calibri"/>
                <w:snapToGrid/>
                <w:kern w:val="0"/>
                <w:szCs w:val="22"/>
              </w:rPr>
            </w:pPr>
            <w:r w:rsidRPr="00A032ED">
              <w:rPr>
                <w:rFonts w:ascii="Calibri" w:hAnsi="Calibri" w:cs="Calibri"/>
                <w:snapToGrid/>
                <w:kern w:val="0"/>
                <w:szCs w:val="22"/>
              </w:rPr>
              <w:t>WEBA-TV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443A55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639,244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22B04A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$4,618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75D37E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E377C1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$4,534 </w:t>
            </w:r>
          </w:p>
        </w:tc>
        <w:tc>
          <w:tcPr>
            <w:tcW w:w="266" w:type="dxa"/>
            <w:tcBorders>
              <w:top w:val="nil"/>
              <w:left w:val="nil"/>
              <w:bottom w:val="nil"/>
              <w:right w:val="nil"/>
            </w:tcBorders>
            <w:shd w:val="clear" w:color="auto" w:fill="auto"/>
            <w:noWrap/>
            <w:vAlign w:val="bottom"/>
            <w:hideMark/>
          </w:tcPr>
          <w:p w:rsidR="006F7AD6" w:rsidRPr="00A032ED" w:rsidP="00886011" w14:paraId="619FE434"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E02901B" w14:textId="77777777">
            <w:pPr>
              <w:widowControl/>
              <w:jc w:val="center"/>
              <w:rPr>
                <w:rFonts w:ascii="Calibri" w:hAnsi="Calibri" w:cs="Calibri"/>
                <w:snapToGrid/>
                <w:kern w:val="0"/>
                <w:szCs w:val="22"/>
              </w:rPr>
            </w:pPr>
            <w:r w:rsidRPr="00A032ED">
              <w:rPr>
                <w:rFonts w:ascii="Calibri" w:hAnsi="Calibri" w:cs="Calibri"/>
                <w:snapToGrid/>
                <w:kern w:val="0"/>
                <w:szCs w:val="22"/>
              </w:rPr>
              <w:t>WFRV-TV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35F474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1,201,204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93D749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$8,678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5AE6E8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FD2977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$11,114 </w:t>
            </w:r>
          </w:p>
        </w:tc>
      </w:tr>
      <w:tr w14:paraId="536CE52F"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A99F2B4" w14:textId="77777777">
            <w:pPr>
              <w:widowControl/>
              <w:jc w:val="center"/>
              <w:rPr>
                <w:rFonts w:ascii="Calibri" w:hAnsi="Calibri" w:cs="Calibri"/>
                <w:snapToGrid/>
                <w:kern w:val="0"/>
                <w:szCs w:val="22"/>
              </w:rPr>
            </w:pPr>
            <w:r w:rsidRPr="00A032ED">
              <w:rPr>
                <w:rFonts w:ascii="Calibri" w:hAnsi="Calibri" w:cs="Calibri"/>
                <w:snapToGrid/>
                <w:kern w:val="0"/>
                <w:szCs w:val="22"/>
              </w:rPr>
              <w:t>WECT</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F0089C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1,134,918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2B18AF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$8,199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02C845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6DCCA7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$6,325 </w:t>
            </w:r>
          </w:p>
        </w:tc>
        <w:tc>
          <w:tcPr>
            <w:tcW w:w="266" w:type="dxa"/>
            <w:tcBorders>
              <w:top w:val="nil"/>
              <w:left w:val="nil"/>
              <w:bottom w:val="nil"/>
              <w:right w:val="nil"/>
            </w:tcBorders>
            <w:shd w:val="clear" w:color="auto" w:fill="auto"/>
            <w:noWrap/>
            <w:vAlign w:val="bottom"/>
            <w:hideMark/>
          </w:tcPr>
          <w:p w:rsidR="006F7AD6" w:rsidRPr="00A032ED" w:rsidP="00886011" w14:paraId="6F4F925D"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AAEEBE6" w14:textId="77777777">
            <w:pPr>
              <w:widowControl/>
              <w:jc w:val="center"/>
              <w:rPr>
                <w:rFonts w:ascii="Calibri" w:hAnsi="Calibri" w:cs="Calibri"/>
                <w:snapToGrid/>
                <w:kern w:val="0"/>
                <w:szCs w:val="22"/>
              </w:rPr>
            </w:pPr>
            <w:r w:rsidRPr="00A032ED">
              <w:rPr>
                <w:rFonts w:ascii="Calibri" w:hAnsi="Calibri" w:cs="Calibri"/>
                <w:snapToGrid/>
                <w:kern w:val="0"/>
                <w:szCs w:val="22"/>
              </w:rPr>
              <w:t>WFSB</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39CC8F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4,818,020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0D6B9F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$34,807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8A8495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B11581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$30,979 </w:t>
            </w:r>
          </w:p>
        </w:tc>
      </w:tr>
      <w:tr w14:paraId="649366FF"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3A127D3" w14:textId="77777777">
            <w:pPr>
              <w:widowControl/>
              <w:jc w:val="center"/>
              <w:rPr>
                <w:rFonts w:ascii="Calibri" w:hAnsi="Calibri" w:cs="Calibri"/>
                <w:snapToGrid/>
                <w:kern w:val="0"/>
                <w:szCs w:val="22"/>
              </w:rPr>
            </w:pPr>
            <w:r w:rsidRPr="00A032ED">
              <w:rPr>
                <w:rFonts w:ascii="Calibri" w:hAnsi="Calibri" w:cs="Calibri"/>
                <w:snapToGrid/>
                <w:kern w:val="0"/>
                <w:szCs w:val="22"/>
              </w:rPr>
              <w:t>WEEK-TV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88184C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698,238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BCF5F7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$5,044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D8E59A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91169E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$4,747 </w:t>
            </w:r>
          </w:p>
        </w:tc>
        <w:tc>
          <w:tcPr>
            <w:tcW w:w="266" w:type="dxa"/>
            <w:tcBorders>
              <w:top w:val="nil"/>
              <w:left w:val="nil"/>
              <w:bottom w:val="nil"/>
              <w:right w:val="nil"/>
            </w:tcBorders>
            <w:shd w:val="clear" w:color="auto" w:fill="auto"/>
            <w:noWrap/>
            <w:vAlign w:val="bottom"/>
            <w:hideMark/>
          </w:tcPr>
          <w:p w:rsidR="006F7AD6" w:rsidRPr="00A032ED" w:rsidP="00886011" w14:paraId="3C198D47"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B4DB103" w14:textId="77777777">
            <w:pPr>
              <w:widowControl/>
              <w:jc w:val="center"/>
              <w:rPr>
                <w:rFonts w:ascii="Calibri" w:hAnsi="Calibri" w:cs="Calibri"/>
                <w:snapToGrid/>
                <w:kern w:val="0"/>
                <w:szCs w:val="22"/>
              </w:rPr>
            </w:pPr>
            <w:r w:rsidRPr="00A032ED">
              <w:rPr>
                <w:rFonts w:ascii="Calibri" w:hAnsi="Calibri" w:cs="Calibri"/>
                <w:snapToGrid/>
                <w:kern w:val="0"/>
                <w:szCs w:val="22"/>
              </w:rPr>
              <w:t>WFTC</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E8CA03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3,787,177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3EB864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$27,360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D8ADD8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3627E4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$34,017 </w:t>
            </w:r>
          </w:p>
        </w:tc>
      </w:tr>
      <w:tr w14:paraId="07210C7B"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5E3327C" w14:textId="77777777">
            <w:pPr>
              <w:widowControl/>
              <w:jc w:val="center"/>
              <w:rPr>
                <w:rFonts w:ascii="Calibri" w:hAnsi="Calibri" w:cs="Calibri"/>
                <w:snapToGrid/>
                <w:kern w:val="0"/>
                <w:szCs w:val="22"/>
              </w:rPr>
            </w:pPr>
            <w:r w:rsidRPr="00A032ED">
              <w:rPr>
                <w:rFonts w:ascii="Calibri" w:hAnsi="Calibri" w:cs="Calibri"/>
                <w:snapToGrid/>
                <w:kern w:val="0"/>
                <w:szCs w:val="22"/>
              </w:rPr>
              <w:t>WEHT</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8147D7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847,299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51DFD7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$6,121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A91CA2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603E5D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$5,286 </w:t>
            </w:r>
          </w:p>
        </w:tc>
        <w:tc>
          <w:tcPr>
            <w:tcW w:w="266" w:type="dxa"/>
            <w:tcBorders>
              <w:top w:val="nil"/>
              <w:left w:val="nil"/>
              <w:bottom w:val="nil"/>
              <w:right w:val="nil"/>
            </w:tcBorders>
            <w:shd w:val="clear" w:color="auto" w:fill="auto"/>
            <w:noWrap/>
            <w:vAlign w:val="bottom"/>
            <w:hideMark/>
          </w:tcPr>
          <w:p w:rsidR="006F7AD6" w:rsidRPr="00A032ED" w:rsidP="00886011" w14:paraId="4E948BF8"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3CA8B67" w14:textId="77777777">
            <w:pPr>
              <w:widowControl/>
              <w:jc w:val="center"/>
              <w:rPr>
                <w:rFonts w:ascii="Calibri" w:hAnsi="Calibri" w:cs="Calibri"/>
                <w:snapToGrid/>
                <w:kern w:val="0"/>
                <w:szCs w:val="22"/>
              </w:rPr>
            </w:pPr>
            <w:r w:rsidRPr="00A032ED">
              <w:rPr>
                <w:rFonts w:ascii="Calibri" w:hAnsi="Calibri" w:cs="Calibri"/>
                <w:snapToGrid/>
                <w:kern w:val="0"/>
                <w:szCs w:val="22"/>
              </w:rPr>
              <w:t>WFTS-TV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C52ADE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5,077,970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AE58B2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$36,685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318E95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DBC2D4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$38,680 </w:t>
            </w:r>
          </w:p>
        </w:tc>
      </w:tr>
      <w:tr w14:paraId="264D5DE9"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9E87372" w14:textId="77777777">
            <w:pPr>
              <w:widowControl/>
              <w:jc w:val="center"/>
              <w:rPr>
                <w:rFonts w:ascii="Calibri" w:hAnsi="Calibri" w:cs="Calibri"/>
                <w:snapToGrid/>
                <w:kern w:val="0"/>
                <w:szCs w:val="22"/>
              </w:rPr>
            </w:pPr>
            <w:r w:rsidRPr="00A032ED">
              <w:rPr>
                <w:rFonts w:ascii="Calibri" w:hAnsi="Calibri" w:cs="Calibri"/>
                <w:snapToGrid/>
                <w:kern w:val="0"/>
                <w:szCs w:val="22"/>
              </w:rPr>
              <w:t>WEMT</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5A1AF1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1,727,493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6C5B9B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$12,480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A71ED6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FAD7F6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$13,015 </w:t>
            </w:r>
          </w:p>
        </w:tc>
        <w:tc>
          <w:tcPr>
            <w:tcW w:w="266" w:type="dxa"/>
            <w:tcBorders>
              <w:top w:val="nil"/>
              <w:left w:val="nil"/>
              <w:bottom w:val="nil"/>
              <w:right w:val="nil"/>
            </w:tcBorders>
            <w:shd w:val="clear" w:color="auto" w:fill="auto"/>
            <w:noWrap/>
            <w:vAlign w:val="bottom"/>
            <w:hideMark/>
          </w:tcPr>
          <w:p w:rsidR="006F7AD6" w:rsidRPr="00A032ED" w:rsidP="00886011" w14:paraId="4DFD7D57"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0BE542A" w14:textId="77777777">
            <w:pPr>
              <w:widowControl/>
              <w:jc w:val="center"/>
              <w:rPr>
                <w:rFonts w:ascii="Calibri" w:hAnsi="Calibri" w:cs="Calibri"/>
                <w:snapToGrid/>
                <w:kern w:val="0"/>
                <w:szCs w:val="22"/>
              </w:rPr>
            </w:pPr>
            <w:r w:rsidRPr="00A032ED">
              <w:rPr>
                <w:rFonts w:ascii="Calibri" w:hAnsi="Calibri" w:cs="Calibri"/>
                <w:snapToGrid/>
                <w:kern w:val="0"/>
                <w:szCs w:val="22"/>
              </w:rPr>
              <w:t>WFTT-TV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0AF95C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4,523,828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B11571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$32,682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3480EB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E693CC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$36,678 </w:t>
            </w:r>
          </w:p>
        </w:tc>
      </w:tr>
      <w:tr w14:paraId="78D9620E"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118864B" w14:textId="77777777">
            <w:pPr>
              <w:widowControl/>
              <w:jc w:val="center"/>
              <w:rPr>
                <w:rFonts w:ascii="Calibri" w:hAnsi="Calibri" w:cs="Calibri"/>
                <w:snapToGrid/>
                <w:kern w:val="0"/>
                <w:szCs w:val="22"/>
              </w:rPr>
            </w:pPr>
            <w:r w:rsidRPr="00A032ED">
              <w:rPr>
                <w:rFonts w:ascii="Calibri" w:hAnsi="Calibri" w:cs="Calibri"/>
                <w:snapToGrid/>
                <w:kern w:val="0"/>
                <w:szCs w:val="22"/>
              </w:rPr>
              <w:t>WENY-TV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4E4AC2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543,162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3AC79B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$3,924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AC6D70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9352DB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$4,187 </w:t>
            </w:r>
          </w:p>
        </w:tc>
        <w:tc>
          <w:tcPr>
            <w:tcW w:w="266" w:type="dxa"/>
            <w:tcBorders>
              <w:top w:val="nil"/>
              <w:left w:val="nil"/>
              <w:bottom w:val="nil"/>
              <w:right w:val="nil"/>
            </w:tcBorders>
            <w:shd w:val="clear" w:color="auto" w:fill="auto"/>
            <w:noWrap/>
            <w:vAlign w:val="bottom"/>
            <w:hideMark/>
          </w:tcPr>
          <w:p w:rsidR="006F7AD6" w:rsidRPr="00A032ED" w:rsidP="00886011" w14:paraId="0826D7F0"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536D6BF" w14:textId="77777777">
            <w:pPr>
              <w:widowControl/>
              <w:jc w:val="center"/>
              <w:rPr>
                <w:rFonts w:ascii="Calibri" w:hAnsi="Calibri" w:cs="Calibri"/>
                <w:snapToGrid/>
                <w:kern w:val="0"/>
                <w:szCs w:val="22"/>
              </w:rPr>
            </w:pPr>
            <w:r w:rsidRPr="00A032ED">
              <w:rPr>
                <w:rFonts w:ascii="Calibri" w:hAnsi="Calibri" w:cs="Calibri"/>
                <w:snapToGrid/>
                <w:kern w:val="0"/>
                <w:szCs w:val="22"/>
              </w:rPr>
              <w:t>WFTV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3D93EF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762,903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050906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$5,511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DC1562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D12E49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$23,093 </w:t>
            </w:r>
          </w:p>
        </w:tc>
      </w:tr>
      <w:tr w14:paraId="43A84702"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6939910" w14:textId="77777777">
            <w:pPr>
              <w:widowControl/>
              <w:jc w:val="center"/>
              <w:rPr>
                <w:rFonts w:ascii="Calibri" w:hAnsi="Calibri" w:cs="Calibri"/>
                <w:snapToGrid/>
                <w:kern w:val="0"/>
                <w:szCs w:val="22"/>
              </w:rPr>
            </w:pPr>
            <w:r w:rsidRPr="00A032ED">
              <w:rPr>
                <w:rFonts w:ascii="Calibri" w:hAnsi="Calibri" w:cs="Calibri"/>
                <w:snapToGrid/>
                <w:kern w:val="0"/>
                <w:szCs w:val="22"/>
              </w:rPr>
              <w:t>WEPX-TV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763DCE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859,535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D1E0E1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$6,210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5104EF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DB2512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$9,880 </w:t>
            </w:r>
          </w:p>
        </w:tc>
        <w:tc>
          <w:tcPr>
            <w:tcW w:w="266" w:type="dxa"/>
            <w:tcBorders>
              <w:top w:val="nil"/>
              <w:left w:val="nil"/>
              <w:bottom w:val="nil"/>
              <w:right w:val="nil"/>
            </w:tcBorders>
            <w:shd w:val="clear" w:color="auto" w:fill="auto"/>
            <w:noWrap/>
            <w:vAlign w:val="bottom"/>
            <w:hideMark/>
          </w:tcPr>
          <w:p w:rsidR="006F7AD6" w:rsidRPr="00A032ED" w:rsidP="00886011" w14:paraId="5CE0A6A0"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1653752" w14:textId="77777777">
            <w:pPr>
              <w:widowControl/>
              <w:jc w:val="center"/>
              <w:rPr>
                <w:rFonts w:ascii="Calibri" w:hAnsi="Calibri" w:cs="Calibri"/>
                <w:snapToGrid/>
                <w:kern w:val="0"/>
                <w:szCs w:val="22"/>
              </w:rPr>
            </w:pPr>
            <w:r w:rsidRPr="00A032ED">
              <w:rPr>
                <w:rFonts w:ascii="Calibri" w:hAnsi="Calibri" w:cs="Calibri"/>
                <w:snapToGrid/>
                <w:kern w:val="0"/>
                <w:szCs w:val="22"/>
              </w:rPr>
              <w:t>WFTX-TV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3080D8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1,775,097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6FC75A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$12,824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E3A273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7FF2E8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$13,187 </w:t>
            </w:r>
          </w:p>
        </w:tc>
      </w:tr>
      <w:tr w14:paraId="3766A665"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9B8F563" w14:textId="77777777">
            <w:pPr>
              <w:widowControl/>
              <w:jc w:val="center"/>
              <w:rPr>
                <w:rFonts w:ascii="Calibri" w:hAnsi="Calibri" w:cs="Calibri"/>
                <w:snapToGrid/>
                <w:kern w:val="0"/>
                <w:szCs w:val="22"/>
              </w:rPr>
            </w:pPr>
            <w:r w:rsidRPr="00A032ED">
              <w:rPr>
                <w:rFonts w:ascii="Calibri" w:hAnsi="Calibri" w:cs="Calibri"/>
                <w:snapToGrid/>
                <w:kern w:val="0"/>
                <w:szCs w:val="22"/>
              </w:rPr>
              <w:t>WESH</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7AAB2C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4,107,172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A985D2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$29,672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23A35C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E2DC4E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$35,173 </w:t>
            </w:r>
          </w:p>
        </w:tc>
        <w:tc>
          <w:tcPr>
            <w:tcW w:w="266" w:type="dxa"/>
            <w:tcBorders>
              <w:top w:val="nil"/>
              <w:left w:val="nil"/>
              <w:bottom w:val="nil"/>
              <w:right w:val="nil"/>
            </w:tcBorders>
            <w:shd w:val="clear" w:color="auto" w:fill="auto"/>
            <w:noWrap/>
            <w:vAlign w:val="bottom"/>
            <w:hideMark/>
          </w:tcPr>
          <w:p w:rsidR="006F7AD6" w:rsidRPr="00A032ED" w:rsidP="00886011" w14:paraId="3CE76879"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49FB75C" w14:textId="77777777">
            <w:pPr>
              <w:widowControl/>
              <w:jc w:val="center"/>
              <w:rPr>
                <w:rFonts w:ascii="Calibri" w:hAnsi="Calibri" w:cs="Calibri"/>
                <w:snapToGrid/>
                <w:kern w:val="0"/>
                <w:szCs w:val="22"/>
              </w:rPr>
            </w:pPr>
            <w:r w:rsidRPr="00A032ED">
              <w:rPr>
                <w:rFonts w:ascii="Calibri" w:hAnsi="Calibri" w:cs="Calibri"/>
                <w:snapToGrid/>
                <w:kern w:val="0"/>
                <w:szCs w:val="22"/>
              </w:rPr>
              <w:t>WFTY-DT</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E4A104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5,678,755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A5E3A3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$41,025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BEB6CE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1BE94F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$47,513 </w:t>
            </w:r>
          </w:p>
        </w:tc>
      </w:tr>
      <w:tr w14:paraId="44BD7EB9"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80A4D86" w14:textId="77777777">
            <w:pPr>
              <w:widowControl/>
              <w:jc w:val="center"/>
              <w:rPr>
                <w:rFonts w:ascii="Calibri" w:hAnsi="Calibri" w:cs="Calibri"/>
                <w:snapToGrid/>
                <w:kern w:val="0"/>
                <w:szCs w:val="22"/>
              </w:rPr>
            </w:pPr>
            <w:r w:rsidRPr="00A032ED">
              <w:rPr>
                <w:rFonts w:ascii="Calibri" w:hAnsi="Calibri" w:cs="Calibri"/>
                <w:snapToGrid/>
                <w:kern w:val="0"/>
                <w:szCs w:val="22"/>
              </w:rPr>
              <w:t>WETA-TV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E4D0FE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7,607,834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D68056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$54,962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AA5381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F665A4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$54,481 </w:t>
            </w:r>
          </w:p>
        </w:tc>
        <w:tc>
          <w:tcPr>
            <w:tcW w:w="266" w:type="dxa"/>
            <w:tcBorders>
              <w:top w:val="nil"/>
              <w:left w:val="nil"/>
              <w:bottom w:val="nil"/>
              <w:right w:val="nil"/>
            </w:tcBorders>
            <w:shd w:val="clear" w:color="auto" w:fill="auto"/>
            <w:noWrap/>
            <w:vAlign w:val="bottom"/>
            <w:hideMark/>
          </w:tcPr>
          <w:p w:rsidR="006F7AD6" w:rsidRPr="00A032ED" w:rsidP="00886011" w14:paraId="14A1E994"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28A8472" w14:textId="77777777">
            <w:pPr>
              <w:widowControl/>
              <w:jc w:val="center"/>
              <w:rPr>
                <w:rFonts w:ascii="Calibri" w:hAnsi="Calibri" w:cs="Calibri"/>
                <w:snapToGrid/>
                <w:kern w:val="0"/>
                <w:szCs w:val="22"/>
              </w:rPr>
            </w:pPr>
            <w:r w:rsidRPr="00A032ED">
              <w:rPr>
                <w:rFonts w:ascii="Calibri" w:hAnsi="Calibri" w:cs="Calibri"/>
                <w:snapToGrid/>
                <w:kern w:val="0"/>
                <w:szCs w:val="22"/>
              </w:rPr>
              <w:t>WFUP</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707CD4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217,655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15BCC2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$1,572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9B4C5F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71AA87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$3,011 </w:t>
            </w:r>
          </w:p>
        </w:tc>
      </w:tr>
      <w:tr w14:paraId="26E15900"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4B36077" w14:textId="77777777">
            <w:pPr>
              <w:widowControl/>
              <w:jc w:val="center"/>
              <w:rPr>
                <w:rFonts w:ascii="Calibri" w:hAnsi="Calibri" w:cs="Calibri"/>
                <w:snapToGrid/>
                <w:kern w:val="0"/>
                <w:szCs w:val="22"/>
              </w:rPr>
            </w:pPr>
            <w:r w:rsidRPr="00A032ED">
              <w:rPr>
                <w:rFonts w:ascii="Calibri" w:hAnsi="Calibri" w:cs="Calibri"/>
                <w:snapToGrid/>
                <w:kern w:val="0"/>
                <w:szCs w:val="22"/>
              </w:rPr>
              <w:t>WETK</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088863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670,087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092467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$4,841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6A65CE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7471F1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$9,195 </w:t>
            </w:r>
          </w:p>
        </w:tc>
        <w:tc>
          <w:tcPr>
            <w:tcW w:w="266" w:type="dxa"/>
            <w:tcBorders>
              <w:top w:val="nil"/>
              <w:left w:val="nil"/>
              <w:bottom w:val="nil"/>
              <w:right w:val="nil"/>
            </w:tcBorders>
            <w:shd w:val="clear" w:color="auto" w:fill="auto"/>
            <w:noWrap/>
            <w:vAlign w:val="bottom"/>
            <w:hideMark/>
          </w:tcPr>
          <w:p w:rsidR="006F7AD6" w:rsidRPr="00A032ED" w:rsidP="00886011" w14:paraId="6E80F4B8"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4393399" w14:textId="77777777">
            <w:pPr>
              <w:widowControl/>
              <w:jc w:val="center"/>
              <w:rPr>
                <w:rFonts w:ascii="Calibri" w:hAnsi="Calibri" w:cs="Calibri"/>
                <w:snapToGrid/>
                <w:kern w:val="0"/>
                <w:szCs w:val="22"/>
              </w:rPr>
            </w:pPr>
            <w:r w:rsidRPr="00A032ED">
              <w:rPr>
                <w:rFonts w:ascii="Calibri" w:hAnsi="Calibri" w:cs="Calibri"/>
                <w:snapToGrid/>
                <w:kern w:val="0"/>
                <w:szCs w:val="22"/>
              </w:rPr>
              <w:t>WFUT-DT</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17D5F0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19,992,096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1B47A3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$144,430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3C0AF6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215BC3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$99,215 </w:t>
            </w:r>
          </w:p>
        </w:tc>
      </w:tr>
      <w:tr w14:paraId="3E97E5B7"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E202D7E" w14:textId="77777777">
            <w:pPr>
              <w:widowControl/>
              <w:jc w:val="center"/>
              <w:rPr>
                <w:rFonts w:ascii="Calibri" w:hAnsi="Calibri" w:cs="Calibri"/>
                <w:snapToGrid/>
                <w:kern w:val="0"/>
                <w:szCs w:val="22"/>
              </w:rPr>
            </w:pPr>
            <w:r w:rsidRPr="00A032ED">
              <w:rPr>
                <w:rFonts w:ascii="Calibri" w:hAnsi="Calibri" w:cs="Calibri"/>
                <w:snapToGrid/>
                <w:kern w:val="0"/>
                <w:szCs w:val="22"/>
              </w:rPr>
              <w:t>WETM-TV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37E021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721,800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4239CA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$5,215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53D7A2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283E89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$4,832 </w:t>
            </w:r>
          </w:p>
        </w:tc>
        <w:tc>
          <w:tcPr>
            <w:tcW w:w="266" w:type="dxa"/>
            <w:tcBorders>
              <w:top w:val="nil"/>
              <w:left w:val="nil"/>
              <w:bottom w:val="nil"/>
              <w:right w:val="nil"/>
            </w:tcBorders>
            <w:shd w:val="clear" w:color="auto" w:fill="auto"/>
            <w:noWrap/>
            <w:vAlign w:val="bottom"/>
            <w:hideMark/>
          </w:tcPr>
          <w:p w:rsidR="006F7AD6" w:rsidRPr="00A032ED" w:rsidP="00886011" w14:paraId="097E81BC"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543C876" w14:textId="77777777">
            <w:pPr>
              <w:widowControl/>
              <w:jc w:val="center"/>
              <w:rPr>
                <w:rFonts w:ascii="Calibri" w:hAnsi="Calibri" w:cs="Calibri"/>
                <w:snapToGrid/>
                <w:kern w:val="0"/>
                <w:szCs w:val="22"/>
              </w:rPr>
            </w:pPr>
            <w:r w:rsidRPr="00A032ED">
              <w:rPr>
                <w:rFonts w:ascii="Calibri" w:hAnsi="Calibri" w:cs="Calibri"/>
                <w:snapToGrid/>
                <w:kern w:val="0"/>
                <w:szCs w:val="22"/>
              </w:rPr>
              <w:t>WFXB</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46E356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1,511,681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304794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$10,921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DAD7B1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35853E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$7,685 </w:t>
            </w:r>
          </w:p>
        </w:tc>
      </w:tr>
      <w:tr w14:paraId="1FD2303B"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4546FAD" w14:textId="77777777">
            <w:pPr>
              <w:widowControl/>
              <w:jc w:val="center"/>
              <w:rPr>
                <w:rFonts w:ascii="Calibri" w:hAnsi="Calibri" w:cs="Calibri"/>
                <w:snapToGrid/>
                <w:kern w:val="0"/>
                <w:szCs w:val="22"/>
              </w:rPr>
            </w:pPr>
            <w:r w:rsidRPr="00A032ED">
              <w:rPr>
                <w:rFonts w:ascii="Calibri" w:hAnsi="Calibri" w:cs="Calibri"/>
                <w:snapToGrid/>
                <w:kern w:val="0"/>
                <w:szCs w:val="22"/>
              </w:rPr>
              <w:t>WFXG</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64D23A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1,126,348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85D956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$8,137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939AB8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475E70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$6,294 </w:t>
            </w:r>
          </w:p>
        </w:tc>
        <w:tc>
          <w:tcPr>
            <w:tcW w:w="266" w:type="dxa"/>
            <w:tcBorders>
              <w:top w:val="nil"/>
              <w:left w:val="nil"/>
              <w:bottom w:val="nil"/>
              <w:right w:val="nil"/>
            </w:tcBorders>
            <w:shd w:val="clear" w:color="auto" w:fill="auto"/>
            <w:noWrap/>
            <w:vAlign w:val="bottom"/>
            <w:hideMark/>
          </w:tcPr>
          <w:p w:rsidR="006F7AD6" w:rsidRPr="00A032ED" w:rsidP="00886011" w14:paraId="5A2BFB76"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45ABF7F" w14:textId="77777777">
            <w:pPr>
              <w:widowControl/>
              <w:jc w:val="center"/>
              <w:rPr>
                <w:rFonts w:ascii="Calibri" w:hAnsi="Calibri" w:cs="Calibri"/>
                <w:snapToGrid/>
                <w:kern w:val="0"/>
                <w:szCs w:val="22"/>
              </w:rPr>
            </w:pPr>
            <w:r w:rsidRPr="00A032ED">
              <w:rPr>
                <w:rFonts w:ascii="Calibri" w:hAnsi="Calibri" w:cs="Calibri"/>
                <w:snapToGrid/>
                <w:kern w:val="0"/>
                <w:szCs w:val="22"/>
              </w:rPr>
              <w:t>WHBQ-TV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8715EF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1,736,335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0556F9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$12,544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8A7CF3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8C59AD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$13,047 </w:t>
            </w:r>
          </w:p>
        </w:tc>
      </w:tr>
      <w:tr w14:paraId="6F98659A"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D910027" w14:textId="77777777">
            <w:pPr>
              <w:widowControl/>
              <w:jc w:val="center"/>
              <w:rPr>
                <w:rFonts w:ascii="Calibri" w:hAnsi="Calibri" w:cs="Calibri"/>
                <w:snapToGrid/>
                <w:kern w:val="0"/>
                <w:szCs w:val="22"/>
              </w:rPr>
            </w:pPr>
            <w:r w:rsidRPr="00A032ED">
              <w:rPr>
                <w:rFonts w:ascii="Calibri" w:hAnsi="Calibri" w:cs="Calibri"/>
                <w:snapToGrid/>
                <w:kern w:val="0"/>
                <w:szCs w:val="22"/>
              </w:rPr>
              <w:t>WFXL</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EBFC54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793,637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DFF872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$5,734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EF1185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23FC9C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$5,092 </w:t>
            </w:r>
          </w:p>
        </w:tc>
        <w:tc>
          <w:tcPr>
            <w:tcW w:w="266" w:type="dxa"/>
            <w:tcBorders>
              <w:top w:val="nil"/>
              <w:left w:val="nil"/>
              <w:bottom w:val="nil"/>
              <w:right w:val="nil"/>
            </w:tcBorders>
            <w:shd w:val="clear" w:color="auto" w:fill="auto"/>
            <w:noWrap/>
            <w:vAlign w:val="bottom"/>
            <w:hideMark/>
          </w:tcPr>
          <w:p w:rsidR="006F7AD6" w:rsidRPr="00A032ED" w:rsidP="00886011" w14:paraId="742BA629"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99263D0" w14:textId="77777777">
            <w:pPr>
              <w:widowControl/>
              <w:jc w:val="center"/>
              <w:rPr>
                <w:rFonts w:ascii="Calibri" w:hAnsi="Calibri" w:cs="Calibri"/>
                <w:snapToGrid/>
                <w:kern w:val="0"/>
                <w:szCs w:val="22"/>
              </w:rPr>
            </w:pPr>
            <w:r w:rsidRPr="00A032ED">
              <w:rPr>
                <w:rFonts w:ascii="Calibri" w:hAnsi="Calibri" w:cs="Calibri"/>
                <w:snapToGrid/>
                <w:kern w:val="0"/>
                <w:szCs w:val="22"/>
              </w:rPr>
              <w:t>WHDF</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00BF23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1,266,286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557DEA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$9,148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706839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FF4060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$11,349 </w:t>
            </w:r>
          </w:p>
        </w:tc>
      </w:tr>
      <w:tr w14:paraId="034EDDFE"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47EB916" w14:textId="77777777">
            <w:pPr>
              <w:widowControl/>
              <w:jc w:val="center"/>
              <w:rPr>
                <w:rFonts w:ascii="Calibri" w:hAnsi="Calibri" w:cs="Calibri"/>
                <w:snapToGrid/>
                <w:kern w:val="0"/>
                <w:szCs w:val="22"/>
              </w:rPr>
            </w:pPr>
            <w:r w:rsidRPr="00A032ED">
              <w:rPr>
                <w:rFonts w:ascii="Calibri" w:hAnsi="Calibri" w:cs="Calibri"/>
                <w:snapToGrid/>
                <w:kern w:val="0"/>
                <w:szCs w:val="22"/>
              </w:rPr>
              <w:t>WFXP</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C8F497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583,315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0018D0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$4,214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68D287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056BAB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$4,332 </w:t>
            </w:r>
          </w:p>
        </w:tc>
        <w:tc>
          <w:tcPr>
            <w:tcW w:w="266" w:type="dxa"/>
            <w:tcBorders>
              <w:top w:val="nil"/>
              <w:left w:val="nil"/>
              <w:bottom w:val="nil"/>
              <w:right w:val="nil"/>
            </w:tcBorders>
            <w:shd w:val="clear" w:color="auto" w:fill="auto"/>
            <w:noWrap/>
            <w:vAlign w:val="bottom"/>
            <w:hideMark/>
          </w:tcPr>
          <w:p w:rsidR="006F7AD6" w:rsidRPr="00A032ED" w:rsidP="00886011" w14:paraId="0A45FBFD"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9E0D5E7" w14:textId="77777777">
            <w:pPr>
              <w:widowControl/>
              <w:jc w:val="center"/>
              <w:rPr>
                <w:rFonts w:ascii="Calibri" w:hAnsi="Calibri" w:cs="Calibri"/>
                <w:snapToGrid/>
                <w:kern w:val="0"/>
                <w:szCs w:val="22"/>
              </w:rPr>
            </w:pPr>
            <w:r w:rsidRPr="00A032ED">
              <w:rPr>
                <w:rFonts w:ascii="Calibri" w:hAnsi="Calibri" w:cs="Calibri"/>
                <w:snapToGrid/>
                <w:kern w:val="0"/>
                <w:szCs w:val="22"/>
              </w:rPr>
              <w:t>WHDH</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17AD33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7,319,659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005A5B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$52,880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3B35B4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2C1E3D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$53,440 </w:t>
            </w:r>
          </w:p>
        </w:tc>
      </w:tr>
      <w:tr w14:paraId="596FBA3D"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3A70ACE" w14:textId="77777777">
            <w:pPr>
              <w:widowControl/>
              <w:jc w:val="center"/>
              <w:rPr>
                <w:rFonts w:ascii="Calibri" w:hAnsi="Calibri" w:cs="Calibri"/>
                <w:snapToGrid/>
                <w:kern w:val="0"/>
                <w:szCs w:val="22"/>
              </w:rPr>
            </w:pPr>
            <w:r w:rsidRPr="00A032ED">
              <w:rPr>
                <w:rFonts w:ascii="Calibri" w:hAnsi="Calibri" w:cs="Calibri"/>
                <w:snapToGrid/>
                <w:kern w:val="0"/>
                <w:szCs w:val="22"/>
              </w:rPr>
              <w:t>WFXR</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A5636C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1,432,348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880A57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$10,348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A58725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E28331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$11,949 </w:t>
            </w:r>
          </w:p>
        </w:tc>
        <w:tc>
          <w:tcPr>
            <w:tcW w:w="266" w:type="dxa"/>
            <w:tcBorders>
              <w:top w:val="nil"/>
              <w:left w:val="nil"/>
              <w:bottom w:val="nil"/>
              <w:right w:val="nil"/>
            </w:tcBorders>
            <w:shd w:val="clear" w:color="auto" w:fill="auto"/>
            <w:noWrap/>
            <w:vAlign w:val="bottom"/>
            <w:hideMark/>
          </w:tcPr>
          <w:p w:rsidR="006F7AD6" w:rsidRPr="00A032ED" w:rsidP="00886011" w14:paraId="773D33B3"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1F55045" w14:textId="77777777">
            <w:pPr>
              <w:widowControl/>
              <w:jc w:val="center"/>
              <w:rPr>
                <w:rFonts w:ascii="Calibri" w:hAnsi="Calibri" w:cs="Calibri"/>
                <w:snapToGrid/>
                <w:kern w:val="0"/>
                <w:szCs w:val="22"/>
              </w:rPr>
            </w:pPr>
            <w:r w:rsidRPr="00A032ED">
              <w:rPr>
                <w:rFonts w:ascii="Calibri" w:hAnsi="Calibri" w:cs="Calibri"/>
                <w:snapToGrid/>
                <w:kern w:val="0"/>
                <w:szCs w:val="22"/>
              </w:rPr>
              <w:t>WHDT</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B150C7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5,640,324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18BB07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$40,748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6FE569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64BEA7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$33,949 </w:t>
            </w:r>
          </w:p>
        </w:tc>
      </w:tr>
      <w:tr w14:paraId="4B27039B"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E48A7AE" w14:textId="77777777">
            <w:pPr>
              <w:widowControl/>
              <w:jc w:val="center"/>
              <w:rPr>
                <w:rFonts w:ascii="Calibri" w:hAnsi="Calibri" w:cs="Calibri"/>
                <w:snapToGrid/>
                <w:kern w:val="0"/>
                <w:szCs w:val="22"/>
              </w:rPr>
            </w:pPr>
            <w:r w:rsidRPr="00A032ED">
              <w:rPr>
                <w:rFonts w:ascii="Calibri" w:hAnsi="Calibri" w:cs="Calibri"/>
                <w:snapToGrid/>
                <w:kern w:val="0"/>
                <w:szCs w:val="22"/>
              </w:rPr>
              <w:t>WFXT</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45578C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7,366,667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E08525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$53,220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04B0BA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A0BB74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$53,610 </w:t>
            </w:r>
          </w:p>
        </w:tc>
        <w:tc>
          <w:tcPr>
            <w:tcW w:w="266" w:type="dxa"/>
            <w:tcBorders>
              <w:top w:val="nil"/>
              <w:left w:val="nil"/>
              <w:bottom w:val="nil"/>
              <w:right w:val="nil"/>
            </w:tcBorders>
            <w:shd w:val="clear" w:color="auto" w:fill="auto"/>
            <w:noWrap/>
            <w:vAlign w:val="bottom"/>
            <w:hideMark/>
          </w:tcPr>
          <w:p w:rsidR="006F7AD6" w:rsidRPr="00A032ED" w:rsidP="00886011" w14:paraId="3E83DB71"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386490D" w14:textId="77777777">
            <w:pPr>
              <w:widowControl/>
              <w:jc w:val="center"/>
              <w:rPr>
                <w:rFonts w:ascii="Calibri" w:hAnsi="Calibri" w:cs="Calibri"/>
                <w:snapToGrid/>
                <w:kern w:val="0"/>
                <w:szCs w:val="22"/>
              </w:rPr>
            </w:pPr>
            <w:r w:rsidRPr="00A032ED">
              <w:rPr>
                <w:rFonts w:ascii="Calibri" w:hAnsi="Calibri" w:cs="Calibri"/>
                <w:snapToGrid/>
                <w:kern w:val="0"/>
                <w:szCs w:val="22"/>
              </w:rPr>
              <w:t>WHEC-TV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1AD711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1,322,243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5D8FC8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$9,552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05D0AE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C7838C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$11,551 </w:t>
            </w:r>
          </w:p>
        </w:tc>
      </w:tr>
      <w:tr w14:paraId="071E44C6"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2C23EEE" w14:textId="77777777">
            <w:pPr>
              <w:widowControl/>
              <w:jc w:val="center"/>
              <w:rPr>
                <w:rFonts w:ascii="Calibri" w:hAnsi="Calibri" w:cs="Calibri"/>
                <w:snapToGrid/>
                <w:kern w:val="0"/>
                <w:szCs w:val="22"/>
              </w:rPr>
            </w:pPr>
            <w:r w:rsidRPr="00A032ED">
              <w:rPr>
                <w:rFonts w:ascii="Calibri" w:hAnsi="Calibri" w:cs="Calibri"/>
                <w:snapToGrid/>
                <w:kern w:val="0"/>
                <w:szCs w:val="22"/>
              </w:rPr>
              <w:t>WFXU</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0F5005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211,721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21AAED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$1,530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4B278D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DD3EC2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$2,990 </w:t>
            </w:r>
          </w:p>
        </w:tc>
        <w:tc>
          <w:tcPr>
            <w:tcW w:w="266" w:type="dxa"/>
            <w:tcBorders>
              <w:top w:val="nil"/>
              <w:left w:val="nil"/>
              <w:bottom w:val="nil"/>
              <w:right w:val="nil"/>
            </w:tcBorders>
            <w:shd w:val="clear" w:color="auto" w:fill="auto"/>
            <w:noWrap/>
            <w:vAlign w:val="bottom"/>
            <w:hideMark/>
          </w:tcPr>
          <w:p w:rsidR="006F7AD6" w:rsidRPr="00A032ED" w:rsidP="00886011" w14:paraId="1616CE7D"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3FC47BD" w14:textId="77777777">
            <w:pPr>
              <w:widowControl/>
              <w:jc w:val="center"/>
              <w:rPr>
                <w:rFonts w:ascii="Calibri" w:hAnsi="Calibri" w:cs="Calibri"/>
                <w:snapToGrid/>
                <w:kern w:val="0"/>
                <w:szCs w:val="22"/>
              </w:rPr>
            </w:pPr>
            <w:r w:rsidRPr="00A032ED">
              <w:rPr>
                <w:rFonts w:ascii="Calibri" w:hAnsi="Calibri" w:cs="Calibri"/>
                <w:snapToGrid/>
                <w:kern w:val="0"/>
                <w:szCs w:val="22"/>
              </w:rPr>
              <w:t>WHFT-TV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058C53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5,417,409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892F1F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$39,137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858D3B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2BFE76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$39,906 </w:t>
            </w:r>
          </w:p>
        </w:tc>
      </w:tr>
      <w:tr w14:paraId="05461672"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F41234B" w14:textId="77777777">
            <w:pPr>
              <w:widowControl/>
              <w:jc w:val="center"/>
              <w:rPr>
                <w:rFonts w:ascii="Calibri" w:hAnsi="Calibri" w:cs="Calibri"/>
                <w:snapToGrid/>
                <w:kern w:val="0"/>
                <w:szCs w:val="22"/>
              </w:rPr>
            </w:pPr>
            <w:r w:rsidRPr="00A032ED">
              <w:rPr>
                <w:rFonts w:ascii="Calibri" w:hAnsi="Calibri" w:cs="Calibri"/>
                <w:snapToGrid/>
                <w:kern w:val="0"/>
                <w:szCs w:val="22"/>
              </w:rPr>
              <w:t>WFXV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0F3B30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633,597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028425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$4,577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38647B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17938B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$4,514 </w:t>
            </w:r>
          </w:p>
        </w:tc>
        <w:tc>
          <w:tcPr>
            <w:tcW w:w="266" w:type="dxa"/>
            <w:tcBorders>
              <w:top w:val="nil"/>
              <w:left w:val="nil"/>
              <w:bottom w:val="nil"/>
              <w:right w:val="nil"/>
            </w:tcBorders>
            <w:shd w:val="clear" w:color="auto" w:fill="auto"/>
            <w:noWrap/>
            <w:vAlign w:val="bottom"/>
            <w:hideMark/>
          </w:tcPr>
          <w:p w:rsidR="006F7AD6" w:rsidRPr="00A032ED" w:rsidP="00886011" w14:paraId="62811E57"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E75DE5A" w14:textId="77777777">
            <w:pPr>
              <w:widowControl/>
              <w:jc w:val="center"/>
              <w:rPr>
                <w:rFonts w:ascii="Calibri" w:hAnsi="Calibri" w:cs="Calibri"/>
                <w:snapToGrid/>
                <w:kern w:val="0"/>
                <w:szCs w:val="22"/>
              </w:rPr>
            </w:pPr>
            <w:r w:rsidRPr="00A032ED">
              <w:rPr>
                <w:rFonts w:ascii="Calibri" w:hAnsi="Calibri" w:cs="Calibri"/>
                <w:snapToGrid/>
                <w:kern w:val="0"/>
                <w:szCs w:val="22"/>
              </w:rPr>
              <w:t>WHIO-TV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ADFE80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3,896,757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AD448E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$28,152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CFCA36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3155AB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$20,851 </w:t>
            </w:r>
          </w:p>
        </w:tc>
      </w:tr>
      <w:tr w14:paraId="1EB3D85F"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CD7BF78" w14:textId="77777777">
            <w:pPr>
              <w:widowControl/>
              <w:jc w:val="center"/>
              <w:rPr>
                <w:rFonts w:ascii="Calibri" w:hAnsi="Calibri" w:cs="Calibri"/>
                <w:snapToGrid/>
                <w:kern w:val="0"/>
                <w:szCs w:val="22"/>
              </w:rPr>
            </w:pPr>
            <w:r w:rsidRPr="00A032ED">
              <w:rPr>
                <w:rFonts w:ascii="Calibri" w:hAnsi="Calibri" w:cs="Calibri"/>
                <w:snapToGrid/>
                <w:kern w:val="0"/>
                <w:szCs w:val="22"/>
              </w:rPr>
              <w:t>WFXW</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BD9574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274,078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BF716C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$1,980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13219D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A168B3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$3,215 </w:t>
            </w:r>
          </w:p>
        </w:tc>
        <w:tc>
          <w:tcPr>
            <w:tcW w:w="266" w:type="dxa"/>
            <w:tcBorders>
              <w:top w:val="nil"/>
              <w:left w:val="nil"/>
              <w:bottom w:val="nil"/>
              <w:right w:val="nil"/>
            </w:tcBorders>
            <w:shd w:val="clear" w:color="auto" w:fill="auto"/>
            <w:noWrap/>
            <w:vAlign w:val="bottom"/>
            <w:hideMark/>
          </w:tcPr>
          <w:p w:rsidR="006F7AD6" w:rsidRPr="00A032ED" w:rsidP="00886011" w14:paraId="2DE6F68D"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08D3C98" w14:textId="77777777">
            <w:pPr>
              <w:widowControl/>
              <w:jc w:val="center"/>
              <w:rPr>
                <w:rFonts w:ascii="Calibri" w:hAnsi="Calibri" w:cs="Calibri"/>
                <w:snapToGrid/>
                <w:kern w:val="0"/>
                <w:szCs w:val="22"/>
              </w:rPr>
            </w:pPr>
            <w:r w:rsidRPr="00A032ED">
              <w:rPr>
                <w:rFonts w:ascii="Calibri" w:hAnsi="Calibri" w:cs="Calibri"/>
                <w:snapToGrid/>
                <w:kern w:val="0"/>
                <w:szCs w:val="22"/>
              </w:rPr>
              <w:t>WHIZ-TV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55A3DA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910,864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1FB1BF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$6,580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96D6BD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5CFC48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$5,515 </w:t>
            </w:r>
          </w:p>
        </w:tc>
      </w:tr>
      <w:tr w14:paraId="37B23866"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480801D" w14:textId="77777777">
            <w:pPr>
              <w:widowControl/>
              <w:jc w:val="center"/>
              <w:rPr>
                <w:rFonts w:ascii="Calibri" w:hAnsi="Calibri" w:cs="Calibri"/>
                <w:snapToGrid/>
                <w:kern w:val="0"/>
                <w:szCs w:val="22"/>
              </w:rPr>
            </w:pPr>
            <w:r w:rsidRPr="00A032ED">
              <w:rPr>
                <w:rFonts w:ascii="Calibri" w:hAnsi="Calibri" w:cs="Calibri"/>
                <w:snapToGrid/>
                <w:kern w:val="0"/>
                <w:szCs w:val="22"/>
              </w:rPr>
              <w:t>WGAL</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0BFBCF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7,775,662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6C02C5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$56,174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570CCD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36EEF8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$41,662 </w:t>
            </w:r>
          </w:p>
        </w:tc>
        <w:tc>
          <w:tcPr>
            <w:tcW w:w="266" w:type="dxa"/>
            <w:tcBorders>
              <w:top w:val="nil"/>
              <w:left w:val="nil"/>
              <w:bottom w:val="nil"/>
              <w:right w:val="nil"/>
            </w:tcBorders>
            <w:shd w:val="clear" w:color="auto" w:fill="auto"/>
            <w:noWrap/>
            <w:vAlign w:val="bottom"/>
            <w:hideMark/>
          </w:tcPr>
          <w:p w:rsidR="006F7AD6" w:rsidRPr="00A032ED" w:rsidP="00886011" w14:paraId="01E7FA52"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B7ABB09" w14:textId="77777777">
            <w:pPr>
              <w:widowControl/>
              <w:jc w:val="center"/>
              <w:rPr>
                <w:rFonts w:ascii="Calibri" w:hAnsi="Calibri" w:cs="Calibri"/>
                <w:snapToGrid/>
                <w:kern w:val="0"/>
                <w:szCs w:val="22"/>
              </w:rPr>
            </w:pPr>
            <w:r w:rsidRPr="00A032ED">
              <w:rPr>
                <w:rFonts w:ascii="Calibri" w:hAnsi="Calibri" w:cs="Calibri"/>
                <w:snapToGrid/>
                <w:kern w:val="0"/>
                <w:szCs w:val="22"/>
              </w:rPr>
              <w:t>WHKY-TV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E66184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3,038,732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DBEE5C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$21,953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F8249A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44F77C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$31,314 </w:t>
            </w:r>
          </w:p>
        </w:tc>
      </w:tr>
      <w:tr w14:paraId="46FB910F"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B2A829C" w14:textId="77777777">
            <w:pPr>
              <w:widowControl/>
              <w:jc w:val="center"/>
              <w:rPr>
                <w:rFonts w:ascii="Calibri" w:hAnsi="Calibri" w:cs="Calibri"/>
                <w:snapToGrid/>
                <w:kern w:val="0"/>
                <w:szCs w:val="22"/>
              </w:rPr>
            </w:pPr>
            <w:r w:rsidRPr="00A032ED">
              <w:rPr>
                <w:rFonts w:ascii="Calibri" w:hAnsi="Calibri" w:cs="Calibri"/>
                <w:snapToGrid/>
                <w:kern w:val="0"/>
                <w:szCs w:val="22"/>
              </w:rPr>
              <w:t>WGBA-TV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8E1878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1,170,375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F19B66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$8,455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877CEF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74B6DA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$11,003 </w:t>
            </w:r>
          </w:p>
        </w:tc>
        <w:tc>
          <w:tcPr>
            <w:tcW w:w="266" w:type="dxa"/>
            <w:tcBorders>
              <w:top w:val="nil"/>
              <w:left w:val="nil"/>
              <w:bottom w:val="nil"/>
              <w:right w:val="nil"/>
            </w:tcBorders>
            <w:shd w:val="clear" w:color="auto" w:fill="auto"/>
            <w:noWrap/>
            <w:vAlign w:val="bottom"/>
            <w:hideMark/>
          </w:tcPr>
          <w:p w:rsidR="006F7AD6" w:rsidRPr="00A032ED" w:rsidP="00886011" w14:paraId="73BAD25E"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1256884" w14:textId="77777777">
            <w:pPr>
              <w:widowControl/>
              <w:jc w:val="center"/>
              <w:rPr>
                <w:rFonts w:ascii="Calibri" w:hAnsi="Calibri" w:cs="Calibri"/>
                <w:snapToGrid/>
                <w:kern w:val="0"/>
                <w:szCs w:val="22"/>
              </w:rPr>
            </w:pPr>
            <w:r w:rsidRPr="00A032ED">
              <w:rPr>
                <w:rFonts w:ascii="Calibri" w:hAnsi="Calibri" w:cs="Calibri"/>
                <w:snapToGrid/>
                <w:kern w:val="0"/>
                <w:szCs w:val="22"/>
              </w:rPr>
              <w:t>WHLT</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327804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484,404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D70BB9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$3,500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8DA939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45DA12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$3,975 </w:t>
            </w:r>
          </w:p>
        </w:tc>
      </w:tr>
      <w:tr w14:paraId="1FBE9048"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BF8C218" w14:textId="77777777">
            <w:pPr>
              <w:widowControl/>
              <w:jc w:val="center"/>
              <w:rPr>
                <w:rFonts w:ascii="Calibri" w:hAnsi="Calibri" w:cs="Calibri"/>
                <w:snapToGrid/>
                <w:kern w:val="0"/>
                <w:szCs w:val="22"/>
              </w:rPr>
            </w:pPr>
            <w:r w:rsidRPr="00A032ED">
              <w:rPr>
                <w:rFonts w:ascii="Calibri" w:hAnsi="Calibri" w:cs="Calibri"/>
                <w:snapToGrid/>
                <w:kern w:val="0"/>
                <w:szCs w:val="22"/>
              </w:rPr>
              <w:t>WGBC</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13ADDC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249,415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A5BB51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$1,802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B3F5FB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946DA7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$3,126 </w:t>
            </w:r>
          </w:p>
        </w:tc>
        <w:tc>
          <w:tcPr>
            <w:tcW w:w="266" w:type="dxa"/>
            <w:tcBorders>
              <w:top w:val="nil"/>
              <w:left w:val="nil"/>
              <w:bottom w:val="nil"/>
              <w:right w:val="nil"/>
            </w:tcBorders>
            <w:shd w:val="clear" w:color="auto" w:fill="auto"/>
            <w:noWrap/>
            <w:vAlign w:val="bottom"/>
            <w:hideMark/>
          </w:tcPr>
          <w:p w:rsidR="006F7AD6" w:rsidRPr="00A032ED" w:rsidP="00886011" w14:paraId="4E373CC0"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8227CD3" w14:textId="77777777">
            <w:pPr>
              <w:widowControl/>
              <w:jc w:val="center"/>
              <w:rPr>
                <w:rFonts w:ascii="Calibri" w:hAnsi="Calibri" w:cs="Calibri"/>
                <w:snapToGrid/>
                <w:kern w:val="0"/>
                <w:szCs w:val="22"/>
              </w:rPr>
            </w:pPr>
            <w:r w:rsidRPr="00A032ED">
              <w:rPr>
                <w:rFonts w:ascii="Calibri" w:hAnsi="Calibri" w:cs="Calibri"/>
                <w:snapToGrid/>
                <w:kern w:val="0"/>
                <w:szCs w:val="22"/>
              </w:rPr>
              <w:t>WHMB-TV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E1B73C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2,847,719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E35A44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$20,573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AEC5C3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89964D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$23,861 </w:t>
            </w:r>
          </w:p>
        </w:tc>
      </w:tr>
      <w:tr w14:paraId="61318AAE"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CB1DD84" w14:textId="77777777">
            <w:pPr>
              <w:widowControl/>
              <w:jc w:val="center"/>
              <w:rPr>
                <w:rFonts w:ascii="Calibri" w:hAnsi="Calibri" w:cs="Calibri"/>
                <w:snapToGrid/>
                <w:kern w:val="0"/>
                <w:szCs w:val="22"/>
              </w:rPr>
            </w:pPr>
            <w:r w:rsidRPr="00A032ED">
              <w:rPr>
                <w:rFonts w:ascii="Calibri" w:hAnsi="Calibri" w:cs="Calibri"/>
                <w:snapToGrid/>
                <w:kern w:val="0"/>
                <w:szCs w:val="22"/>
              </w:rPr>
              <w:t>WGBO-DT</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E8BF61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9,771,815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A6D4C0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$70,595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E0AFA9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63B6BD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$62,298 </w:t>
            </w:r>
          </w:p>
        </w:tc>
        <w:tc>
          <w:tcPr>
            <w:tcW w:w="266" w:type="dxa"/>
            <w:tcBorders>
              <w:top w:val="nil"/>
              <w:left w:val="nil"/>
              <w:bottom w:val="nil"/>
              <w:right w:val="nil"/>
            </w:tcBorders>
            <w:shd w:val="clear" w:color="auto" w:fill="auto"/>
            <w:noWrap/>
            <w:vAlign w:val="bottom"/>
            <w:hideMark/>
          </w:tcPr>
          <w:p w:rsidR="006F7AD6" w:rsidRPr="00A032ED" w:rsidP="00886011" w14:paraId="60A4BE71"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B2ADCD4" w14:textId="77777777">
            <w:pPr>
              <w:widowControl/>
              <w:jc w:val="center"/>
              <w:rPr>
                <w:rFonts w:ascii="Calibri" w:hAnsi="Calibri" w:cs="Calibri"/>
                <w:snapToGrid/>
                <w:kern w:val="0"/>
                <w:szCs w:val="22"/>
              </w:rPr>
            </w:pPr>
            <w:r w:rsidRPr="00A032ED">
              <w:rPr>
                <w:rFonts w:ascii="Calibri" w:hAnsi="Calibri" w:cs="Calibri"/>
                <w:snapToGrid/>
                <w:kern w:val="0"/>
                <w:szCs w:val="22"/>
              </w:rPr>
              <w:t>WHME-TV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6667A7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1,271,796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474418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$9,188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B03ABC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6E16D7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$11,369 </w:t>
            </w:r>
          </w:p>
        </w:tc>
      </w:tr>
      <w:tr w14:paraId="1B427472"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4A2193E" w14:textId="77777777">
            <w:pPr>
              <w:widowControl/>
              <w:jc w:val="center"/>
              <w:rPr>
                <w:rFonts w:ascii="Calibri" w:hAnsi="Calibri" w:cs="Calibri"/>
                <w:snapToGrid/>
                <w:kern w:val="0"/>
                <w:szCs w:val="22"/>
              </w:rPr>
            </w:pPr>
            <w:r w:rsidRPr="00A032ED">
              <w:rPr>
                <w:rFonts w:ascii="Calibri" w:hAnsi="Calibri" w:cs="Calibri"/>
                <w:snapToGrid/>
                <w:kern w:val="0"/>
                <w:szCs w:val="22"/>
              </w:rPr>
              <w:t>WGCL-TV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9AF25C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6,027,276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F4A383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$43,543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D5B4A6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2433D8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$48,772 </w:t>
            </w:r>
          </w:p>
        </w:tc>
        <w:tc>
          <w:tcPr>
            <w:tcW w:w="266" w:type="dxa"/>
            <w:tcBorders>
              <w:top w:val="nil"/>
              <w:left w:val="nil"/>
              <w:bottom w:val="nil"/>
              <w:right w:val="nil"/>
            </w:tcBorders>
            <w:shd w:val="clear" w:color="auto" w:fill="auto"/>
            <w:noWrap/>
            <w:vAlign w:val="bottom"/>
            <w:hideMark/>
          </w:tcPr>
          <w:p w:rsidR="006F7AD6" w:rsidRPr="00A032ED" w:rsidP="00886011" w14:paraId="689AFB50"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CA82587" w14:textId="77777777">
            <w:pPr>
              <w:widowControl/>
              <w:jc w:val="center"/>
              <w:rPr>
                <w:rFonts w:ascii="Calibri" w:hAnsi="Calibri" w:cs="Calibri"/>
                <w:snapToGrid/>
                <w:kern w:val="0"/>
                <w:szCs w:val="22"/>
              </w:rPr>
            </w:pPr>
            <w:r w:rsidRPr="00A032ED">
              <w:rPr>
                <w:rFonts w:ascii="Calibri" w:hAnsi="Calibri" w:cs="Calibri"/>
                <w:snapToGrid/>
                <w:kern w:val="0"/>
                <w:szCs w:val="22"/>
              </w:rPr>
              <w:t>WHNS</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9B4610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2,549,397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7FAC06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$18,418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9B4034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9EE04F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$22,784 </w:t>
            </w:r>
          </w:p>
        </w:tc>
      </w:tr>
      <w:tr w14:paraId="7A410095"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F79E9AB" w14:textId="77777777">
            <w:pPr>
              <w:widowControl/>
              <w:jc w:val="center"/>
              <w:rPr>
                <w:rFonts w:ascii="Calibri" w:hAnsi="Calibri" w:cs="Calibri"/>
                <w:snapToGrid/>
                <w:kern w:val="0"/>
                <w:szCs w:val="22"/>
              </w:rPr>
            </w:pPr>
            <w:r w:rsidRPr="00A032ED">
              <w:rPr>
                <w:rFonts w:ascii="Calibri" w:hAnsi="Calibri" w:cs="Calibri"/>
                <w:snapToGrid/>
                <w:kern w:val="0"/>
                <w:szCs w:val="22"/>
              </w:rPr>
              <w:t>WGEM-TV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3061E0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333,383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CBC169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$2,408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6BB835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2AA440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$3,429 </w:t>
            </w:r>
          </w:p>
        </w:tc>
        <w:tc>
          <w:tcPr>
            <w:tcW w:w="266" w:type="dxa"/>
            <w:tcBorders>
              <w:top w:val="nil"/>
              <w:left w:val="nil"/>
              <w:bottom w:val="nil"/>
              <w:right w:val="nil"/>
            </w:tcBorders>
            <w:shd w:val="clear" w:color="auto" w:fill="auto"/>
            <w:noWrap/>
            <w:vAlign w:val="bottom"/>
            <w:hideMark/>
          </w:tcPr>
          <w:p w:rsidR="006F7AD6" w:rsidRPr="00A032ED" w:rsidP="00886011" w14:paraId="090156FB"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3728DC3" w14:textId="77777777">
            <w:pPr>
              <w:widowControl/>
              <w:jc w:val="center"/>
              <w:rPr>
                <w:rFonts w:ascii="Calibri" w:hAnsi="Calibri" w:cs="Calibri"/>
                <w:snapToGrid/>
                <w:kern w:val="0"/>
                <w:szCs w:val="22"/>
              </w:rPr>
            </w:pPr>
            <w:r w:rsidRPr="00A032ED">
              <w:rPr>
                <w:rFonts w:ascii="Calibri" w:hAnsi="Calibri" w:cs="Calibri"/>
                <w:snapToGrid/>
                <w:kern w:val="0"/>
                <w:szCs w:val="22"/>
              </w:rPr>
              <w:t>WHNT-TV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CB53C9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1,569,885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FE35DE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$11,341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0954A7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A56AD3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$12,446 </w:t>
            </w:r>
          </w:p>
        </w:tc>
      </w:tr>
      <w:tr w14:paraId="5C466C49"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AC044E6" w14:textId="77777777">
            <w:pPr>
              <w:widowControl/>
              <w:jc w:val="center"/>
              <w:rPr>
                <w:rFonts w:ascii="Calibri" w:hAnsi="Calibri" w:cs="Calibri"/>
                <w:snapToGrid/>
                <w:kern w:val="0"/>
                <w:szCs w:val="22"/>
              </w:rPr>
            </w:pPr>
            <w:r w:rsidRPr="00A032ED">
              <w:rPr>
                <w:rFonts w:ascii="Calibri" w:hAnsi="Calibri" w:cs="Calibri"/>
                <w:snapToGrid/>
                <w:kern w:val="0"/>
                <w:szCs w:val="22"/>
              </w:rPr>
              <w:t>WGEN-TV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D1FED4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43,037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CDE2F0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$311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2BE296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4465D4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$20,493 </w:t>
            </w:r>
          </w:p>
        </w:tc>
        <w:tc>
          <w:tcPr>
            <w:tcW w:w="266" w:type="dxa"/>
            <w:tcBorders>
              <w:top w:val="nil"/>
              <w:left w:val="nil"/>
              <w:bottom w:val="nil"/>
              <w:right w:val="nil"/>
            </w:tcBorders>
            <w:shd w:val="clear" w:color="auto" w:fill="auto"/>
            <w:noWrap/>
            <w:vAlign w:val="bottom"/>
            <w:hideMark/>
          </w:tcPr>
          <w:p w:rsidR="006F7AD6" w:rsidRPr="00A032ED" w:rsidP="00886011" w14:paraId="5A757456"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6FCF7A2" w14:textId="77777777">
            <w:pPr>
              <w:widowControl/>
              <w:jc w:val="center"/>
              <w:rPr>
                <w:rFonts w:ascii="Calibri" w:hAnsi="Calibri" w:cs="Calibri"/>
                <w:snapToGrid/>
                <w:kern w:val="0"/>
                <w:szCs w:val="22"/>
              </w:rPr>
            </w:pPr>
            <w:r w:rsidRPr="00A032ED">
              <w:rPr>
                <w:rFonts w:ascii="Calibri" w:hAnsi="Calibri" w:cs="Calibri"/>
                <w:snapToGrid/>
                <w:kern w:val="0"/>
                <w:szCs w:val="22"/>
              </w:rPr>
              <w:t>WHO-DT</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1B4ED6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1,151,807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503487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$8,321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9FF560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394BDE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$10,936 </w:t>
            </w:r>
          </w:p>
        </w:tc>
      </w:tr>
      <w:tr w14:paraId="1A5FCA15"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4B501CA" w14:textId="77777777">
            <w:pPr>
              <w:widowControl/>
              <w:jc w:val="center"/>
              <w:rPr>
                <w:rFonts w:ascii="Calibri" w:hAnsi="Calibri" w:cs="Calibri"/>
                <w:snapToGrid/>
                <w:kern w:val="0"/>
                <w:szCs w:val="22"/>
              </w:rPr>
            </w:pPr>
            <w:r w:rsidRPr="00A032ED">
              <w:rPr>
                <w:rFonts w:ascii="Calibri" w:hAnsi="Calibri" w:cs="Calibri"/>
                <w:snapToGrid/>
                <w:kern w:val="0"/>
                <w:szCs w:val="22"/>
              </w:rPr>
              <w:t>WGFL</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F1270F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759,234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1853BC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$5,485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F531F0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2DA324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$4,967 </w:t>
            </w:r>
          </w:p>
        </w:tc>
        <w:tc>
          <w:tcPr>
            <w:tcW w:w="266" w:type="dxa"/>
            <w:tcBorders>
              <w:top w:val="nil"/>
              <w:left w:val="nil"/>
              <w:bottom w:val="nil"/>
              <w:right w:val="nil"/>
            </w:tcBorders>
            <w:shd w:val="clear" w:color="auto" w:fill="auto"/>
            <w:noWrap/>
            <w:vAlign w:val="bottom"/>
            <w:hideMark/>
          </w:tcPr>
          <w:p w:rsidR="006F7AD6" w:rsidRPr="00A032ED" w:rsidP="00886011" w14:paraId="67C8826C"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24049E5" w14:textId="77777777">
            <w:pPr>
              <w:widowControl/>
              <w:jc w:val="center"/>
              <w:rPr>
                <w:rFonts w:ascii="Calibri" w:hAnsi="Calibri" w:cs="Calibri"/>
                <w:snapToGrid/>
                <w:kern w:val="0"/>
                <w:szCs w:val="22"/>
              </w:rPr>
            </w:pPr>
            <w:r w:rsidRPr="00A032ED">
              <w:rPr>
                <w:rFonts w:ascii="Calibri" w:hAnsi="Calibri" w:cs="Calibri"/>
                <w:snapToGrid/>
                <w:kern w:val="0"/>
                <w:szCs w:val="22"/>
              </w:rPr>
              <w:t>WHOI</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75F95C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679,446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902E1D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$4,909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E9EE56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0D444C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$4,679 </w:t>
            </w:r>
          </w:p>
        </w:tc>
      </w:tr>
      <w:tr w14:paraId="426CBD64"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7D8533B" w14:textId="77777777">
            <w:pPr>
              <w:widowControl/>
              <w:jc w:val="center"/>
              <w:rPr>
                <w:rFonts w:ascii="Calibri" w:hAnsi="Calibri" w:cs="Calibri"/>
                <w:snapToGrid/>
                <w:kern w:val="0"/>
                <w:szCs w:val="22"/>
              </w:rPr>
            </w:pPr>
            <w:r w:rsidRPr="00A032ED">
              <w:rPr>
                <w:rFonts w:ascii="Calibri" w:hAnsi="Calibri" w:cs="Calibri"/>
                <w:snapToGrid/>
                <w:kern w:val="0"/>
                <w:szCs w:val="22"/>
              </w:rPr>
              <w:t>WGGB-TV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0FDE2D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3,443,447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6F414D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$24,877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CD15C7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6D6316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$14,663 </w:t>
            </w:r>
          </w:p>
        </w:tc>
        <w:tc>
          <w:tcPr>
            <w:tcW w:w="266" w:type="dxa"/>
            <w:tcBorders>
              <w:top w:val="nil"/>
              <w:left w:val="nil"/>
              <w:bottom w:val="nil"/>
              <w:right w:val="nil"/>
            </w:tcBorders>
            <w:shd w:val="clear" w:color="auto" w:fill="auto"/>
            <w:noWrap/>
            <w:vAlign w:val="bottom"/>
            <w:hideMark/>
          </w:tcPr>
          <w:p w:rsidR="006F7AD6" w:rsidRPr="00A032ED" w:rsidP="00886011" w14:paraId="523312EA"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C697F91" w14:textId="77777777">
            <w:pPr>
              <w:widowControl/>
              <w:jc w:val="center"/>
              <w:rPr>
                <w:rFonts w:ascii="Calibri" w:hAnsi="Calibri" w:cs="Calibri"/>
                <w:snapToGrid/>
                <w:kern w:val="0"/>
                <w:szCs w:val="22"/>
              </w:rPr>
            </w:pPr>
            <w:r w:rsidRPr="00A032ED">
              <w:rPr>
                <w:rFonts w:ascii="Calibri" w:hAnsi="Calibri" w:cs="Calibri"/>
                <w:snapToGrid/>
                <w:kern w:val="0"/>
                <w:szCs w:val="22"/>
              </w:rPr>
              <w:t>WHP-TV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64F880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3,046,418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421A69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$22,008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A01D8D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3E850B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$24,579 </w:t>
            </w:r>
          </w:p>
        </w:tc>
      </w:tr>
      <w:tr w14:paraId="6779BD15"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0AA816A" w14:textId="77777777">
            <w:pPr>
              <w:widowControl/>
              <w:jc w:val="center"/>
              <w:rPr>
                <w:rFonts w:ascii="Calibri" w:hAnsi="Calibri" w:cs="Calibri"/>
                <w:snapToGrid/>
                <w:kern w:val="0"/>
                <w:szCs w:val="22"/>
              </w:rPr>
            </w:pPr>
            <w:r w:rsidRPr="00A032ED">
              <w:rPr>
                <w:rFonts w:ascii="Calibri" w:hAnsi="Calibri" w:cs="Calibri"/>
                <w:snapToGrid/>
                <w:kern w:val="0"/>
                <w:szCs w:val="22"/>
              </w:rPr>
              <w:t>WGHP</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833A26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3,774,522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FEA8D5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$27,269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43DB58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E69AAD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$27,209 </w:t>
            </w:r>
          </w:p>
        </w:tc>
        <w:tc>
          <w:tcPr>
            <w:tcW w:w="266" w:type="dxa"/>
            <w:tcBorders>
              <w:top w:val="nil"/>
              <w:left w:val="nil"/>
              <w:bottom w:val="nil"/>
              <w:right w:val="nil"/>
            </w:tcBorders>
            <w:shd w:val="clear" w:color="auto" w:fill="auto"/>
            <w:noWrap/>
            <w:vAlign w:val="bottom"/>
            <w:hideMark/>
          </w:tcPr>
          <w:p w:rsidR="006F7AD6" w:rsidRPr="00A032ED" w:rsidP="00886011" w14:paraId="66CD1B01"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591E814" w14:textId="77777777">
            <w:pPr>
              <w:widowControl/>
              <w:jc w:val="center"/>
              <w:rPr>
                <w:rFonts w:ascii="Calibri" w:hAnsi="Calibri" w:cs="Calibri"/>
                <w:snapToGrid/>
                <w:kern w:val="0"/>
                <w:szCs w:val="22"/>
              </w:rPr>
            </w:pPr>
            <w:r w:rsidRPr="00A032ED">
              <w:rPr>
                <w:rFonts w:ascii="Calibri" w:hAnsi="Calibri" w:cs="Calibri"/>
                <w:snapToGrid/>
                <w:kern w:val="0"/>
                <w:szCs w:val="22"/>
              </w:rPr>
              <w:t>WHPX-TV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98124A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4,851,563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A66F46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$35,049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ABAEAE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FD3B2A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$31,100 </w:t>
            </w:r>
          </w:p>
        </w:tc>
      </w:tr>
      <w:tr w14:paraId="0227677E"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457B79A" w14:textId="77777777">
            <w:pPr>
              <w:widowControl/>
              <w:jc w:val="center"/>
              <w:rPr>
                <w:rFonts w:ascii="Calibri" w:hAnsi="Calibri" w:cs="Calibri"/>
                <w:snapToGrid/>
                <w:kern w:val="0"/>
                <w:szCs w:val="22"/>
              </w:rPr>
            </w:pPr>
            <w:r w:rsidRPr="00A032ED">
              <w:rPr>
                <w:rFonts w:ascii="Calibri" w:hAnsi="Calibri" w:cs="Calibri"/>
                <w:snapToGrid/>
                <w:kern w:val="0"/>
                <w:szCs w:val="22"/>
              </w:rPr>
              <w:t>WGMB-TV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42B7B2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1,739,804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31FF90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$12,569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CA08EF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699F11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$13,059 </w:t>
            </w:r>
          </w:p>
        </w:tc>
        <w:tc>
          <w:tcPr>
            <w:tcW w:w="266" w:type="dxa"/>
            <w:tcBorders>
              <w:top w:val="nil"/>
              <w:left w:val="nil"/>
              <w:bottom w:val="nil"/>
              <w:right w:val="nil"/>
            </w:tcBorders>
            <w:shd w:val="clear" w:color="auto" w:fill="auto"/>
            <w:noWrap/>
            <w:vAlign w:val="bottom"/>
            <w:hideMark/>
          </w:tcPr>
          <w:p w:rsidR="006F7AD6" w:rsidRPr="00A032ED" w:rsidP="00886011" w14:paraId="0AC24118"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947EB71" w14:textId="77777777">
            <w:pPr>
              <w:widowControl/>
              <w:jc w:val="center"/>
              <w:rPr>
                <w:rFonts w:ascii="Calibri" w:hAnsi="Calibri" w:cs="Calibri"/>
                <w:snapToGrid/>
                <w:kern w:val="0"/>
                <w:szCs w:val="22"/>
              </w:rPr>
            </w:pPr>
            <w:r w:rsidRPr="00A032ED">
              <w:rPr>
                <w:rFonts w:ascii="Calibri" w:hAnsi="Calibri" w:cs="Calibri"/>
                <w:snapToGrid/>
                <w:kern w:val="0"/>
                <w:szCs w:val="22"/>
              </w:rPr>
              <w:t>WHSV-TV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72030F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206,445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902F7D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$1,491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1EB3FA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8F60B9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$2,971 </w:t>
            </w:r>
          </w:p>
        </w:tc>
      </w:tr>
      <w:tr w14:paraId="55A9A571"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CB9F2C3" w14:textId="77777777">
            <w:pPr>
              <w:widowControl/>
              <w:jc w:val="center"/>
              <w:rPr>
                <w:rFonts w:ascii="Calibri" w:hAnsi="Calibri" w:cs="Calibri"/>
                <w:snapToGrid/>
                <w:kern w:val="0"/>
                <w:szCs w:val="22"/>
              </w:rPr>
            </w:pPr>
            <w:r w:rsidRPr="00A032ED">
              <w:rPr>
                <w:rFonts w:ascii="Calibri" w:hAnsi="Calibri" w:cs="Calibri"/>
                <w:snapToGrid/>
                <w:kern w:val="0"/>
                <w:szCs w:val="22"/>
              </w:rPr>
              <w:t>WGME-TV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4A3003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1,308,896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C4BA1C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$9,456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C8B50A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7A1D0F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$11,503 </w:t>
            </w:r>
          </w:p>
        </w:tc>
        <w:tc>
          <w:tcPr>
            <w:tcW w:w="266" w:type="dxa"/>
            <w:tcBorders>
              <w:top w:val="nil"/>
              <w:left w:val="nil"/>
              <w:bottom w:val="nil"/>
              <w:right w:val="nil"/>
            </w:tcBorders>
            <w:shd w:val="clear" w:color="auto" w:fill="auto"/>
            <w:noWrap/>
            <w:vAlign w:val="bottom"/>
            <w:hideMark/>
          </w:tcPr>
          <w:p w:rsidR="006F7AD6" w:rsidRPr="00A032ED" w:rsidP="00886011" w14:paraId="25DA5359"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3BC38FA" w14:textId="77777777">
            <w:pPr>
              <w:widowControl/>
              <w:jc w:val="center"/>
              <w:rPr>
                <w:rFonts w:ascii="Calibri" w:hAnsi="Calibri" w:cs="Calibri"/>
                <w:snapToGrid/>
                <w:kern w:val="0"/>
                <w:szCs w:val="22"/>
              </w:rPr>
            </w:pPr>
            <w:r w:rsidRPr="00A032ED">
              <w:rPr>
                <w:rFonts w:ascii="Calibri" w:hAnsi="Calibri" w:cs="Calibri"/>
                <w:snapToGrid/>
                <w:kern w:val="0"/>
                <w:szCs w:val="22"/>
              </w:rPr>
              <w:t>WHTM-TV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6E298C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2,829,585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E0BC87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$20,442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5170DC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07723E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$23,796 </w:t>
            </w:r>
          </w:p>
        </w:tc>
      </w:tr>
      <w:tr w14:paraId="2574CCF5"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83CCD4B" w14:textId="77777777">
            <w:pPr>
              <w:widowControl/>
              <w:jc w:val="center"/>
              <w:rPr>
                <w:rFonts w:ascii="Calibri" w:hAnsi="Calibri" w:cs="Calibri"/>
                <w:snapToGrid/>
                <w:kern w:val="0"/>
                <w:szCs w:val="22"/>
              </w:rPr>
            </w:pPr>
            <w:r w:rsidRPr="00A032ED">
              <w:rPr>
                <w:rFonts w:ascii="Calibri" w:hAnsi="Calibri" w:cs="Calibri"/>
                <w:snapToGrid/>
                <w:kern w:val="0"/>
                <w:szCs w:val="22"/>
              </w:rPr>
              <w:t>WGNO</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F9CB00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1,641,765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918F69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$11,861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DB8219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BECB26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$19,505 </w:t>
            </w:r>
          </w:p>
        </w:tc>
        <w:tc>
          <w:tcPr>
            <w:tcW w:w="266" w:type="dxa"/>
            <w:tcBorders>
              <w:top w:val="nil"/>
              <w:left w:val="nil"/>
              <w:bottom w:val="nil"/>
              <w:right w:val="nil"/>
            </w:tcBorders>
            <w:shd w:val="clear" w:color="auto" w:fill="auto"/>
            <w:noWrap/>
            <w:vAlign w:val="bottom"/>
            <w:hideMark/>
          </w:tcPr>
          <w:p w:rsidR="006F7AD6" w:rsidRPr="00A032ED" w:rsidP="00886011" w14:paraId="72852DD9"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A3CD796" w14:textId="77777777">
            <w:pPr>
              <w:widowControl/>
              <w:jc w:val="center"/>
              <w:rPr>
                <w:rFonts w:ascii="Calibri" w:hAnsi="Calibri" w:cs="Calibri"/>
                <w:snapToGrid/>
                <w:kern w:val="0"/>
                <w:szCs w:val="22"/>
              </w:rPr>
            </w:pPr>
            <w:r w:rsidRPr="00A032ED">
              <w:rPr>
                <w:rFonts w:ascii="Calibri" w:hAnsi="Calibri" w:cs="Calibri"/>
                <w:snapToGrid/>
                <w:kern w:val="0"/>
                <w:szCs w:val="22"/>
              </w:rPr>
              <w:t>WHYY-TV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B279C2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10,379,045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99DD44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$74,982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6E5F21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E85936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$64,491 </w:t>
            </w:r>
          </w:p>
        </w:tc>
      </w:tr>
      <w:tr w14:paraId="1AF1144E"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CE7941F" w14:textId="77777777">
            <w:pPr>
              <w:widowControl/>
              <w:jc w:val="center"/>
              <w:rPr>
                <w:rFonts w:ascii="Calibri" w:hAnsi="Calibri" w:cs="Calibri"/>
                <w:snapToGrid/>
                <w:kern w:val="0"/>
                <w:szCs w:val="22"/>
              </w:rPr>
            </w:pPr>
            <w:r w:rsidRPr="00A032ED">
              <w:rPr>
                <w:rFonts w:ascii="Calibri" w:hAnsi="Calibri" w:cs="Calibri"/>
                <w:snapToGrid/>
                <w:kern w:val="0"/>
                <w:szCs w:val="22"/>
              </w:rPr>
              <w:t>WGNT</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B2A16D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1,875,612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8BA3A8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B64F8E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BADB34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$20,350 </w:t>
            </w:r>
          </w:p>
        </w:tc>
        <w:tc>
          <w:tcPr>
            <w:tcW w:w="266" w:type="dxa"/>
            <w:tcBorders>
              <w:top w:val="nil"/>
              <w:left w:val="nil"/>
              <w:bottom w:val="nil"/>
              <w:right w:val="nil"/>
            </w:tcBorders>
            <w:shd w:val="clear" w:color="auto" w:fill="auto"/>
            <w:noWrap/>
            <w:vAlign w:val="bottom"/>
            <w:hideMark/>
          </w:tcPr>
          <w:p w:rsidR="006F7AD6" w:rsidRPr="00A032ED" w:rsidP="00886011" w14:paraId="71C359EC"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E5D963D" w14:textId="77777777">
            <w:pPr>
              <w:widowControl/>
              <w:jc w:val="center"/>
              <w:rPr>
                <w:rFonts w:ascii="Calibri" w:hAnsi="Calibri" w:cs="Calibri"/>
                <w:snapToGrid/>
                <w:kern w:val="0"/>
                <w:szCs w:val="22"/>
              </w:rPr>
            </w:pPr>
            <w:r w:rsidRPr="00A032ED">
              <w:rPr>
                <w:rFonts w:ascii="Calibri" w:hAnsi="Calibri" w:cs="Calibri"/>
                <w:snapToGrid/>
                <w:kern w:val="0"/>
                <w:szCs w:val="22"/>
              </w:rPr>
              <w:t>WIAT</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759846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1,837,072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038CF4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$13,272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E741C7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776283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$20,211 </w:t>
            </w:r>
          </w:p>
        </w:tc>
      </w:tr>
      <w:tr w14:paraId="5E78B63E"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DA4BDC4" w14:textId="77777777">
            <w:pPr>
              <w:widowControl/>
              <w:jc w:val="center"/>
              <w:rPr>
                <w:rFonts w:ascii="Calibri" w:hAnsi="Calibri" w:cs="Calibri"/>
                <w:snapToGrid/>
                <w:kern w:val="0"/>
                <w:szCs w:val="22"/>
              </w:rPr>
            </w:pPr>
            <w:r w:rsidRPr="00A032ED">
              <w:rPr>
                <w:rFonts w:ascii="Calibri" w:hAnsi="Calibri" w:cs="Calibri"/>
                <w:snapToGrid/>
                <w:kern w:val="0"/>
                <w:szCs w:val="22"/>
              </w:rPr>
              <w:t>WGN-TV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410E25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9,942,959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6C8112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$71,832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446CE1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B5C7EA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$62,916 </w:t>
            </w:r>
          </w:p>
        </w:tc>
        <w:tc>
          <w:tcPr>
            <w:tcW w:w="266" w:type="dxa"/>
            <w:tcBorders>
              <w:top w:val="nil"/>
              <w:left w:val="nil"/>
              <w:bottom w:val="nil"/>
              <w:right w:val="nil"/>
            </w:tcBorders>
            <w:shd w:val="clear" w:color="auto" w:fill="auto"/>
            <w:noWrap/>
            <w:vAlign w:val="bottom"/>
            <w:hideMark/>
          </w:tcPr>
          <w:p w:rsidR="006F7AD6" w:rsidRPr="00A032ED" w:rsidP="00886011" w14:paraId="4672A427"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71058D1" w14:textId="77777777">
            <w:pPr>
              <w:widowControl/>
              <w:jc w:val="center"/>
              <w:rPr>
                <w:rFonts w:ascii="Calibri" w:hAnsi="Calibri" w:cs="Calibri"/>
                <w:snapToGrid/>
                <w:kern w:val="0"/>
                <w:szCs w:val="22"/>
              </w:rPr>
            </w:pPr>
            <w:r w:rsidRPr="00A032ED">
              <w:rPr>
                <w:rFonts w:ascii="Calibri" w:hAnsi="Calibri" w:cs="Calibri"/>
                <w:snapToGrid/>
                <w:kern w:val="0"/>
                <w:szCs w:val="22"/>
              </w:rPr>
              <w:t>WIBW-TV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92C0BF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1,089,708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9D2D0F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$7,872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7A8CC8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1BB6E0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$6,161 </w:t>
            </w:r>
          </w:p>
        </w:tc>
      </w:tr>
      <w:tr w14:paraId="76FCD918"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7F44F19" w14:textId="77777777">
            <w:pPr>
              <w:widowControl/>
              <w:jc w:val="center"/>
              <w:rPr>
                <w:rFonts w:ascii="Calibri" w:hAnsi="Calibri" w:cs="Calibri"/>
                <w:snapToGrid/>
                <w:kern w:val="0"/>
                <w:szCs w:val="22"/>
              </w:rPr>
            </w:pPr>
            <w:r w:rsidRPr="00A032ED">
              <w:rPr>
                <w:rFonts w:ascii="Calibri" w:hAnsi="Calibri" w:cs="Calibri"/>
                <w:snapToGrid/>
                <w:kern w:val="0"/>
                <w:szCs w:val="22"/>
              </w:rPr>
              <w:t>WGPX-TV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28B657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1,952,062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8C0A24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$14,102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11F71E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E60EC5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$20,626 </w:t>
            </w:r>
          </w:p>
        </w:tc>
        <w:tc>
          <w:tcPr>
            <w:tcW w:w="266" w:type="dxa"/>
            <w:tcBorders>
              <w:top w:val="nil"/>
              <w:left w:val="nil"/>
              <w:bottom w:val="nil"/>
              <w:right w:val="nil"/>
            </w:tcBorders>
            <w:shd w:val="clear" w:color="auto" w:fill="auto"/>
            <w:noWrap/>
            <w:vAlign w:val="bottom"/>
            <w:hideMark/>
          </w:tcPr>
          <w:p w:rsidR="006F7AD6" w:rsidRPr="00A032ED" w:rsidP="00886011" w14:paraId="77581F32"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AB1AD97" w14:textId="77777777">
            <w:pPr>
              <w:widowControl/>
              <w:jc w:val="center"/>
              <w:rPr>
                <w:rFonts w:ascii="Calibri" w:hAnsi="Calibri" w:cs="Calibri"/>
                <w:snapToGrid/>
                <w:kern w:val="0"/>
                <w:szCs w:val="22"/>
              </w:rPr>
            </w:pPr>
            <w:r w:rsidRPr="00A032ED">
              <w:rPr>
                <w:rFonts w:ascii="Calibri" w:hAnsi="Calibri" w:cs="Calibri"/>
                <w:snapToGrid/>
                <w:kern w:val="0"/>
                <w:szCs w:val="22"/>
              </w:rPr>
              <w:t>WICD</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D5D270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1,238,332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9AF726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$8,946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AC526C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86E353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$11,248 </w:t>
            </w:r>
          </w:p>
        </w:tc>
      </w:tr>
      <w:tr w14:paraId="5329E68D"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D21648E" w14:textId="77777777">
            <w:pPr>
              <w:widowControl/>
              <w:jc w:val="center"/>
              <w:rPr>
                <w:rFonts w:ascii="Calibri" w:hAnsi="Calibri" w:cs="Calibri"/>
                <w:snapToGrid/>
                <w:kern w:val="0"/>
                <w:szCs w:val="22"/>
              </w:rPr>
            </w:pPr>
            <w:r w:rsidRPr="00A032ED">
              <w:rPr>
                <w:rFonts w:ascii="Calibri" w:hAnsi="Calibri" w:cs="Calibri"/>
                <w:snapToGrid/>
                <w:kern w:val="0"/>
                <w:szCs w:val="22"/>
              </w:rPr>
              <w:t>WGRZ</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51B78B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1,878,725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9F3229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$13,573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F826BA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96877A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$13,561 </w:t>
            </w:r>
          </w:p>
        </w:tc>
        <w:tc>
          <w:tcPr>
            <w:tcW w:w="266" w:type="dxa"/>
            <w:tcBorders>
              <w:top w:val="nil"/>
              <w:left w:val="nil"/>
              <w:bottom w:val="nil"/>
              <w:right w:val="nil"/>
            </w:tcBorders>
            <w:shd w:val="clear" w:color="auto" w:fill="auto"/>
            <w:noWrap/>
            <w:vAlign w:val="bottom"/>
            <w:hideMark/>
          </w:tcPr>
          <w:p w:rsidR="006F7AD6" w:rsidRPr="00A032ED" w:rsidP="00886011" w14:paraId="77C30BEB"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0AD36CD" w14:textId="77777777">
            <w:pPr>
              <w:widowControl/>
              <w:jc w:val="center"/>
              <w:rPr>
                <w:rFonts w:ascii="Calibri" w:hAnsi="Calibri" w:cs="Calibri"/>
                <w:snapToGrid/>
                <w:kern w:val="0"/>
                <w:szCs w:val="22"/>
              </w:rPr>
            </w:pPr>
            <w:r w:rsidRPr="00A032ED">
              <w:rPr>
                <w:rFonts w:ascii="Calibri" w:hAnsi="Calibri" w:cs="Calibri"/>
                <w:snapToGrid/>
                <w:kern w:val="0"/>
                <w:szCs w:val="22"/>
              </w:rPr>
              <w:t>WICS</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01C16D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1,011,833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0A4EAB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$7,310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1CCE8D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D0E283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$10,430 </w:t>
            </w:r>
          </w:p>
        </w:tc>
      </w:tr>
      <w:tr w14:paraId="58052A6F"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97E92F5" w14:textId="77777777">
            <w:pPr>
              <w:widowControl/>
              <w:jc w:val="center"/>
              <w:rPr>
                <w:rFonts w:ascii="Calibri" w:hAnsi="Calibri" w:cs="Calibri"/>
                <w:snapToGrid/>
                <w:kern w:val="0"/>
                <w:szCs w:val="22"/>
              </w:rPr>
            </w:pPr>
            <w:r w:rsidRPr="00A032ED">
              <w:rPr>
                <w:rFonts w:ascii="Calibri" w:hAnsi="Calibri" w:cs="Calibri"/>
                <w:snapToGrid/>
                <w:kern w:val="0"/>
                <w:szCs w:val="22"/>
              </w:rPr>
              <w:t>WGTA</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7D86B6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1,061,654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49D940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$7,670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C43C3A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EB6B17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$30,835 </w:t>
            </w:r>
          </w:p>
        </w:tc>
        <w:tc>
          <w:tcPr>
            <w:tcW w:w="266" w:type="dxa"/>
            <w:tcBorders>
              <w:top w:val="nil"/>
              <w:left w:val="nil"/>
              <w:bottom w:val="nil"/>
              <w:right w:val="nil"/>
            </w:tcBorders>
            <w:shd w:val="clear" w:color="auto" w:fill="auto"/>
            <w:noWrap/>
            <w:vAlign w:val="bottom"/>
            <w:hideMark/>
          </w:tcPr>
          <w:p w:rsidR="006F7AD6" w:rsidRPr="00A032ED" w:rsidP="00886011" w14:paraId="21C31878"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48E7F32" w14:textId="77777777">
            <w:pPr>
              <w:widowControl/>
              <w:jc w:val="center"/>
              <w:rPr>
                <w:rFonts w:ascii="Calibri" w:hAnsi="Calibri" w:cs="Calibri"/>
                <w:snapToGrid/>
                <w:kern w:val="0"/>
                <w:szCs w:val="22"/>
              </w:rPr>
            </w:pPr>
            <w:r w:rsidRPr="00A032ED">
              <w:rPr>
                <w:rFonts w:ascii="Calibri" w:hAnsi="Calibri" w:cs="Calibri"/>
                <w:snapToGrid/>
                <w:kern w:val="0"/>
                <w:szCs w:val="22"/>
              </w:rPr>
              <w:t>WICU-TV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9B2859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716,630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0BAF4C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$5,177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F4E305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5A0771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$4,814 </w:t>
            </w:r>
          </w:p>
        </w:tc>
      </w:tr>
      <w:tr w14:paraId="6E0A64C7"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939BAF1" w14:textId="77777777">
            <w:pPr>
              <w:widowControl/>
              <w:jc w:val="center"/>
              <w:rPr>
                <w:rFonts w:ascii="Calibri" w:hAnsi="Calibri" w:cs="Calibri"/>
                <w:snapToGrid/>
                <w:kern w:val="0"/>
                <w:szCs w:val="22"/>
              </w:rPr>
            </w:pPr>
            <w:r w:rsidRPr="00A032ED">
              <w:rPr>
                <w:rFonts w:ascii="Calibri" w:hAnsi="Calibri" w:cs="Calibri"/>
                <w:snapToGrid/>
                <w:kern w:val="0"/>
                <w:szCs w:val="22"/>
              </w:rPr>
              <w:t>WGTQ</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6C5887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95,618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312148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$691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7AB49B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137481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$2,570 </w:t>
            </w:r>
          </w:p>
        </w:tc>
        <w:tc>
          <w:tcPr>
            <w:tcW w:w="266" w:type="dxa"/>
            <w:tcBorders>
              <w:top w:val="nil"/>
              <w:left w:val="nil"/>
              <w:bottom w:val="nil"/>
              <w:right w:val="nil"/>
            </w:tcBorders>
            <w:shd w:val="clear" w:color="auto" w:fill="auto"/>
            <w:noWrap/>
            <w:vAlign w:val="bottom"/>
            <w:hideMark/>
          </w:tcPr>
          <w:p w:rsidR="006F7AD6" w:rsidRPr="00A032ED" w:rsidP="00886011" w14:paraId="20D69CEA"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44E73B4" w14:textId="77777777">
            <w:pPr>
              <w:widowControl/>
              <w:jc w:val="center"/>
              <w:rPr>
                <w:rFonts w:ascii="Calibri" w:hAnsi="Calibri" w:cs="Calibri"/>
                <w:snapToGrid/>
                <w:kern w:val="0"/>
                <w:szCs w:val="22"/>
              </w:rPr>
            </w:pPr>
            <w:r w:rsidRPr="00A032ED">
              <w:rPr>
                <w:rFonts w:ascii="Calibri" w:hAnsi="Calibri" w:cs="Calibri"/>
                <w:snapToGrid/>
                <w:kern w:val="0"/>
                <w:szCs w:val="22"/>
              </w:rPr>
              <w:t>WICZ-TV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0B9B12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976,771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ECE338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$7,057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79BC6B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E2434C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$5,753 </w:t>
            </w:r>
          </w:p>
        </w:tc>
      </w:tr>
      <w:tr w14:paraId="32B8C36B"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FC90B00" w14:textId="77777777">
            <w:pPr>
              <w:widowControl/>
              <w:jc w:val="center"/>
              <w:rPr>
                <w:rFonts w:ascii="Calibri" w:hAnsi="Calibri" w:cs="Calibri"/>
                <w:snapToGrid/>
                <w:kern w:val="0"/>
                <w:szCs w:val="22"/>
              </w:rPr>
            </w:pPr>
            <w:r w:rsidRPr="00A032ED">
              <w:rPr>
                <w:rFonts w:ascii="Calibri" w:hAnsi="Calibri" w:cs="Calibri"/>
                <w:snapToGrid/>
                <w:kern w:val="0"/>
                <w:szCs w:val="22"/>
              </w:rPr>
              <w:t>WGTU</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EB7B74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358,543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8FEBBB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$2,590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F7439D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8DAD4B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$3,520 </w:t>
            </w:r>
          </w:p>
        </w:tc>
        <w:tc>
          <w:tcPr>
            <w:tcW w:w="266" w:type="dxa"/>
            <w:tcBorders>
              <w:top w:val="nil"/>
              <w:left w:val="nil"/>
              <w:bottom w:val="nil"/>
              <w:right w:val="nil"/>
            </w:tcBorders>
            <w:shd w:val="clear" w:color="auto" w:fill="auto"/>
            <w:noWrap/>
            <w:vAlign w:val="bottom"/>
            <w:hideMark/>
          </w:tcPr>
          <w:p w:rsidR="006F7AD6" w:rsidRPr="00A032ED" w:rsidP="00886011" w14:paraId="7E1EC5B1"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D932270" w14:textId="77777777">
            <w:pPr>
              <w:widowControl/>
              <w:jc w:val="center"/>
              <w:rPr>
                <w:rFonts w:ascii="Calibri" w:hAnsi="Calibri" w:cs="Calibri"/>
                <w:snapToGrid/>
                <w:kern w:val="0"/>
                <w:szCs w:val="22"/>
              </w:rPr>
            </w:pPr>
            <w:r w:rsidRPr="00A032ED">
              <w:rPr>
                <w:rFonts w:ascii="Calibri" w:hAnsi="Calibri" w:cs="Calibri"/>
                <w:snapToGrid/>
                <w:kern w:val="0"/>
                <w:szCs w:val="22"/>
              </w:rPr>
              <w:t>WIDP</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09D2EB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2,559,306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916822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$18,489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F8B807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5CCF3F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$11,470 </w:t>
            </w:r>
          </w:p>
        </w:tc>
      </w:tr>
      <w:tr w14:paraId="1C6000F6"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52DB48A" w14:textId="77777777">
            <w:pPr>
              <w:widowControl/>
              <w:jc w:val="center"/>
              <w:rPr>
                <w:rFonts w:ascii="Calibri" w:hAnsi="Calibri" w:cs="Calibri"/>
                <w:snapToGrid/>
                <w:kern w:val="0"/>
                <w:szCs w:val="22"/>
              </w:rPr>
            </w:pPr>
            <w:r w:rsidRPr="00A032ED">
              <w:rPr>
                <w:rFonts w:ascii="Calibri" w:hAnsi="Calibri" w:cs="Calibri"/>
                <w:snapToGrid/>
                <w:kern w:val="0"/>
                <w:szCs w:val="22"/>
              </w:rPr>
              <w:t>WGWG</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573F5B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986,963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CA6306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$7,130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E9B4E1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71063A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$10,340 </w:t>
            </w:r>
          </w:p>
        </w:tc>
        <w:tc>
          <w:tcPr>
            <w:tcW w:w="266" w:type="dxa"/>
            <w:tcBorders>
              <w:top w:val="nil"/>
              <w:left w:val="nil"/>
              <w:bottom w:val="nil"/>
              <w:right w:val="nil"/>
            </w:tcBorders>
            <w:shd w:val="clear" w:color="auto" w:fill="auto"/>
            <w:noWrap/>
            <w:vAlign w:val="bottom"/>
            <w:hideMark/>
          </w:tcPr>
          <w:p w:rsidR="006F7AD6" w:rsidRPr="00A032ED" w:rsidP="00886011" w14:paraId="4ACC1BEB"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357D1D4" w14:textId="77777777">
            <w:pPr>
              <w:widowControl/>
              <w:jc w:val="center"/>
              <w:rPr>
                <w:rFonts w:ascii="Calibri" w:hAnsi="Calibri" w:cs="Calibri"/>
                <w:snapToGrid/>
                <w:kern w:val="0"/>
                <w:szCs w:val="22"/>
              </w:rPr>
            </w:pPr>
            <w:r w:rsidRPr="00A032ED">
              <w:rPr>
                <w:rFonts w:ascii="Calibri" w:hAnsi="Calibri" w:cs="Calibri"/>
                <w:snapToGrid/>
                <w:kern w:val="0"/>
                <w:szCs w:val="22"/>
              </w:rPr>
              <w:t>WIFS</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B19621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1,400,358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7D60A4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$10,117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954A5B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F668DE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$11,833 </w:t>
            </w:r>
          </w:p>
        </w:tc>
      </w:tr>
      <w:tr w14:paraId="76F36E8D"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A11B004" w14:textId="77777777">
            <w:pPr>
              <w:widowControl/>
              <w:jc w:val="center"/>
              <w:rPr>
                <w:rFonts w:ascii="Calibri" w:hAnsi="Calibri" w:cs="Calibri"/>
                <w:snapToGrid/>
                <w:kern w:val="0"/>
                <w:szCs w:val="22"/>
              </w:rPr>
            </w:pPr>
            <w:r w:rsidRPr="00A032ED">
              <w:rPr>
                <w:rFonts w:ascii="Calibri" w:hAnsi="Calibri" w:cs="Calibri"/>
                <w:snapToGrid/>
                <w:kern w:val="0"/>
                <w:szCs w:val="22"/>
              </w:rPr>
              <w:t>WGWW</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39A4A5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1,677,166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122D0F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$12,116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FB8242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650708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$19,633 </w:t>
            </w:r>
          </w:p>
        </w:tc>
        <w:tc>
          <w:tcPr>
            <w:tcW w:w="266" w:type="dxa"/>
            <w:tcBorders>
              <w:top w:val="nil"/>
              <w:left w:val="nil"/>
              <w:bottom w:val="nil"/>
              <w:right w:val="nil"/>
            </w:tcBorders>
            <w:shd w:val="clear" w:color="auto" w:fill="auto"/>
            <w:noWrap/>
            <w:vAlign w:val="bottom"/>
            <w:hideMark/>
          </w:tcPr>
          <w:p w:rsidR="006F7AD6" w:rsidRPr="00A032ED" w:rsidP="00886011" w14:paraId="26FA660E"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F29ED97" w14:textId="77777777">
            <w:pPr>
              <w:widowControl/>
              <w:jc w:val="center"/>
              <w:rPr>
                <w:rFonts w:ascii="Calibri" w:hAnsi="Calibri" w:cs="Calibri"/>
                <w:snapToGrid/>
                <w:kern w:val="0"/>
                <w:szCs w:val="22"/>
              </w:rPr>
            </w:pPr>
            <w:r w:rsidRPr="00A032ED">
              <w:rPr>
                <w:rFonts w:ascii="Calibri" w:hAnsi="Calibri" w:cs="Calibri"/>
                <w:snapToGrid/>
                <w:kern w:val="0"/>
                <w:szCs w:val="22"/>
              </w:rPr>
              <w:t>WILX-TV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68CB72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3,378,644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F5A882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$24,409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F2693E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6055DF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$14,429 </w:t>
            </w:r>
          </w:p>
        </w:tc>
      </w:tr>
      <w:tr w14:paraId="0A3A4B54"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3E5078A" w14:textId="77777777">
            <w:pPr>
              <w:widowControl/>
              <w:jc w:val="center"/>
              <w:rPr>
                <w:rFonts w:ascii="Calibri" w:hAnsi="Calibri" w:cs="Calibri"/>
                <w:snapToGrid/>
                <w:kern w:val="0"/>
                <w:szCs w:val="22"/>
              </w:rPr>
            </w:pPr>
            <w:r w:rsidRPr="00A032ED">
              <w:rPr>
                <w:rFonts w:ascii="Calibri" w:hAnsi="Calibri" w:cs="Calibri"/>
                <w:snapToGrid/>
                <w:kern w:val="0"/>
                <w:szCs w:val="22"/>
              </w:rPr>
              <w:t>WGXA</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45F1DC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759,936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005999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$5,490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1E1B78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B49A98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$4,970 </w:t>
            </w:r>
          </w:p>
        </w:tc>
        <w:tc>
          <w:tcPr>
            <w:tcW w:w="266" w:type="dxa"/>
            <w:tcBorders>
              <w:top w:val="nil"/>
              <w:left w:val="nil"/>
              <w:bottom w:val="nil"/>
              <w:right w:val="nil"/>
            </w:tcBorders>
            <w:shd w:val="clear" w:color="auto" w:fill="auto"/>
            <w:noWrap/>
            <w:vAlign w:val="bottom"/>
            <w:hideMark/>
          </w:tcPr>
          <w:p w:rsidR="006F7AD6" w:rsidRPr="00A032ED" w:rsidP="00886011" w14:paraId="13FA7053"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9B3DB6D" w14:textId="77777777">
            <w:pPr>
              <w:widowControl/>
              <w:jc w:val="center"/>
              <w:rPr>
                <w:rFonts w:ascii="Calibri" w:hAnsi="Calibri" w:cs="Calibri"/>
                <w:snapToGrid/>
                <w:kern w:val="0"/>
                <w:szCs w:val="22"/>
              </w:rPr>
            </w:pPr>
            <w:r w:rsidRPr="00A032ED">
              <w:rPr>
                <w:rFonts w:ascii="Calibri" w:hAnsi="Calibri" w:cs="Calibri"/>
                <w:snapToGrid/>
                <w:kern w:val="0"/>
                <w:szCs w:val="22"/>
              </w:rPr>
              <w:t>WINK-TV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3F58BB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1,851,105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DFD97E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$13,373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4B9BAD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4415A8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$13,462 </w:t>
            </w:r>
          </w:p>
        </w:tc>
      </w:tr>
      <w:tr w14:paraId="559B7684"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968932E" w14:textId="77777777">
            <w:pPr>
              <w:widowControl/>
              <w:jc w:val="center"/>
              <w:rPr>
                <w:rFonts w:ascii="Calibri" w:hAnsi="Calibri" w:cs="Calibri"/>
                <w:snapToGrid/>
                <w:kern w:val="0"/>
                <w:szCs w:val="22"/>
              </w:rPr>
            </w:pPr>
            <w:r w:rsidRPr="00A032ED">
              <w:rPr>
                <w:rFonts w:ascii="Calibri" w:hAnsi="Calibri" w:cs="Calibri"/>
                <w:snapToGrid/>
                <w:kern w:val="0"/>
                <w:szCs w:val="22"/>
              </w:rPr>
              <w:t>WHAM-TV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BE3385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1,323,785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6F5E39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$9,564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228B3E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E89960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$11,557 </w:t>
            </w:r>
          </w:p>
        </w:tc>
        <w:tc>
          <w:tcPr>
            <w:tcW w:w="266" w:type="dxa"/>
            <w:tcBorders>
              <w:top w:val="nil"/>
              <w:left w:val="nil"/>
              <w:bottom w:val="nil"/>
              <w:right w:val="nil"/>
            </w:tcBorders>
            <w:shd w:val="clear" w:color="auto" w:fill="auto"/>
            <w:noWrap/>
            <w:vAlign w:val="bottom"/>
            <w:hideMark/>
          </w:tcPr>
          <w:p w:rsidR="006F7AD6" w:rsidRPr="00A032ED" w:rsidP="00886011" w14:paraId="1F4D7BE9"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A976CA9" w14:textId="77777777">
            <w:pPr>
              <w:widowControl/>
              <w:jc w:val="center"/>
              <w:rPr>
                <w:rFonts w:ascii="Calibri" w:hAnsi="Calibri" w:cs="Calibri"/>
                <w:snapToGrid/>
                <w:kern w:val="0"/>
                <w:szCs w:val="22"/>
              </w:rPr>
            </w:pPr>
            <w:r w:rsidRPr="00A032ED">
              <w:rPr>
                <w:rFonts w:ascii="Calibri" w:hAnsi="Calibri" w:cs="Calibri"/>
                <w:snapToGrid/>
                <w:kern w:val="0"/>
                <w:szCs w:val="22"/>
              </w:rPr>
              <w:t>WINP-TV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E30997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2,804,646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97D214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$20,262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071BA7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60A564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$30,468 </w:t>
            </w:r>
          </w:p>
        </w:tc>
      </w:tr>
      <w:tr w14:paraId="62278BEA"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81E98AB" w14:textId="77777777">
            <w:pPr>
              <w:widowControl/>
              <w:jc w:val="center"/>
              <w:rPr>
                <w:rFonts w:ascii="Calibri" w:hAnsi="Calibri" w:cs="Calibri"/>
                <w:snapToGrid/>
                <w:kern w:val="0"/>
                <w:szCs w:val="22"/>
              </w:rPr>
            </w:pPr>
            <w:r w:rsidRPr="00A032ED">
              <w:rPr>
                <w:rFonts w:ascii="Calibri" w:hAnsi="Calibri" w:cs="Calibri"/>
                <w:snapToGrid/>
                <w:kern w:val="0"/>
                <w:szCs w:val="22"/>
              </w:rPr>
              <w:t>WHAS-TV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8D3B57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1,982,756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CE615F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$14,324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1E555E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61C9EE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$20,737 </w:t>
            </w:r>
          </w:p>
        </w:tc>
        <w:tc>
          <w:tcPr>
            <w:tcW w:w="266" w:type="dxa"/>
            <w:tcBorders>
              <w:top w:val="nil"/>
              <w:left w:val="nil"/>
              <w:bottom w:val="nil"/>
              <w:right w:val="nil"/>
            </w:tcBorders>
            <w:shd w:val="clear" w:color="auto" w:fill="auto"/>
            <w:noWrap/>
            <w:vAlign w:val="bottom"/>
            <w:hideMark/>
          </w:tcPr>
          <w:p w:rsidR="006F7AD6" w:rsidRPr="00A032ED" w:rsidP="00886011" w14:paraId="530A1CE0"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602A659" w14:textId="77777777">
            <w:pPr>
              <w:widowControl/>
              <w:jc w:val="center"/>
              <w:rPr>
                <w:rFonts w:ascii="Calibri" w:hAnsi="Calibri" w:cs="Calibri"/>
                <w:snapToGrid/>
                <w:kern w:val="0"/>
                <w:szCs w:val="22"/>
              </w:rPr>
            </w:pPr>
            <w:r w:rsidRPr="00A032ED">
              <w:rPr>
                <w:rFonts w:ascii="Calibri" w:hAnsi="Calibri" w:cs="Calibri"/>
                <w:snapToGrid/>
                <w:kern w:val="0"/>
                <w:szCs w:val="22"/>
              </w:rPr>
              <w:t>WIPL</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EB4908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671,201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0196FF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$4,849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AE970B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895B40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$9,200 </w:t>
            </w:r>
          </w:p>
        </w:tc>
      </w:tr>
      <w:tr w14:paraId="128E20EB"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22F6C06" w14:textId="77777777">
            <w:pPr>
              <w:widowControl/>
              <w:jc w:val="center"/>
              <w:rPr>
                <w:rFonts w:ascii="Calibri" w:hAnsi="Calibri" w:cs="Calibri"/>
                <w:snapToGrid/>
                <w:kern w:val="0"/>
                <w:szCs w:val="22"/>
              </w:rPr>
            </w:pPr>
            <w:r w:rsidRPr="00A032ED">
              <w:rPr>
                <w:rFonts w:ascii="Calibri" w:hAnsi="Calibri" w:cs="Calibri"/>
                <w:snapToGrid/>
                <w:kern w:val="0"/>
                <w:szCs w:val="22"/>
              </w:rPr>
              <w:t>WHBF-TV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04FD7C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1,807,539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214DC1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$13,058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54BEAB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C786D8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$8,754 </w:t>
            </w:r>
          </w:p>
        </w:tc>
        <w:tc>
          <w:tcPr>
            <w:tcW w:w="266" w:type="dxa"/>
            <w:tcBorders>
              <w:top w:val="nil"/>
              <w:left w:val="nil"/>
              <w:bottom w:val="nil"/>
              <w:right w:val="nil"/>
            </w:tcBorders>
            <w:shd w:val="clear" w:color="auto" w:fill="auto"/>
            <w:noWrap/>
            <w:vAlign w:val="bottom"/>
            <w:hideMark/>
          </w:tcPr>
          <w:p w:rsidR="006F7AD6" w:rsidRPr="00A032ED" w:rsidP="00886011" w14:paraId="130FE330"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38B72EA" w14:textId="77777777">
            <w:pPr>
              <w:widowControl/>
              <w:jc w:val="center"/>
              <w:rPr>
                <w:rFonts w:ascii="Calibri" w:hAnsi="Calibri" w:cs="Calibri"/>
                <w:snapToGrid/>
                <w:kern w:val="0"/>
                <w:szCs w:val="22"/>
              </w:rPr>
            </w:pPr>
            <w:r w:rsidRPr="00A032ED">
              <w:rPr>
                <w:rFonts w:ascii="Calibri" w:hAnsi="Calibri" w:cs="Calibri"/>
                <w:snapToGrid/>
                <w:kern w:val="0"/>
                <w:szCs w:val="22"/>
              </w:rPr>
              <w:t>WIPX-TV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7C469F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2,258,426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522760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$16,316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617056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C37C50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$21,733 </w:t>
            </w:r>
          </w:p>
        </w:tc>
      </w:tr>
      <w:tr w14:paraId="24498719"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1919183" w14:textId="77777777">
            <w:pPr>
              <w:widowControl/>
              <w:jc w:val="center"/>
              <w:rPr>
                <w:rFonts w:ascii="Calibri" w:hAnsi="Calibri" w:cs="Calibri"/>
                <w:snapToGrid/>
                <w:kern w:val="0"/>
                <w:szCs w:val="22"/>
              </w:rPr>
            </w:pPr>
            <w:r w:rsidRPr="00A032ED">
              <w:rPr>
                <w:rFonts w:ascii="Calibri" w:hAnsi="Calibri" w:cs="Calibri"/>
                <w:snapToGrid/>
                <w:kern w:val="0"/>
                <w:szCs w:val="22"/>
              </w:rPr>
              <w:t>WIRS</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8884CF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3,714,677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FFE969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$26,836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4E43BD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2D8227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$15,643 </w:t>
            </w:r>
          </w:p>
        </w:tc>
        <w:tc>
          <w:tcPr>
            <w:tcW w:w="266" w:type="dxa"/>
            <w:tcBorders>
              <w:top w:val="nil"/>
              <w:left w:val="nil"/>
              <w:bottom w:val="nil"/>
              <w:right w:val="nil"/>
            </w:tcBorders>
            <w:shd w:val="clear" w:color="auto" w:fill="auto"/>
            <w:noWrap/>
            <w:vAlign w:val="bottom"/>
            <w:hideMark/>
          </w:tcPr>
          <w:p w:rsidR="006F7AD6" w:rsidRPr="00A032ED" w:rsidP="00886011" w14:paraId="78AED8AA"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6BADCC1" w14:textId="77777777">
            <w:pPr>
              <w:widowControl/>
              <w:jc w:val="center"/>
              <w:rPr>
                <w:rFonts w:ascii="Calibri" w:hAnsi="Calibri" w:cs="Calibri"/>
                <w:snapToGrid/>
                <w:kern w:val="0"/>
                <w:szCs w:val="22"/>
              </w:rPr>
            </w:pPr>
            <w:r w:rsidRPr="00A032ED">
              <w:rPr>
                <w:rFonts w:ascii="Calibri" w:hAnsi="Calibri" w:cs="Calibri"/>
                <w:snapToGrid/>
                <w:kern w:val="0"/>
                <w:szCs w:val="22"/>
              </w:rPr>
              <w:t>WJW</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9B3C0A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3,977,148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FF215F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$28,732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5417C0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C3FBD2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$34,704 </w:t>
            </w:r>
          </w:p>
        </w:tc>
      </w:tr>
      <w:tr w14:paraId="1E664B24"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3D08773" w14:textId="77777777">
            <w:pPr>
              <w:widowControl/>
              <w:jc w:val="center"/>
              <w:rPr>
                <w:rFonts w:ascii="Calibri" w:hAnsi="Calibri" w:cs="Calibri"/>
                <w:snapToGrid/>
                <w:kern w:val="0"/>
                <w:szCs w:val="22"/>
              </w:rPr>
            </w:pPr>
            <w:r w:rsidRPr="00A032ED">
              <w:rPr>
                <w:rFonts w:ascii="Calibri" w:hAnsi="Calibri" w:cs="Calibri"/>
                <w:snapToGrid/>
                <w:kern w:val="0"/>
                <w:szCs w:val="22"/>
              </w:rPr>
              <w:t>WIRT-DT</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1E9178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127,001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6394EB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$918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F8DC22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C5E662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$2,684 </w:t>
            </w:r>
          </w:p>
        </w:tc>
        <w:tc>
          <w:tcPr>
            <w:tcW w:w="266" w:type="dxa"/>
            <w:tcBorders>
              <w:top w:val="nil"/>
              <w:left w:val="nil"/>
              <w:bottom w:val="nil"/>
              <w:right w:val="nil"/>
            </w:tcBorders>
            <w:shd w:val="clear" w:color="auto" w:fill="auto"/>
            <w:noWrap/>
            <w:vAlign w:val="bottom"/>
            <w:hideMark/>
          </w:tcPr>
          <w:p w:rsidR="006F7AD6" w:rsidRPr="00A032ED" w:rsidP="00886011" w14:paraId="6C81B60A"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7318F99" w14:textId="77777777">
            <w:pPr>
              <w:widowControl/>
              <w:jc w:val="center"/>
              <w:rPr>
                <w:rFonts w:ascii="Calibri" w:hAnsi="Calibri" w:cs="Calibri"/>
                <w:snapToGrid/>
                <w:kern w:val="0"/>
                <w:szCs w:val="22"/>
              </w:rPr>
            </w:pPr>
            <w:r w:rsidRPr="00A032ED">
              <w:rPr>
                <w:rFonts w:ascii="Calibri" w:hAnsi="Calibri" w:cs="Calibri"/>
                <w:snapToGrid/>
                <w:kern w:val="0"/>
                <w:szCs w:val="22"/>
              </w:rPr>
              <w:t>WJWN-TV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35EC50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1,962,885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5BAC08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$14,181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879642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403BC9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$9,315 </w:t>
            </w:r>
          </w:p>
        </w:tc>
      </w:tr>
      <w:tr w14:paraId="1087EBB3"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55D6198" w14:textId="77777777">
            <w:pPr>
              <w:widowControl/>
              <w:jc w:val="center"/>
              <w:rPr>
                <w:rFonts w:ascii="Calibri" w:hAnsi="Calibri" w:cs="Calibri"/>
                <w:snapToGrid/>
                <w:kern w:val="0"/>
                <w:szCs w:val="22"/>
              </w:rPr>
            </w:pPr>
            <w:r w:rsidRPr="00A032ED">
              <w:rPr>
                <w:rFonts w:ascii="Calibri" w:hAnsi="Calibri" w:cs="Calibri"/>
                <w:snapToGrid/>
                <w:kern w:val="0"/>
                <w:szCs w:val="22"/>
              </w:rPr>
              <w:t>WIS</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A75E2E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2,644,715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78F8EB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$19,106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962DC9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0B686F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$16,328 </w:t>
            </w:r>
          </w:p>
        </w:tc>
        <w:tc>
          <w:tcPr>
            <w:tcW w:w="266" w:type="dxa"/>
            <w:tcBorders>
              <w:top w:val="nil"/>
              <w:left w:val="nil"/>
              <w:bottom w:val="nil"/>
              <w:right w:val="nil"/>
            </w:tcBorders>
            <w:shd w:val="clear" w:color="auto" w:fill="auto"/>
            <w:noWrap/>
            <w:vAlign w:val="bottom"/>
            <w:hideMark/>
          </w:tcPr>
          <w:p w:rsidR="006F7AD6" w:rsidRPr="00A032ED" w:rsidP="00886011" w14:paraId="5563BAF8"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E0899C0" w14:textId="77777777">
            <w:pPr>
              <w:widowControl/>
              <w:jc w:val="center"/>
              <w:rPr>
                <w:rFonts w:ascii="Calibri" w:hAnsi="Calibri" w:cs="Calibri"/>
                <w:snapToGrid/>
                <w:kern w:val="0"/>
                <w:szCs w:val="22"/>
              </w:rPr>
            </w:pPr>
            <w:r w:rsidRPr="00A032ED">
              <w:rPr>
                <w:rFonts w:ascii="Calibri" w:hAnsi="Calibri" w:cs="Calibri"/>
                <w:snapToGrid/>
                <w:kern w:val="0"/>
                <w:szCs w:val="22"/>
              </w:rPr>
              <w:t>WJXT</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AFF5CE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1,608,682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19BD10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$11,622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1AEBB7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75B318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$19,386 </w:t>
            </w:r>
          </w:p>
        </w:tc>
      </w:tr>
      <w:tr w14:paraId="3FE1ED3F"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969FBD5" w14:textId="77777777">
            <w:pPr>
              <w:widowControl/>
              <w:jc w:val="center"/>
              <w:rPr>
                <w:rFonts w:ascii="Calibri" w:hAnsi="Calibri" w:cs="Calibri"/>
                <w:snapToGrid/>
                <w:kern w:val="0"/>
                <w:szCs w:val="22"/>
              </w:rPr>
            </w:pPr>
            <w:r w:rsidRPr="00A032ED">
              <w:rPr>
                <w:rFonts w:ascii="Calibri" w:hAnsi="Calibri" w:cs="Calibri"/>
                <w:snapToGrid/>
                <w:kern w:val="0"/>
                <w:szCs w:val="22"/>
              </w:rPr>
              <w:t>WISC-TV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1EEF10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1,830,642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6A03F9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$13,225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CB3DB8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AFA5EF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$13,388 </w:t>
            </w:r>
          </w:p>
        </w:tc>
        <w:tc>
          <w:tcPr>
            <w:tcW w:w="266" w:type="dxa"/>
            <w:tcBorders>
              <w:top w:val="nil"/>
              <w:left w:val="nil"/>
              <w:bottom w:val="nil"/>
              <w:right w:val="nil"/>
            </w:tcBorders>
            <w:shd w:val="clear" w:color="auto" w:fill="auto"/>
            <w:noWrap/>
            <w:vAlign w:val="bottom"/>
            <w:hideMark/>
          </w:tcPr>
          <w:p w:rsidR="006F7AD6" w:rsidRPr="00A032ED" w:rsidP="00886011" w14:paraId="221A83D9"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E40EC61" w14:textId="77777777">
            <w:pPr>
              <w:widowControl/>
              <w:jc w:val="center"/>
              <w:rPr>
                <w:rFonts w:ascii="Calibri" w:hAnsi="Calibri" w:cs="Calibri"/>
                <w:snapToGrid/>
                <w:kern w:val="0"/>
                <w:szCs w:val="22"/>
              </w:rPr>
            </w:pPr>
            <w:r w:rsidRPr="00A032ED">
              <w:rPr>
                <w:rFonts w:ascii="Calibri" w:hAnsi="Calibri" w:cs="Calibri"/>
                <w:snapToGrid/>
                <w:kern w:val="0"/>
                <w:szCs w:val="22"/>
              </w:rPr>
              <w:t>WJXX</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BB9293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1,618,191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96E22A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$11,690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1334E8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859962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$19,420 </w:t>
            </w:r>
          </w:p>
        </w:tc>
      </w:tr>
      <w:tr w14:paraId="3A5F865A"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95761A0" w14:textId="77777777">
            <w:pPr>
              <w:widowControl/>
              <w:jc w:val="center"/>
              <w:rPr>
                <w:rFonts w:ascii="Calibri" w:hAnsi="Calibri" w:cs="Calibri"/>
                <w:snapToGrid/>
                <w:kern w:val="0"/>
                <w:szCs w:val="22"/>
              </w:rPr>
            </w:pPr>
            <w:r w:rsidRPr="00A032ED">
              <w:rPr>
                <w:rFonts w:ascii="Calibri" w:hAnsi="Calibri" w:cs="Calibri"/>
                <w:snapToGrid/>
                <w:kern w:val="0"/>
                <w:szCs w:val="22"/>
              </w:rPr>
              <w:t>WISE-TV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8492BD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1,089,665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A2496F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$7,872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8C0B88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475013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$6,161 </w:t>
            </w:r>
          </w:p>
        </w:tc>
        <w:tc>
          <w:tcPr>
            <w:tcW w:w="266" w:type="dxa"/>
            <w:tcBorders>
              <w:top w:val="nil"/>
              <w:left w:val="nil"/>
              <w:bottom w:val="nil"/>
              <w:right w:val="nil"/>
            </w:tcBorders>
            <w:shd w:val="clear" w:color="auto" w:fill="auto"/>
            <w:noWrap/>
            <w:vAlign w:val="bottom"/>
            <w:hideMark/>
          </w:tcPr>
          <w:p w:rsidR="006F7AD6" w:rsidRPr="00A032ED" w:rsidP="00886011" w14:paraId="57BC8ED2"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7BFE115" w14:textId="77777777">
            <w:pPr>
              <w:widowControl/>
              <w:jc w:val="center"/>
              <w:rPr>
                <w:rFonts w:ascii="Calibri" w:hAnsi="Calibri" w:cs="Calibri"/>
                <w:snapToGrid/>
                <w:kern w:val="0"/>
                <w:szCs w:val="22"/>
              </w:rPr>
            </w:pPr>
            <w:r w:rsidRPr="00A032ED">
              <w:rPr>
                <w:rFonts w:ascii="Calibri" w:hAnsi="Calibri" w:cs="Calibri"/>
                <w:snapToGrid/>
                <w:kern w:val="0"/>
                <w:szCs w:val="22"/>
              </w:rPr>
              <w:t>WJYS</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72AD7D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9,647,321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1A64A0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$69,696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374192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7F703F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$61,848 </w:t>
            </w:r>
          </w:p>
        </w:tc>
      </w:tr>
      <w:tr w14:paraId="51369D1C"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DB1F4F2" w14:textId="77777777">
            <w:pPr>
              <w:widowControl/>
              <w:jc w:val="center"/>
              <w:rPr>
                <w:rFonts w:ascii="Calibri" w:hAnsi="Calibri" w:cs="Calibri"/>
                <w:snapToGrid/>
                <w:kern w:val="0"/>
                <w:szCs w:val="22"/>
              </w:rPr>
            </w:pPr>
            <w:r w:rsidRPr="00A032ED">
              <w:rPr>
                <w:rFonts w:ascii="Calibri" w:hAnsi="Calibri" w:cs="Calibri"/>
                <w:snapToGrid/>
                <w:kern w:val="0"/>
                <w:szCs w:val="22"/>
              </w:rPr>
              <w:t>WISH-TV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F0EE85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2,912,963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9F4385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$21,044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921EFD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5FAF89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$24,097 </w:t>
            </w:r>
          </w:p>
        </w:tc>
        <w:tc>
          <w:tcPr>
            <w:tcW w:w="266" w:type="dxa"/>
            <w:tcBorders>
              <w:top w:val="nil"/>
              <w:left w:val="nil"/>
              <w:bottom w:val="nil"/>
              <w:right w:val="nil"/>
            </w:tcBorders>
            <w:shd w:val="clear" w:color="auto" w:fill="auto"/>
            <w:noWrap/>
            <w:vAlign w:val="bottom"/>
            <w:hideMark/>
          </w:tcPr>
          <w:p w:rsidR="006F7AD6" w:rsidRPr="00A032ED" w:rsidP="00886011" w14:paraId="081F07B5"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977583D" w14:textId="77777777">
            <w:pPr>
              <w:widowControl/>
              <w:jc w:val="center"/>
              <w:rPr>
                <w:rFonts w:ascii="Calibri" w:hAnsi="Calibri" w:cs="Calibri"/>
                <w:snapToGrid/>
                <w:kern w:val="0"/>
                <w:szCs w:val="22"/>
              </w:rPr>
            </w:pPr>
            <w:r w:rsidRPr="00A032ED">
              <w:rPr>
                <w:rFonts w:ascii="Calibri" w:hAnsi="Calibri" w:cs="Calibri"/>
                <w:snapToGrid/>
                <w:kern w:val="0"/>
                <w:szCs w:val="22"/>
              </w:rPr>
              <w:t>WJZ-TV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280D97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9,366,690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42300F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$67,668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DE81A8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C4EAC5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$47,409 </w:t>
            </w:r>
          </w:p>
        </w:tc>
      </w:tr>
      <w:tr w14:paraId="689F20EF"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7361FA7" w14:textId="77777777">
            <w:pPr>
              <w:widowControl/>
              <w:jc w:val="center"/>
              <w:rPr>
                <w:rFonts w:ascii="Calibri" w:hAnsi="Calibri" w:cs="Calibri"/>
                <w:snapToGrid/>
                <w:kern w:val="0"/>
                <w:szCs w:val="22"/>
              </w:rPr>
            </w:pPr>
            <w:r w:rsidRPr="00A032ED">
              <w:rPr>
                <w:rFonts w:ascii="Calibri" w:hAnsi="Calibri" w:cs="Calibri"/>
                <w:snapToGrid/>
                <w:kern w:val="0"/>
                <w:szCs w:val="22"/>
              </w:rPr>
              <w:t>WISN-TV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269136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2,938,180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419FFB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$21,226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473797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D07218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$24,188 </w:t>
            </w:r>
          </w:p>
        </w:tc>
        <w:tc>
          <w:tcPr>
            <w:tcW w:w="266" w:type="dxa"/>
            <w:tcBorders>
              <w:top w:val="nil"/>
              <w:left w:val="nil"/>
              <w:bottom w:val="nil"/>
              <w:right w:val="nil"/>
            </w:tcBorders>
            <w:shd w:val="clear" w:color="auto" w:fill="auto"/>
            <w:noWrap/>
            <w:vAlign w:val="bottom"/>
            <w:hideMark/>
          </w:tcPr>
          <w:p w:rsidR="006F7AD6" w:rsidRPr="00A032ED" w:rsidP="00886011" w14:paraId="659EB992"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541FB58" w14:textId="77777777">
            <w:pPr>
              <w:widowControl/>
              <w:jc w:val="center"/>
              <w:rPr>
                <w:rFonts w:ascii="Calibri" w:hAnsi="Calibri" w:cs="Calibri"/>
                <w:snapToGrid/>
                <w:kern w:val="0"/>
                <w:szCs w:val="22"/>
              </w:rPr>
            </w:pPr>
            <w:r w:rsidRPr="00A032ED">
              <w:rPr>
                <w:rFonts w:ascii="Calibri" w:hAnsi="Calibri" w:cs="Calibri"/>
                <w:snapToGrid/>
                <w:kern w:val="0"/>
                <w:szCs w:val="22"/>
              </w:rPr>
              <w:t>WJZY</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F5428A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4,054,244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AA74AC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$29,289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EEDA20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D6D63E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$34,982 </w:t>
            </w:r>
          </w:p>
        </w:tc>
      </w:tr>
      <w:tr w14:paraId="4DAD4A79"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BBF66B0" w14:textId="77777777">
            <w:pPr>
              <w:widowControl/>
              <w:jc w:val="center"/>
              <w:rPr>
                <w:rFonts w:ascii="Calibri" w:hAnsi="Calibri" w:cs="Calibri"/>
                <w:snapToGrid/>
                <w:kern w:val="0"/>
                <w:szCs w:val="22"/>
              </w:rPr>
            </w:pPr>
            <w:r w:rsidRPr="00A032ED">
              <w:rPr>
                <w:rFonts w:ascii="Calibri" w:hAnsi="Calibri" w:cs="Calibri"/>
                <w:snapToGrid/>
                <w:kern w:val="0"/>
                <w:szCs w:val="22"/>
              </w:rPr>
              <w:t>WITF-TV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8D33D1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2,412,561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ADA617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$17,429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6D9ACC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7C54D7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$22,290 </w:t>
            </w:r>
          </w:p>
        </w:tc>
        <w:tc>
          <w:tcPr>
            <w:tcW w:w="266" w:type="dxa"/>
            <w:tcBorders>
              <w:top w:val="nil"/>
              <w:left w:val="nil"/>
              <w:bottom w:val="nil"/>
              <w:right w:val="nil"/>
            </w:tcBorders>
            <w:shd w:val="clear" w:color="auto" w:fill="auto"/>
            <w:noWrap/>
            <w:vAlign w:val="bottom"/>
            <w:hideMark/>
          </w:tcPr>
          <w:p w:rsidR="006F7AD6" w:rsidRPr="00A032ED" w:rsidP="00886011" w14:paraId="573AAB65"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0CE2C9E" w14:textId="77777777">
            <w:pPr>
              <w:widowControl/>
              <w:jc w:val="center"/>
              <w:rPr>
                <w:rFonts w:ascii="Calibri" w:hAnsi="Calibri" w:cs="Calibri"/>
                <w:snapToGrid/>
                <w:kern w:val="0"/>
                <w:szCs w:val="22"/>
              </w:rPr>
            </w:pPr>
            <w:r w:rsidRPr="00A032ED">
              <w:rPr>
                <w:rFonts w:ascii="Calibri" w:hAnsi="Calibri" w:cs="Calibri"/>
                <w:snapToGrid/>
                <w:kern w:val="0"/>
                <w:szCs w:val="22"/>
              </w:rPr>
              <w:t>WKAQ-TV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092649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3,697,088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B29E1B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$26,709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0C57EF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3A5760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$15,580 </w:t>
            </w:r>
          </w:p>
        </w:tc>
      </w:tr>
      <w:tr w14:paraId="4C56F375"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C0EE7B1" w14:textId="77777777">
            <w:pPr>
              <w:widowControl/>
              <w:jc w:val="center"/>
              <w:rPr>
                <w:rFonts w:ascii="Calibri" w:hAnsi="Calibri" w:cs="Calibri"/>
                <w:snapToGrid/>
                <w:kern w:val="0"/>
                <w:szCs w:val="22"/>
              </w:rPr>
            </w:pPr>
            <w:r w:rsidRPr="00A032ED">
              <w:rPr>
                <w:rFonts w:ascii="Calibri" w:hAnsi="Calibri" w:cs="Calibri"/>
                <w:snapToGrid/>
                <w:kern w:val="0"/>
                <w:szCs w:val="22"/>
              </w:rPr>
              <w:t>WITI</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2DB1BB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3,117,342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AC2E79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$22,521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23C4B5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E2382F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$24,835 </w:t>
            </w:r>
          </w:p>
        </w:tc>
        <w:tc>
          <w:tcPr>
            <w:tcW w:w="266" w:type="dxa"/>
            <w:tcBorders>
              <w:top w:val="nil"/>
              <w:left w:val="nil"/>
              <w:bottom w:val="nil"/>
              <w:right w:val="nil"/>
            </w:tcBorders>
            <w:shd w:val="clear" w:color="auto" w:fill="auto"/>
            <w:noWrap/>
            <w:vAlign w:val="bottom"/>
            <w:hideMark/>
          </w:tcPr>
          <w:p w:rsidR="006F7AD6" w:rsidRPr="00A032ED" w:rsidP="00886011" w14:paraId="53639A83"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F2B858F" w14:textId="77777777">
            <w:pPr>
              <w:widowControl/>
              <w:jc w:val="center"/>
              <w:rPr>
                <w:rFonts w:ascii="Calibri" w:hAnsi="Calibri" w:cs="Calibri"/>
                <w:snapToGrid/>
                <w:kern w:val="0"/>
                <w:szCs w:val="22"/>
              </w:rPr>
            </w:pPr>
            <w:r w:rsidRPr="00A032ED">
              <w:rPr>
                <w:rFonts w:ascii="Calibri" w:hAnsi="Calibri" w:cs="Calibri"/>
                <w:snapToGrid/>
                <w:kern w:val="0"/>
                <w:szCs w:val="22"/>
              </w:rPr>
              <w:t>WKBD-TV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3AF7CF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4,986,483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E5ADF0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$36,024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F2B300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6DECC7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$38,350 </w:t>
            </w:r>
          </w:p>
        </w:tc>
      </w:tr>
      <w:tr w14:paraId="5FB26518"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EC69D81" w14:textId="77777777">
            <w:pPr>
              <w:widowControl/>
              <w:jc w:val="center"/>
              <w:rPr>
                <w:rFonts w:ascii="Calibri" w:hAnsi="Calibri" w:cs="Calibri"/>
                <w:snapToGrid/>
                <w:kern w:val="0"/>
                <w:szCs w:val="22"/>
              </w:rPr>
            </w:pPr>
            <w:r w:rsidRPr="00A032ED">
              <w:rPr>
                <w:rFonts w:ascii="Calibri" w:hAnsi="Calibri" w:cs="Calibri"/>
                <w:snapToGrid/>
                <w:kern w:val="0"/>
                <w:szCs w:val="22"/>
              </w:rPr>
              <w:t>WITN-TV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4953B1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1,768,040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C08203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$12,773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EC9CA4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E620B3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$13,161 </w:t>
            </w:r>
          </w:p>
        </w:tc>
        <w:tc>
          <w:tcPr>
            <w:tcW w:w="266" w:type="dxa"/>
            <w:tcBorders>
              <w:top w:val="nil"/>
              <w:left w:val="nil"/>
              <w:bottom w:val="nil"/>
              <w:right w:val="nil"/>
            </w:tcBorders>
            <w:shd w:val="clear" w:color="auto" w:fill="auto"/>
            <w:noWrap/>
            <w:vAlign w:val="bottom"/>
            <w:hideMark/>
          </w:tcPr>
          <w:p w:rsidR="006F7AD6" w:rsidRPr="00A032ED" w:rsidP="00886011" w14:paraId="22561055"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ABD594E" w14:textId="77777777">
            <w:pPr>
              <w:widowControl/>
              <w:jc w:val="center"/>
              <w:rPr>
                <w:rFonts w:ascii="Calibri" w:hAnsi="Calibri" w:cs="Calibri"/>
                <w:snapToGrid/>
                <w:kern w:val="0"/>
                <w:szCs w:val="22"/>
              </w:rPr>
            </w:pPr>
            <w:r w:rsidRPr="00A032ED">
              <w:rPr>
                <w:rFonts w:ascii="Calibri" w:hAnsi="Calibri" w:cs="Calibri"/>
                <w:snapToGrid/>
                <w:kern w:val="0"/>
                <w:szCs w:val="22"/>
              </w:rPr>
              <w:t>WKBN-TV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D17E9A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2,068,935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96C00E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$14,947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F6BE8E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9D29BD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$9,698 </w:t>
            </w:r>
          </w:p>
        </w:tc>
      </w:tr>
      <w:tr w14:paraId="6827C1F1"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9DD3491" w14:textId="77777777">
            <w:pPr>
              <w:widowControl/>
              <w:jc w:val="center"/>
              <w:rPr>
                <w:rFonts w:ascii="Calibri" w:hAnsi="Calibri" w:cs="Calibri"/>
                <w:snapToGrid/>
                <w:kern w:val="0"/>
                <w:szCs w:val="22"/>
              </w:rPr>
            </w:pPr>
            <w:r w:rsidRPr="00A032ED">
              <w:rPr>
                <w:rFonts w:ascii="Calibri" w:hAnsi="Calibri" w:cs="Calibri"/>
                <w:snapToGrid/>
                <w:kern w:val="0"/>
                <w:szCs w:val="22"/>
              </w:rPr>
              <w:t>WIVB-TV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636794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1,538,108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2D6F05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$11,112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ACEC36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92BD83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$12,331 </w:t>
            </w:r>
          </w:p>
        </w:tc>
        <w:tc>
          <w:tcPr>
            <w:tcW w:w="266" w:type="dxa"/>
            <w:tcBorders>
              <w:top w:val="nil"/>
              <w:left w:val="nil"/>
              <w:bottom w:val="nil"/>
              <w:right w:val="nil"/>
            </w:tcBorders>
            <w:shd w:val="clear" w:color="auto" w:fill="auto"/>
            <w:noWrap/>
            <w:vAlign w:val="bottom"/>
            <w:hideMark/>
          </w:tcPr>
          <w:p w:rsidR="006F7AD6" w:rsidRPr="00A032ED" w:rsidP="00886011" w14:paraId="22123828"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0011459" w14:textId="77777777">
            <w:pPr>
              <w:widowControl/>
              <w:jc w:val="center"/>
              <w:rPr>
                <w:rFonts w:ascii="Calibri" w:hAnsi="Calibri" w:cs="Calibri"/>
                <w:snapToGrid/>
                <w:kern w:val="0"/>
                <w:szCs w:val="22"/>
              </w:rPr>
            </w:pPr>
            <w:r w:rsidRPr="00A032ED">
              <w:rPr>
                <w:rFonts w:ascii="Calibri" w:hAnsi="Calibri" w:cs="Calibri"/>
                <w:snapToGrid/>
                <w:kern w:val="0"/>
                <w:szCs w:val="22"/>
              </w:rPr>
              <w:t>WKBS-TV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4766E8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831,411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E7BF75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$6,006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4CD399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028614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$23,341 </w:t>
            </w:r>
          </w:p>
        </w:tc>
      </w:tr>
      <w:tr w14:paraId="53439FB5"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84837C1" w14:textId="77777777">
            <w:pPr>
              <w:widowControl/>
              <w:jc w:val="center"/>
              <w:rPr>
                <w:rFonts w:ascii="Calibri" w:hAnsi="Calibri" w:cs="Calibri"/>
                <w:snapToGrid/>
                <w:kern w:val="0"/>
                <w:szCs w:val="22"/>
              </w:rPr>
            </w:pPr>
            <w:r w:rsidRPr="00A032ED">
              <w:rPr>
                <w:rFonts w:ascii="Calibri" w:hAnsi="Calibri" w:cs="Calibri"/>
                <w:snapToGrid/>
                <w:kern w:val="0"/>
                <w:szCs w:val="22"/>
              </w:rPr>
              <w:t>WIVT</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58FD4F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856,453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9E99FC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$6,187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2A3A14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A6E468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$5,319 </w:t>
            </w:r>
          </w:p>
        </w:tc>
        <w:tc>
          <w:tcPr>
            <w:tcW w:w="266" w:type="dxa"/>
            <w:tcBorders>
              <w:top w:val="nil"/>
              <w:left w:val="nil"/>
              <w:bottom w:val="nil"/>
              <w:right w:val="nil"/>
            </w:tcBorders>
            <w:shd w:val="clear" w:color="auto" w:fill="auto"/>
            <w:noWrap/>
            <w:vAlign w:val="bottom"/>
            <w:hideMark/>
          </w:tcPr>
          <w:p w:rsidR="006F7AD6" w:rsidRPr="00A032ED" w:rsidP="00886011" w14:paraId="4393A17F"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1A76ECA" w14:textId="77777777">
            <w:pPr>
              <w:widowControl/>
              <w:jc w:val="center"/>
              <w:rPr>
                <w:rFonts w:ascii="Calibri" w:hAnsi="Calibri" w:cs="Calibri"/>
                <w:snapToGrid/>
                <w:kern w:val="0"/>
                <w:szCs w:val="22"/>
              </w:rPr>
            </w:pPr>
            <w:r w:rsidRPr="00A032ED">
              <w:rPr>
                <w:rFonts w:ascii="Calibri" w:hAnsi="Calibri" w:cs="Calibri"/>
                <w:snapToGrid/>
                <w:kern w:val="0"/>
                <w:szCs w:val="22"/>
              </w:rPr>
              <w:t>WKBT-DT</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F51F33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866,325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5EBF81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$6,259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899814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400F1A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$5,354 </w:t>
            </w:r>
          </w:p>
        </w:tc>
      </w:tr>
      <w:tr w14:paraId="3B49401F"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452CF40" w14:textId="77777777">
            <w:pPr>
              <w:widowControl/>
              <w:jc w:val="center"/>
              <w:rPr>
                <w:rFonts w:ascii="Calibri" w:hAnsi="Calibri" w:cs="Calibri"/>
                <w:snapToGrid/>
                <w:kern w:val="0"/>
                <w:szCs w:val="22"/>
              </w:rPr>
            </w:pPr>
            <w:r w:rsidRPr="00A032ED">
              <w:rPr>
                <w:rFonts w:ascii="Calibri" w:hAnsi="Calibri" w:cs="Calibri"/>
                <w:snapToGrid/>
                <w:kern w:val="0"/>
                <w:szCs w:val="22"/>
              </w:rPr>
              <w:t>WIWN</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7E5A4B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3,462,960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FEBD6F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$25,018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5A3AD0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332E9A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$26,084 </w:t>
            </w:r>
          </w:p>
        </w:tc>
        <w:tc>
          <w:tcPr>
            <w:tcW w:w="266" w:type="dxa"/>
            <w:tcBorders>
              <w:top w:val="nil"/>
              <w:left w:val="nil"/>
              <w:bottom w:val="nil"/>
              <w:right w:val="nil"/>
            </w:tcBorders>
            <w:shd w:val="clear" w:color="auto" w:fill="auto"/>
            <w:noWrap/>
            <w:vAlign w:val="bottom"/>
            <w:hideMark/>
          </w:tcPr>
          <w:p w:rsidR="006F7AD6" w:rsidRPr="00A032ED" w:rsidP="00886011" w14:paraId="333B416E"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349D98E" w14:textId="77777777">
            <w:pPr>
              <w:widowControl/>
              <w:jc w:val="center"/>
              <w:rPr>
                <w:rFonts w:ascii="Calibri" w:hAnsi="Calibri" w:cs="Calibri"/>
                <w:snapToGrid/>
                <w:kern w:val="0"/>
                <w:szCs w:val="22"/>
              </w:rPr>
            </w:pPr>
            <w:r w:rsidRPr="00A032ED">
              <w:rPr>
                <w:rFonts w:ascii="Calibri" w:hAnsi="Calibri" w:cs="Calibri"/>
                <w:snapToGrid/>
                <w:kern w:val="0"/>
                <w:szCs w:val="22"/>
              </w:rPr>
              <w:t>WKBW-TV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32BBFB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2,033,929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06723A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$14,694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FD0A44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23AF80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$14,122 </w:t>
            </w:r>
          </w:p>
        </w:tc>
      </w:tr>
      <w:tr w14:paraId="75B98DB2"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42DB7B0" w14:textId="77777777">
            <w:pPr>
              <w:widowControl/>
              <w:jc w:val="center"/>
              <w:rPr>
                <w:rFonts w:ascii="Calibri" w:hAnsi="Calibri" w:cs="Calibri"/>
                <w:snapToGrid/>
                <w:kern w:val="0"/>
                <w:szCs w:val="22"/>
              </w:rPr>
            </w:pPr>
            <w:r w:rsidRPr="00A032ED">
              <w:rPr>
                <w:rFonts w:ascii="Calibri" w:hAnsi="Calibri" w:cs="Calibri"/>
                <w:snapToGrid/>
                <w:kern w:val="0"/>
                <w:szCs w:val="22"/>
              </w:rPr>
              <w:t>WIYC</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8EC86E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526,556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500D71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$3,804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C49430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19D7F6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$4,127 </w:t>
            </w:r>
          </w:p>
        </w:tc>
        <w:tc>
          <w:tcPr>
            <w:tcW w:w="266" w:type="dxa"/>
            <w:tcBorders>
              <w:top w:val="nil"/>
              <w:left w:val="nil"/>
              <w:bottom w:val="nil"/>
              <w:right w:val="nil"/>
            </w:tcBorders>
            <w:shd w:val="clear" w:color="auto" w:fill="auto"/>
            <w:noWrap/>
            <w:vAlign w:val="bottom"/>
            <w:hideMark/>
          </w:tcPr>
          <w:p w:rsidR="006F7AD6" w:rsidRPr="00A032ED" w:rsidP="00886011" w14:paraId="522D1856"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70B827F" w14:textId="77777777">
            <w:pPr>
              <w:widowControl/>
              <w:jc w:val="center"/>
              <w:rPr>
                <w:rFonts w:ascii="Calibri" w:hAnsi="Calibri" w:cs="Calibri"/>
                <w:snapToGrid/>
                <w:kern w:val="0"/>
                <w:szCs w:val="22"/>
              </w:rPr>
            </w:pPr>
            <w:r w:rsidRPr="00A032ED">
              <w:rPr>
                <w:rFonts w:ascii="Calibri" w:hAnsi="Calibri" w:cs="Calibri"/>
                <w:snapToGrid/>
                <w:kern w:val="0"/>
                <w:szCs w:val="22"/>
              </w:rPr>
              <w:t>WKCF</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F9A012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4,032,154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22B05C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$29,130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78A014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460EEE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$34,902 </w:t>
            </w:r>
          </w:p>
        </w:tc>
      </w:tr>
      <w:tr w14:paraId="7BC2FBA7"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A7DE2F1" w14:textId="77777777">
            <w:pPr>
              <w:widowControl/>
              <w:jc w:val="center"/>
              <w:rPr>
                <w:rFonts w:ascii="Calibri" w:hAnsi="Calibri" w:cs="Calibri"/>
                <w:snapToGrid/>
                <w:kern w:val="0"/>
                <w:szCs w:val="22"/>
              </w:rPr>
            </w:pPr>
            <w:r w:rsidRPr="00A032ED">
              <w:rPr>
                <w:rFonts w:ascii="Calibri" w:hAnsi="Calibri" w:cs="Calibri"/>
                <w:snapToGrid/>
                <w:kern w:val="0"/>
                <w:szCs w:val="22"/>
              </w:rPr>
              <w:t>WJAC-TV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A782C5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379,178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F4ACC7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$2,739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391F12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0DE3B5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$3,595 </w:t>
            </w:r>
          </w:p>
        </w:tc>
        <w:tc>
          <w:tcPr>
            <w:tcW w:w="266" w:type="dxa"/>
            <w:tcBorders>
              <w:top w:val="nil"/>
              <w:left w:val="nil"/>
              <w:bottom w:val="nil"/>
              <w:right w:val="nil"/>
            </w:tcBorders>
            <w:shd w:val="clear" w:color="auto" w:fill="auto"/>
            <w:noWrap/>
            <w:vAlign w:val="bottom"/>
            <w:hideMark/>
          </w:tcPr>
          <w:p w:rsidR="006F7AD6" w:rsidRPr="00A032ED" w:rsidP="00886011" w14:paraId="58984DD4"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5EE9F32" w14:textId="77777777">
            <w:pPr>
              <w:widowControl/>
              <w:jc w:val="center"/>
              <w:rPr>
                <w:rFonts w:ascii="Calibri" w:hAnsi="Calibri" w:cs="Calibri"/>
                <w:snapToGrid/>
                <w:kern w:val="0"/>
                <w:szCs w:val="22"/>
              </w:rPr>
            </w:pPr>
            <w:r w:rsidRPr="00A032ED">
              <w:rPr>
                <w:rFonts w:ascii="Calibri" w:hAnsi="Calibri" w:cs="Calibri"/>
                <w:snapToGrid/>
                <w:kern w:val="0"/>
                <w:szCs w:val="22"/>
              </w:rPr>
              <w:t>WKEF</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E5E318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3,623,762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EA0001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$26,179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B30FEB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1A9D7A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$19,865 </w:t>
            </w:r>
          </w:p>
        </w:tc>
      </w:tr>
      <w:tr w14:paraId="33EC5D8F"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23D3BA5" w14:textId="77777777">
            <w:pPr>
              <w:widowControl/>
              <w:jc w:val="center"/>
              <w:rPr>
                <w:rFonts w:ascii="Calibri" w:hAnsi="Calibri" w:cs="Calibri"/>
                <w:snapToGrid/>
                <w:kern w:val="0"/>
                <w:szCs w:val="22"/>
              </w:rPr>
            </w:pPr>
            <w:r w:rsidRPr="00A032ED">
              <w:rPr>
                <w:rFonts w:ascii="Calibri" w:hAnsi="Calibri" w:cs="Calibri"/>
                <w:snapToGrid/>
                <w:kern w:val="0"/>
                <w:szCs w:val="22"/>
              </w:rPr>
              <w:t>WJAR</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225D3B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6,537,858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038558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$47,232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C36B79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A2D147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$30,391 </w:t>
            </w:r>
          </w:p>
        </w:tc>
        <w:tc>
          <w:tcPr>
            <w:tcW w:w="266" w:type="dxa"/>
            <w:tcBorders>
              <w:top w:val="nil"/>
              <w:left w:val="nil"/>
              <w:bottom w:val="nil"/>
              <w:right w:val="nil"/>
            </w:tcBorders>
            <w:shd w:val="clear" w:color="auto" w:fill="auto"/>
            <w:noWrap/>
            <w:vAlign w:val="bottom"/>
            <w:hideMark/>
          </w:tcPr>
          <w:p w:rsidR="006F7AD6" w:rsidRPr="00A032ED" w:rsidP="00886011" w14:paraId="1E775C71"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4220D53" w14:textId="77777777">
            <w:pPr>
              <w:widowControl/>
              <w:jc w:val="center"/>
              <w:rPr>
                <w:rFonts w:ascii="Calibri" w:hAnsi="Calibri" w:cs="Calibri"/>
                <w:snapToGrid/>
                <w:kern w:val="0"/>
                <w:szCs w:val="22"/>
              </w:rPr>
            </w:pPr>
            <w:r w:rsidRPr="00A032ED">
              <w:rPr>
                <w:rFonts w:ascii="Calibri" w:hAnsi="Calibri" w:cs="Calibri"/>
                <w:snapToGrid/>
                <w:kern w:val="0"/>
                <w:szCs w:val="22"/>
              </w:rPr>
              <w:t>WKMG-TV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96624C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3,803,492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E9E019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$27,478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EB0F8F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64D060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$34,076 </w:t>
            </w:r>
          </w:p>
        </w:tc>
      </w:tr>
      <w:tr w14:paraId="4C8FCCF8"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DCE00D5" w14:textId="77777777">
            <w:pPr>
              <w:widowControl/>
              <w:jc w:val="center"/>
              <w:rPr>
                <w:rFonts w:ascii="Calibri" w:hAnsi="Calibri" w:cs="Calibri"/>
                <w:snapToGrid/>
                <w:kern w:val="0"/>
                <w:szCs w:val="22"/>
              </w:rPr>
            </w:pPr>
            <w:r w:rsidRPr="00A032ED">
              <w:rPr>
                <w:rFonts w:ascii="Calibri" w:hAnsi="Calibri" w:cs="Calibri"/>
                <w:snapToGrid/>
                <w:kern w:val="0"/>
                <w:szCs w:val="22"/>
              </w:rPr>
              <w:t>WJAX-TV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302A29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1,630,782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724C2C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$11,781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850A45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8BE180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$19,466 </w:t>
            </w:r>
          </w:p>
        </w:tc>
        <w:tc>
          <w:tcPr>
            <w:tcW w:w="266" w:type="dxa"/>
            <w:tcBorders>
              <w:top w:val="nil"/>
              <w:left w:val="nil"/>
              <w:bottom w:val="nil"/>
              <w:right w:val="nil"/>
            </w:tcBorders>
            <w:shd w:val="clear" w:color="auto" w:fill="auto"/>
            <w:noWrap/>
            <w:vAlign w:val="bottom"/>
            <w:hideMark/>
          </w:tcPr>
          <w:p w:rsidR="006F7AD6" w:rsidRPr="00A032ED" w:rsidP="00886011" w14:paraId="6FAC2CF0"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B44EB13" w14:textId="77777777">
            <w:pPr>
              <w:widowControl/>
              <w:jc w:val="center"/>
              <w:rPr>
                <w:rFonts w:ascii="Calibri" w:hAnsi="Calibri" w:cs="Calibri"/>
                <w:snapToGrid/>
                <w:kern w:val="0"/>
                <w:szCs w:val="22"/>
              </w:rPr>
            </w:pPr>
            <w:r w:rsidRPr="00A032ED">
              <w:rPr>
                <w:rFonts w:ascii="Calibri" w:hAnsi="Calibri" w:cs="Calibri"/>
                <w:snapToGrid/>
                <w:kern w:val="0"/>
                <w:szCs w:val="22"/>
              </w:rPr>
              <w:t>WKNX-TV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DFB035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1,684,178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1BC908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$12,167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A01560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04EDD6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$12,859 </w:t>
            </w:r>
          </w:p>
        </w:tc>
      </w:tr>
      <w:tr w14:paraId="751B614A"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3B7342A" w14:textId="77777777">
            <w:pPr>
              <w:widowControl/>
              <w:jc w:val="center"/>
              <w:rPr>
                <w:rFonts w:ascii="Calibri" w:hAnsi="Calibri" w:cs="Calibri"/>
                <w:snapToGrid/>
                <w:kern w:val="0"/>
                <w:szCs w:val="22"/>
              </w:rPr>
            </w:pPr>
            <w:r w:rsidRPr="00A032ED">
              <w:rPr>
                <w:rFonts w:ascii="Calibri" w:hAnsi="Calibri" w:cs="Calibri"/>
                <w:snapToGrid/>
                <w:kern w:val="0"/>
                <w:szCs w:val="22"/>
              </w:rPr>
              <w:t>WJBF</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659029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1,601,531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FC4C10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$11,570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A2D2A0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1B1AF9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$8,010 </w:t>
            </w:r>
          </w:p>
        </w:tc>
        <w:tc>
          <w:tcPr>
            <w:tcW w:w="266" w:type="dxa"/>
            <w:tcBorders>
              <w:top w:val="nil"/>
              <w:left w:val="nil"/>
              <w:bottom w:val="nil"/>
              <w:right w:val="nil"/>
            </w:tcBorders>
            <w:shd w:val="clear" w:color="auto" w:fill="auto"/>
            <w:noWrap/>
            <w:vAlign w:val="bottom"/>
            <w:hideMark/>
          </w:tcPr>
          <w:p w:rsidR="006F7AD6" w:rsidRPr="00A032ED" w:rsidP="00886011" w14:paraId="48AA59BF"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A41D438" w14:textId="77777777">
            <w:pPr>
              <w:widowControl/>
              <w:jc w:val="center"/>
              <w:rPr>
                <w:rFonts w:ascii="Calibri" w:hAnsi="Calibri" w:cs="Calibri"/>
                <w:snapToGrid/>
                <w:kern w:val="0"/>
                <w:szCs w:val="22"/>
              </w:rPr>
            </w:pPr>
            <w:r w:rsidRPr="00A032ED">
              <w:rPr>
                <w:rFonts w:ascii="Calibri" w:hAnsi="Calibri" w:cs="Calibri"/>
                <w:snapToGrid/>
                <w:kern w:val="0"/>
                <w:szCs w:val="22"/>
              </w:rPr>
              <w:t>WKOI-TV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A774E6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3,660,544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E0761A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$26,445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C3AA2F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08A4F9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$19,998 </w:t>
            </w:r>
          </w:p>
        </w:tc>
      </w:tr>
      <w:tr w14:paraId="34A0E020"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6703823" w14:textId="77777777">
            <w:pPr>
              <w:widowControl/>
              <w:jc w:val="center"/>
              <w:rPr>
                <w:rFonts w:ascii="Calibri" w:hAnsi="Calibri" w:cs="Calibri"/>
                <w:snapToGrid/>
                <w:kern w:val="0"/>
                <w:szCs w:val="22"/>
              </w:rPr>
            </w:pPr>
            <w:r w:rsidRPr="00A032ED">
              <w:rPr>
                <w:rFonts w:ascii="Calibri" w:hAnsi="Calibri" w:cs="Calibri"/>
                <w:snapToGrid/>
                <w:kern w:val="0"/>
                <w:szCs w:val="22"/>
              </w:rPr>
              <w:t>WJBK</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A26720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5,748,623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FF246A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$41,530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C8E082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FDCA28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$41,103 </w:t>
            </w:r>
          </w:p>
        </w:tc>
        <w:tc>
          <w:tcPr>
            <w:tcW w:w="266" w:type="dxa"/>
            <w:tcBorders>
              <w:top w:val="nil"/>
              <w:left w:val="nil"/>
              <w:bottom w:val="nil"/>
              <w:right w:val="nil"/>
            </w:tcBorders>
            <w:shd w:val="clear" w:color="auto" w:fill="auto"/>
            <w:noWrap/>
            <w:vAlign w:val="bottom"/>
            <w:hideMark/>
          </w:tcPr>
          <w:p w:rsidR="006F7AD6" w:rsidRPr="00A032ED" w:rsidP="00886011" w14:paraId="0E5307E2"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262147D" w14:textId="77777777">
            <w:pPr>
              <w:widowControl/>
              <w:jc w:val="center"/>
              <w:rPr>
                <w:rFonts w:ascii="Calibri" w:hAnsi="Calibri" w:cs="Calibri"/>
                <w:snapToGrid/>
                <w:kern w:val="0"/>
                <w:szCs w:val="22"/>
              </w:rPr>
            </w:pPr>
            <w:r w:rsidRPr="00A032ED">
              <w:rPr>
                <w:rFonts w:ascii="Calibri" w:hAnsi="Calibri" w:cs="Calibri"/>
                <w:snapToGrid/>
                <w:kern w:val="0"/>
                <w:szCs w:val="22"/>
              </w:rPr>
              <w:t>WKOP-TV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7B8B96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1,532,125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4AD94E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$11,069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235949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C9253A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$12,309 </w:t>
            </w:r>
          </w:p>
        </w:tc>
      </w:tr>
      <w:tr w14:paraId="2DA8E608"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AC30205" w14:textId="77777777">
            <w:pPr>
              <w:widowControl/>
              <w:jc w:val="center"/>
              <w:rPr>
                <w:rFonts w:ascii="Calibri" w:hAnsi="Calibri" w:cs="Calibri"/>
                <w:snapToGrid/>
                <w:kern w:val="0"/>
                <w:szCs w:val="22"/>
              </w:rPr>
            </w:pPr>
            <w:r w:rsidRPr="00A032ED">
              <w:rPr>
                <w:rFonts w:ascii="Calibri" w:hAnsi="Calibri" w:cs="Calibri"/>
                <w:snapToGrid/>
                <w:kern w:val="0"/>
                <w:szCs w:val="22"/>
              </w:rPr>
              <w:t>WJCL</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6313DD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938,086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A1EAB5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$6,777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59FE59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237F2E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$10,164 </w:t>
            </w:r>
          </w:p>
        </w:tc>
        <w:tc>
          <w:tcPr>
            <w:tcW w:w="266" w:type="dxa"/>
            <w:tcBorders>
              <w:top w:val="nil"/>
              <w:left w:val="nil"/>
              <w:bottom w:val="nil"/>
              <w:right w:val="nil"/>
            </w:tcBorders>
            <w:shd w:val="clear" w:color="auto" w:fill="auto"/>
            <w:noWrap/>
            <w:vAlign w:val="bottom"/>
            <w:hideMark/>
          </w:tcPr>
          <w:p w:rsidR="006F7AD6" w:rsidRPr="00A032ED" w:rsidP="00886011" w14:paraId="476D627A"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A67B9C3" w14:textId="77777777">
            <w:pPr>
              <w:widowControl/>
              <w:jc w:val="center"/>
              <w:rPr>
                <w:rFonts w:ascii="Calibri" w:hAnsi="Calibri" w:cs="Calibri"/>
                <w:snapToGrid/>
                <w:kern w:val="0"/>
                <w:szCs w:val="22"/>
              </w:rPr>
            </w:pPr>
            <w:r w:rsidRPr="00A032ED">
              <w:rPr>
                <w:rFonts w:ascii="Calibri" w:hAnsi="Calibri" w:cs="Calibri"/>
                <w:snapToGrid/>
                <w:kern w:val="0"/>
                <w:szCs w:val="22"/>
              </w:rPr>
              <w:t>WKOW</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84E46B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1,918,224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DFB519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$13,858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D74E9E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93E7F5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$13,704 </w:t>
            </w:r>
          </w:p>
        </w:tc>
      </w:tr>
      <w:tr w14:paraId="69EB883E"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38D932D" w14:textId="77777777">
            <w:pPr>
              <w:widowControl/>
              <w:jc w:val="center"/>
              <w:rPr>
                <w:rFonts w:ascii="Calibri" w:hAnsi="Calibri" w:cs="Calibri"/>
                <w:snapToGrid/>
                <w:kern w:val="0"/>
                <w:szCs w:val="22"/>
              </w:rPr>
            </w:pPr>
            <w:r w:rsidRPr="00A032ED">
              <w:rPr>
                <w:rFonts w:ascii="Calibri" w:hAnsi="Calibri" w:cs="Calibri"/>
                <w:snapToGrid/>
                <w:kern w:val="0"/>
                <w:szCs w:val="22"/>
              </w:rPr>
              <w:t>WJCT</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954101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1,624,624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8FB48E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$11,737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B27D4D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21D855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$19,443 </w:t>
            </w:r>
          </w:p>
        </w:tc>
        <w:tc>
          <w:tcPr>
            <w:tcW w:w="266" w:type="dxa"/>
            <w:tcBorders>
              <w:top w:val="nil"/>
              <w:left w:val="nil"/>
              <w:bottom w:val="nil"/>
              <w:right w:val="nil"/>
            </w:tcBorders>
            <w:shd w:val="clear" w:color="auto" w:fill="auto"/>
            <w:noWrap/>
            <w:vAlign w:val="bottom"/>
            <w:hideMark/>
          </w:tcPr>
          <w:p w:rsidR="006F7AD6" w:rsidRPr="00A032ED" w:rsidP="00886011" w14:paraId="0192166F"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C73450A" w14:textId="77777777">
            <w:pPr>
              <w:widowControl/>
              <w:jc w:val="center"/>
              <w:rPr>
                <w:rFonts w:ascii="Calibri" w:hAnsi="Calibri" w:cs="Calibri"/>
                <w:snapToGrid/>
                <w:kern w:val="0"/>
                <w:szCs w:val="22"/>
              </w:rPr>
            </w:pPr>
            <w:r w:rsidRPr="00A032ED">
              <w:rPr>
                <w:rFonts w:ascii="Calibri" w:hAnsi="Calibri" w:cs="Calibri"/>
                <w:snapToGrid/>
                <w:kern w:val="0"/>
                <w:szCs w:val="22"/>
              </w:rPr>
              <w:t>WKPT-TV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D2C6A9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1,085,875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C0340D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$7,845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3DB1AD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7A2C1A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$10,697 </w:t>
            </w:r>
          </w:p>
        </w:tc>
      </w:tr>
      <w:tr w14:paraId="5E05322F"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BD6A04C" w14:textId="77777777">
            <w:pPr>
              <w:widowControl/>
              <w:jc w:val="center"/>
              <w:rPr>
                <w:rFonts w:ascii="Calibri" w:hAnsi="Calibri" w:cs="Calibri"/>
                <w:snapToGrid/>
                <w:kern w:val="0"/>
                <w:szCs w:val="22"/>
              </w:rPr>
            </w:pPr>
            <w:r w:rsidRPr="00A032ED">
              <w:rPr>
                <w:rFonts w:ascii="Calibri" w:hAnsi="Calibri" w:cs="Calibri"/>
                <w:snapToGrid/>
                <w:kern w:val="0"/>
                <w:szCs w:val="22"/>
              </w:rPr>
              <w:t>WJEB-TV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3D03B0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1,607,510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67671D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$11,613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8F8F75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23619C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$19,382 </w:t>
            </w:r>
          </w:p>
        </w:tc>
        <w:tc>
          <w:tcPr>
            <w:tcW w:w="266" w:type="dxa"/>
            <w:tcBorders>
              <w:top w:val="nil"/>
              <w:left w:val="nil"/>
              <w:bottom w:val="nil"/>
              <w:right w:val="nil"/>
            </w:tcBorders>
            <w:shd w:val="clear" w:color="auto" w:fill="auto"/>
            <w:noWrap/>
            <w:vAlign w:val="bottom"/>
            <w:hideMark/>
          </w:tcPr>
          <w:p w:rsidR="006F7AD6" w:rsidRPr="00A032ED" w:rsidP="00886011" w14:paraId="2087B838"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1B2F66B" w14:textId="77777777">
            <w:pPr>
              <w:widowControl/>
              <w:jc w:val="center"/>
              <w:rPr>
                <w:rFonts w:ascii="Calibri" w:hAnsi="Calibri" w:cs="Calibri"/>
                <w:snapToGrid/>
                <w:kern w:val="0"/>
                <w:szCs w:val="22"/>
              </w:rPr>
            </w:pPr>
            <w:r w:rsidRPr="00A032ED">
              <w:rPr>
                <w:rFonts w:ascii="Calibri" w:hAnsi="Calibri" w:cs="Calibri"/>
                <w:snapToGrid/>
                <w:kern w:val="0"/>
                <w:szCs w:val="22"/>
              </w:rPr>
              <w:t>WKPV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9A4119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2,550,642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643492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$18,427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E598C8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C719F9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$11,438 </w:t>
            </w:r>
          </w:p>
        </w:tc>
      </w:tr>
      <w:tr w14:paraId="6685D614"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8632180" w14:textId="77777777">
            <w:pPr>
              <w:widowControl/>
              <w:jc w:val="center"/>
              <w:rPr>
                <w:rFonts w:ascii="Calibri" w:hAnsi="Calibri" w:cs="Calibri"/>
                <w:snapToGrid/>
                <w:kern w:val="0"/>
                <w:szCs w:val="22"/>
              </w:rPr>
            </w:pPr>
            <w:r w:rsidRPr="00A032ED">
              <w:rPr>
                <w:rFonts w:ascii="Calibri" w:hAnsi="Calibri" w:cs="Calibri"/>
                <w:snapToGrid/>
                <w:kern w:val="0"/>
                <w:szCs w:val="22"/>
              </w:rPr>
              <w:t>WJET-TV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E08D89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704,806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46A997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$5,092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88F087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244454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$4,771 </w:t>
            </w:r>
          </w:p>
        </w:tc>
        <w:tc>
          <w:tcPr>
            <w:tcW w:w="266" w:type="dxa"/>
            <w:tcBorders>
              <w:top w:val="nil"/>
              <w:left w:val="nil"/>
              <w:bottom w:val="nil"/>
              <w:right w:val="nil"/>
            </w:tcBorders>
            <w:shd w:val="clear" w:color="auto" w:fill="auto"/>
            <w:noWrap/>
            <w:vAlign w:val="bottom"/>
            <w:hideMark/>
          </w:tcPr>
          <w:p w:rsidR="006F7AD6" w:rsidRPr="00A032ED" w:rsidP="00886011" w14:paraId="10216C70"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D49C367" w14:textId="77777777">
            <w:pPr>
              <w:widowControl/>
              <w:jc w:val="center"/>
              <w:rPr>
                <w:rFonts w:ascii="Calibri" w:hAnsi="Calibri" w:cs="Calibri"/>
                <w:snapToGrid/>
                <w:kern w:val="0"/>
                <w:szCs w:val="22"/>
              </w:rPr>
            </w:pPr>
            <w:r w:rsidRPr="00A032ED">
              <w:rPr>
                <w:rFonts w:ascii="Calibri" w:hAnsi="Calibri" w:cs="Calibri"/>
                <w:snapToGrid/>
                <w:kern w:val="0"/>
                <w:szCs w:val="22"/>
              </w:rPr>
              <w:t>WKRC-TV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1DA388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3,281,914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BB7ABD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$23,710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0477F2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1E558A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$25,430 </w:t>
            </w:r>
          </w:p>
        </w:tc>
      </w:tr>
      <w:tr w14:paraId="3735D022"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772B155" w14:textId="77777777">
            <w:pPr>
              <w:widowControl/>
              <w:jc w:val="center"/>
              <w:rPr>
                <w:rFonts w:ascii="Calibri" w:hAnsi="Calibri" w:cs="Calibri"/>
                <w:snapToGrid/>
                <w:kern w:val="0"/>
                <w:szCs w:val="22"/>
              </w:rPr>
            </w:pPr>
            <w:r w:rsidRPr="00A032ED">
              <w:rPr>
                <w:rFonts w:ascii="Calibri" w:hAnsi="Calibri" w:cs="Calibri"/>
                <w:snapToGrid/>
                <w:kern w:val="0"/>
                <w:szCs w:val="22"/>
              </w:rPr>
              <w:t>WJFW-TV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609CB3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277,530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0C5E5C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$2,005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30DEE1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873FBE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$3,227 </w:t>
            </w:r>
          </w:p>
        </w:tc>
        <w:tc>
          <w:tcPr>
            <w:tcW w:w="266" w:type="dxa"/>
            <w:tcBorders>
              <w:top w:val="nil"/>
              <w:left w:val="nil"/>
              <w:bottom w:val="nil"/>
              <w:right w:val="nil"/>
            </w:tcBorders>
            <w:shd w:val="clear" w:color="auto" w:fill="auto"/>
            <w:noWrap/>
            <w:vAlign w:val="bottom"/>
            <w:hideMark/>
          </w:tcPr>
          <w:p w:rsidR="006F7AD6" w:rsidRPr="00A032ED" w:rsidP="00886011" w14:paraId="649331B8"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DE73C27" w14:textId="77777777">
            <w:pPr>
              <w:widowControl/>
              <w:jc w:val="center"/>
              <w:rPr>
                <w:rFonts w:ascii="Calibri" w:hAnsi="Calibri" w:cs="Calibri"/>
                <w:snapToGrid/>
                <w:kern w:val="0"/>
                <w:szCs w:val="22"/>
              </w:rPr>
            </w:pPr>
            <w:r w:rsidRPr="00A032ED">
              <w:rPr>
                <w:rFonts w:ascii="Calibri" w:hAnsi="Calibri" w:cs="Calibri"/>
                <w:snapToGrid/>
                <w:kern w:val="0"/>
                <w:szCs w:val="22"/>
              </w:rPr>
              <w:t>WKRG-TV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AFB9BF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1,499,595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19BB0B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$10,834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CD84A9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0B1FCA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$12,192 </w:t>
            </w:r>
          </w:p>
        </w:tc>
      </w:tr>
      <w:tr w14:paraId="72E3BEDB"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67E76CE" w14:textId="77777777">
            <w:pPr>
              <w:widowControl/>
              <w:jc w:val="center"/>
              <w:rPr>
                <w:rFonts w:ascii="Calibri" w:hAnsi="Calibri" w:cs="Calibri"/>
                <w:snapToGrid/>
                <w:kern w:val="0"/>
                <w:szCs w:val="22"/>
              </w:rPr>
            </w:pPr>
            <w:r w:rsidRPr="00A032ED">
              <w:rPr>
                <w:rFonts w:ascii="Calibri" w:hAnsi="Calibri" w:cs="Calibri"/>
                <w:snapToGrid/>
                <w:kern w:val="0"/>
                <w:szCs w:val="22"/>
              </w:rPr>
              <w:t>WJHG-TV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CA0772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856,973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30712F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$6,191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16F6FB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B1E6F9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$5,321 </w:t>
            </w:r>
          </w:p>
        </w:tc>
        <w:tc>
          <w:tcPr>
            <w:tcW w:w="266" w:type="dxa"/>
            <w:tcBorders>
              <w:top w:val="nil"/>
              <w:left w:val="nil"/>
              <w:bottom w:val="nil"/>
              <w:right w:val="nil"/>
            </w:tcBorders>
            <w:shd w:val="clear" w:color="auto" w:fill="auto"/>
            <w:noWrap/>
            <w:vAlign w:val="bottom"/>
            <w:hideMark/>
          </w:tcPr>
          <w:p w:rsidR="006F7AD6" w:rsidRPr="00A032ED" w:rsidP="00886011" w14:paraId="59ACBE96"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31877B4" w14:textId="77777777">
            <w:pPr>
              <w:widowControl/>
              <w:jc w:val="center"/>
              <w:rPr>
                <w:rFonts w:ascii="Calibri" w:hAnsi="Calibri" w:cs="Calibri"/>
                <w:snapToGrid/>
                <w:kern w:val="0"/>
                <w:szCs w:val="22"/>
              </w:rPr>
            </w:pPr>
            <w:r w:rsidRPr="00A032ED">
              <w:rPr>
                <w:rFonts w:ascii="Calibri" w:hAnsi="Calibri" w:cs="Calibri"/>
                <w:snapToGrid/>
                <w:kern w:val="0"/>
                <w:szCs w:val="22"/>
              </w:rPr>
              <w:t>WKRN-TV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CB50DD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2,410,573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8E15FC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$17,415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92336D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6FAE9A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$22,282 </w:t>
            </w:r>
          </w:p>
        </w:tc>
      </w:tr>
      <w:tr w14:paraId="1A3C067F"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61DC10F" w14:textId="77777777">
            <w:pPr>
              <w:widowControl/>
              <w:jc w:val="center"/>
              <w:rPr>
                <w:rFonts w:ascii="Calibri" w:hAnsi="Calibri" w:cs="Calibri"/>
                <w:snapToGrid/>
                <w:kern w:val="0"/>
                <w:szCs w:val="22"/>
              </w:rPr>
            </w:pPr>
            <w:r w:rsidRPr="00A032ED">
              <w:rPr>
                <w:rFonts w:ascii="Calibri" w:hAnsi="Calibri" w:cs="Calibri"/>
                <w:snapToGrid/>
                <w:kern w:val="0"/>
                <w:szCs w:val="22"/>
              </w:rPr>
              <w:t>WJHL-TV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E842CB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2,202,140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FB3971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$15,909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7B8DCF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A02011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$14,730 </w:t>
            </w:r>
          </w:p>
        </w:tc>
        <w:tc>
          <w:tcPr>
            <w:tcW w:w="266" w:type="dxa"/>
            <w:tcBorders>
              <w:top w:val="nil"/>
              <w:left w:val="nil"/>
              <w:bottom w:val="nil"/>
              <w:right w:val="nil"/>
            </w:tcBorders>
            <w:shd w:val="clear" w:color="auto" w:fill="auto"/>
            <w:noWrap/>
            <w:vAlign w:val="bottom"/>
            <w:hideMark/>
          </w:tcPr>
          <w:p w:rsidR="006F7AD6" w:rsidRPr="00A032ED" w:rsidP="00886011" w14:paraId="09F0B7E2"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2CB1B7C" w14:textId="77777777">
            <w:pPr>
              <w:widowControl/>
              <w:jc w:val="center"/>
              <w:rPr>
                <w:rFonts w:ascii="Calibri" w:hAnsi="Calibri" w:cs="Calibri"/>
                <w:snapToGrid/>
                <w:kern w:val="0"/>
                <w:szCs w:val="22"/>
              </w:rPr>
            </w:pPr>
            <w:r w:rsidRPr="00A032ED">
              <w:rPr>
                <w:rFonts w:ascii="Calibri" w:hAnsi="Calibri" w:cs="Calibri"/>
                <w:snapToGrid/>
                <w:kern w:val="0"/>
                <w:szCs w:val="22"/>
              </w:rPr>
              <w:t>WKTC</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4EA61B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1,386,422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EB3016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$10,016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44952C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BF9D3B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$11,783 </w:t>
            </w:r>
          </w:p>
        </w:tc>
      </w:tr>
      <w:tr w14:paraId="716CF2E6"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BD20903" w14:textId="77777777">
            <w:pPr>
              <w:widowControl/>
              <w:jc w:val="center"/>
              <w:rPr>
                <w:rFonts w:ascii="Calibri" w:hAnsi="Calibri" w:cs="Calibri"/>
                <w:snapToGrid/>
                <w:kern w:val="0"/>
                <w:szCs w:val="22"/>
              </w:rPr>
            </w:pPr>
            <w:r w:rsidRPr="00A032ED">
              <w:rPr>
                <w:rFonts w:ascii="Calibri" w:hAnsi="Calibri" w:cs="Calibri"/>
                <w:snapToGrid/>
                <w:kern w:val="0"/>
                <w:szCs w:val="22"/>
              </w:rPr>
              <w:t>WJKT</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3B0678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654,460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180325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$4,728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E17B8A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F12B28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$4,589 </w:t>
            </w:r>
          </w:p>
        </w:tc>
        <w:tc>
          <w:tcPr>
            <w:tcW w:w="266" w:type="dxa"/>
            <w:tcBorders>
              <w:top w:val="nil"/>
              <w:left w:val="nil"/>
              <w:bottom w:val="nil"/>
              <w:right w:val="nil"/>
            </w:tcBorders>
            <w:shd w:val="clear" w:color="auto" w:fill="auto"/>
            <w:noWrap/>
            <w:vAlign w:val="bottom"/>
            <w:hideMark/>
          </w:tcPr>
          <w:p w:rsidR="006F7AD6" w:rsidRPr="00A032ED" w:rsidP="00886011" w14:paraId="1B58E906"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CF05330" w14:textId="77777777">
            <w:pPr>
              <w:widowControl/>
              <w:jc w:val="center"/>
              <w:rPr>
                <w:rFonts w:ascii="Calibri" w:hAnsi="Calibri" w:cs="Calibri"/>
                <w:snapToGrid/>
                <w:kern w:val="0"/>
                <w:szCs w:val="22"/>
              </w:rPr>
            </w:pPr>
            <w:r w:rsidRPr="00A032ED">
              <w:rPr>
                <w:rFonts w:ascii="Calibri" w:hAnsi="Calibri" w:cs="Calibri"/>
                <w:snapToGrid/>
                <w:kern w:val="0"/>
                <w:szCs w:val="22"/>
              </w:rPr>
              <w:t>WKTV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AB4214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1,573,503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B6D1CD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$11,368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3F78C7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AD390F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$7,909 </w:t>
            </w:r>
          </w:p>
        </w:tc>
      </w:tr>
      <w:tr w14:paraId="3721F8F5"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BAF50F8" w14:textId="77777777">
            <w:pPr>
              <w:widowControl/>
              <w:jc w:val="center"/>
              <w:rPr>
                <w:rFonts w:ascii="Calibri" w:hAnsi="Calibri" w:cs="Calibri"/>
                <w:snapToGrid/>
                <w:kern w:val="0"/>
                <w:szCs w:val="22"/>
              </w:rPr>
            </w:pPr>
            <w:r w:rsidRPr="00A032ED">
              <w:rPr>
                <w:rFonts w:ascii="Calibri" w:hAnsi="Calibri" w:cs="Calibri"/>
                <w:snapToGrid/>
                <w:kern w:val="0"/>
                <w:szCs w:val="22"/>
              </w:rPr>
              <w:t>WJLA-TV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FC23E3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8,970,526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9D8C0A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$64,806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B62D0B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8EE738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$59,403 </w:t>
            </w:r>
          </w:p>
        </w:tc>
        <w:tc>
          <w:tcPr>
            <w:tcW w:w="266" w:type="dxa"/>
            <w:tcBorders>
              <w:top w:val="nil"/>
              <w:left w:val="nil"/>
              <w:bottom w:val="nil"/>
              <w:right w:val="nil"/>
            </w:tcBorders>
            <w:shd w:val="clear" w:color="auto" w:fill="auto"/>
            <w:noWrap/>
            <w:vAlign w:val="bottom"/>
            <w:hideMark/>
          </w:tcPr>
          <w:p w:rsidR="006F7AD6" w:rsidRPr="00A032ED" w:rsidP="00886011" w14:paraId="0ED28A37"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E0D0BBD" w14:textId="77777777">
            <w:pPr>
              <w:widowControl/>
              <w:jc w:val="center"/>
              <w:rPr>
                <w:rFonts w:ascii="Calibri" w:hAnsi="Calibri" w:cs="Calibri"/>
                <w:snapToGrid/>
                <w:kern w:val="0"/>
                <w:szCs w:val="22"/>
              </w:rPr>
            </w:pPr>
            <w:r w:rsidRPr="00A032ED">
              <w:rPr>
                <w:rFonts w:ascii="Calibri" w:hAnsi="Calibri" w:cs="Calibri"/>
                <w:snapToGrid/>
                <w:kern w:val="0"/>
                <w:szCs w:val="22"/>
              </w:rPr>
              <w:t>WKYC</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5882E8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4,154,903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46C9A0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$30,017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55CBFF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23E9D3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$35,346 </w:t>
            </w:r>
          </w:p>
        </w:tc>
      </w:tr>
      <w:tr w14:paraId="38695785"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D58AEC4" w14:textId="77777777">
            <w:pPr>
              <w:widowControl/>
              <w:jc w:val="center"/>
              <w:rPr>
                <w:rFonts w:ascii="Calibri" w:hAnsi="Calibri" w:cs="Calibri"/>
                <w:snapToGrid/>
                <w:kern w:val="0"/>
                <w:szCs w:val="22"/>
              </w:rPr>
            </w:pPr>
            <w:r w:rsidRPr="00A032ED">
              <w:rPr>
                <w:rFonts w:ascii="Calibri" w:hAnsi="Calibri" w:cs="Calibri"/>
                <w:snapToGrid/>
                <w:kern w:val="0"/>
                <w:szCs w:val="22"/>
              </w:rPr>
              <w:t>WJLP</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E3564E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21,384,863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16DBC2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$154,492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9D7044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8CBB37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$104,246 </w:t>
            </w:r>
          </w:p>
        </w:tc>
        <w:tc>
          <w:tcPr>
            <w:tcW w:w="266" w:type="dxa"/>
            <w:tcBorders>
              <w:top w:val="nil"/>
              <w:left w:val="nil"/>
              <w:bottom w:val="nil"/>
              <w:right w:val="nil"/>
            </w:tcBorders>
            <w:shd w:val="clear" w:color="auto" w:fill="auto"/>
            <w:noWrap/>
            <w:vAlign w:val="bottom"/>
            <w:hideMark/>
          </w:tcPr>
          <w:p w:rsidR="006F7AD6" w:rsidRPr="00A032ED" w:rsidP="00886011" w14:paraId="59AFD0DD"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8EC8DD2" w14:textId="77777777">
            <w:pPr>
              <w:widowControl/>
              <w:jc w:val="center"/>
              <w:rPr>
                <w:rFonts w:ascii="Calibri" w:hAnsi="Calibri" w:cs="Calibri"/>
                <w:snapToGrid/>
                <w:kern w:val="0"/>
                <w:szCs w:val="22"/>
              </w:rPr>
            </w:pPr>
            <w:r w:rsidRPr="00A032ED">
              <w:rPr>
                <w:rFonts w:ascii="Calibri" w:hAnsi="Calibri" w:cs="Calibri"/>
                <w:snapToGrid/>
                <w:kern w:val="0"/>
                <w:szCs w:val="22"/>
              </w:rPr>
              <w:t>WKYT-TV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6097B7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1,138,566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4D27DB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$8,225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A2CB3A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FF440D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$10,888 </w:t>
            </w:r>
          </w:p>
        </w:tc>
      </w:tr>
      <w:tr w14:paraId="6E92095B"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C4F5F1C" w14:textId="77777777">
            <w:pPr>
              <w:widowControl/>
              <w:jc w:val="center"/>
              <w:rPr>
                <w:rFonts w:ascii="Calibri" w:hAnsi="Calibri" w:cs="Calibri"/>
                <w:snapToGrid/>
                <w:kern w:val="0"/>
                <w:szCs w:val="22"/>
              </w:rPr>
            </w:pPr>
            <w:r w:rsidRPr="00A032ED">
              <w:rPr>
                <w:rFonts w:ascii="Calibri" w:hAnsi="Calibri" w:cs="Calibri"/>
                <w:snapToGrid/>
                <w:kern w:val="0"/>
                <w:szCs w:val="22"/>
              </w:rPr>
              <w:t>WJMN-TV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C008E3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160,991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C5B992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$1,163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110806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11BEC6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$2,807 </w:t>
            </w:r>
          </w:p>
        </w:tc>
        <w:tc>
          <w:tcPr>
            <w:tcW w:w="266" w:type="dxa"/>
            <w:tcBorders>
              <w:top w:val="nil"/>
              <w:left w:val="nil"/>
              <w:bottom w:val="nil"/>
              <w:right w:val="nil"/>
            </w:tcBorders>
            <w:shd w:val="clear" w:color="auto" w:fill="auto"/>
            <w:noWrap/>
            <w:vAlign w:val="bottom"/>
            <w:hideMark/>
          </w:tcPr>
          <w:p w:rsidR="006F7AD6" w:rsidRPr="00A032ED" w:rsidP="00886011" w14:paraId="474A042A"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D8E8EAE" w14:textId="77777777">
            <w:pPr>
              <w:widowControl/>
              <w:jc w:val="center"/>
              <w:rPr>
                <w:rFonts w:ascii="Calibri" w:hAnsi="Calibri" w:cs="Calibri"/>
                <w:snapToGrid/>
                <w:kern w:val="0"/>
                <w:szCs w:val="22"/>
              </w:rPr>
            </w:pPr>
            <w:r w:rsidRPr="00A032ED">
              <w:rPr>
                <w:rFonts w:ascii="Calibri" w:hAnsi="Calibri" w:cs="Calibri"/>
                <w:snapToGrid/>
                <w:kern w:val="0"/>
                <w:szCs w:val="22"/>
              </w:rPr>
              <w:t>WLAJ</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10497B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1,865,669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83DB7C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$13,478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2C014C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DE9D4B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$8,964 </w:t>
            </w:r>
          </w:p>
        </w:tc>
      </w:tr>
      <w:tr w14:paraId="7A20D007"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37DCD95" w14:textId="77777777">
            <w:pPr>
              <w:widowControl/>
              <w:jc w:val="center"/>
              <w:rPr>
                <w:rFonts w:ascii="Calibri" w:hAnsi="Calibri" w:cs="Calibri"/>
                <w:snapToGrid/>
                <w:kern w:val="0"/>
                <w:szCs w:val="22"/>
              </w:rPr>
            </w:pPr>
            <w:r w:rsidRPr="00A032ED">
              <w:rPr>
                <w:rFonts w:ascii="Calibri" w:hAnsi="Calibri" w:cs="Calibri"/>
                <w:snapToGrid/>
                <w:kern w:val="0"/>
                <w:szCs w:val="22"/>
              </w:rPr>
              <w:t>WJPX</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C44D22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3,254,481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73DFF5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$23,512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079DE7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E591D2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$13,981 </w:t>
            </w:r>
          </w:p>
        </w:tc>
        <w:tc>
          <w:tcPr>
            <w:tcW w:w="266" w:type="dxa"/>
            <w:tcBorders>
              <w:top w:val="nil"/>
              <w:left w:val="nil"/>
              <w:bottom w:val="nil"/>
              <w:right w:val="nil"/>
            </w:tcBorders>
            <w:shd w:val="clear" w:color="auto" w:fill="auto"/>
            <w:noWrap/>
            <w:vAlign w:val="bottom"/>
            <w:hideMark/>
          </w:tcPr>
          <w:p w:rsidR="006F7AD6" w:rsidRPr="00A032ED" w:rsidP="00886011" w14:paraId="7BBF4BE8"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4D00A13" w14:textId="77777777">
            <w:pPr>
              <w:widowControl/>
              <w:jc w:val="center"/>
              <w:rPr>
                <w:rFonts w:ascii="Calibri" w:hAnsi="Calibri" w:cs="Calibri"/>
                <w:snapToGrid/>
                <w:kern w:val="0"/>
                <w:szCs w:val="22"/>
              </w:rPr>
            </w:pPr>
            <w:r w:rsidRPr="00A032ED">
              <w:rPr>
                <w:rFonts w:ascii="Calibri" w:hAnsi="Calibri" w:cs="Calibri"/>
                <w:snapToGrid/>
                <w:kern w:val="0"/>
                <w:szCs w:val="22"/>
              </w:rPr>
              <w:t>WLAX</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C1F726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513,319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D751B9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$3,708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0AF08B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5EDAD5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$4,079 </w:t>
            </w:r>
          </w:p>
        </w:tc>
      </w:tr>
      <w:tr w14:paraId="632684B4"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7D9976D" w14:textId="77777777">
            <w:pPr>
              <w:widowControl/>
              <w:jc w:val="center"/>
              <w:rPr>
                <w:rFonts w:ascii="Calibri" w:hAnsi="Calibri" w:cs="Calibri"/>
                <w:snapToGrid/>
                <w:kern w:val="0"/>
                <w:szCs w:val="22"/>
              </w:rPr>
            </w:pPr>
            <w:r w:rsidRPr="00A032ED">
              <w:rPr>
                <w:rFonts w:ascii="Calibri" w:hAnsi="Calibri" w:cs="Calibri"/>
                <w:snapToGrid/>
                <w:kern w:val="0"/>
                <w:szCs w:val="22"/>
              </w:rPr>
              <w:t>WJRT-TV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193063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2,788,684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063439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$20,146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B2544E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FD2646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$16,848 </w:t>
            </w:r>
          </w:p>
        </w:tc>
        <w:tc>
          <w:tcPr>
            <w:tcW w:w="266" w:type="dxa"/>
            <w:tcBorders>
              <w:top w:val="nil"/>
              <w:left w:val="nil"/>
              <w:bottom w:val="nil"/>
              <w:right w:val="nil"/>
            </w:tcBorders>
            <w:shd w:val="clear" w:color="auto" w:fill="auto"/>
            <w:noWrap/>
            <w:vAlign w:val="bottom"/>
            <w:hideMark/>
          </w:tcPr>
          <w:p w:rsidR="006F7AD6" w:rsidRPr="00A032ED" w:rsidP="00886011" w14:paraId="7563C778"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FE83C02" w14:textId="77777777">
            <w:pPr>
              <w:widowControl/>
              <w:jc w:val="center"/>
              <w:rPr>
                <w:rFonts w:ascii="Calibri" w:hAnsi="Calibri" w:cs="Calibri"/>
                <w:snapToGrid/>
                <w:kern w:val="0"/>
                <w:szCs w:val="22"/>
              </w:rPr>
            </w:pPr>
            <w:r w:rsidRPr="00A032ED">
              <w:rPr>
                <w:rFonts w:ascii="Calibri" w:hAnsi="Calibri" w:cs="Calibri"/>
                <w:snapToGrid/>
                <w:kern w:val="0"/>
                <w:szCs w:val="22"/>
              </w:rPr>
              <w:t>WLBT</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B52E47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948,671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6140EA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$6,854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A834A4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9C55A5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$10,202 </w:t>
            </w:r>
          </w:p>
        </w:tc>
      </w:tr>
      <w:tr w14:paraId="34E61ED2"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7BDDED5" w14:textId="77777777">
            <w:pPr>
              <w:widowControl/>
              <w:jc w:val="center"/>
              <w:rPr>
                <w:rFonts w:ascii="Calibri" w:hAnsi="Calibri" w:cs="Calibri"/>
                <w:snapToGrid/>
                <w:kern w:val="0"/>
                <w:szCs w:val="22"/>
              </w:rPr>
            </w:pPr>
            <w:r w:rsidRPr="00A032ED">
              <w:rPr>
                <w:rFonts w:ascii="Calibri" w:hAnsi="Calibri" w:cs="Calibri"/>
                <w:snapToGrid/>
                <w:kern w:val="0"/>
                <w:szCs w:val="22"/>
              </w:rPr>
              <w:t>WJTC</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A1A6B5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1,347,474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295D4C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$9,735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90FE79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235B41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$11,642 </w:t>
            </w:r>
          </w:p>
        </w:tc>
        <w:tc>
          <w:tcPr>
            <w:tcW w:w="266" w:type="dxa"/>
            <w:tcBorders>
              <w:top w:val="nil"/>
              <w:left w:val="nil"/>
              <w:bottom w:val="nil"/>
              <w:right w:val="nil"/>
            </w:tcBorders>
            <w:shd w:val="clear" w:color="auto" w:fill="auto"/>
            <w:noWrap/>
            <w:vAlign w:val="bottom"/>
            <w:hideMark/>
          </w:tcPr>
          <w:p w:rsidR="006F7AD6" w:rsidRPr="00A032ED" w:rsidP="00886011" w14:paraId="714B0E27"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76ADDA9" w14:textId="77777777">
            <w:pPr>
              <w:widowControl/>
              <w:jc w:val="center"/>
              <w:rPr>
                <w:rFonts w:ascii="Calibri" w:hAnsi="Calibri" w:cs="Calibri"/>
                <w:snapToGrid/>
                <w:kern w:val="0"/>
                <w:szCs w:val="22"/>
              </w:rPr>
            </w:pPr>
            <w:r w:rsidRPr="00A032ED">
              <w:rPr>
                <w:rFonts w:ascii="Calibri" w:hAnsi="Calibri" w:cs="Calibri"/>
                <w:snapToGrid/>
                <w:kern w:val="0"/>
                <w:szCs w:val="22"/>
              </w:rPr>
              <w:t>WLBZ</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9C6810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373,129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F509AD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$2,696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2513E3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1CD87F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$3,573 </w:t>
            </w:r>
          </w:p>
        </w:tc>
      </w:tr>
      <w:tr w14:paraId="49A67A58"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B391D13" w14:textId="77777777">
            <w:pPr>
              <w:widowControl/>
              <w:jc w:val="center"/>
              <w:rPr>
                <w:rFonts w:ascii="Calibri" w:hAnsi="Calibri" w:cs="Calibri"/>
                <w:snapToGrid/>
                <w:kern w:val="0"/>
                <w:szCs w:val="22"/>
              </w:rPr>
            </w:pPr>
            <w:r w:rsidRPr="00A032ED">
              <w:rPr>
                <w:rFonts w:ascii="Calibri" w:hAnsi="Calibri" w:cs="Calibri"/>
                <w:snapToGrid/>
                <w:kern w:val="0"/>
                <w:szCs w:val="22"/>
              </w:rPr>
              <w:t>WJTV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91D6A5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987,206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885A95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$7,132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ABDE2E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1B71E5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$10,341 </w:t>
            </w:r>
          </w:p>
        </w:tc>
        <w:tc>
          <w:tcPr>
            <w:tcW w:w="266" w:type="dxa"/>
            <w:tcBorders>
              <w:top w:val="nil"/>
              <w:left w:val="nil"/>
              <w:bottom w:val="nil"/>
              <w:right w:val="nil"/>
            </w:tcBorders>
            <w:shd w:val="clear" w:color="auto" w:fill="auto"/>
            <w:noWrap/>
            <w:vAlign w:val="bottom"/>
            <w:hideMark/>
          </w:tcPr>
          <w:p w:rsidR="006F7AD6" w:rsidRPr="00A032ED" w:rsidP="00886011" w14:paraId="69131E88"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D873315" w14:textId="77777777">
            <w:pPr>
              <w:widowControl/>
              <w:jc w:val="center"/>
              <w:rPr>
                <w:rFonts w:ascii="Calibri" w:hAnsi="Calibri" w:cs="Calibri"/>
                <w:snapToGrid/>
                <w:kern w:val="0"/>
                <w:szCs w:val="22"/>
              </w:rPr>
            </w:pPr>
            <w:r w:rsidRPr="00A032ED">
              <w:rPr>
                <w:rFonts w:ascii="Calibri" w:hAnsi="Calibri" w:cs="Calibri"/>
                <w:snapToGrid/>
                <w:kern w:val="0"/>
                <w:szCs w:val="22"/>
              </w:rPr>
              <w:t>WLEX-TV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6BF77C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969,543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A63149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$7,004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61AA68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773343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$10,277 </w:t>
            </w:r>
          </w:p>
        </w:tc>
      </w:tr>
      <w:tr w14:paraId="096D3CE7"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2B05870" w14:textId="77777777">
            <w:pPr>
              <w:widowControl/>
              <w:jc w:val="center"/>
              <w:rPr>
                <w:rFonts w:ascii="Calibri" w:hAnsi="Calibri" w:cs="Calibri"/>
                <w:snapToGrid/>
                <w:kern w:val="0"/>
                <w:szCs w:val="22"/>
              </w:rPr>
            </w:pPr>
            <w:r w:rsidRPr="00A032ED">
              <w:rPr>
                <w:rFonts w:ascii="Calibri" w:hAnsi="Calibri" w:cs="Calibri"/>
                <w:snapToGrid/>
                <w:kern w:val="0"/>
                <w:szCs w:val="22"/>
              </w:rPr>
              <w:t>WLFI-TV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23D8BB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2,243,009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E24D85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$16,204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68BA58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659B01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$10,327 </w:t>
            </w:r>
          </w:p>
        </w:tc>
        <w:tc>
          <w:tcPr>
            <w:tcW w:w="266" w:type="dxa"/>
            <w:tcBorders>
              <w:top w:val="nil"/>
              <w:left w:val="nil"/>
              <w:bottom w:val="nil"/>
              <w:right w:val="nil"/>
            </w:tcBorders>
            <w:shd w:val="clear" w:color="auto" w:fill="auto"/>
            <w:noWrap/>
            <w:vAlign w:val="bottom"/>
            <w:hideMark/>
          </w:tcPr>
          <w:p w:rsidR="006F7AD6" w:rsidRPr="00A032ED" w:rsidP="00886011" w14:paraId="69C534D9"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D896896" w14:textId="77777777">
            <w:pPr>
              <w:widowControl/>
              <w:jc w:val="center"/>
              <w:rPr>
                <w:rFonts w:ascii="Calibri" w:hAnsi="Calibri" w:cs="Calibri"/>
                <w:snapToGrid/>
                <w:kern w:val="0"/>
                <w:szCs w:val="22"/>
              </w:rPr>
            </w:pPr>
            <w:r w:rsidRPr="00A032ED">
              <w:rPr>
                <w:rFonts w:ascii="Calibri" w:hAnsi="Calibri" w:cs="Calibri"/>
                <w:snapToGrid/>
                <w:kern w:val="0"/>
                <w:szCs w:val="22"/>
              </w:rPr>
              <w:t>WMDN</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B7E10B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278,227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E542E9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$2,010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E8C6F9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CA0A1D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$3,230 </w:t>
            </w:r>
          </w:p>
        </w:tc>
      </w:tr>
      <w:tr w14:paraId="5303FE11"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EC61933" w14:textId="77777777">
            <w:pPr>
              <w:widowControl/>
              <w:jc w:val="center"/>
              <w:rPr>
                <w:rFonts w:ascii="Calibri" w:hAnsi="Calibri" w:cs="Calibri"/>
                <w:snapToGrid/>
                <w:kern w:val="0"/>
                <w:szCs w:val="22"/>
              </w:rPr>
            </w:pPr>
            <w:r w:rsidRPr="00A032ED">
              <w:rPr>
                <w:rFonts w:ascii="Calibri" w:hAnsi="Calibri" w:cs="Calibri"/>
                <w:snapToGrid/>
                <w:kern w:val="0"/>
                <w:szCs w:val="22"/>
              </w:rPr>
              <w:t>WLFL</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0C1849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3,640,360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B09084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$26,299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4902B3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9D6D47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$33,487 </w:t>
            </w:r>
          </w:p>
        </w:tc>
        <w:tc>
          <w:tcPr>
            <w:tcW w:w="266" w:type="dxa"/>
            <w:tcBorders>
              <w:top w:val="nil"/>
              <w:left w:val="nil"/>
              <w:bottom w:val="nil"/>
              <w:right w:val="nil"/>
            </w:tcBorders>
            <w:shd w:val="clear" w:color="auto" w:fill="auto"/>
            <w:noWrap/>
            <w:vAlign w:val="bottom"/>
            <w:hideMark/>
          </w:tcPr>
          <w:p w:rsidR="006F7AD6" w:rsidRPr="00A032ED" w:rsidP="00886011" w14:paraId="41A2B4C0"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9FCEE9D" w14:textId="77777777">
            <w:pPr>
              <w:widowControl/>
              <w:jc w:val="center"/>
              <w:rPr>
                <w:rFonts w:ascii="Calibri" w:hAnsi="Calibri" w:cs="Calibri"/>
                <w:snapToGrid/>
                <w:kern w:val="0"/>
                <w:szCs w:val="22"/>
              </w:rPr>
            </w:pPr>
            <w:r w:rsidRPr="00A032ED">
              <w:rPr>
                <w:rFonts w:ascii="Calibri" w:hAnsi="Calibri" w:cs="Calibri"/>
                <w:snapToGrid/>
                <w:kern w:val="0"/>
                <w:szCs w:val="22"/>
              </w:rPr>
              <w:t>WMDT</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75AADB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731,931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CC8080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$5,288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0E98CC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ACA6EA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$4,869 </w:t>
            </w:r>
          </w:p>
        </w:tc>
      </w:tr>
      <w:tr w14:paraId="28FDF336"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B36C69D" w14:textId="77777777">
            <w:pPr>
              <w:widowControl/>
              <w:jc w:val="center"/>
              <w:rPr>
                <w:rFonts w:ascii="Calibri" w:hAnsi="Calibri" w:cs="Calibri"/>
                <w:snapToGrid/>
                <w:kern w:val="0"/>
                <w:szCs w:val="22"/>
              </w:rPr>
            </w:pPr>
            <w:r w:rsidRPr="00A032ED">
              <w:rPr>
                <w:rFonts w:ascii="Calibri" w:hAnsi="Calibri" w:cs="Calibri"/>
                <w:snapToGrid/>
                <w:kern w:val="0"/>
                <w:szCs w:val="22"/>
              </w:rPr>
              <w:t>WLGA</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F6E593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950,018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761673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$6,863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EC0EFA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AB701F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$5,657 </w:t>
            </w:r>
          </w:p>
        </w:tc>
        <w:tc>
          <w:tcPr>
            <w:tcW w:w="266" w:type="dxa"/>
            <w:tcBorders>
              <w:top w:val="nil"/>
              <w:left w:val="nil"/>
              <w:bottom w:val="nil"/>
              <w:right w:val="nil"/>
            </w:tcBorders>
            <w:shd w:val="clear" w:color="auto" w:fill="auto"/>
            <w:noWrap/>
            <w:vAlign w:val="bottom"/>
            <w:hideMark/>
          </w:tcPr>
          <w:p w:rsidR="006F7AD6" w:rsidRPr="00A032ED" w:rsidP="00886011" w14:paraId="49D2EC7E"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BC78B78" w14:textId="77777777">
            <w:pPr>
              <w:widowControl/>
              <w:jc w:val="center"/>
              <w:rPr>
                <w:rFonts w:ascii="Calibri" w:hAnsi="Calibri" w:cs="Calibri"/>
                <w:snapToGrid/>
                <w:kern w:val="0"/>
                <w:szCs w:val="22"/>
              </w:rPr>
            </w:pPr>
            <w:r w:rsidRPr="00A032ED">
              <w:rPr>
                <w:rFonts w:ascii="Calibri" w:hAnsi="Calibri" w:cs="Calibri"/>
                <w:snapToGrid/>
                <w:kern w:val="0"/>
                <w:szCs w:val="22"/>
              </w:rPr>
              <w:t>WMFD-TV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13E516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1,561,367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EC6FD2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$11,280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2EB3F8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5F1D17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$25,977 </w:t>
            </w:r>
          </w:p>
        </w:tc>
      </w:tr>
      <w:tr w14:paraId="3E3A32FF"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16839CE" w14:textId="77777777">
            <w:pPr>
              <w:widowControl/>
              <w:jc w:val="center"/>
              <w:rPr>
                <w:rFonts w:ascii="Calibri" w:hAnsi="Calibri" w:cs="Calibri"/>
                <w:snapToGrid/>
                <w:kern w:val="0"/>
                <w:szCs w:val="22"/>
              </w:rPr>
            </w:pPr>
            <w:r w:rsidRPr="00A032ED">
              <w:rPr>
                <w:rFonts w:ascii="Calibri" w:hAnsi="Calibri" w:cs="Calibri"/>
                <w:snapToGrid/>
                <w:kern w:val="0"/>
                <w:szCs w:val="22"/>
              </w:rPr>
              <w:t>WLII-DT</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67E6FD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2,801,102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B95B3C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$20,236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91E618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D909DD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$12,343 </w:t>
            </w:r>
          </w:p>
        </w:tc>
        <w:tc>
          <w:tcPr>
            <w:tcW w:w="266" w:type="dxa"/>
            <w:tcBorders>
              <w:top w:val="nil"/>
              <w:left w:val="nil"/>
              <w:bottom w:val="nil"/>
              <w:right w:val="nil"/>
            </w:tcBorders>
            <w:shd w:val="clear" w:color="auto" w:fill="auto"/>
            <w:noWrap/>
            <w:vAlign w:val="bottom"/>
            <w:hideMark/>
          </w:tcPr>
          <w:p w:rsidR="006F7AD6" w:rsidRPr="00A032ED" w:rsidP="00886011" w14:paraId="5004D9B6"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520FE52" w14:textId="77777777">
            <w:pPr>
              <w:widowControl/>
              <w:jc w:val="center"/>
              <w:rPr>
                <w:rFonts w:ascii="Calibri" w:hAnsi="Calibri" w:cs="Calibri"/>
                <w:snapToGrid/>
                <w:kern w:val="0"/>
                <w:szCs w:val="22"/>
              </w:rPr>
            </w:pPr>
            <w:r w:rsidRPr="00A032ED">
              <w:rPr>
                <w:rFonts w:ascii="Calibri" w:hAnsi="Calibri" w:cs="Calibri"/>
                <w:snapToGrid/>
                <w:kern w:val="0"/>
                <w:szCs w:val="22"/>
              </w:rPr>
              <w:t>WMFP</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DC97C8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5,792,048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5BA769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$41,844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D6395B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07406E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$47,922 </w:t>
            </w:r>
          </w:p>
        </w:tc>
      </w:tr>
      <w:tr w14:paraId="66DBADE9"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9C3415E" w14:textId="77777777">
            <w:pPr>
              <w:widowControl/>
              <w:jc w:val="center"/>
              <w:rPr>
                <w:rFonts w:ascii="Calibri" w:hAnsi="Calibri" w:cs="Calibri"/>
                <w:snapToGrid/>
                <w:kern w:val="0"/>
                <w:szCs w:val="22"/>
              </w:rPr>
            </w:pPr>
            <w:r w:rsidRPr="00A032ED">
              <w:rPr>
                <w:rFonts w:ascii="Calibri" w:hAnsi="Calibri" w:cs="Calibri"/>
                <w:snapToGrid/>
                <w:kern w:val="0"/>
                <w:szCs w:val="22"/>
              </w:rPr>
              <w:t>WLIO</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2AFA01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1,070,641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69D969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$7,735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6A782A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34B883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$6,092 </w:t>
            </w:r>
          </w:p>
        </w:tc>
        <w:tc>
          <w:tcPr>
            <w:tcW w:w="266" w:type="dxa"/>
            <w:tcBorders>
              <w:top w:val="nil"/>
              <w:left w:val="nil"/>
              <w:bottom w:val="nil"/>
              <w:right w:val="nil"/>
            </w:tcBorders>
            <w:shd w:val="clear" w:color="auto" w:fill="auto"/>
            <w:noWrap/>
            <w:vAlign w:val="bottom"/>
            <w:hideMark/>
          </w:tcPr>
          <w:p w:rsidR="006F7AD6" w:rsidRPr="00A032ED" w:rsidP="00886011" w14:paraId="13B6BB58"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43DEC5E" w14:textId="77777777">
            <w:pPr>
              <w:widowControl/>
              <w:jc w:val="center"/>
              <w:rPr>
                <w:rFonts w:ascii="Calibri" w:hAnsi="Calibri" w:cs="Calibri"/>
                <w:snapToGrid/>
                <w:kern w:val="0"/>
                <w:szCs w:val="22"/>
              </w:rPr>
            </w:pPr>
            <w:r w:rsidRPr="00A032ED">
              <w:rPr>
                <w:rFonts w:ascii="Calibri" w:hAnsi="Calibri" w:cs="Calibri"/>
                <w:snapToGrid/>
                <w:kern w:val="0"/>
                <w:szCs w:val="22"/>
              </w:rPr>
              <w:t>WMGM-TV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6A1C45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807,797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6F6108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$5,836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8E5CDF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31C119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$29,918 </w:t>
            </w:r>
          </w:p>
        </w:tc>
      </w:tr>
      <w:tr w14:paraId="7C89D739"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4ABBE9B" w14:textId="77777777">
            <w:pPr>
              <w:widowControl/>
              <w:jc w:val="center"/>
              <w:rPr>
                <w:rFonts w:ascii="Calibri" w:hAnsi="Calibri" w:cs="Calibri"/>
                <w:snapToGrid/>
                <w:kern w:val="0"/>
                <w:szCs w:val="22"/>
              </w:rPr>
            </w:pPr>
            <w:r w:rsidRPr="00A032ED">
              <w:rPr>
                <w:rFonts w:ascii="Calibri" w:hAnsi="Calibri" w:cs="Calibri"/>
                <w:snapToGrid/>
                <w:kern w:val="0"/>
                <w:szCs w:val="22"/>
              </w:rPr>
              <w:t>WLIW</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BBC0D9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14,117,756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8610B3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$101,992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DF7A51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084CC4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$77,996 </w:t>
            </w:r>
          </w:p>
        </w:tc>
        <w:tc>
          <w:tcPr>
            <w:tcW w:w="266" w:type="dxa"/>
            <w:tcBorders>
              <w:top w:val="nil"/>
              <w:left w:val="nil"/>
              <w:bottom w:val="nil"/>
              <w:right w:val="nil"/>
            </w:tcBorders>
            <w:shd w:val="clear" w:color="auto" w:fill="auto"/>
            <w:noWrap/>
            <w:vAlign w:val="bottom"/>
            <w:hideMark/>
          </w:tcPr>
          <w:p w:rsidR="006F7AD6" w:rsidRPr="00A032ED" w:rsidP="00886011" w14:paraId="019D9BBC"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66C29E8" w14:textId="77777777">
            <w:pPr>
              <w:widowControl/>
              <w:jc w:val="center"/>
              <w:rPr>
                <w:rFonts w:ascii="Calibri" w:hAnsi="Calibri" w:cs="Calibri"/>
                <w:snapToGrid/>
                <w:kern w:val="0"/>
                <w:szCs w:val="22"/>
              </w:rPr>
            </w:pPr>
            <w:r w:rsidRPr="00A032ED">
              <w:rPr>
                <w:rFonts w:ascii="Calibri" w:hAnsi="Calibri" w:cs="Calibri"/>
                <w:snapToGrid/>
                <w:kern w:val="0"/>
                <w:szCs w:val="22"/>
              </w:rPr>
              <w:t>WMGT-TV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E90678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601,894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4DFB69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$4,348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56C7E3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E3403F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$4,399 </w:t>
            </w:r>
          </w:p>
        </w:tc>
      </w:tr>
      <w:tr w14:paraId="6D1C8AA4"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F12AF80" w14:textId="77777777">
            <w:pPr>
              <w:widowControl/>
              <w:jc w:val="center"/>
              <w:rPr>
                <w:rFonts w:ascii="Calibri" w:hAnsi="Calibri" w:cs="Calibri"/>
                <w:snapToGrid/>
                <w:kern w:val="0"/>
                <w:szCs w:val="22"/>
              </w:rPr>
            </w:pPr>
            <w:r w:rsidRPr="00A032ED">
              <w:rPr>
                <w:rFonts w:ascii="Calibri" w:hAnsi="Calibri" w:cs="Calibri"/>
                <w:snapToGrid/>
                <w:kern w:val="0"/>
                <w:szCs w:val="22"/>
              </w:rPr>
              <w:t>WLJC-TV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AE39CD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1,433,458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904A7B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$10,356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2A204F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CA6805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$11,953 </w:t>
            </w:r>
          </w:p>
        </w:tc>
        <w:tc>
          <w:tcPr>
            <w:tcW w:w="266" w:type="dxa"/>
            <w:tcBorders>
              <w:top w:val="nil"/>
              <w:left w:val="nil"/>
              <w:bottom w:val="nil"/>
              <w:right w:val="nil"/>
            </w:tcBorders>
            <w:shd w:val="clear" w:color="auto" w:fill="auto"/>
            <w:noWrap/>
            <w:vAlign w:val="bottom"/>
            <w:hideMark/>
          </w:tcPr>
          <w:p w:rsidR="006F7AD6" w:rsidRPr="00A032ED" w:rsidP="00886011" w14:paraId="6A96F51A"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C45E2AD" w14:textId="77777777">
            <w:pPr>
              <w:widowControl/>
              <w:jc w:val="center"/>
              <w:rPr>
                <w:rFonts w:ascii="Calibri" w:hAnsi="Calibri" w:cs="Calibri"/>
                <w:snapToGrid/>
                <w:kern w:val="0"/>
                <w:szCs w:val="22"/>
              </w:rPr>
            </w:pPr>
            <w:r w:rsidRPr="00A032ED">
              <w:rPr>
                <w:rFonts w:ascii="Calibri" w:hAnsi="Calibri" w:cs="Calibri"/>
                <w:snapToGrid/>
                <w:kern w:val="0"/>
                <w:szCs w:val="22"/>
              </w:rPr>
              <w:t>WMOR-TV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015E6D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5,386,517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345470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$38,914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3C1D21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DA5CFA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$39,795 </w:t>
            </w:r>
          </w:p>
        </w:tc>
      </w:tr>
      <w:tr w14:paraId="6754BD0E"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AFFA644" w14:textId="77777777">
            <w:pPr>
              <w:widowControl/>
              <w:jc w:val="center"/>
              <w:rPr>
                <w:rFonts w:ascii="Calibri" w:hAnsi="Calibri" w:cs="Calibri"/>
                <w:snapToGrid/>
                <w:kern w:val="0"/>
                <w:szCs w:val="22"/>
              </w:rPr>
            </w:pPr>
            <w:r w:rsidRPr="00A032ED">
              <w:rPr>
                <w:rFonts w:ascii="Calibri" w:hAnsi="Calibri" w:cs="Calibri"/>
                <w:snapToGrid/>
                <w:kern w:val="0"/>
                <w:szCs w:val="22"/>
              </w:rPr>
              <w:t>WLKY</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C9A861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1,854,829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F174F9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$13,400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C560E6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C73737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$20,275 </w:t>
            </w:r>
          </w:p>
        </w:tc>
        <w:tc>
          <w:tcPr>
            <w:tcW w:w="266" w:type="dxa"/>
            <w:tcBorders>
              <w:top w:val="nil"/>
              <w:left w:val="nil"/>
              <w:bottom w:val="nil"/>
              <w:right w:val="nil"/>
            </w:tcBorders>
            <w:shd w:val="clear" w:color="auto" w:fill="auto"/>
            <w:noWrap/>
            <w:vAlign w:val="bottom"/>
            <w:hideMark/>
          </w:tcPr>
          <w:p w:rsidR="006F7AD6" w:rsidRPr="00A032ED" w:rsidP="00886011" w14:paraId="542255BB"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43FC02C" w14:textId="77777777">
            <w:pPr>
              <w:widowControl/>
              <w:jc w:val="center"/>
              <w:rPr>
                <w:rFonts w:ascii="Calibri" w:hAnsi="Calibri" w:cs="Calibri"/>
                <w:snapToGrid/>
                <w:kern w:val="0"/>
                <w:szCs w:val="22"/>
              </w:rPr>
            </w:pPr>
            <w:r w:rsidRPr="00A032ED">
              <w:rPr>
                <w:rFonts w:ascii="Calibri" w:hAnsi="Calibri" w:cs="Calibri"/>
                <w:snapToGrid/>
                <w:kern w:val="0"/>
                <w:szCs w:val="22"/>
              </w:rPr>
              <w:t>WMOW</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CBC3EA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121,150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CBBC73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$875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AD62DD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5A99F6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$2,663 </w:t>
            </w:r>
          </w:p>
        </w:tc>
      </w:tr>
      <w:tr w14:paraId="09AC9A6B"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8E5BA59" w14:textId="77777777">
            <w:pPr>
              <w:widowControl/>
              <w:jc w:val="center"/>
              <w:rPr>
                <w:rFonts w:ascii="Calibri" w:hAnsi="Calibri" w:cs="Calibri"/>
                <w:snapToGrid/>
                <w:kern w:val="0"/>
                <w:szCs w:val="22"/>
              </w:rPr>
            </w:pPr>
            <w:r w:rsidRPr="00A032ED">
              <w:rPr>
                <w:rFonts w:ascii="Calibri" w:hAnsi="Calibri" w:cs="Calibri"/>
                <w:snapToGrid/>
                <w:kern w:val="0"/>
                <w:szCs w:val="22"/>
              </w:rPr>
              <w:t>WLMB</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02AB04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2,754,484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0B8E29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$19,899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FD8A18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4BA860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$16,725 </w:t>
            </w:r>
          </w:p>
        </w:tc>
        <w:tc>
          <w:tcPr>
            <w:tcW w:w="266" w:type="dxa"/>
            <w:tcBorders>
              <w:top w:val="nil"/>
              <w:left w:val="nil"/>
              <w:bottom w:val="nil"/>
              <w:right w:val="nil"/>
            </w:tcBorders>
            <w:shd w:val="clear" w:color="auto" w:fill="auto"/>
            <w:noWrap/>
            <w:vAlign w:val="bottom"/>
            <w:hideMark/>
          </w:tcPr>
          <w:p w:rsidR="006F7AD6" w:rsidRPr="00A032ED" w:rsidP="00886011" w14:paraId="22B3776F"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9F99119" w14:textId="77777777">
            <w:pPr>
              <w:widowControl/>
              <w:jc w:val="center"/>
              <w:rPr>
                <w:rFonts w:ascii="Calibri" w:hAnsi="Calibri" w:cs="Calibri"/>
                <w:snapToGrid/>
                <w:kern w:val="0"/>
                <w:szCs w:val="22"/>
              </w:rPr>
            </w:pPr>
            <w:r w:rsidRPr="00A032ED">
              <w:rPr>
                <w:rFonts w:ascii="Calibri" w:hAnsi="Calibri" w:cs="Calibri"/>
                <w:snapToGrid/>
                <w:kern w:val="0"/>
                <w:szCs w:val="22"/>
              </w:rPr>
              <w:t>WMSN-TV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64059A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1,579,847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DBB3E6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$11,413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355786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0F95E8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$12,482 </w:t>
            </w:r>
          </w:p>
        </w:tc>
      </w:tr>
      <w:tr w14:paraId="02B7A911"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DACBCE2" w14:textId="77777777">
            <w:pPr>
              <w:widowControl/>
              <w:jc w:val="center"/>
              <w:rPr>
                <w:rFonts w:ascii="Calibri" w:hAnsi="Calibri" w:cs="Calibri"/>
                <w:snapToGrid/>
                <w:kern w:val="0"/>
                <w:szCs w:val="22"/>
              </w:rPr>
            </w:pPr>
            <w:r w:rsidRPr="00A032ED">
              <w:rPr>
                <w:rFonts w:ascii="Calibri" w:hAnsi="Calibri" w:cs="Calibri"/>
                <w:snapToGrid/>
                <w:kern w:val="0"/>
                <w:szCs w:val="22"/>
              </w:rPr>
              <w:t>WLMT</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6D704E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1,736,552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1E4648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$12,545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1F1F2A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9F7A9F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$13,048 </w:t>
            </w:r>
          </w:p>
        </w:tc>
        <w:tc>
          <w:tcPr>
            <w:tcW w:w="266" w:type="dxa"/>
            <w:tcBorders>
              <w:top w:val="nil"/>
              <w:left w:val="nil"/>
              <w:bottom w:val="nil"/>
              <w:right w:val="nil"/>
            </w:tcBorders>
            <w:shd w:val="clear" w:color="auto" w:fill="auto"/>
            <w:noWrap/>
            <w:vAlign w:val="bottom"/>
            <w:hideMark/>
          </w:tcPr>
          <w:p w:rsidR="006F7AD6" w:rsidRPr="00A032ED" w:rsidP="00886011" w14:paraId="3D3F6D40"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54EFCE7" w14:textId="77777777">
            <w:pPr>
              <w:widowControl/>
              <w:jc w:val="center"/>
              <w:rPr>
                <w:rFonts w:ascii="Calibri" w:hAnsi="Calibri" w:cs="Calibri"/>
                <w:snapToGrid/>
                <w:kern w:val="0"/>
                <w:szCs w:val="22"/>
              </w:rPr>
            </w:pPr>
            <w:r w:rsidRPr="00A032ED">
              <w:rPr>
                <w:rFonts w:ascii="Calibri" w:hAnsi="Calibri" w:cs="Calibri"/>
                <w:snapToGrid/>
                <w:kern w:val="0"/>
                <w:szCs w:val="22"/>
              </w:rPr>
              <w:t>WMTJ</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248FCC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3,143,148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516A72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$22,707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118425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AB6D28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$13,579 </w:t>
            </w:r>
          </w:p>
        </w:tc>
      </w:tr>
      <w:tr w14:paraId="14B633B3"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ADD95BD" w14:textId="77777777">
            <w:pPr>
              <w:widowControl/>
              <w:jc w:val="center"/>
              <w:rPr>
                <w:rFonts w:ascii="Calibri" w:hAnsi="Calibri" w:cs="Calibri"/>
                <w:snapToGrid/>
                <w:kern w:val="0"/>
                <w:szCs w:val="22"/>
              </w:rPr>
            </w:pPr>
            <w:r w:rsidRPr="00A032ED">
              <w:rPr>
                <w:rFonts w:ascii="Calibri" w:hAnsi="Calibri" w:cs="Calibri"/>
                <w:snapToGrid/>
                <w:kern w:val="0"/>
                <w:szCs w:val="22"/>
              </w:rPr>
              <w:t>WLNE-TV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1C6661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5,705,441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346E5C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$41,218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1E90AD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450950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$27,384 </w:t>
            </w:r>
          </w:p>
        </w:tc>
        <w:tc>
          <w:tcPr>
            <w:tcW w:w="266" w:type="dxa"/>
            <w:tcBorders>
              <w:top w:val="nil"/>
              <w:left w:val="nil"/>
              <w:bottom w:val="nil"/>
              <w:right w:val="nil"/>
            </w:tcBorders>
            <w:shd w:val="clear" w:color="auto" w:fill="auto"/>
            <w:noWrap/>
            <w:vAlign w:val="bottom"/>
            <w:hideMark/>
          </w:tcPr>
          <w:p w:rsidR="006F7AD6" w:rsidRPr="00A032ED" w:rsidP="00886011" w14:paraId="4272ABC6"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434B088" w14:textId="77777777">
            <w:pPr>
              <w:widowControl/>
              <w:jc w:val="center"/>
              <w:rPr>
                <w:rFonts w:ascii="Calibri" w:hAnsi="Calibri" w:cs="Calibri"/>
                <w:snapToGrid/>
                <w:kern w:val="0"/>
                <w:szCs w:val="22"/>
              </w:rPr>
            </w:pPr>
            <w:r w:rsidRPr="00A032ED">
              <w:rPr>
                <w:rFonts w:ascii="Calibri" w:hAnsi="Calibri" w:cs="Calibri"/>
                <w:snapToGrid/>
                <w:kern w:val="0"/>
                <w:szCs w:val="22"/>
              </w:rPr>
              <w:t>WMTV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46536E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1,548,616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9F94D6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$11,188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C1A8B4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15E2B7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$12,369 </w:t>
            </w:r>
          </w:p>
        </w:tc>
      </w:tr>
      <w:tr w14:paraId="7D564977"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CEA07BC" w14:textId="77777777">
            <w:pPr>
              <w:widowControl/>
              <w:jc w:val="center"/>
              <w:rPr>
                <w:rFonts w:ascii="Calibri" w:hAnsi="Calibri" w:cs="Calibri"/>
                <w:snapToGrid/>
                <w:kern w:val="0"/>
                <w:szCs w:val="22"/>
              </w:rPr>
            </w:pPr>
            <w:r w:rsidRPr="00A032ED">
              <w:rPr>
                <w:rFonts w:ascii="Calibri" w:hAnsi="Calibri" w:cs="Calibri"/>
                <w:snapToGrid/>
                <w:kern w:val="0"/>
                <w:szCs w:val="22"/>
              </w:rPr>
              <w:t>WLNS-TV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93794F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1,865,669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45BC6B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$13,478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FE3A5B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B598BC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$8,964 </w:t>
            </w:r>
          </w:p>
        </w:tc>
        <w:tc>
          <w:tcPr>
            <w:tcW w:w="266" w:type="dxa"/>
            <w:tcBorders>
              <w:top w:val="nil"/>
              <w:left w:val="nil"/>
              <w:bottom w:val="nil"/>
              <w:right w:val="nil"/>
            </w:tcBorders>
            <w:shd w:val="clear" w:color="auto" w:fill="auto"/>
            <w:noWrap/>
            <w:vAlign w:val="bottom"/>
            <w:hideMark/>
          </w:tcPr>
          <w:p w:rsidR="006F7AD6" w:rsidRPr="00A032ED" w:rsidP="00886011" w14:paraId="7553A4B5"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4E2B109" w14:textId="77777777">
            <w:pPr>
              <w:widowControl/>
              <w:jc w:val="center"/>
              <w:rPr>
                <w:rFonts w:ascii="Calibri" w:hAnsi="Calibri" w:cs="Calibri"/>
                <w:snapToGrid/>
                <w:kern w:val="0"/>
                <w:szCs w:val="22"/>
              </w:rPr>
            </w:pPr>
            <w:r w:rsidRPr="00A032ED">
              <w:rPr>
                <w:rFonts w:ascii="Calibri" w:hAnsi="Calibri" w:cs="Calibri"/>
                <w:snapToGrid/>
                <w:kern w:val="0"/>
                <w:szCs w:val="22"/>
              </w:rPr>
              <w:t>WMTW</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7AE74B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1,940,292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AC0978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$14,017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980EF7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26FFD5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$13,784 </w:t>
            </w:r>
          </w:p>
        </w:tc>
      </w:tr>
      <w:tr w14:paraId="6B20F766"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24D6525" w14:textId="77777777">
            <w:pPr>
              <w:widowControl/>
              <w:jc w:val="center"/>
              <w:rPr>
                <w:rFonts w:ascii="Calibri" w:hAnsi="Calibri" w:cs="Calibri"/>
                <w:snapToGrid/>
                <w:kern w:val="0"/>
                <w:szCs w:val="22"/>
              </w:rPr>
            </w:pPr>
            <w:r w:rsidRPr="00A032ED">
              <w:rPr>
                <w:rFonts w:ascii="Calibri" w:hAnsi="Calibri" w:cs="Calibri"/>
                <w:snapToGrid/>
                <w:kern w:val="0"/>
                <w:szCs w:val="22"/>
              </w:rPr>
              <w:t>WLNY-TV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E2E33A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5,983,123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D80673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$43,224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204386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6F5248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$48,612 </w:t>
            </w:r>
          </w:p>
        </w:tc>
        <w:tc>
          <w:tcPr>
            <w:tcW w:w="266" w:type="dxa"/>
            <w:tcBorders>
              <w:top w:val="nil"/>
              <w:left w:val="nil"/>
              <w:bottom w:val="nil"/>
              <w:right w:val="nil"/>
            </w:tcBorders>
            <w:shd w:val="clear" w:color="auto" w:fill="auto"/>
            <w:noWrap/>
            <w:vAlign w:val="bottom"/>
            <w:hideMark/>
          </w:tcPr>
          <w:p w:rsidR="006F7AD6" w:rsidRPr="00A032ED" w:rsidP="00886011" w14:paraId="25875025"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31A7401" w14:textId="77777777">
            <w:pPr>
              <w:widowControl/>
              <w:jc w:val="center"/>
              <w:rPr>
                <w:rFonts w:ascii="Calibri" w:hAnsi="Calibri" w:cs="Calibri"/>
                <w:snapToGrid/>
                <w:kern w:val="0"/>
                <w:szCs w:val="22"/>
              </w:rPr>
            </w:pPr>
            <w:r w:rsidRPr="00A032ED">
              <w:rPr>
                <w:rFonts w:ascii="Calibri" w:hAnsi="Calibri" w:cs="Calibri"/>
                <w:snapToGrid/>
                <w:kern w:val="0"/>
                <w:szCs w:val="22"/>
              </w:rPr>
              <w:t>WMUR-TV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8E13F0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5,192,179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43BC24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$37,510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398728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A6FB93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$45,755 </w:t>
            </w:r>
          </w:p>
        </w:tc>
      </w:tr>
      <w:tr w14:paraId="6F2346D2"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ABFF964" w14:textId="77777777">
            <w:pPr>
              <w:widowControl/>
              <w:jc w:val="center"/>
              <w:rPr>
                <w:rFonts w:ascii="Calibri" w:hAnsi="Calibri" w:cs="Calibri"/>
                <w:snapToGrid/>
                <w:kern w:val="0"/>
                <w:szCs w:val="22"/>
              </w:rPr>
            </w:pPr>
            <w:r w:rsidRPr="00A032ED">
              <w:rPr>
                <w:rFonts w:ascii="Calibri" w:hAnsi="Calibri" w:cs="Calibri"/>
                <w:snapToGrid/>
                <w:kern w:val="0"/>
                <w:szCs w:val="22"/>
              </w:rPr>
              <w:t>WLOS</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1CF5C8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3,762,204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B1E644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$27,180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7FA474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78CFA8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$27,165 </w:t>
            </w:r>
          </w:p>
        </w:tc>
        <w:tc>
          <w:tcPr>
            <w:tcW w:w="266" w:type="dxa"/>
            <w:tcBorders>
              <w:top w:val="nil"/>
              <w:left w:val="nil"/>
              <w:bottom w:val="nil"/>
              <w:right w:val="nil"/>
            </w:tcBorders>
            <w:shd w:val="clear" w:color="auto" w:fill="auto"/>
            <w:noWrap/>
            <w:vAlign w:val="bottom"/>
            <w:hideMark/>
          </w:tcPr>
          <w:p w:rsidR="006F7AD6" w:rsidRPr="00A032ED" w:rsidP="00886011" w14:paraId="66750747"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2A52C00" w14:textId="77777777">
            <w:pPr>
              <w:widowControl/>
              <w:jc w:val="center"/>
              <w:rPr>
                <w:rFonts w:ascii="Calibri" w:hAnsi="Calibri" w:cs="Calibri"/>
                <w:snapToGrid/>
                <w:kern w:val="0"/>
                <w:szCs w:val="22"/>
              </w:rPr>
            </w:pPr>
            <w:r w:rsidRPr="00A032ED">
              <w:rPr>
                <w:rFonts w:ascii="Calibri" w:hAnsi="Calibri" w:cs="Calibri"/>
                <w:snapToGrid/>
                <w:kern w:val="0"/>
                <w:szCs w:val="22"/>
              </w:rPr>
              <w:t>WMYA-TV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595C37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1,577,439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D792A7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$11,396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C5ED67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D569F2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$19,273 </w:t>
            </w:r>
          </w:p>
        </w:tc>
      </w:tr>
      <w:tr w14:paraId="75CEDCD8"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760C8F8" w14:textId="77777777">
            <w:pPr>
              <w:widowControl/>
              <w:jc w:val="center"/>
              <w:rPr>
                <w:rFonts w:ascii="Calibri" w:hAnsi="Calibri" w:cs="Calibri"/>
                <w:snapToGrid/>
                <w:kern w:val="0"/>
                <w:szCs w:val="22"/>
              </w:rPr>
            </w:pPr>
            <w:r w:rsidRPr="00A032ED">
              <w:rPr>
                <w:rFonts w:ascii="Calibri" w:hAnsi="Calibri" w:cs="Calibri"/>
                <w:snapToGrid/>
                <w:kern w:val="0"/>
                <w:szCs w:val="22"/>
              </w:rPr>
              <w:t>WLOV-TV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70AB47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609,526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0BA72C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$4,403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BD1260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1AE066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$4,427 </w:t>
            </w:r>
          </w:p>
        </w:tc>
        <w:tc>
          <w:tcPr>
            <w:tcW w:w="266" w:type="dxa"/>
            <w:tcBorders>
              <w:top w:val="nil"/>
              <w:left w:val="nil"/>
              <w:bottom w:val="nil"/>
              <w:right w:val="nil"/>
            </w:tcBorders>
            <w:shd w:val="clear" w:color="auto" w:fill="auto"/>
            <w:noWrap/>
            <w:vAlign w:val="bottom"/>
            <w:hideMark/>
          </w:tcPr>
          <w:p w:rsidR="006F7AD6" w:rsidRPr="00A032ED" w:rsidP="00886011" w14:paraId="0C37BDE3"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17C709A" w14:textId="77777777">
            <w:pPr>
              <w:widowControl/>
              <w:jc w:val="center"/>
              <w:rPr>
                <w:rFonts w:ascii="Calibri" w:hAnsi="Calibri" w:cs="Calibri"/>
                <w:snapToGrid/>
                <w:kern w:val="0"/>
                <w:szCs w:val="22"/>
              </w:rPr>
            </w:pPr>
            <w:r w:rsidRPr="00A032ED">
              <w:rPr>
                <w:rFonts w:ascii="Calibri" w:hAnsi="Calibri" w:cs="Calibri"/>
                <w:snapToGrid/>
                <w:kern w:val="0"/>
                <w:szCs w:val="22"/>
              </w:rPr>
              <w:t>WMYD</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DF8AB3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5,601,422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7CC268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$40,467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DEEFDE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4907B1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$40,571 </w:t>
            </w:r>
          </w:p>
        </w:tc>
      </w:tr>
      <w:tr w14:paraId="7D6A6CDF"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BFB5337" w14:textId="77777777">
            <w:pPr>
              <w:widowControl/>
              <w:jc w:val="center"/>
              <w:rPr>
                <w:rFonts w:ascii="Calibri" w:hAnsi="Calibri" w:cs="Calibri"/>
                <w:snapToGrid/>
                <w:kern w:val="0"/>
                <w:szCs w:val="22"/>
              </w:rPr>
            </w:pPr>
            <w:r w:rsidRPr="00A032ED">
              <w:rPr>
                <w:rFonts w:ascii="Calibri" w:hAnsi="Calibri" w:cs="Calibri"/>
                <w:snapToGrid/>
                <w:kern w:val="0"/>
                <w:szCs w:val="22"/>
              </w:rPr>
              <w:t>WLOX</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3B42B7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1,182,149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1F5315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$8,540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67231F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5F3B16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$6,495 </w:t>
            </w:r>
          </w:p>
        </w:tc>
        <w:tc>
          <w:tcPr>
            <w:tcW w:w="266" w:type="dxa"/>
            <w:tcBorders>
              <w:top w:val="nil"/>
              <w:left w:val="nil"/>
              <w:bottom w:val="nil"/>
              <w:right w:val="nil"/>
            </w:tcBorders>
            <w:shd w:val="clear" w:color="auto" w:fill="auto"/>
            <w:noWrap/>
            <w:vAlign w:val="bottom"/>
            <w:hideMark/>
          </w:tcPr>
          <w:p w:rsidR="006F7AD6" w:rsidRPr="00A032ED" w:rsidP="00886011" w14:paraId="00E91FF3"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A7B5FDC" w14:textId="77777777">
            <w:pPr>
              <w:widowControl/>
              <w:jc w:val="center"/>
              <w:rPr>
                <w:rFonts w:ascii="Calibri" w:hAnsi="Calibri" w:cs="Calibri"/>
                <w:snapToGrid/>
                <w:kern w:val="0"/>
                <w:szCs w:val="22"/>
              </w:rPr>
            </w:pPr>
            <w:r w:rsidRPr="00A032ED">
              <w:rPr>
                <w:rFonts w:ascii="Calibri" w:hAnsi="Calibri" w:cs="Calibri"/>
                <w:snapToGrid/>
                <w:kern w:val="0"/>
                <w:szCs w:val="22"/>
              </w:rPr>
              <w:t>WMYT-TV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A191F5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4,054,244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0D4163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$29,289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365612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34BC8F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$34,982 </w:t>
            </w:r>
          </w:p>
        </w:tc>
      </w:tr>
      <w:tr w14:paraId="50C1E5FE"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6DF947B" w14:textId="77777777">
            <w:pPr>
              <w:widowControl/>
              <w:jc w:val="center"/>
              <w:rPr>
                <w:rFonts w:ascii="Calibri" w:hAnsi="Calibri" w:cs="Calibri"/>
                <w:snapToGrid/>
                <w:kern w:val="0"/>
                <w:szCs w:val="22"/>
              </w:rPr>
            </w:pPr>
            <w:r w:rsidRPr="00A032ED">
              <w:rPr>
                <w:rFonts w:ascii="Calibri" w:hAnsi="Calibri" w:cs="Calibri"/>
                <w:snapToGrid/>
                <w:kern w:val="0"/>
                <w:szCs w:val="22"/>
              </w:rPr>
              <w:t>WLPX-TV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A501B0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1,021,171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E2AE95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$7,377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F466ED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C163B6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$10,464 </w:t>
            </w:r>
          </w:p>
        </w:tc>
        <w:tc>
          <w:tcPr>
            <w:tcW w:w="266" w:type="dxa"/>
            <w:tcBorders>
              <w:top w:val="nil"/>
              <w:left w:val="nil"/>
              <w:bottom w:val="nil"/>
              <w:right w:val="nil"/>
            </w:tcBorders>
            <w:shd w:val="clear" w:color="auto" w:fill="auto"/>
            <w:noWrap/>
            <w:vAlign w:val="bottom"/>
            <w:hideMark/>
          </w:tcPr>
          <w:p w:rsidR="006F7AD6" w:rsidRPr="00A032ED" w:rsidP="00886011" w14:paraId="0BF141B9"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1731A3E" w14:textId="77777777">
            <w:pPr>
              <w:widowControl/>
              <w:jc w:val="center"/>
              <w:rPr>
                <w:rFonts w:ascii="Calibri" w:hAnsi="Calibri" w:cs="Calibri"/>
                <w:snapToGrid/>
                <w:kern w:val="0"/>
                <w:szCs w:val="22"/>
              </w:rPr>
            </w:pPr>
            <w:r w:rsidRPr="00A032ED">
              <w:rPr>
                <w:rFonts w:ascii="Calibri" w:hAnsi="Calibri" w:cs="Calibri"/>
                <w:snapToGrid/>
                <w:kern w:val="0"/>
                <w:szCs w:val="22"/>
              </w:rPr>
              <w:t>WMYV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7C293A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3,808,852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EA7C41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$27,517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51B60F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6644BF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$27,333 </w:t>
            </w:r>
          </w:p>
        </w:tc>
      </w:tr>
      <w:tr w14:paraId="2D690EF1"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9A116C4" w14:textId="77777777">
            <w:pPr>
              <w:widowControl/>
              <w:jc w:val="center"/>
              <w:rPr>
                <w:rFonts w:ascii="Calibri" w:hAnsi="Calibri" w:cs="Calibri"/>
                <w:snapToGrid/>
                <w:kern w:val="0"/>
                <w:szCs w:val="22"/>
              </w:rPr>
            </w:pPr>
            <w:r w:rsidRPr="00A032ED">
              <w:rPr>
                <w:rFonts w:ascii="Calibri" w:hAnsi="Calibri" w:cs="Calibri"/>
                <w:snapToGrid/>
                <w:kern w:val="0"/>
                <w:szCs w:val="22"/>
              </w:rPr>
              <w:t>WLS-TV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3F340B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10,174,464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60641F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$73,504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91E3F7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87630D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$63,752 </w:t>
            </w:r>
          </w:p>
        </w:tc>
        <w:tc>
          <w:tcPr>
            <w:tcW w:w="266" w:type="dxa"/>
            <w:tcBorders>
              <w:top w:val="nil"/>
              <w:left w:val="nil"/>
              <w:bottom w:val="nil"/>
              <w:right w:val="nil"/>
            </w:tcBorders>
            <w:shd w:val="clear" w:color="auto" w:fill="auto"/>
            <w:noWrap/>
            <w:vAlign w:val="bottom"/>
            <w:hideMark/>
          </w:tcPr>
          <w:p w:rsidR="006F7AD6" w:rsidRPr="00A032ED" w:rsidP="00886011" w14:paraId="593C9C2B"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5400553" w14:textId="77777777">
            <w:pPr>
              <w:widowControl/>
              <w:jc w:val="center"/>
              <w:rPr>
                <w:rFonts w:ascii="Calibri" w:hAnsi="Calibri" w:cs="Calibri"/>
                <w:snapToGrid/>
                <w:kern w:val="0"/>
                <w:szCs w:val="22"/>
              </w:rPr>
            </w:pPr>
            <w:r w:rsidRPr="00A032ED">
              <w:rPr>
                <w:rFonts w:ascii="Calibri" w:hAnsi="Calibri" w:cs="Calibri"/>
                <w:snapToGrid/>
                <w:kern w:val="0"/>
                <w:szCs w:val="22"/>
              </w:rPr>
              <w:t>WNAB</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419039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2,072,197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EAC7C4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$14,970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A29366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A19734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$21,060 </w:t>
            </w:r>
          </w:p>
        </w:tc>
      </w:tr>
      <w:tr w14:paraId="472A2E86"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26EEF58" w14:textId="77777777">
            <w:pPr>
              <w:widowControl/>
              <w:jc w:val="center"/>
              <w:rPr>
                <w:rFonts w:ascii="Calibri" w:hAnsi="Calibri" w:cs="Calibri"/>
                <w:snapToGrid/>
                <w:kern w:val="0"/>
                <w:szCs w:val="22"/>
              </w:rPr>
            </w:pPr>
            <w:r w:rsidRPr="00A032ED">
              <w:rPr>
                <w:rFonts w:ascii="Calibri" w:hAnsi="Calibri" w:cs="Calibri"/>
                <w:snapToGrid/>
                <w:kern w:val="0"/>
                <w:szCs w:val="22"/>
              </w:rPr>
              <w:t>WLTV-DT</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4E0DAD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5,427,398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139063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$39,210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3B0FD3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7F01E5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$39,942 </w:t>
            </w:r>
          </w:p>
        </w:tc>
        <w:tc>
          <w:tcPr>
            <w:tcW w:w="266" w:type="dxa"/>
            <w:tcBorders>
              <w:top w:val="nil"/>
              <w:left w:val="nil"/>
              <w:bottom w:val="nil"/>
              <w:right w:val="nil"/>
            </w:tcBorders>
            <w:shd w:val="clear" w:color="auto" w:fill="auto"/>
            <w:noWrap/>
            <w:vAlign w:val="bottom"/>
            <w:hideMark/>
          </w:tcPr>
          <w:p w:rsidR="006F7AD6" w:rsidRPr="00A032ED" w:rsidP="00886011" w14:paraId="31C9FD1A"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CFF9913" w14:textId="77777777">
            <w:pPr>
              <w:widowControl/>
              <w:jc w:val="center"/>
              <w:rPr>
                <w:rFonts w:ascii="Calibri" w:hAnsi="Calibri" w:cs="Calibri"/>
                <w:snapToGrid/>
                <w:kern w:val="0"/>
                <w:szCs w:val="22"/>
              </w:rPr>
            </w:pPr>
            <w:r w:rsidRPr="00A032ED">
              <w:rPr>
                <w:rFonts w:ascii="Calibri" w:hAnsi="Calibri" w:cs="Calibri"/>
                <w:snapToGrid/>
                <w:kern w:val="0"/>
                <w:szCs w:val="22"/>
              </w:rPr>
              <w:t>WNAC-TV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4A0447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7,310,183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36E9B6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$52,811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54BF3D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DD7497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$33,181 </w:t>
            </w:r>
          </w:p>
        </w:tc>
      </w:tr>
      <w:tr w14:paraId="77EFBC24"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847B1DB" w14:textId="77777777">
            <w:pPr>
              <w:widowControl/>
              <w:jc w:val="center"/>
              <w:rPr>
                <w:rFonts w:ascii="Calibri" w:hAnsi="Calibri" w:cs="Calibri"/>
                <w:snapToGrid/>
                <w:kern w:val="0"/>
                <w:szCs w:val="22"/>
              </w:rPr>
            </w:pPr>
            <w:r w:rsidRPr="00A032ED">
              <w:rPr>
                <w:rFonts w:ascii="Calibri" w:hAnsi="Calibri" w:cs="Calibri"/>
                <w:snapToGrid/>
                <w:kern w:val="0"/>
                <w:szCs w:val="22"/>
              </w:rPr>
              <w:t>WLTX</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17EFCF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1,597,791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FBB8AD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$11,543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8CA1E4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CF8E21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$12,547 </w:t>
            </w:r>
          </w:p>
        </w:tc>
        <w:tc>
          <w:tcPr>
            <w:tcW w:w="266" w:type="dxa"/>
            <w:tcBorders>
              <w:top w:val="nil"/>
              <w:left w:val="nil"/>
              <w:bottom w:val="nil"/>
              <w:right w:val="nil"/>
            </w:tcBorders>
            <w:shd w:val="clear" w:color="auto" w:fill="auto"/>
            <w:noWrap/>
            <w:vAlign w:val="bottom"/>
            <w:hideMark/>
          </w:tcPr>
          <w:p w:rsidR="006F7AD6" w:rsidRPr="00A032ED" w:rsidP="00886011" w14:paraId="0307353A"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6919882" w14:textId="77777777">
            <w:pPr>
              <w:widowControl/>
              <w:jc w:val="center"/>
              <w:rPr>
                <w:rFonts w:ascii="Calibri" w:hAnsi="Calibri" w:cs="Calibri"/>
                <w:snapToGrid/>
                <w:kern w:val="0"/>
                <w:szCs w:val="22"/>
              </w:rPr>
            </w:pPr>
            <w:r w:rsidRPr="00A032ED">
              <w:rPr>
                <w:rFonts w:ascii="Calibri" w:hAnsi="Calibri" w:cs="Calibri"/>
                <w:snapToGrid/>
                <w:kern w:val="0"/>
                <w:szCs w:val="22"/>
              </w:rPr>
              <w:t>WNBC</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A94940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20,064,358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10001D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$144,952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852CC5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B76643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$99,476 </w:t>
            </w:r>
          </w:p>
        </w:tc>
      </w:tr>
      <w:tr w14:paraId="166ACA83"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3119E53" w14:textId="77777777">
            <w:pPr>
              <w:widowControl/>
              <w:jc w:val="center"/>
              <w:rPr>
                <w:rFonts w:ascii="Calibri" w:hAnsi="Calibri" w:cs="Calibri"/>
                <w:snapToGrid/>
                <w:kern w:val="0"/>
                <w:szCs w:val="22"/>
              </w:rPr>
            </w:pPr>
            <w:r w:rsidRPr="00A032ED">
              <w:rPr>
                <w:rFonts w:ascii="Calibri" w:hAnsi="Calibri" w:cs="Calibri"/>
                <w:snapToGrid/>
                <w:kern w:val="0"/>
                <w:szCs w:val="22"/>
              </w:rPr>
              <w:t>WLTZ</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5F3A9B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689,521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FC1FFC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$4,981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07F827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6BDCA8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$4,716 </w:t>
            </w:r>
          </w:p>
        </w:tc>
        <w:tc>
          <w:tcPr>
            <w:tcW w:w="266" w:type="dxa"/>
            <w:tcBorders>
              <w:top w:val="nil"/>
              <w:left w:val="nil"/>
              <w:bottom w:val="nil"/>
              <w:right w:val="nil"/>
            </w:tcBorders>
            <w:shd w:val="clear" w:color="auto" w:fill="auto"/>
            <w:noWrap/>
            <w:vAlign w:val="bottom"/>
            <w:hideMark/>
          </w:tcPr>
          <w:p w:rsidR="006F7AD6" w:rsidRPr="00A032ED" w:rsidP="00886011" w14:paraId="3A0F8412"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04A7704" w14:textId="77777777">
            <w:pPr>
              <w:widowControl/>
              <w:jc w:val="center"/>
              <w:rPr>
                <w:rFonts w:ascii="Calibri" w:hAnsi="Calibri" w:cs="Calibri"/>
                <w:snapToGrid/>
                <w:kern w:val="0"/>
                <w:szCs w:val="22"/>
              </w:rPr>
            </w:pPr>
            <w:r w:rsidRPr="00A032ED">
              <w:rPr>
                <w:rFonts w:ascii="Calibri" w:hAnsi="Calibri" w:cs="Calibri"/>
                <w:snapToGrid/>
                <w:kern w:val="0"/>
                <w:szCs w:val="22"/>
              </w:rPr>
              <w:t>WNBW-DT</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3C48B1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633,243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61841B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$4,575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B9D6A8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10CE2E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$4,512 </w:t>
            </w:r>
          </w:p>
        </w:tc>
      </w:tr>
      <w:tr w14:paraId="09E4FED5"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9E7B56B" w14:textId="77777777">
            <w:pPr>
              <w:widowControl/>
              <w:jc w:val="center"/>
              <w:rPr>
                <w:rFonts w:ascii="Calibri" w:hAnsi="Calibri" w:cs="Calibri"/>
                <w:snapToGrid/>
                <w:kern w:val="0"/>
                <w:szCs w:val="22"/>
              </w:rPr>
            </w:pPr>
            <w:r w:rsidRPr="00A032ED">
              <w:rPr>
                <w:rFonts w:ascii="Calibri" w:hAnsi="Calibri" w:cs="Calibri"/>
                <w:snapToGrid/>
                <w:kern w:val="0"/>
                <w:szCs w:val="22"/>
              </w:rPr>
              <w:t>WLUC-TV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9279BB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92,246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F8CBCA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$666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52D327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1F6187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$2,558 </w:t>
            </w:r>
          </w:p>
        </w:tc>
        <w:tc>
          <w:tcPr>
            <w:tcW w:w="266" w:type="dxa"/>
            <w:tcBorders>
              <w:top w:val="nil"/>
              <w:left w:val="nil"/>
              <w:bottom w:val="nil"/>
              <w:right w:val="nil"/>
            </w:tcBorders>
            <w:shd w:val="clear" w:color="auto" w:fill="auto"/>
            <w:noWrap/>
            <w:vAlign w:val="bottom"/>
            <w:hideMark/>
          </w:tcPr>
          <w:p w:rsidR="006F7AD6" w:rsidRPr="00A032ED" w:rsidP="00886011" w14:paraId="09152BCE"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C3E3583" w14:textId="77777777">
            <w:pPr>
              <w:widowControl/>
              <w:jc w:val="center"/>
              <w:rPr>
                <w:rFonts w:ascii="Calibri" w:hAnsi="Calibri" w:cs="Calibri"/>
                <w:snapToGrid/>
                <w:kern w:val="0"/>
                <w:szCs w:val="22"/>
              </w:rPr>
            </w:pPr>
            <w:r w:rsidRPr="00A032ED">
              <w:rPr>
                <w:rFonts w:ascii="Calibri" w:hAnsi="Calibri" w:cs="Calibri"/>
                <w:snapToGrid/>
                <w:kern w:val="0"/>
                <w:szCs w:val="22"/>
              </w:rPr>
              <w:t>WNCF</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997947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667,683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7287E9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$4,824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78C3D8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A20DDA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$4,637 </w:t>
            </w:r>
          </w:p>
        </w:tc>
      </w:tr>
      <w:tr w14:paraId="5049C962"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110E1B5" w14:textId="77777777">
            <w:pPr>
              <w:widowControl/>
              <w:jc w:val="center"/>
              <w:rPr>
                <w:rFonts w:ascii="Calibri" w:hAnsi="Calibri" w:cs="Calibri"/>
                <w:snapToGrid/>
                <w:kern w:val="0"/>
                <w:szCs w:val="22"/>
              </w:rPr>
            </w:pPr>
            <w:r w:rsidRPr="00A032ED">
              <w:rPr>
                <w:rFonts w:ascii="Calibri" w:hAnsi="Calibri" w:cs="Calibri"/>
                <w:snapToGrid/>
                <w:kern w:val="0"/>
                <w:szCs w:val="22"/>
              </w:rPr>
              <w:t>WLUK-TV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FAFBCA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1,251,563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3E58C6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$9,042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848A36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5B2CCD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$11,296 </w:t>
            </w:r>
          </w:p>
        </w:tc>
        <w:tc>
          <w:tcPr>
            <w:tcW w:w="266" w:type="dxa"/>
            <w:tcBorders>
              <w:top w:val="nil"/>
              <w:left w:val="nil"/>
              <w:bottom w:val="nil"/>
              <w:right w:val="nil"/>
            </w:tcBorders>
            <w:shd w:val="clear" w:color="auto" w:fill="auto"/>
            <w:noWrap/>
            <w:vAlign w:val="bottom"/>
            <w:hideMark/>
          </w:tcPr>
          <w:p w:rsidR="006F7AD6" w:rsidRPr="00A032ED" w:rsidP="00886011" w14:paraId="676A1792"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C171B6C" w14:textId="77777777">
            <w:pPr>
              <w:widowControl/>
              <w:jc w:val="center"/>
              <w:rPr>
                <w:rFonts w:ascii="Calibri" w:hAnsi="Calibri" w:cs="Calibri"/>
                <w:snapToGrid/>
                <w:kern w:val="0"/>
                <w:szCs w:val="22"/>
              </w:rPr>
            </w:pPr>
            <w:r w:rsidRPr="00A032ED">
              <w:rPr>
                <w:rFonts w:ascii="Calibri" w:hAnsi="Calibri" w:cs="Calibri"/>
                <w:snapToGrid/>
                <w:kern w:val="0"/>
                <w:szCs w:val="22"/>
              </w:rPr>
              <w:t>WNCN</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D83E0D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3,427,038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755737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$24,758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43AA00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818F3B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$32,717 </w:t>
            </w:r>
          </w:p>
        </w:tc>
      </w:tr>
      <w:tr w14:paraId="5A0C2DEF"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9BF86A6" w14:textId="77777777">
            <w:pPr>
              <w:widowControl/>
              <w:jc w:val="center"/>
              <w:rPr>
                <w:rFonts w:ascii="Calibri" w:hAnsi="Calibri" w:cs="Calibri"/>
                <w:snapToGrid/>
                <w:kern w:val="0"/>
                <w:szCs w:val="22"/>
              </w:rPr>
            </w:pPr>
            <w:r w:rsidRPr="00A032ED">
              <w:rPr>
                <w:rFonts w:ascii="Calibri" w:hAnsi="Calibri" w:cs="Calibri"/>
                <w:snapToGrid/>
                <w:kern w:val="0"/>
                <w:szCs w:val="22"/>
              </w:rPr>
              <w:t>WLWT</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39D642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3,319,556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818CBF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$23,982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A55B6B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54F919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$25,566 </w:t>
            </w:r>
          </w:p>
        </w:tc>
        <w:tc>
          <w:tcPr>
            <w:tcW w:w="266" w:type="dxa"/>
            <w:tcBorders>
              <w:top w:val="nil"/>
              <w:left w:val="nil"/>
              <w:bottom w:val="nil"/>
              <w:right w:val="nil"/>
            </w:tcBorders>
            <w:shd w:val="clear" w:color="auto" w:fill="auto"/>
            <w:noWrap/>
            <w:vAlign w:val="bottom"/>
            <w:hideMark/>
          </w:tcPr>
          <w:p w:rsidR="006F7AD6" w:rsidRPr="00A032ED" w:rsidP="00886011" w14:paraId="1890A16D"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F8D9116" w14:textId="77777777">
            <w:pPr>
              <w:widowControl/>
              <w:jc w:val="center"/>
              <w:rPr>
                <w:rFonts w:ascii="Calibri" w:hAnsi="Calibri" w:cs="Calibri"/>
                <w:snapToGrid/>
                <w:kern w:val="0"/>
                <w:szCs w:val="22"/>
              </w:rPr>
            </w:pPr>
            <w:r w:rsidRPr="00A032ED">
              <w:rPr>
                <w:rFonts w:ascii="Calibri" w:hAnsi="Calibri" w:cs="Calibri"/>
                <w:snapToGrid/>
                <w:kern w:val="0"/>
                <w:szCs w:val="22"/>
              </w:rPr>
              <w:t>WNCT-TV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503E58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1,933,527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18AA6C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$13,969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F2D9FB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4555E3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$13,759 </w:t>
            </w:r>
          </w:p>
        </w:tc>
      </w:tr>
      <w:tr w14:paraId="335593AD"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04B0E61" w14:textId="77777777">
            <w:pPr>
              <w:widowControl/>
              <w:jc w:val="center"/>
              <w:rPr>
                <w:rFonts w:ascii="Calibri" w:hAnsi="Calibri" w:cs="Calibri"/>
                <w:snapToGrid/>
                <w:kern w:val="0"/>
                <w:szCs w:val="22"/>
              </w:rPr>
            </w:pPr>
            <w:r w:rsidRPr="00A032ED">
              <w:rPr>
                <w:rFonts w:ascii="Calibri" w:hAnsi="Calibri" w:cs="Calibri"/>
                <w:snapToGrid/>
                <w:kern w:val="0"/>
                <w:szCs w:val="22"/>
              </w:rPr>
              <w:t>WMAQ-TV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A736FE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9,914,395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99A15B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$71,625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73FEAE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A24004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$62,813 </w:t>
            </w:r>
          </w:p>
        </w:tc>
        <w:tc>
          <w:tcPr>
            <w:tcW w:w="266" w:type="dxa"/>
            <w:tcBorders>
              <w:top w:val="nil"/>
              <w:left w:val="nil"/>
              <w:bottom w:val="nil"/>
              <w:right w:val="nil"/>
            </w:tcBorders>
            <w:shd w:val="clear" w:color="auto" w:fill="auto"/>
            <w:noWrap/>
            <w:vAlign w:val="bottom"/>
            <w:hideMark/>
          </w:tcPr>
          <w:p w:rsidR="006F7AD6" w:rsidRPr="00A032ED" w:rsidP="00886011" w14:paraId="722A9101"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609D9EF" w14:textId="77777777">
            <w:pPr>
              <w:widowControl/>
              <w:jc w:val="center"/>
              <w:rPr>
                <w:rFonts w:ascii="Calibri" w:hAnsi="Calibri" w:cs="Calibri"/>
                <w:snapToGrid/>
                <w:kern w:val="0"/>
                <w:szCs w:val="22"/>
              </w:rPr>
            </w:pPr>
            <w:r w:rsidRPr="00A032ED">
              <w:rPr>
                <w:rFonts w:ascii="Calibri" w:hAnsi="Calibri" w:cs="Calibri"/>
                <w:snapToGrid/>
                <w:kern w:val="0"/>
                <w:szCs w:val="22"/>
              </w:rPr>
              <w:t>WNDU-TV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2FA885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1,807,909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04DDF6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$13,061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68146A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880E17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$13,306 </w:t>
            </w:r>
          </w:p>
        </w:tc>
      </w:tr>
      <w:tr w14:paraId="710D0735"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50F35B3" w14:textId="77777777">
            <w:pPr>
              <w:widowControl/>
              <w:jc w:val="center"/>
              <w:rPr>
                <w:rFonts w:ascii="Calibri" w:hAnsi="Calibri" w:cs="Calibri"/>
                <w:snapToGrid/>
                <w:kern w:val="0"/>
                <w:szCs w:val="22"/>
              </w:rPr>
            </w:pPr>
            <w:r w:rsidRPr="00A032ED">
              <w:rPr>
                <w:rFonts w:ascii="Calibri" w:hAnsi="Calibri" w:cs="Calibri"/>
                <w:snapToGrid/>
                <w:kern w:val="0"/>
                <w:szCs w:val="22"/>
              </w:rPr>
              <w:t>WMAR-TV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38C1CC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9,203,498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1389E7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$66,489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423059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E9AD9C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$46,820 </w:t>
            </w:r>
          </w:p>
        </w:tc>
        <w:tc>
          <w:tcPr>
            <w:tcW w:w="266" w:type="dxa"/>
            <w:tcBorders>
              <w:top w:val="nil"/>
              <w:left w:val="nil"/>
              <w:bottom w:val="nil"/>
              <w:right w:val="nil"/>
            </w:tcBorders>
            <w:shd w:val="clear" w:color="auto" w:fill="auto"/>
            <w:noWrap/>
            <w:vAlign w:val="bottom"/>
            <w:hideMark/>
          </w:tcPr>
          <w:p w:rsidR="006F7AD6" w:rsidRPr="00A032ED" w:rsidP="00886011" w14:paraId="65A0C822"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42AA654" w14:textId="77777777">
            <w:pPr>
              <w:widowControl/>
              <w:jc w:val="center"/>
              <w:rPr>
                <w:rFonts w:ascii="Calibri" w:hAnsi="Calibri" w:cs="Calibri"/>
                <w:snapToGrid/>
                <w:kern w:val="0"/>
                <w:szCs w:val="22"/>
              </w:rPr>
            </w:pPr>
            <w:r w:rsidRPr="00A032ED">
              <w:rPr>
                <w:rFonts w:ascii="Calibri" w:hAnsi="Calibri" w:cs="Calibri"/>
                <w:snapToGrid/>
                <w:kern w:val="0"/>
                <w:szCs w:val="22"/>
              </w:rPr>
              <w:t>WNDY-TV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33BC68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2,912,963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73BCCA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$21,044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C26476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38E317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$24,097 </w:t>
            </w:r>
          </w:p>
        </w:tc>
      </w:tr>
      <w:tr w14:paraId="46D8EE6D"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BDA800E" w14:textId="77777777">
            <w:pPr>
              <w:widowControl/>
              <w:jc w:val="center"/>
              <w:rPr>
                <w:rFonts w:ascii="Calibri" w:hAnsi="Calibri" w:cs="Calibri"/>
                <w:snapToGrid/>
                <w:kern w:val="0"/>
                <w:szCs w:val="22"/>
              </w:rPr>
            </w:pPr>
            <w:r w:rsidRPr="00A032ED">
              <w:rPr>
                <w:rFonts w:ascii="Calibri" w:hAnsi="Calibri" w:cs="Calibri"/>
                <w:snapToGrid/>
                <w:kern w:val="0"/>
                <w:szCs w:val="22"/>
              </w:rPr>
              <w:t>WMAZ-TV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86F600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1,185,678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3C4605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$8,566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FB1858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85BAF2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$6,508 </w:t>
            </w:r>
          </w:p>
        </w:tc>
        <w:tc>
          <w:tcPr>
            <w:tcW w:w="266" w:type="dxa"/>
            <w:tcBorders>
              <w:top w:val="nil"/>
              <w:left w:val="nil"/>
              <w:bottom w:val="nil"/>
              <w:right w:val="nil"/>
            </w:tcBorders>
            <w:shd w:val="clear" w:color="auto" w:fill="auto"/>
            <w:noWrap/>
            <w:vAlign w:val="bottom"/>
            <w:hideMark/>
          </w:tcPr>
          <w:p w:rsidR="006F7AD6" w:rsidRPr="00A032ED" w:rsidP="00886011" w14:paraId="005A7C34"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A5B89FE" w14:textId="77777777">
            <w:pPr>
              <w:widowControl/>
              <w:jc w:val="center"/>
              <w:rPr>
                <w:rFonts w:ascii="Calibri" w:hAnsi="Calibri" w:cs="Calibri"/>
                <w:snapToGrid/>
                <w:kern w:val="0"/>
                <w:szCs w:val="22"/>
              </w:rPr>
            </w:pPr>
            <w:r w:rsidRPr="00A032ED">
              <w:rPr>
                <w:rFonts w:ascii="Calibri" w:hAnsi="Calibri" w:cs="Calibri"/>
                <w:snapToGrid/>
                <w:kern w:val="0"/>
                <w:szCs w:val="22"/>
              </w:rPr>
              <w:t>WNEM-TV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4C9AA7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1,617,082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79D939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$11,682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334B59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8274D9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$12,616 </w:t>
            </w:r>
          </w:p>
        </w:tc>
      </w:tr>
      <w:tr w14:paraId="3CDD8AE5"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B3FB181" w14:textId="77777777">
            <w:pPr>
              <w:widowControl/>
              <w:jc w:val="center"/>
              <w:rPr>
                <w:rFonts w:ascii="Calibri" w:hAnsi="Calibri" w:cs="Calibri"/>
                <w:snapToGrid/>
                <w:kern w:val="0"/>
                <w:szCs w:val="22"/>
              </w:rPr>
            </w:pPr>
            <w:r w:rsidRPr="00A032ED">
              <w:rPr>
                <w:rFonts w:ascii="Calibri" w:hAnsi="Calibri" w:cs="Calibri"/>
                <w:snapToGrid/>
                <w:kern w:val="0"/>
                <w:szCs w:val="22"/>
              </w:rPr>
              <w:t>WMBB</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589568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935,027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0C9BA3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$6,755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5F9676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C01E18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$5,602 </w:t>
            </w:r>
          </w:p>
        </w:tc>
        <w:tc>
          <w:tcPr>
            <w:tcW w:w="266" w:type="dxa"/>
            <w:tcBorders>
              <w:top w:val="nil"/>
              <w:left w:val="nil"/>
              <w:bottom w:val="nil"/>
              <w:right w:val="nil"/>
            </w:tcBorders>
            <w:shd w:val="clear" w:color="auto" w:fill="auto"/>
            <w:noWrap/>
            <w:vAlign w:val="bottom"/>
            <w:hideMark/>
          </w:tcPr>
          <w:p w:rsidR="006F7AD6" w:rsidRPr="00A032ED" w:rsidP="00886011" w14:paraId="6F3671A0"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6B20921" w14:textId="77777777">
            <w:pPr>
              <w:widowControl/>
              <w:jc w:val="center"/>
              <w:rPr>
                <w:rFonts w:ascii="Calibri" w:hAnsi="Calibri" w:cs="Calibri"/>
                <w:snapToGrid/>
                <w:kern w:val="0"/>
                <w:szCs w:val="22"/>
              </w:rPr>
            </w:pPr>
            <w:r w:rsidRPr="00A032ED">
              <w:rPr>
                <w:rFonts w:ascii="Calibri" w:hAnsi="Calibri" w:cs="Calibri"/>
                <w:snapToGrid/>
                <w:kern w:val="0"/>
                <w:szCs w:val="22"/>
              </w:rPr>
              <w:t>WNEP-TV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714F02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73,667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94E1F1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$532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50AEF0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F7F975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$7,041 </w:t>
            </w:r>
          </w:p>
        </w:tc>
      </w:tr>
      <w:tr w14:paraId="3326C350"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A264611" w14:textId="77777777">
            <w:pPr>
              <w:widowControl/>
              <w:jc w:val="center"/>
              <w:rPr>
                <w:rFonts w:ascii="Calibri" w:hAnsi="Calibri" w:cs="Calibri"/>
                <w:snapToGrid/>
                <w:kern w:val="0"/>
                <w:szCs w:val="22"/>
              </w:rPr>
            </w:pPr>
            <w:r w:rsidRPr="00A032ED">
              <w:rPr>
                <w:rFonts w:ascii="Calibri" w:hAnsi="Calibri" w:cs="Calibri"/>
                <w:snapToGrid/>
                <w:kern w:val="0"/>
                <w:szCs w:val="22"/>
              </w:rPr>
              <w:t>WMBC-TV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95AA99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18,706,132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629785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$135,140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FF9D9E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F292CE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$94,570 </w:t>
            </w:r>
          </w:p>
        </w:tc>
        <w:tc>
          <w:tcPr>
            <w:tcW w:w="266" w:type="dxa"/>
            <w:tcBorders>
              <w:top w:val="nil"/>
              <w:left w:val="nil"/>
              <w:bottom w:val="nil"/>
              <w:right w:val="nil"/>
            </w:tcBorders>
            <w:shd w:val="clear" w:color="auto" w:fill="auto"/>
            <w:noWrap/>
            <w:vAlign w:val="bottom"/>
            <w:hideMark/>
          </w:tcPr>
          <w:p w:rsidR="006F7AD6" w:rsidRPr="00A032ED" w:rsidP="00886011" w14:paraId="49ACD743"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6CAFF68" w14:textId="77777777">
            <w:pPr>
              <w:widowControl/>
              <w:jc w:val="center"/>
              <w:rPr>
                <w:rFonts w:ascii="Calibri" w:hAnsi="Calibri" w:cs="Calibri"/>
                <w:snapToGrid/>
                <w:kern w:val="0"/>
                <w:szCs w:val="22"/>
              </w:rPr>
            </w:pPr>
            <w:r w:rsidRPr="00A032ED">
              <w:rPr>
                <w:rFonts w:ascii="Calibri" w:hAnsi="Calibri" w:cs="Calibri"/>
                <w:snapToGrid/>
                <w:kern w:val="0"/>
                <w:szCs w:val="22"/>
              </w:rPr>
              <w:t>WNET</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4B4F8F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20,826,756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DC11BA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$150,460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44F181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95CAB5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$102,230 </w:t>
            </w:r>
          </w:p>
        </w:tc>
      </w:tr>
      <w:tr w14:paraId="6555A5F1"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11F9433" w14:textId="77777777">
            <w:pPr>
              <w:widowControl/>
              <w:jc w:val="center"/>
              <w:rPr>
                <w:rFonts w:ascii="Calibri" w:hAnsi="Calibri" w:cs="Calibri"/>
                <w:snapToGrid/>
                <w:kern w:val="0"/>
                <w:szCs w:val="22"/>
              </w:rPr>
            </w:pPr>
            <w:r w:rsidRPr="00A032ED">
              <w:rPr>
                <w:rFonts w:ascii="Calibri" w:hAnsi="Calibri" w:cs="Calibri"/>
                <w:snapToGrid/>
                <w:kern w:val="0"/>
                <w:szCs w:val="22"/>
              </w:rPr>
              <w:t>WMBD-TV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38554F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733,039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D18C1D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$5,296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9D0837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F4F139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$4,873 </w:t>
            </w:r>
          </w:p>
        </w:tc>
        <w:tc>
          <w:tcPr>
            <w:tcW w:w="266" w:type="dxa"/>
            <w:tcBorders>
              <w:top w:val="nil"/>
              <w:left w:val="nil"/>
              <w:bottom w:val="nil"/>
              <w:right w:val="nil"/>
            </w:tcBorders>
            <w:shd w:val="clear" w:color="auto" w:fill="auto"/>
            <w:noWrap/>
            <w:vAlign w:val="bottom"/>
            <w:hideMark/>
          </w:tcPr>
          <w:p w:rsidR="006F7AD6" w:rsidRPr="00A032ED" w:rsidP="00886011" w14:paraId="37B04328"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00D1633" w14:textId="77777777">
            <w:pPr>
              <w:widowControl/>
              <w:jc w:val="center"/>
              <w:rPr>
                <w:rFonts w:ascii="Calibri" w:hAnsi="Calibri" w:cs="Calibri"/>
                <w:snapToGrid/>
                <w:kern w:val="0"/>
                <w:szCs w:val="22"/>
              </w:rPr>
            </w:pPr>
            <w:r w:rsidRPr="00A032ED">
              <w:rPr>
                <w:rFonts w:ascii="Calibri" w:hAnsi="Calibri" w:cs="Calibri"/>
                <w:snapToGrid/>
                <w:kern w:val="0"/>
                <w:szCs w:val="22"/>
              </w:rPr>
              <w:t>WNEU</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1194CA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3,471,700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29DE63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$25,081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E9529F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B7868B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$39,540 </w:t>
            </w:r>
          </w:p>
        </w:tc>
      </w:tr>
      <w:tr w14:paraId="2CBFF79D"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1CC059D" w14:textId="77777777">
            <w:pPr>
              <w:widowControl/>
              <w:jc w:val="center"/>
              <w:rPr>
                <w:rFonts w:ascii="Calibri" w:hAnsi="Calibri" w:cs="Calibri"/>
                <w:snapToGrid/>
                <w:kern w:val="0"/>
                <w:szCs w:val="22"/>
              </w:rPr>
            </w:pPr>
            <w:r w:rsidRPr="00A032ED">
              <w:rPr>
                <w:rFonts w:ascii="Calibri" w:hAnsi="Calibri" w:cs="Calibri"/>
                <w:snapToGrid/>
                <w:kern w:val="0"/>
                <w:szCs w:val="22"/>
              </w:rPr>
              <w:t>WMBF-TV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B00239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445,363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F6128C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$3,217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D6514A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9D55E3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$3,834 </w:t>
            </w:r>
          </w:p>
        </w:tc>
        <w:tc>
          <w:tcPr>
            <w:tcW w:w="266" w:type="dxa"/>
            <w:tcBorders>
              <w:top w:val="nil"/>
              <w:left w:val="nil"/>
              <w:bottom w:val="nil"/>
              <w:right w:val="nil"/>
            </w:tcBorders>
            <w:shd w:val="clear" w:color="auto" w:fill="auto"/>
            <w:noWrap/>
            <w:vAlign w:val="bottom"/>
            <w:hideMark/>
          </w:tcPr>
          <w:p w:rsidR="006F7AD6" w:rsidRPr="00A032ED" w:rsidP="00886011" w14:paraId="098D7719"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31EB641" w14:textId="77777777">
            <w:pPr>
              <w:widowControl/>
              <w:jc w:val="center"/>
              <w:rPr>
                <w:rFonts w:ascii="Calibri" w:hAnsi="Calibri" w:cs="Calibri"/>
                <w:snapToGrid/>
                <w:kern w:val="0"/>
                <w:szCs w:val="22"/>
              </w:rPr>
            </w:pPr>
            <w:r w:rsidRPr="00A032ED">
              <w:rPr>
                <w:rFonts w:ascii="Calibri" w:hAnsi="Calibri" w:cs="Calibri"/>
                <w:snapToGrid/>
                <w:kern w:val="0"/>
                <w:szCs w:val="22"/>
              </w:rPr>
              <w:t>WNIN</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C42899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883,322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FA6607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$6,381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CCFAEE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676203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$5,416 </w:t>
            </w:r>
          </w:p>
        </w:tc>
      </w:tr>
      <w:tr w14:paraId="18BFAC7A"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B8B1D12" w14:textId="77777777">
            <w:pPr>
              <w:widowControl/>
              <w:jc w:val="center"/>
              <w:rPr>
                <w:rFonts w:ascii="Calibri" w:hAnsi="Calibri" w:cs="Calibri"/>
                <w:snapToGrid/>
                <w:kern w:val="0"/>
                <w:szCs w:val="22"/>
              </w:rPr>
            </w:pPr>
            <w:r w:rsidRPr="00A032ED">
              <w:rPr>
                <w:rFonts w:ascii="Calibri" w:hAnsi="Calibri" w:cs="Calibri"/>
                <w:snapToGrid/>
                <w:kern w:val="0"/>
                <w:szCs w:val="22"/>
              </w:rPr>
              <w:t>WMCN-TV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2E72FF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10,379,045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A286DF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$74,982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C10CA3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B2ABD8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$64,491 </w:t>
            </w:r>
          </w:p>
        </w:tc>
        <w:tc>
          <w:tcPr>
            <w:tcW w:w="266" w:type="dxa"/>
            <w:tcBorders>
              <w:top w:val="nil"/>
              <w:left w:val="nil"/>
              <w:bottom w:val="nil"/>
              <w:right w:val="nil"/>
            </w:tcBorders>
            <w:shd w:val="clear" w:color="auto" w:fill="auto"/>
            <w:noWrap/>
            <w:vAlign w:val="bottom"/>
            <w:hideMark/>
          </w:tcPr>
          <w:p w:rsidR="006F7AD6" w:rsidRPr="00A032ED" w:rsidP="00886011" w14:paraId="21B6CA21"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C7509C9" w14:textId="77777777">
            <w:pPr>
              <w:widowControl/>
              <w:jc w:val="center"/>
              <w:rPr>
                <w:rFonts w:ascii="Calibri" w:hAnsi="Calibri" w:cs="Calibri"/>
                <w:snapToGrid/>
                <w:kern w:val="0"/>
                <w:szCs w:val="22"/>
              </w:rPr>
            </w:pPr>
            <w:r w:rsidRPr="00A032ED">
              <w:rPr>
                <w:rFonts w:ascii="Calibri" w:hAnsi="Calibri" w:cs="Calibri"/>
                <w:snapToGrid/>
                <w:kern w:val="0"/>
                <w:szCs w:val="22"/>
              </w:rPr>
              <w:t>WNJU</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1054DE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20,064,358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38A16F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$144,952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3A0EF1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000C62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$99,476 </w:t>
            </w:r>
          </w:p>
        </w:tc>
      </w:tr>
      <w:tr w14:paraId="22964058"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C488F07" w14:textId="77777777">
            <w:pPr>
              <w:widowControl/>
              <w:jc w:val="center"/>
              <w:rPr>
                <w:rFonts w:ascii="Calibri" w:hAnsi="Calibri" w:cs="Calibri"/>
                <w:snapToGrid/>
                <w:kern w:val="0"/>
                <w:szCs w:val="22"/>
              </w:rPr>
            </w:pPr>
            <w:r w:rsidRPr="00A032ED">
              <w:rPr>
                <w:rFonts w:ascii="Calibri" w:hAnsi="Calibri" w:cs="Calibri"/>
                <w:snapToGrid/>
                <w:kern w:val="0"/>
                <w:szCs w:val="22"/>
              </w:rPr>
              <w:t>WMC-TV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6A3B6B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2,047,403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1A4722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$14,791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CBC117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5F5FCA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$14,171 </w:t>
            </w:r>
          </w:p>
        </w:tc>
        <w:tc>
          <w:tcPr>
            <w:tcW w:w="266" w:type="dxa"/>
            <w:tcBorders>
              <w:top w:val="nil"/>
              <w:left w:val="nil"/>
              <w:bottom w:val="nil"/>
              <w:right w:val="nil"/>
            </w:tcBorders>
            <w:shd w:val="clear" w:color="auto" w:fill="auto"/>
            <w:noWrap/>
            <w:vAlign w:val="bottom"/>
            <w:hideMark/>
          </w:tcPr>
          <w:p w:rsidR="006F7AD6" w:rsidRPr="00A032ED" w:rsidP="00886011" w14:paraId="58E9B1EF"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85C0AEC" w14:textId="77777777">
            <w:pPr>
              <w:widowControl/>
              <w:jc w:val="center"/>
              <w:rPr>
                <w:rFonts w:ascii="Calibri" w:hAnsi="Calibri" w:cs="Calibri"/>
                <w:snapToGrid/>
                <w:kern w:val="0"/>
                <w:szCs w:val="22"/>
              </w:rPr>
            </w:pPr>
            <w:r w:rsidRPr="00A032ED">
              <w:rPr>
                <w:rFonts w:ascii="Calibri" w:hAnsi="Calibri" w:cs="Calibri"/>
                <w:snapToGrid/>
                <w:kern w:val="0"/>
                <w:szCs w:val="22"/>
              </w:rPr>
              <w:t>WNJX-TV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E1BC53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1,585,248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A68D14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$11,452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230660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5C71C5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$7,951 </w:t>
            </w:r>
          </w:p>
        </w:tc>
      </w:tr>
      <w:tr w14:paraId="2AA263C2"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92F3F8A" w14:textId="77777777">
            <w:pPr>
              <w:widowControl/>
              <w:jc w:val="center"/>
              <w:rPr>
                <w:rFonts w:ascii="Calibri" w:hAnsi="Calibri" w:cs="Calibri"/>
                <w:snapToGrid/>
                <w:kern w:val="0"/>
                <w:szCs w:val="22"/>
              </w:rPr>
            </w:pPr>
            <w:r w:rsidRPr="00A032ED">
              <w:rPr>
                <w:rFonts w:ascii="Calibri" w:hAnsi="Calibri" w:cs="Calibri"/>
                <w:snapToGrid/>
                <w:kern w:val="0"/>
                <w:szCs w:val="22"/>
              </w:rPr>
              <w:t>WMDE</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4A58D9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6,384,827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E35A87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$46,126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B8C58B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235020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$50,063 </w:t>
            </w:r>
          </w:p>
        </w:tc>
        <w:tc>
          <w:tcPr>
            <w:tcW w:w="266" w:type="dxa"/>
            <w:tcBorders>
              <w:top w:val="nil"/>
              <w:left w:val="nil"/>
              <w:bottom w:val="nil"/>
              <w:right w:val="nil"/>
            </w:tcBorders>
            <w:shd w:val="clear" w:color="auto" w:fill="auto"/>
            <w:noWrap/>
            <w:vAlign w:val="bottom"/>
            <w:hideMark/>
          </w:tcPr>
          <w:p w:rsidR="006F7AD6" w:rsidRPr="00A032ED" w:rsidP="00886011" w14:paraId="469BCFBD"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27D4F8A" w14:textId="77777777">
            <w:pPr>
              <w:widowControl/>
              <w:jc w:val="center"/>
              <w:rPr>
                <w:rFonts w:ascii="Calibri" w:hAnsi="Calibri" w:cs="Calibri"/>
                <w:snapToGrid/>
                <w:kern w:val="0"/>
                <w:szCs w:val="22"/>
              </w:rPr>
            </w:pPr>
            <w:r w:rsidRPr="00A032ED">
              <w:rPr>
                <w:rFonts w:ascii="Calibri" w:hAnsi="Calibri" w:cs="Calibri"/>
                <w:snapToGrid/>
                <w:kern w:val="0"/>
                <w:szCs w:val="22"/>
              </w:rPr>
              <w:t>WNKY</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C6155B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385,619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D2265F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$2,786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BAE5A6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ACFA2B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$3,618 </w:t>
            </w:r>
          </w:p>
        </w:tc>
      </w:tr>
      <w:tr w14:paraId="78A9A072"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2D9C712" w14:textId="77777777">
            <w:pPr>
              <w:widowControl/>
              <w:jc w:val="center"/>
              <w:rPr>
                <w:rFonts w:ascii="Calibri" w:hAnsi="Calibri" w:cs="Calibri"/>
                <w:snapToGrid/>
                <w:kern w:val="0"/>
                <w:szCs w:val="22"/>
              </w:rPr>
            </w:pPr>
            <w:r w:rsidRPr="00A032ED">
              <w:rPr>
                <w:rFonts w:ascii="Calibri" w:hAnsi="Calibri" w:cs="Calibri"/>
                <w:snapToGrid/>
                <w:kern w:val="0"/>
                <w:szCs w:val="22"/>
              </w:rPr>
              <w:t>WNLO</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7B6BCD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1,538,108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877E3B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$11,112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A66D7B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66F50B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$12,331 </w:t>
            </w:r>
          </w:p>
        </w:tc>
        <w:tc>
          <w:tcPr>
            <w:tcW w:w="266" w:type="dxa"/>
            <w:tcBorders>
              <w:top w:val="nil"/>
              <w:left w:val="nil"/>
              <w:bottom w:val="nil"/>
              <w:right w:val="nil"/>
            </w:tcBorders>
            <w:shd w:val="clear" w:color="auto" w:fill="auto"/>
            <w:noWrap/>
            <w:vAlign w:val="bottom"/>
            <w:hideMark/>
          </w:tcPr>
          <w:p w:rsidR="006F7AD6" w:rsidRPr="00A032ED" w:rsidP="00886011" w14:paraId="67785B43"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F5210EE" w14:textId="77777777">
            <w:pPr>
              <w:widowControl/>
              <w:jc w:val="center"/>
              <w:rPr>
                <w:rFonts w:ascii="Calibri" w:hAnsi="Calibri" w:cs="Calibri"/>
                <w:snapToGrid/>
                <w:kern w:val="0"/>
                <w:szCs w:val="22"/>
              </w:rPr>
            </w:pPr>
            <w:r w:rsidRPr="00A032ED">
              <w:rPr>
                <w:rFonts w:ascii="Calibri" w:hAnsi="Calibri" w:cs="Calibri"/>
                <w:snapToGrid/>
                <w:kern w:val="0"/>
                <w:szCs w:val="22"/>
              </w:rPr>
              <w:t>WPBN-TV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A602A0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411,213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639A89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$2,971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D054BF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F4156B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$3,710 </w:t>
            </w:r>
          </w:p>
        </w:tc>
      </w:tr>
      <w:tr w14:paraId="417CFC49"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E7D250F" w14:textId="77777777">
            <w:pPr>
              <w:widowControl/>
              <w:jc w:val="center"/>
              <w:rPr>
                <w:rFonts w:ascii="Calibri" w:hAnsi="Calibri" w:cs="Calibri"/>
                <w:b/>
                <w:bCs/>
                <w:snapToGrid/>
                <w:kern w:val="0"/>
                <w:szCs w:val="22"/>
                <w:highlight w:val="yellow"/>
              </w:rPr>
            </w:pPr>
            <w:r w:rsidRPr="00A032ED">
              <w:rPr>
                <w:rFonts w:ascii="Calibri" w:hAnsi="Calibri" w:cs="Calibri"/>
                <w:snapToGrid/>
                <w:kern w:val="0"/>
                <w:szCs w:val="22"/>
              </w:rPr>
              <w:t>WNNE</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2037CCD" w14:textId="77777777">
            <w:pPr>
              <w:widowControl/>
              <w:jc w:val="center"/>
              <w:rPr>
                <w:rFonts w:ascii="Calibri" w:hAnsi="Calibri" w:cs="Calibri"/>
                <w:snapToGrid/>
                <w:kern w:val="0"/>
                <w:szCs w:val="22"/>
                <w:highlight w:val="yellow"/>
              </w:rPr>
            </w:pPr>
            <w:r w:rsidRPr="00A032ED">
              <w:rPr>
                <w:rFonts w:ascii="Calibri" w:hAnsi="Calibri" w:cs="Calibri"/>
                <w:snapToGrid/>
                <w:kern w:val="0"/>
                <w:szCs w:val="22"/>
              </w:rPr>
              <w:t xml:space="preserve">792,551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AD7A1D6" w14:textId="77777777">
            <w:pPr>
              <w:widowControl/>
              <w:jc w:val="center"/>
              <w:rPr>
                <w:rFonts w:ascii="Calibri" w:hAnsi="Calibri" w:cs="Calibri"/>
                <w:snapToGrid/>
                <w:kern w:val="0"/>
                <w:szCs w:val="22"/>
                <w:highlight w:val="yellow"/>
              </w:rPr>
            </w:pPr>
            <w:r w:rsidRPr="00A032ED">
              <w:rPr>
                <w:rFonts w:ascii="Calibri" w:hAnsi="Calibri" w:cs="Calibri"/>
                <w:snapToGrid/>
                <w:kern w:val="0"/>
                <w:szCs w:val="22"/>
              </w:rPr>
              <w:t xml:space="preserve">$5,726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D684EA8" w14:textId="77777777">
            <w:pPr>
              <w:widowControl/>
              <w:jc w:val="center"/>
              <w:rPr>
                <w:rFonts w:ascii="Calibri" w:hAnsi="Calibri" w:cs="Calibri"/>
                <w:snapToGrid/>
                <w:kern w:val="0"/>
                <w:szCs w:val="22"/>
                <w:highlight w:val="yellow"/>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59E5A8D" w14:textId="77777777">
            <w:pPr>
              <w:widowControl/>
              <w:jc w:val="center"/>
              <w:rPr>
                <w:rFonts w:ascii="Calibri" w:hAnsi="Calibri" w:cs="Calibri"/>
                <w:snapToGrid/>
                <w:kern w:val="0"/>
                <w:szCs w:val="22"/>
                <w:highlight w:val="yellow"/>
              </w:rPr>
            </w:pPr>
            <w:r w:rsidRPr="00A032ED">
              <w:rPr>
                <w:rFonts w:ascii="Calibri" w:hAnsi="Calibri" w:cs="Calibri"/>
                <w:snapToGrid/>
                <w:kern w:val="0"/>
                <w:szCs w:val="22"/>
              </w:rPr>
              <w:t xml:space="preserve">$9,638 </w:t>
            </w:r>
          </w:p>
        </w:tc>
        <w:tc>
          <w:tcPr>
            <w:tcW w:w="266" w:type="dxa"/>
            <w:tcBorders>
              <w:top w:val="nil"/>
              <w:left w:val="nil"/>
              <w:bottom w:val="nil"/>
              <w:right w:val="nil"/>
            </w:tcBorders>
            <w:shd w:val="clear" w:color="auto" w:fill="auto"/>
            <w:noWrap/>
            <w:vAlign w:val="bottom"/>
            <w:hideMark/>
          </w:tcPr>
          <w:p w:rsidR="006F7AD6" w:rsidRPr="00A032ED" w:rsidP="00886011" w14:paraId="27048CB2"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496485A" w14:textId="77777777">
            <w:pPr>
              <w:widowControl/>
              <w:jc w:val="center"/>
              <w:rPr>
                <w:rFonts w:ascii="Calibri" w:hAnsi="Calibri" w:cs="Calibri"/>
                <w:snapToGrid/>
                <w:kern w:val="0"/>
                <w:szCs w:val="22"/>
              </w:rPr>
            </w:pPr>
            <w:r w:rsidRPr="00A032ED">
              <w:rPr>
                <w:rFonts w:ascii="Calibri" w:hAnsi="Calibri" w:cs="Calibri"/>
                <w:snapToGrid/>
                <w:kern w:val="0"/>
                <w:szCs w:val="22"/>
              </w:rPr>
              <w:t>WPBT</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4628DA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5,442,761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3E1C56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$39,321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75E793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E5D6F2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$39,998 </w:t>
            </w:r>
          </w:p>
        </w:tc>
      </w:tr>
      <w:tr w14:paraId="736624E5"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2E7584E" w14:textId="77777777">
            <w:pPr>
              <w:widowControl/>
              <w:jc w:val="center"/>
              <w:rPr>
                <w:rFonts w:ascii="Calibri" w:hAnsi="Calibri" w:cs="Calibri"/>
                <w:snapToGrid/>
                <w:kern w:val="0"/>
                <w:szCs w:val="22"/>
              </w:rPr>
            </w:pPr>
            <w:r w:rsidRPr="00A032ED">
              <w:rPr>
                <w:rFonts w:ascii="Calibri" w:hAnsi="Calibri" w:cs="Calibri"/>
                <w:snapToGrid/>
                <w:kern w:val="0"/>
                <w:szCs w:val="22"/>
              </w:rPr>
              <w:t>WNOL-TV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03395B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1,632,389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604084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$11,793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3BDF0A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8C6B36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$19,471 </w:t>
            </w:r>
          </w:p>
        </w:tc>
        <w:tc>
          <w:tcPr>
            <w:tcW w:w="266" w:type="dxa"/>
            <w:tcBorders>
              <w:top w:val="nil"/>
              <w:left w:val="nil"/>
              <w:bottom w:val="nil"/>
              <w:right w:val="nil"/>
            </w:tcBorders>
            <w:shd w:val="clear" w:color="auto" w:fill="auto"/>
            <w:noWrap/>
            <w:vAlign w:val="bottom"/>
            <w:hideMark/>
          </w:tcPr>
          <w:p w:rsidR="006F7AD6" w:rsidRPr="00A032ED" w:rsidP="00886011" w14:paraId="09DD43BF"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87CBB40" w14:textId="77777777">
            <w:pPr>
              <w:widowControl/>
              <w:jc w:val="center"/>
              <w:rPr>
                <w:rFonts w:ascii="Calibri" w:hAnsi="Calibri" w:cs="Calibri"/>
                <w:snapToGrid/>
                <w:kern w:val="0"/>
                <w:szCs w:val="22"/>
              </w:rPr>
            </w:pPr>
            <w:r w:rsidRPr="00A032ED">
              <w:rPr>
                <w:rFonts w:ascii="Calibri" w:hAnsi="Calibri" w:cs="Calibri"/>
                <w:snapToGrid/>
                <w:kern w:val="0"/>
                <w:szCs w:val="22"/>
              </w:rPr>
              <w:t>WPCB-TV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42836F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2,722,282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5D10B0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$19,667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FA0E3F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A5614B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$30,171 </w:t>
            </w:r>
          </w:p>
        </w:tc>
      </w:tr>
      <w:tr w14:paraId="26A335ED"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0A252AA" w14:textId="77777777">
            <w:pPr>
              <w:widowControl/>
              <w:jc w:val="center"/>
              <w:rPr>
                <w:rFonts w:ascii="Calibri" w:hAnsi="Calibri" w:cs="Calibri"/>
                <w:snapToGrid/>
                <w:kern w:val="0"/>
                <w:szCs w:val="22"/>
              </w:rPr>
            </w:pPr>
            <w:r w:rsidRPr="00A032ED">
              <w:rPr>
                <w:rFonts w:ascii="Calibri" w:hAnsi="Calibri" w:cs="Calibri"/>
                <w:snapToGrid/>
                <w:kern w:val="0"/>
                <w:szCs w:val="22"/>
              </w:rPr>
              <w:t>WNPX-TV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E4A05C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2,216,062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8CC316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$16,010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C8F35C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D0EB71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$21,580 </w:t>
            </w:r>
          </w:p>
        </w:tc>
        <w:tc>
          <w:tcPr>
            <w:tcW w:w="266" w:type="dxa"/>
            <w:tcBorders>
              <w:top w:val="nil"/>
              <w:left w:val="nil"/>
              <w:bottom w:val="nil"/>
              <w:right w:val="nil"/>
            </w:tcBorders>
            <w:shd w:val="clear" w:color="auto" w:fill="auto"/>
            <w:noWrap/>
            <w:vAlign w:val="bottom"/>
            <w:hideMark/>
          </w:tcPr>
          <w:p w:rsidR="006F7AD6" w:rsidRPr="00A032ED" w:rsidP="00886011" w14:paraId="08938045"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DAC9B67" w14:textId="77777777">
            <w:pPr>
              <w:widowControl/>
              <w:jc w:val="center"/>
              <w:rPr>
                <w:rFonts w:ascii="Calibri" w:hAnsi="Calibri" w:cs="Calibri"/>
                <w:snapToGrid/>
                <w:kern w:val="0"/>
                <w:szCs w:val="22"/>
              </w:rPr>
            </w:pPr>
            <w:r w:rsidRPr="00A032ED">
              <w:rPr>
                <w:rFonts w:ascii="Calibri" w:hAnsi="Calibri" w:cs="Calibri"/>
                <w:snapToGrid/>
                <w:kern w:val="0"/>
                <w:szCs w:val="22"/>
              </w:rPr>
              <w:t>WPCH-TV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1D28B1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5,986,720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52E046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$43,250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16C05F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82CB83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$48,625 </w:t>
            </w:r>
          </w:p>
        </w:tc>
      </w:tr>
      <w:tr w14:paraId="738E75F5"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E587DD1" w14:textId="77777777">
            <w:pPr>
              <w:widowControl/>
              <w:jc w:val="center"/>
              <w:rPr>
                <w:rFonts w:ascii="Calibri" w:hAnsi="Calibri" w:cs="Calibri"/>
                <w:snapToGrid/>
                <w:kern w:val="0"/>
                <w:szCs w:val="22"/>
              </w:rPr>
            </w:pPr>
            <w:r w:rsidRPr="00A032ED">
              <w:rPr>
                <w:rFonts w:ascii="Calibri" w:hAnsi="Calibri" w:cs="Calibri"/>
                <w:snapToGrid/>
                <w:kern w:val="0"/>
                <w:szCs w:val="22"/>
              </w:rPr>
              <w:t>WNSC-TV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3DFA80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2,072,821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63DB3A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$14,975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8215CA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2ECC78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$27,825 </w:t>
            </w:r>
          </w:p>
        </w:tc>
        <w:tc>
          <w:tcPr>
            <w:tcW w:w="266" w:type="dxa"/>
            <w:tcBorders>
              <w:top w:val="nil"/>
              <w:left w:val="nil"/>
              <w:bottom w:val="nil"/>
              <w:right w:val="nil"/>
            </w:tcBorders>
            <w:shd w:val="clear" w:color="auto" w:fill="auto"/>
            <w:noWrap/>
            <w:vAlign w:val="bottom"/>
            <w:hideMark/>
          </w:tcPr>
          <w:p w:rsidR="006F7AD6" w:rsidRPr="00A032ED" w:rsidP="00886011" w14:paraId="40AFD49F"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47CA949" w14:textId="77777777">
            <w:pPr>
              <w:widowControl/>
              <w:jc w:val="center"/>
              <w:rPr>
                <w:rFonts w:ascii="Calibri" w:hAnsi="Calibri" w:cs="Calibri"/>
                <w:snapToGrid/>
                <w:kern w:val="0"/>
                <w:szCs w:val="22"/>
              </w:rPr>
            </w:pPr>
            <w:r w:rsidRPr="00A032ED">
              <w:rPr>
                <w:rFonts w:ascii="Calibri" w:hAnsi="Calibri" w:cs="Calibri"/>
                <w:snapToGrid/>
                <w:kern w:val="0"/>
                <w:szCs w:val="22"/>
              </w:rPr>
              <w:t>WPCT</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D7720F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195,270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E38C6E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$1,411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3343D1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618E17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$2,930 </w:t>
            </w:r>
          </w:p>
        </w:tc>
      </w:tr>
      <w:tr w14:paraId="6A52418E"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B502F24" w14:textId="77777777">
            <w:pPr>
              <w:widowControl/>
              <w:jc w:val="center"/>
              <w:rPr>
                <w:rFonts w:ascii="Calibri" w:hAnsi="Calibri" w:cs="Calibri"/>
                <w:snapToGrid/>
                <w:kern w:val="0"/>
                <w:szCs w:val="22"/>
              </w:rPr>
            </w:pPr>
            <w:r w:rsidRPr="00A032ED">
              <w:rPr>
                <w:rFonts w:ascii="Calibri" w:hAnsi="Calibri" w:cs="Calibri"/>
                <w:snapToGrid/>
                <w:kern w:val="0"/>
                <w:szCs w:val="22"/>
              </w:rPr>
              <w:t>WNTZ-TV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E2D4AB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338,422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A98827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$2,445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7D1A7E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12259C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$3,447 </w:t>
            </w:r>
          </w:p>
        </w:tc>
        <w:tc>
          <w:tcPr>
            <w:tcW w:w="266" w:type="dxa"/>
            <w:tcBorders>
              <w:top w:val="nil"/>
              <w:left w:val="nil"/>
              <w:bottom w:val="nil"/>
              <w:right w:val="nil"/>
            </w:tcBorders>
            <w:shd w:val="clear" w:color="auto" w:fill="auto"/>
            <w:noWrap/>
            <w:vAlign w:val="bottom"/>
            <w:hideMark/>
          </w:tcPr>
          <w:p w:rsidR="006F7AD6" w:rsidRPr="00A032ED" w:rsidP="00886011" w14:paraId="2DDBD900"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620B26F" w14:textId="77777777">
            <w:pPr>
              <w:widowControl/>
              <w:jc w:val="center"/>
              <w:rPr>
                <w:rFonts w:ascii="Calibri" w:hAnsi="Calibri" w:cs="Calibri"/>
                <w:snapToGrid/>
                <w:kern w:val="0"/>
                <w:szCs w:val="22"/>
              </w:rPr>
            </w:pPr>
            <w:r w:rsidRPr="00A032ED">
              <w:rPr>
                <w:rFonts w:ascii="Calibri" w:hAnsi="Calibri" w:cs="Calibri"/>
                <w:snapToGrid/>
                <w:kern w:val="0"/>
                <w:szCs w:val="22"/>
              </w:rPr>
              <w:t>WPCW</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F6A399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3,393,365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92F696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$24,515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AECA78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3E3EEF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$32,595 </w:t>
            </w:r>
          </w:p>
        </w:tc>
      </w:tr>
      <w:tr w14:paraId="0CB7E3C5"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0A9D2A7" w14:textId="77777777">
            <w:pPr>
              <w:widowControl/>
              <w:jc w:val="center"/>
              <w:rPr>
                <w:rFonts w:ascii="Calibri" w:hAnsi="Calibri" w:cs="Calibri"/>
                <w:snapToGrid/>
                <w:kern w:val="0"/>
                <w:szCs w:val="22"/>
              </w:rPr>
            </w:pPr>
            <w:r w:rsidRPr="00A032ED">
              <w:rPr>
                <w:rFonts w:ascii="Calibri" w:hAnsi="Calibri" w:cs="Calibri"/>
                <w:snapToGrid/>
                <w:kern w:val="0"/>
                <w:szCs w:val="22"/>
              </w:rPr>
              <w:t>WNUV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E034A5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9,098,694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F4837F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$65,732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096B27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049C65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$46,441 </w:t>
            </w:r>
          </w:p>
        </w:tc>
        <w:tc>
          <w:tcPr>
            <w:tcW w:w="266" w:type="dxa"/>
            <w:tcBorders>
              <w:top w:val="nil"/>
              <w:left w:val="nil"/>
              <w:bottom w:val="nil"/>
              <w:right w:val="nil"/>
            </w:tcBorders>
            <w:shd w:val="clear" w:color="auto" w:fill="auto"/>
            <w:noWrap/>
            <w:vAlign w:val="bottom"/>
            <w:hideMark/>
          </w:tcPr>
          <w:p w:rsidR="006F7AD6" w:rsidRPr="00A032ED" w:rsidP="00886011" w14:paraId="4949DCA7"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1A2DA98" w14:textId="77777777">
            <w:pPr>
              <w:widowControl/>
              <w:jc w:val="center"/>
              <w:rPr>
                <w:rFonts w:ascii="Calibri" w:hAnsi="Calibri" w:cs="Calibri"/>
                <w:snapToGrid/>
                <w:kern w:val="0"/>
                <w:szCs w:val="22"/>
              </w:rPr>
            </w:pPr>
            <w:r w:rsidRPr="00A032ED">
              <w:rPr>
                <w:rFonts w:ascii="Calibri" w:hAnsi="Calibri" w:cs="Calibri"/>
                <w:snapToGrid/>
                <w:kern w:val="0"/>
                <w:szCs w:val="22"/>
              </w:rPr>
              <w:t>WPDE-TV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FA8D09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1,764,645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A56DC6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$12,748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151B04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5E3BC3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$8,599 </w:t>
            </w:r>
          </w:p>
        </w:tc>
      </w:tr>
      <w:tr w14:paraId="12BE236B"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5A9BDFC" w14:textId="77777777">
            <w:pPr>
              <w:widowControl/>
              <w:jc w:val="center"/>
              <w:rPr>
                <w:rFonts w:ascii="Calibri" w:hAnsi="Calibri" w:cs="Calibri"/>
                <w:snapToGrid/>
                <w:kern w:val="0"/>
                <w:szCs w:val="22"/>
              </w:rPr>
            </w:pPr>
            <w:r w:rsidRPr="00A032ED">
              <w:rPr>
                <w:rFonts w:ascii="Calibri" w:hAnsi="Calibri" w:cs="Calibri"/>
                <w:snapToGrid/>
                <w:kern w:val="0"/>
                <w:szCs w:val="22"/>
              </w:rPr>
              <w:t>WNWO-TV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BEA0F9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2,232,660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D65D42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$16,130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689898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56DEF4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$14,840 </w:t>
            </w:r>
          </w:p>
        </w:tc>
        <w:tc>
          <w:tcPr>
            <w:tcW w:w="266" w:type="dxa"/>
            <w:tcBorders>
              <w:top w:val="nil"/>
              <w:left w:val="nil"/>
              <w:bottom w:val="nil"/>
              <w:right w:val="nil"/>
            </w:tcBorders>
            <w:shd w:val="clear" w:color="auto" w:fill="auto"/>
            <w:noWrap/>
            <w:vAlign w:val="bottom"/>
            <w:hideMark/>
          </w:tcPr>
          <w:p w:rsidR="006F7AD6" w:rsidRPr="00A032ED" w:rsidP="00886011" w14:paraId="45829FC9"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F38C60D" w14:textId="77777777">
            <w:pPr>
              <w:widowControl/>
              <w:jc w:val="center"/>
              <w:rPr>
                <w:rFonts w:ascii="Calibri" w:hAnsi="Calibri" w:cs="Calibri"/>
                <w:snapToGrid/>
                <w:kern w:val="0"/>
                <w:szCs w:val="22"/>
              </w:rPr>
            </w:pPr>
            <w:r w:rsidRPr="00A032ED">
              <w:rPr>
                <w:rFonts w:ascii="Calibri" w:hAnsi="Calibri" w:cs="Calibri"/>
                <w:snapToGrid/>
                <w:kern w:val="0"/>
                <w:szCs w:val="22"/>
              </w:rPr>
              <w:t>WPEC</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012A70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5,788,448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69DB9B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$41,818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BEB627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02DA92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$34,484 </w:t>
            </w:r>
          </w:p>
        </w:tc>
      </w:tr>
      <w:tr w14:paraId="4FA138A2"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3617DD7" w14:textId="77777777">
            <w:pPr>
              <w:widowControl/>
              <w:jc w:val="center"/>
              <w:rPr>
                <w:rFonts w:ascii="Calibri" w:hAnsi="Calibri" w:cs="Calibri"/>
                <w:snapToGrid/>
                <w:kern w:val="0"/>
                <w:szCs w:val="22"/>
              </w:rPr>
            </w:pPr>
            <w:r w:rsidRPr="00A032ED">
              <w:rPr>
                <w:rFonts w:ascii="Calibri" w:hAnsi="Calibri" w:cs="Calibri"/>
                <w:snapToGrid/>
                <w:kern w:val="0"/>
                <w:szCs w:val="22"/>
              </w:rPr>
              <w:t>WNYA</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E255CE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1,540,430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A69BB7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$11,129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548E0C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7E4F0E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$12,339 </w:t>
            </w:r>
          </w:p>
        </w:tc>
        <w:tc>
          <w:tcPr>
            <w:tcW w:w="266" w:type="dxa"/>
            <w:tcBorders>
              <w:top w:val="nil"/>
              <w:left w:val="nil"/>
              <w:bottom w:val="nil"/>
              <w:right w:val="nil"/>
            </w:tcBorders>
            <w:shd w:val="clear" w:color="auto" w:fill="auto"/>
            <w:noWrap/>
            <w:vAlign w:val="bottom"/>
            <w:hideMark/>
          </w:tcPr>
          <w:p w:rsidR="006F7AD6" w:rsidRPr="00A032ED" w:rsidP="00886011" w14:paraId="34FA1B31"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9F201C3" w14:textId="77777777">
            <w:pPr>
              <w:widowControl/>
              <w:jc w:val="center"/>
              <w:rPr>
                <w:rFonts w:ascii="Calibri" w:hAnsi="Calibri" w:cs="Calibri"/>
                <w:snapToGrid/>
                <w:kern w:val="0"/>
                <w:szCs w:val="22"/>
              </w:rPr>
            </w:pPr>
            <w:r w:rsidRPr="00A032ED">
              <w:rPr>
                <w:rFonts w:ascii="Calibri" w:hAnsi="Calibri" w:cs="Calibri"/>
                <w:snapToGrid/>
                <w:kern w:val="0"/>
                <w:szCs w:val="22"/>
              </w:rPr>
              <w:t>WPFO</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43A834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870,698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3CC561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$6,290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10EF1B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55BD90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$9,920 </w:t>
            </w:r>
          </w:p>
        </w:tc>
      </w:tr>
      <w:tr w14:paraId="12014162"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70671F2" w14:textId="77777777">
            <w:pPr>
              <w:widowControl/>
              <w:jc w:val="center"/>
              <w:rPr>
                <w:rFonts w:ascii="Calibri" w:hAnsi="Calibri" w:cs="Calibri"/>
                <w:snapToGrid/>
                <w:kern w:val="0"/>
                <w:szCs w:val="22"/>
              </w:rPr>
            </w:pPr>
            <w:r w:rsidRPr="00A032ED">
              <w:rPr>
                <w:rFonts w:ascii="Calibri" w:hAnsi="Calibri" w:cs="Calibri"/>
                <w:snapToGrid/>
                <w:kern w:val="0"/>
                <w:szCs w:val="22"/>
              </w:rPr>
              <w:t>WNYB</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D4E3B9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1,630,417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D51C2B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$11,779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4A6ACC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94056F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$12,664 </w:t>
            </w:r>
          </w:p>
        </w:tc>
        <w:tc>
          <w:tcPr>
            <w:tcW w:w="266" w:type="dxa"/>
            <w:tcBorders>
              <w:top w:val="nil"/>
              <w:left w:val="nil"/>
              <w:bottom w:val="nil"/>
              <w:right w:val="nil"/>
            </w:tcBorders>
            <w:shd w:val="clear" w:color="auto" w:fill="auto"/>
            <w:noWrap/>
            <w:vAlign w:val="bottom"/>
            <w:hideMark/>
          </w:tcPr>
          <w:p w:rsidR="006F7AD6" w:rsidRPr="00A032ED" w:rsidP="00886011" w14:paraId="5456274A"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82E13A2" w14:textId="77777777">
            <w:pPr>
              <w:widowControl/>
              <w:jc w:val="center"/>
              <w:rPr>
                <w:rFonts w:ascii="Calibri" w:hAnsi="Calibri" w:cs="Calibri"/>
                <w:snapToGrid/>
                <w:kern w:val="0"/>
                <w:szCs w:val="22"/>
              </w:rPr>
            </w:pPr>
            <w:r w:rsidRPr="00A032ED">
              <w:rPr>
                <w:rFonts w:ascii="Calibri" w:hAnsi="Calibri" w:cs="Calibri"/>
                <w:snapToGrid/>
                <w:kern w:val="0"/>
                <w:szCs w:val="22"/>
              </w:rPr>
              <w:t>WPGA-TV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AB3E7D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559,495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2D239F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$4,042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605785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AE583E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$4,246 </w:t>
            </w:r>
          </w:p>
        </w:tc>
      </w:tr>
      <w:tr w14:paraId="4860F5B9"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535FCA1" w14:textId="77777777">
            <w:pPr>
              <w:widowControl/>
              <w:jc w:val="center"/>
              <w:rPr>
                <w:rFonts w:ascii="Calibri" w:hAnsi="Calibri" w:cs="Calibri"/>
                <w:snapToGrid/>
                <w:kern w:val="0"/>
                <w:szCs w:val="22"/>
              </w:rPr>
            </w:pPr>
            <w:r w:rsidRPr="00A032ED">
              <w:rPr>
                <w:rFonts w:ascii="Calibri" w:hAnsi="Calibri" w:cs="Calibri"/>
                <w:snapToGrid/>
                <w:kern w:val="0"/>
                <w:szCs w:val="22"/>
              </w:rPr>
              <w:t>WNYO-TV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32996E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1,539,525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D8E599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$11,122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91072A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70BB80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$12,336 </w:t>
            </w:r>
          </w:p>
        </w:tc>
        <w:tc>
          <w:tcPr>
            <w:tcW w:w="266" w:type="dxa"/>
            <w:tcBorders>
              <w:top w:val="nil"/>
              <w:left w:val="nil"/>
              <w:bottom w:val="nil"/>
              <w:right w:val="nil"/>
            </w:tcBorders>
            <w:shd w:val="clear" w:color="auto" w:fill="auto"/>
            <w:noWrap/>
            <w:vAlign w:val="bottom"/>
            <w:hideMark/>
          </w:tcPr>
          <w:p w:rsidR="006F7AD6" w:rsidRPr="00A032ED" w:rsidP="00886011" w14:paraId="07A0B1D4"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AD2C318" w14:textId="77777777">
            <w:pPr>
              <w:widowControl/>
              <w:jc w:val="center"/>
              <w:rPr>
                <w:rFonts w:ascii="Calibri" w:hAnsi="Calibri" w:cs="Calibri"/>
                <w:snapToGrid/>
                <w:kern w:val="0"/>
                <w:szCs w:val="22"/>
              </w:rPr>
            </w:pPr>
            <w:r w:rsidRPr="00A032ED">
              <w:rPr>
                <w:rFonts w:ascii="Calibri" w:hAnsi="Calibri" w:cs="Calibri"/>
                <w:snapToGrid/>
                <w:kern w:val="0"/>
                <w:szCs w:val="22"/>
              </w:rPr>
              <w:t>WPGH-TV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293489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3,132,507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754664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$22,630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BE5809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E8250C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$31,653 </w:t>
            </w:r>
          </w:p>
        </w:tc>
      </w:tr>
      <w:tr w14:paraId="7D61DBD2"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ABF8C7A" w14:textId="77777777">
            <w:pPr>
              <w:widowControl/>
              <w:jc w:val="center"/>
              <w:rPr>
                <w:rFonts w:ascii="Calibri" w:hAnsi="Calibri" w:cs="Calibri"/>
                <w:snapToGrid/>
                <w:kern w:val="0"/>
                <w:szCs w:val="22"/>
              </w:rPr>
            </w:pPr>
            <w:r w:rsidRPr="00A032ED">
              <w:rPr>
                <w:rFonts w:ascii="Calibri" w:hAnsi="Calibri" w:cs="Calibri"/>
                <w:snapToGrid/>
                <w:kern w:val="0"/>
                <w:szCs w:val="22"/>
              </w:rPr>
              <w:t>WNYS-TV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17D0F1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1,690,696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5B8DF5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$12,214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05CDB5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558083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$12,882 </w:t>
            </w:r>
          </w:p>
        </w:tc>
        <w:tc>
          <w:tcPr>
            <w:tcW w:w="266" w:type="dxa"/>
            <w:tcBorders>
              <w:top w:val="nil"/>
              <w:left w:val="nil"/>
              <w:bottom w:val="nil"/>
              <w:right w:val="nil"/>
            </w:tcBorders>
            <w:shd w:val="clear" w:color="auto" w:fill="auto"/>
            <w:noWrap/>
            <w:vAlign w:val="bottom"/>
            <w:hideMark/>
          </w:tcPr>
          <w:p w:rsidR="006F7AD6" w:rsidRPr="00A032ED" w:rsidP="00886011" w14:paraId="5D406E90"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BDE6DD2" w14:textId="77777777">
            <w:pPr>
              <w:widowControl/>
              <w:jc w:val="center"/>
              <w:rPr>
                <w:rFonts w:ascii="Calibri" w:hAnsi="Calibri" w:cs="Calibri"/>
                <w:snapToGrid/>
                <w:kern w:val="0"/>
                <w:szCs w:val="22"/>
              </w:rPr>
            </w:pPr>
            <w:r w:rsidRPr="00A032ED">
              <w:rPr>
                <w:rFonts w:ascii="Calibri" w:hAnsi="Calibri" w:cs="Calibri"/>
                <w:snapToGrid/>
                <w:kern w:val="0"/>
                <w:szCs w:val="22"/>
              </w:rPr>
              <w:t>WPGX</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F27CD2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425,098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4F6566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$3,071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95D12A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2A209E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$3,761 </w:t>
            </w:r>
          </w:p>
        </w:tc>
      </w:tr>
      <w:tr w14:paraId="05F675BD"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E3AF463" w14:textId="77777777">
            <w:pPr>
              <w:widowControl/>
              <w:jc w:val="center"/>
              <w:rPr>
                <w:rFonts w:ascii="Calibri" w:hAnsi="Calibri" w:cs="Calibri"/>
                <w:snapToGrid/>
                <w:kern w:val="0"/>
                <w:szCs w:val="22"/>
              </w:rPr>
            </w:pPr>
            <w:r w:rsidRPr="00A032ED">
              <w:rPr>
                <w:rFonts w:ascii="Calibri" w:hAnsi="Calibri" w:cs="Calibri"/>
                <w:snapToGrid/>
                <w:kern w:val="0"/>
                <w:szCs w:val="22"/>
              </w:rPr>
              <w:t>WNYT</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6BE3F6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1,967,183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B93FAA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$14,212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704ED5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312978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$13,881 </w:t>
            </w:r>
          </w:p>
        </w:tc>
        <w:tc>
          <w:tcPr>
            <w:tcW w:w="266" w:type="dxa"/>
            <w:tcBorders>
              <w:top w:val="nil"/>
              <w:left w:val="nil"/>
              <w:bottom w:val="nil"/>
              <w:right w:val="nil"/>
            </w:tcBorders>
            <w:shd w:val="clear" w:color="auto" w:fill="auto"/>
            <w:noWrap/>
            <w:vAlign w:val="bottom"/>
            <w:hideMark/>
          </w:tcPr>
          <w:p w:rsidR="006F7AD6" w:rsidRPr="00A032ED" w:rsidP="00886011" w14:paraId="7B4CA761"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6BE260E" w14:textId="77777777">
            <w:pPr>
              <w:widowControl/>
              <w:jc w:val="center"/>
              <w:rPr>
                <w:rFonts w:ascii="Calibri" w:hAnsi="Calibri" w:cs="Calibri"/>
                <w:snapToGrid/>
                <w:kern w:val="0"/>
                <w:szCs w:val="22"/>
              </w:rPr>
            </w:pPr>
            <w:r w:rsidRPr="00A032ED">
              <w:rPr>
                <w:rFonts w:ascii="Calibri" w:hAnsi="Calibri" w:cs="Calibri"/>
                <w:snapToGrid/>
                <w:kern w:val="0"/>
                <w:szCs w:val="22"/>
              </w:rPr>
              <w:t>WPHL-TV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7C6D48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10,421,216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1D533E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$75,287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B345F5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3393D6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$64,643 </w:t>
            </w:r>
          </w:p>
        </w:tc>
      </w:tr>
      <w:tr w14:paraId="1DD24565"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B0F7FCB" w14:textId="77777777">
            <w:pPr>
              <w:widowControl/>
              <w:jc w:val="center"/>
              <w:rPr>
                <w:rFonts w:ascii="Calibri" w:hAnsi="Calibri" w:cs="Calibri"/>
                <w:snapToGrid/>
                <w:kern w:val="0"/>
                <w:szCs w:val="22"/>
              </w:rPr>
            </w:pPr>
            <w:r w:rsidRPr="00A032ED">
              <w:rPr>
                <w:rFonts w:ascii="Calibri" w:hAnsi="Calibri" w:cs="Calibri"/>
                <w:snapToGrid/>
                <w:kern w:val="0"/>
                <w:szCs w:val="22"/>
              </w:rPr>
              <w:t>WNYW</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CA6680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20,307,995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6F2F51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$146,712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1B0837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BB124F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$100,356 </w:t>
            </w:r>
          </w:p>
        </w:tc>
        <w:tc>
          <w:tcPr>
            <w:tcW w:w="266" w:type="dxa"/>
            <w:tcBorders>
              <w:top w:val="nil"/>
              <w:left w:val="nil"/>
              <w:bottom w:val="nil"/>
              <w:right w:val="nil"/>
            </w:tcBorders>
            <w:shd w:val="clear" w:color="auto" w:fill="auto"/>
            <w:noWrap/>
            <w:vAlign w:val="bottom"/>
            <w:hideMark/>
          </w:tcPr>
          <w:p w:rsidR="006F7AD6" w:rsidRPr="00A032ED" w:rsidP="00886011" w14:paraId="05E49179"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CAD82BC" w14:textId="77777777">
            <w:pPr>
              <w:widowControl/>
              <w:jc w:val="center"/>
              <w:rPr>
                <w:rFonts w:ascii="Calibri" w:hAnsi="Calibri" w:cs="Calibri"/>
                <w:snapToGrid/>
                <w:kern w:val="0"/>
                <w:szCs w:val="22"/>
              </w:rPr>
            </w:pPr>
            <w:r w:rsidRPr="00A032ED">
              <w:rPr>
                <w:rFonts w:ascii="Calibri" w:hAnsi="Calibri" w:cs="Calibri"/>
                <w:snapToGrid/>
                <w:kern w:val="0"/>
                <w:szCs w:val="22"/>
              </w:rPr>
              <w:t>WPIX</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77D2D7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20,638,932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846909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$149,103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625C09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159D1C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$101,552 </w:t>
            </w:r>
          </w:p>
        </w:tc>
      </w:tr>
      <w:tr w14:paraId="4DA7D71E"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6BCF5DB" w14:textId="77777777">
            <w:pPr>
              <w:widowControl/>
              <w:jc w:val="center"/>
              <w:rPr>
                <w:rFonts w:ascii="Calibri" w:hAnsi="Calibri" w:cs="Calibri"/>
                <w:snapToGrid/>
                <w:kern w:val="0"/>
                <w:szCs w:val="22"/>
              </w:rPr>
            </w:pPr>
            <w:r w:rsidRPr="00A032ED">
              <w:rPr>
                <w:rFonts w:ascii="Calibri" w:hAnsi="Calibri" w:cs="Calibri"/>
                <w:snapToGrid/>
                <w:kern w:val="0"/>
                <w:szCs w:val="22"/>
              </w:rPr>
              <w:t>WOAI-TV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A3094F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2,457,441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4CEDF3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$17,753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F55BF2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7943A2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$22,452 </w:t>
            </w:r>
          </w:p>
        </w:tc>
        <w:tc>
          <w:tcPr>
            <w:tcW w:w="266" w:type="dxa"/>
            <w:tcBorders>
              <w:top w:val="nil"/>
              <w:left w:val="nil"/>
              <w:bottom w:val="nil"/>
              <w:right w:val="nil"/>
            </w:tcBorders>
            <w:shd w:val="clear" w:color="auto" w:fill="auto"/>
            <w:noWrap/>
            <w:vAlign w:val="bottom"/>
            <w:hideMark/>
          </w:tcPr>
          <w:p w:rsidR="006F7AD6" w:rsidRPr="00A032ED" w:rsidP="00886011" w14:paraId="6C86C579"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952A9B9" w14:textId="77777777">
            <w:pPr>
              <w:widowControl/>
              <w:jc w:val="center"/>
              <w:rPr>
                <w:rFonts w:ascii="Calibri" w:hAnsi="Calibri" w:cs="Calibri"/>
                <w:snapToGrid/>
                <w:kern w:val="0"/>
                <w:szCs w:val="22"/>
              </w:rPr>
            </w:pPr>
            <w:r w:rsidRPr="00A032ED">
              <w:rPr>
                <w:rFonts w:ascii="Calibri" w:hAnsi="Calibri" w:cs="Calibri"/>
                <w:snapToGrid/>
                <w:kern w:val="0"/>
                <w:szCs w:val="22"/>
              </w:rPr>
              <w:t>WPLG</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345CDF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5,587,129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7FA3EB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$40,363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644B3B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4B061E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$40,519 </w:t>
            </w:r>
          </w:p>
        </w:tc>
      </w:tr>
      <w:tr w14:paraId="6222FBE6"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AF486B2" w14:textId="77777777">
            <w:pPr>
              <w:widowControl/>
              <w:jc w:val="center"/>
              <w:rPr>
                <w:rFonts w:ascii="Calibri" w:hAnsi="Calibri" w:cs="Calibri"/>
                <w:snapToGrid/>
                <w:kern w:val="0"/>
                <w:szCs w:val="22"/>
              </w:rPr>
            </w:pPr>
            <w:r w:rsidRPr="00A032ED">
              <w:rPr>
                <w:rFonts w:ascii="Calibri" w:hAnsi="Calibri" w:cs="Calibri"/>
                <w:snapToGrid/>
                <w:kern w:val="0"/>
                <w:szCs w:val="22"/>
              </w:rPr>
              <w:t>WOAY-TV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1E02A9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569,330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FCF9B9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$4,113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A91699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78CAF5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$4,282 </w:t>
            </w:r>
          </w:p>
        </w:tc>
        <w:tc>
          <w:tcPr>
            <w:tcW w:w="266" w:type="dxa"/>
            <w:tcBorders>
              <w:top w:val="nil"/>
              <w:left w:val="nil"/>
              <w:bottom w:val="nil"/>
              <w:right w:val="nil"/>
            </w:tcBorders>
            <w:shd w:val="clear" w:color="auto" w:fill="auto"/>
            <w:noWrap/>
            <w:vAlign w:val="bottom"/>
            <w:hideMark/>
          </w:tcPr>
          <w:p w:rsidR="006F7AD6" w:rsidRPr="00A032ED" w:rsidP="00886011" w14:paraId="2B30064F"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C6ECCC7" w14:textId="77777777">
            <w:pPr>
              <w:widowControl/>
              <w:jc w:val="center"/>
              <w:rPr>
                <w:rFonts w:ascii="Calibri" w:hAnsi="Calibri" w:cs="Calibri"/>
                <w:snapToGrid/>
                <w:kern w:val="0"/>
                <w:szCs w:val="22"/>
              </w:rPr>
            </w:pPr>
            <w:r w:rsidRPr="00A032ED">
              <w:rPr>
                <w:rFonts w:ascii="Calibri" w:hAnsi="Calibri" w:cs="Calibri"/>
                <w:snapToGrid/>
                <w:kern w:val="0"/>
                <w:szCs w:val="22"/>
              </w:rPr>
              <w:t>WPMI-TV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1B2E47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1,467,869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6F3213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$10,604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84E042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4036AC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$12,077 </w:t>
            </w:r>
          </w:p>
        </w:tc>
      </w:tr>
      <w:tr w14:paraId="03BF307D"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3269093" w14:textId="77777777">
            <w:pPr>
              <w:widowControl/>
              <w:jc w:val="center"/>
              <w:rPr>
                <w:rFonts w:ascii="Calibri" w:hAnsi="Calibri" w:cs="Calibri"/>
                <w:snapToGrid/>
                <w:kern w:val="0"/>
                <w:szCs w:val="22"/>
              </w:rPr>
            </w:pPr>
            <w:r w:rsidRPr="00A032ED">
              <w:rPr>
                <w:rFonts w:ascii="Calibri" w:hAnsi="Calibri" w:cs="Calibri"/>
                <w:snapToGrid/>
                <w:kern w:val="0"/>
                <w:szCs w:val="22"/>
              </w:rPr>
              <w:t>WOFL</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985586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3,941,895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B9E45B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$28,478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1E5111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BCE4FC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$34,576 </w:t>
            </w:r>
          </w:p>
        </w:tc>
        <w:tc>
          <w:tcPr>
            <w:tcW w:w="266" w:type="dxa"/>
            <w:tcBorders>
              <w:top w:val="nil"/>
              <w:left w:val="nil"/>
              <w:bottom w:val="nil"/>
              <w:right w:val="nil"/>
            </w:tcBorders>
            <w:shd w:val="clear" w:color="auto" w:fill="auto"/>
            <w:noWrap/>
            <w:vAlign w:val="bottom"/>
            <w:hideMark/>
          </w:tcPr>
          <w:p w:rsidR="006F7AD6" w:rsidRPr="00A032ED" w:rsidP="00886011" w14:paraId="44D7D273"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6B15CFF" w14:textId="77777777">
            <w:pPr>
              <w:widowControl/>
              <w:jc w:val="center"/>
              <w:rPr>
                <w:rFonts w:ascii="Calibri" w:hAnsi="Calibri" w:cs="Calibri"/>
                <w:snapToGrid/>
                <w:kern w:val="0"/>
                <w:szCs w:val="22"/>
              </w:rPr>
            </w:pPr>
            <w:r w:rsidRPr="00A032ED">
              <w:rPr>
                <w:rFonts w:ascii="Calibri" w:hAnsi="Calibri" w:cs="Calibri"/>
                <w:snapToGrid/>
                <w:kern w:val="0"/>
                <w:szCs w:val="22"/>
              </w:rPr>
              <w:t>WPNT</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D49669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3,130,920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3F1CBC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$22,619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E2292B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F643E8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$31,647 </w:t>
            </w:r>
          </w:p>
        </w:tc>
      </w:tr>
      <w:tr w14:paraId="2A707109"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8B3D96A" w14:textId="77777777">
            <w:pPr>
              <w:widowControl/>
              <w:jc w:val="center"/>
              <w:rPr>
                <w:rFonts w:ascii="Calibri" w:hAnsi="Calibri" w:cs="Calibri"/>
                <w:snapToGrid/>
                <w:kern w:val="0"/>
                <w:szCs w:val="22"/>
              </w:rPr>
            </w:pPr>
            <w:r w:rsidRPr="00A032ED">
              <w:rPr>
                <w:rFonts w:ascii="Calibri" w:hAnsi="Calibri" w:cs="Calibri"/>
                <w:snapToGrid/>
                <w:kern w:val="0"/>
                <w:szCs w:val="22"/>
              </w:rPr>
              <w:t>WOGX</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6A8A59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1,112,408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EE4F21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$8,036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0280F3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BDD311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$6,243 </w:t>
            </w:r>
          </w:p>
        </w:tc>
        <w:tc>
          <w:tcPr>
            <w:tcW w:w="266" w:type="dxa"/>
            <w:tcBorders>
              <w:top w:val="nil"/>
              <w:left w:val="nil"/>
              <w:bottom w:val="nil"/>
              <w:right w:val="nil"/>
            </w:tcBorders>
            <w:shd w:val="clear" w:color="auto" w:fill="auto"/>
            <w:noWrap/>
            <w:vAlign w:val="bottom"/>
            <w:hideMark/>
          </w:tcPr>
          <w:p w:rsidR="006F7AD6" w:rsidRPr="00A032ED" w:rsidP="00886011" w14:paraId="0FB0ECFE"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1807F87" w14:textId="77777777">
            <w:pPr>
              <w:widowControl/>
              <w:jc w:val="center"/>
              <w:rPr>
                <w:rFonts w:ascii="Calibri" w:hAnsi="Calibri" w:cs="Calibri"/>
                <w:snapToGrid/>
                <w:kern w:val="0"/>
                <w:szCs w:val="22"/>
              </w:rPr>
            </w:pPr>
            <w:r w:rsidRPr="00A032ED">
              <w:rPr>
                <w:rFonts w:ascii="Calibri" w:hAnsi="Calibri" w:cs="Calibri"/>
                <w:snapToGrid/>
                <w:kern w:val="0"/>
                <w:szCs w:val="22"/>
              </w:rPr>
              <w:t>WPPX-TV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9A91AD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8,206,117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7765CF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$59,284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2D8C9B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1C0545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$56,642 </w:t>
            </w:r>
          </w:p>
        </w:tc>
      </w:tr>
      <w:tr w14:paraId="0E321460"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6AD4188" w14:textId="77777777">
            <w:pPr>
              <w:widowControl/>
              <w:jc w:val="center"/>
              <w:rPr>
                <w:rFonts w:ascii="Calibri" w:hAnsi="Calibri" w:cs="Calibri"/>
                <w:snapToGrid/>
                <w:kern w:val="0"/>
                <w:szCs w:val="22"/>
              </w:rPr>
            </w:pPr>
            <w:r w:rsidRPr="00A032ED">
              <w:rPr>
                <w:rFonts w:ascii="Calibri" w:hAnsi="Calibri" w:cs="Calibri"/>
                <w:snapToGrid/>
                <w:kern w:val="0"/>
                <w:szCs w:val="22"/>
              </w:rPr>
              <w:t>WOI-DT</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FB7E16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1,212,356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C4E6AC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$8,759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763500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800E59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$11,154 </w:t>
            </w:r>
          </w:p>
        </w:tc>
        <w:tc>
          <w:tcPr>
            <w:tcW w:w="266" w:type="dxa"/>
            <w:tcBorders>
              <w:top w:val="nil"/>
              <w:left w:val="nil"/>
              <w:bottom w:val="nil"/>
              <w:right w:val="nil"/>
            </w:tcBorders>
            <w:shd w:val="clear" w:color="auto" w:fill="auto"/>
            <w:noWrap/>
            <w:vAlign w:val="bottom"/>
            <w:hideMark/>
          </w:tcPr>
          <w:p w:rsidR="006F7AD6" w:rsidRPr="00A032ED" w:rsidP="00886011" w14:paraId="4573D626"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7EB4DEB" w14:textId="77777777">
            <w:pPr>
              <w:widowControl/>
              <w:jc w:val="center"/>
              <w:rPr>
                <w:rFonts w:ascii="Calibri" w:hAnsi="Calibri" w:cs="Calibri"/>
                <w:snapToGrid/>
                <w:kern w:val="0"/>
                <w:szCs w:val="22"/>
              </w:rPr>
            </w:pPr>
            <w:r w:rsidRPr="00A032ED">
              <w:rPr>
                <w:rFonts w:ascii="Calibri" w:hAnsi="Calibri" w:cs="Calibri"/>
                <w:snapToGrid/>
                <w:kern w:val="0"/>
                <w:szCs w:val="22"/>
              </w:rPr>
              <w:t>WPRI-TV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918E93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7,306,169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BB8C43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$52,782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A4B6F6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AFCC58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$33,166 </w:t>
            </w:r>
          </w:p>
        </w:tc>
      </w:tr>
      <w:tr w14:paraId="283B88F2"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2445BED" w14:textId="77777777">
            <w:pPr>
              <w:widowControl/>
              <w:jc w:val="center"/>
              <w:rPr>
                <w:rFonts w:ascii="Calibri" w:hAnsi="Calibri" w:cs="Calibri"/>
                <w:snapToGrid/>
                <w:kern w:val="0"/>
                <w:szCs w:val="22"/>
              </w:rPr>
            </w:pPr>
            <w:r w:rsidRPr="00A032ED">
              <w:rPr>
                <w:rFonts w:ascii="Calibri" w:hAnsi="Calibri" w:cs="Calibri"/>
                <w:snapToGrid/>
                <w:kern w:val="0"/>
                <w:szCs w:val="22"/>
              </w:rPr>
              <w:t>WOIO</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3875DA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3,821,233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B209F3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$27,606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D89E39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DEDF30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$34,140 </w:t>
            </w:r>
          </w:p>
        </w:tc>
        <w:tc>
          <w:tcPr>
            <w:tcW w:w="266" w:type="dxa"/>
            <w:tcBorders>
              <w:top w:val="nil"/>
              <w:left w:val="nil"/>
              <w:bottom w:val="nil"/>
              <w:right w:val="nil"/>
            </w:tcBorders>
            <w:shd w:val="clear" w:color="auto" w:fill="auto"/>
            <w:noWrap/>
            <w:vAlign w:val="bottom"/>
            <w:hideMark/>
          </w:tcPr>
          <w:p w:rsidR="006F7AD6" w:rsidRPr="00A032ED" w:rsidP="00886011" w14:paraId="4C900F3B"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DA5282B" w14:textId="77777777">
            <w:pPr>
              <w:widowControl/>
              <w:jc w:val="center"/>
              <w:rPr>
                <w:rFonts w:ascii="Calibri" w:hAnsi="Calibri" w:cs="Calibri"/>
                <w:snapToGrid/>
                <w:kern w:val="0"/>
                <w:szCs w:val="22"/>
              </w:rPr>
            </w:pPr>
            <w:r w:rsidRPr="00A032ED">
              <w:rPr>
                <w:rFonts w:ascii="Calibri" w:hAnsi="Calibri" w:cs="Calibri"/>
                <w:snapToGrid/>
                <w:kern w:val="0"/>
                <w:szCs w:val="22"/>
              </w:rPr>
              <w:t>WPSD-TV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402DC6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883,812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CCD382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$6,385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7EFEB8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A2AD50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$9,967 </w:t>
            </w:r>
          </w:p>
        </w:tc>
      </w:tr>
      <w:tr w14:paraId="4A5ACB3B"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F017B1E" w14:textId="77777777">
            <w:pPr>
              <w:widowControl/>
              <w:jc w:val="center"/>
              <w:rPr>
                <w:rFonts w:ascii="Calibri" w:hAnsi="Calibri" w:cs="Calibri"/>
                <w:snapToGrid/>
                <w:kern w:val="0"/>
                <w:szCs w:val="22"/>
              </w:rPr>
            </w:pPr>
            <w:r w:rsidRPr="00A032ED">
              <w:rPr>
                <w:rFonts w:ascii="Calibri" w:hAnsi="Calibri" w:cs="Calibri"/>
                <w:snapToGrid/>
                <w:kern w:val="0"/>
                <w:szCs w:val="22"/>
              </w:rPr>
              <w:t>WOLE-DT</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6DCE12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2,896,629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2B651F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$20,926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772239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0CBB1D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$12,688 </w:t>
            </w:r>
          </w:p>
        </w:tc>
        <w:tc>
          <w:tcPr>
            <w:tcW w:w="266" w:type="dxa"/>
            <w:tcBorders>
              <w:top w:val="nil"/>
              <w:left w:val="nil"/>
              <w:bottom w:val="nil"/>
              <w:right w:val="nil"/>
            </w:tcBorders>
            <w:shd w:val="clear" w:color="auto" w:fill="auto"/>
            <w:noWrap/>
            <w:vAlign w:val="bottom"/>
            <w:hideMark/>
          </w:tcPr>
          <w:p w:rsidR="006F7AD6" w:rsidRPr="00A032ED" w:rsidP="00886011" w14:paraId="217367F8"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3685229" w14:textId="77777777">
            <w:pPr>
              <w:widowControl/>
              <w:jc w:val="center"/>
              <w:rPr>
                <w:rFonts w:ascii="Calibri" w:hAnsi="Calibri" w:cs="Calibri"/>
                <w:snapToGrid/>
                <w:kern w:val="0"/>
                <w:szCs w:val="22"/>
              </w:rPr>
            </w:pPr>
            <w:r w:rsidRPr="00A032ED">
              <w:rPr>
                <w:rFonts w:ascii="Calibri" w:hAnsi="Calibri" w:cs="Calibri"/>
                <w:snapToGrid/>
                <w:kern w:val="0"/>
                <w:szCs w:val="22"/>
              </w:rPr>
              <w:t>WPSG</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424D5A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10,232,988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4257FA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$73,927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D9DDEB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C74DD4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$63,963 </w:t>
            </w:r>
          </w:p>
        </w:tc>
      </w:tr>
      <w:tr w14:paraId="162ED716"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83384BB" w14:textId="77777777">
            <w:pPr>
              <w:widowControl/>
              <w:jc w:val="center"/>
              <w:rPr>
                <w:rFonts w:ascii="Calibri" w:hAnsi="Calibri" w:cs="Calibri"/>
                <w:snapToGrid/>
                <w:kern w:val="0"/>
                <w:szCs w:val="22"/>
              </w:rPr>
            </w:pPr>
            <w:r w:rsidRPr="00A032ED">
              <w:rPr>
                <w:rFonts w:ascii="Calibri" w:hAnsi="Calibri" w:cs="Calibri"/>
                <w:snapToGrid/>
                <w:kern w:val="0"/>
                <w:szCs w:val="22"/>
              </w:rPr>
              <w:t>WOLF-TV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B77BBC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3,006,606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B6C4DF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$21,721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4F8A45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1C4CD9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$17,635 </w:t>
            </w:r>
          </w:p>
        </w:tc>
        <w:tc>
          <w:tcPr>
            <w:tcW w:w="266" w:type="dxa"/>
            <w:tcBorders>
              <w:top w:val="nil"/>
              <w:left w:val="nil"/>
              <w:bottom w:val="nil"/>
              <w:right w:val="nil"/>
            </w:tcBorders>
            <w:shd w:val="clear" w:color="auto" w:fill="auto"/>
            <w:noWrap/>
            <w:vAlign w:val="bottom"/>
            <w:hideMark/>
          </w:tcPr>
          <w:p w:rsidR="006F7AD6" w:rsidRPr="00A032ED" w:rsidP="00886011" w14:paraId="560FA744"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190C940" w14:textId="77777777">
            <w:pPr>
              <w:widowControl/>
              <w:jc w:val="center"/>
              <w:rPr>
                <w:rFonts w:ascii="Calibri" w:hAnsi="Calibri" w:cs="Calibri"/>
                <w:snapToGrid/>
                <w:kern w:val="0"/>
                <w:szCs w:val="22"/>
              </w:rPr>
            </w:pPr>
            <w:r w:rsidRPr="00A032ED">
              <w:rPr>
                <w:rFonts w:ascii="Calibri" w:hAnsi="Calibri" w:cs="Calibri"/>
                <w:snapToGrid/>
                <w:kern w:val="0"/>
                <w:szCs w:val="22"/>
              </w:rPr>
              <w:t>WPTA</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A85652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1,083,373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A867F4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$7,827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4CCC4A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EA0B43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$6,138 </w:t>
            </w:r>
          </w:p>
        </w:tc>
      </w:tr>
      <w:tr w14:paraId="74E11C9D"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DFE1B72" w14:textId="77777777">
            <w:pPr>
              <w:widowControl/>
              <w:jc w:val="center"/>
              <w:rPr>
                <w:rFonts w:ascii="Calibri" w:hAnsi="Calibri" w:cs="Calibri"/>
                <w:snapToGrid/>
                <w:kern w:val="0"/>
                <w:szCs w:val="22"/>
              </w:rPr>
            </w:pPr>
            <w:r w:rsidRPr="00A032ED">
              <w:rPr>
                <w:rFonts w:ascii="Calibri" w:hAnsi="Calibri" w:cs="Calibri"/>
                <w:snapToGrid/>
                <w:kern w:val="0"/>
                <w:szCs w:val="22"/>
              </w:rPr>
              <w:t>WOLO-TV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86F9D9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2,635,115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CFD4DA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$19,037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C99929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A99227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$16,294 </w:t>
            </w:r>
          </w:p>
        </w:tc>
        <w:tc>
          <w:tcPr>
            <w:tcW w:w="266" w:type="dxa"/>
            <w:tcBorders>
              <w:top w:val="nil"/>
              <w:left w:val="nil"/>
              <w:bottom w:val="nil"/>
              <w:right w:val="nil"/>
            </w:tcBorders>
            <w:shd w:val="clear" w:color="auto" w:fill="auto"/>
            <w:noWrap/>
            <w:vAlign w:val="bottom"/>
            <w:hideMark/>
          </w:tcPr>
          <w:p w:rsidR="006F7AD6" w:rsidRPr="00A032ED" w:rsidP="00886011" w14:paraId="5FCBFBE1"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F8AE00C" w14:textId="77777777">
            <w:pPr>
              <w:widowControl/>
              <w:jc w:val="center"/>
              <w:rPr>
                <w:rFonts w:ascii="Calibri" w:hAnsi="Calibri" w:cs="Calibri"/>
                <w:snapToGrid/>
                <w:kern w:val="0"/>
                <w:szCs w:val="22"/>
              </w:rPr>
            </w:pPr>
            <w:r w:rsidRPr="00A032ED">
              <w:rPr>
                <w:rFonts w:ascii="Calibri" w:hAnsi="Calibri" w:cs="Calibri"/>
                <w:snapToGrid/>
                <w:kern w:val="0"/>
                <w:szCs w:val="22"/>
              </w:rPr>
              <w:t>WPTV-TV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DC2091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5,840,102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7E4BF2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$42,191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D8633B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07B4A6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$34,671 </w:t>
            </w:r>
          </w:p>
        </w:tc>
      </w:tr>
      <w:tr w14:paraId="6B46B784"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B13A7C5" w14:textId="77777777">
            <w:pPr>
              <w:widowControl/>
              <w:jc w:val="center"/>
              <w:rPr>
                <w:rFonts w:ascii="Calibri" w:hAnsi="Calibri" w:cs="Calibri"/>
                <w:snapToGrid/>
                <w:kern w:val="0"/>
                <w:szCs w:val="22"/>
              </w:rPr>
            </w:pPr>
            <w:r w:rsidRPr="00A032ED">
              <w:rPr>
                <w:rFonts w:ascii="Calibri" w:hAnsi="Calibri" w:cs="Calibri"/>
                <w:snapToGrid/>
                <w:kern w:val="0"/>
                <w:szCs w:val="22"/>
              </w:rPr>
              <w:t>WOOD-TV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C1830C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2,507,053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713C75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$18,112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CD2286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565815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$22,631 </w:t>
            </w:r>
          </w:p>
        </w:tc>
        <w:tc>
          <w:tcPr>
            <w:tcW w:w="266" w:type="dxa"/>
            <w:tcBorders>
              <w:top w:val="nil"/>
              <w:left w:val="nil"/>
              <w:bottom w:val="nil"/>
              <w:right w:val="nil"/>
            </w:tcBorders>
            <w:shd w:val="clear" w:color="auto" w:fill="auto"/>
            <w:noWrap/>
            <w:vAlign w:val="bottom"/>
            <w:hideMark/>
          </w:tcPr>
          <w:p w:rsidR="006F7AD6" w:rsidRPr="00A032ED" w:rsidP="00886011" w14:paraId="621FB2BB"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5189EC0" w14:textId="77777777">
            <w:pPr>
              <w:widowControl/>
              <w:jc w:val="center"/>
              <w:rPr>
                <w:rFonts w:ascii="Calibri" w:hAnsi="Calibri" w:cs="Calibri"/>
                <w:snapToGrid/>
                <w:kern w:val="0"/>
                <w:szCs w:val="22"/>
              </w:rPr>
            </w:pPr>
            <w:r w:rsidRPr="00A032ED">
              <w:rPr>
                <w:rFonts w:ascii="Calibri" w:hAnsi="Calibri" w:cs="Calibri"/>
                <w:snapToGrid/>
                <w:kern w:val="0"/>
                <w:szCs w:val="22"/>
              </w:rPr>
              <w:t>WPTZ</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C8F1E6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792,551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98DB8D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$5,726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CFA14F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103D67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$9,638 </w:t>
            </w:r>
          </w:p>
        </w:tc>
      </w:tr>
      <w:tr w14:paraId="0A7D4C0B"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2FB3692" w14:textId="77777777">
            <w:pPr>
              <w:widowControl/>
              <w:jc w:val="center"/>
              <w:rPr>
                <w:rFonts w:ascii="Calibri" w:hAnsi="Calibri" w:cs="Calibri"/>
                <w:snapToGrid/>
                <w:kern w:val="0"/>
                <w:szCs w:val="22"/>
              </w:rPr>
            </w:pPr>
            <w:r w:rsidRPr="00A032ED">
              <w:rPr>
                <w:rFonts w:ascii="Calibri" w:hAnsi="Calibri" w:cs="Calibri"/>
                <w:snapToGrid/>
                <w:kern w:val="0"/>
                <w:szCs w:val="22"/>
              </w:rPr>
              <w:t>WOPX-TV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A693D0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3,826,498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256318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$27,644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FB6933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A3A349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$34,160 </w:t>
            </w:r>
          </w:p>
        </w:tc>
        <w:tc>
          <w:tcPr>
            <w:tcW w:w="266" w:type="dxa"/>
            <w:tcBorders>
              <w:top w:val="nil"/>
              <w:left w:val="nil"/>
              <w:bottom w:val="nil"/>
              <w:right w:val="nil"/>
            </w:tcBorders>
            <w:shd w:val="clear" w:color="auto" w:fill="auto"/>
            <w:noWrap/>
            <w:vAlign w:val="bottom"/>
            <w:hideMark/>
          </w:tcPr>
          <w:p w:rsidR="006F7AD6" w:rsidRPr="00A032ED" w:rsidP="00886011" w14:paraId="45FF701F"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37D401B" w14:textId="77777777">
            <w:pPr>
              <w:widowControl/>
              <w:jc w:val="center"/>
              <w:rPr>
                <w:rFonts w:ascii="Calibri" w:hAnsi="Calibri" w:cs="Calibri"/>
                <w:snapToGrid/>
                <w:kern w:val="0"/>
                <w:szCs w:val="22"/>
              </w:rPr>
            </w:pPr>
            <w:r w:rsidRPr="00A032ED">
              <w:rPr>
                <w:rFonts w:ascii="Calibri" w:hAnsi="Calibri" w:cs="Calibri"/>
                <w:snapToGrid/>
                <w:kern w:val="0"/>
                <w:szCs w:val="22"/>
              </w:rPr>
              <w:t>WPVI-TV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7114CC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13,926,891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DBA9F8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$100,613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B87750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6A09B9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$77,306 </w:t>
            </w:r>
          </w:p>
        </w:tc>
      </w:tr>
      <w:tr w14:paraId="668F516B"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3DAFC5F" w14:textId="77777777">
            <w:pPr>
              <w:widowControl/>
              <w:jc w:val="center"/>
              <w:rPr>
                <w:rFonts w:ascii="Calibri" w:hAnsi="Calibri" w:cs="Calibri"/>
                <w:snapToGrid/>
                <w:kern w:val="0"/>
                <w:szCs w:val="22"/>
              </w:rPr>
            </w:pPr>
            <w:r w:rsidRPr="00A032ED">
              <w:rPr>
                <w:rFonts w:ascii="Calibri" w:hAnsi="Calibri" w:cs="Calibri"/>
                <w:snapToGrid/>
                <w:kern w:val="0"/>
                <w:szCs w:val="22"/>
              </w:rPr>
              <w:t>WORA-TV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31068B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2,733,629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78EABD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$19,749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762619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447E27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$12,099 </w:t>
            </w:r>
          </w:p>
        </w:tc>
        <w:tc>
          <w:tcPr>
            <w:tcW w:w="266" w:type="dxa"/>
            <w:tcBorders>
              <w:top w:val="nil"/>
              <w:left w:val="nil"/>
              <w:bottom w:val="nil"/>
              <w:right w:val="nil"/>
            </w:tcBorders>
            <w:shd w:val="clear" w:color="auto" w:fill="auto"/>
            <w:noWrap/>
            <w:vAlign w:val="bottom"/>
            <w:hideMark/>
          </w:tcPr>
          <w:p w:rsidR="006F7AD6" w:rsidRPr="00A032ED" w:rsidP="00886011" w14:paraId="54C695B6"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16A5BB4" w14:textId="77777777">
            <w:pPr>
              <w:widowControl/>
              <w:jc w:val="center"/>
              <w:rPr>
                <w:rFonts w:ascii="Calibri" w:hAnsi="Calibri" w:cs="Calibri"/>
                <w:snapToGrid/>
                <w:kern w:val="0"/>
                <w:szCs w:val="22"/>
              </w:rPr>
            </w:pPr>
            <w:r w:rsidRPr="00A032ED">
              <w:rPr>
                <w:rFonts w:ascii="Calibri" w:hAnsi="Calibri" w:cs="Calibri"/>
                <w:snapToGrid/>
                <w:kern w:val="0"/>
                <w:szCs w:val="22"/>
              </w:rPr>
              <w:t>WPWR-TV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84CFA8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9,957,301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C33193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$71,935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F5AC0C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7A2407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$62,968 </w:t>
            </w:r>
          </w:p>
        </w:tc>
      </w:tr>
      <w:tr w14:paraId="418F1D60"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3336751" w14:textId="77777777">
            <w:pPr>
              <w:widowControl/>
              <w:jc w:val="center"/>
              <w:rPr>
                <w:rFonts w:ascii="Calibri" w:hAnsi="Calibri" w:cs="Calibri"/>
                <w:snapToGrid/>
                <w:kern w:val="0"/>
                <w:szCs w:val="22"/>
              </w:rPr>
            </w:pPr>
            <w:r w:rsidRPr="00A032ED">
              <w:rPr>
                <w:rFonts w:ascii="Calibri" w:hAnsi="Calibri" w:cs="Calibri"/>
                <w:snapToGrid/>
                <w:kern w:val="0"/>
                <w:szCs w:val="22"/>
              </w:rPr>
              <w:t>WOST</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60F420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1,193,381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265CC5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$8,621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65CAA0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BF39D8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$6,536 </w:t>
            </w:r>
          </w:p>
        </w:tc>
        <w:tc>
          <w:tcPr>
            <w:tcW w:w="266" w:type="dxa"/>
            <w:tcBorders>
              <w:top w:val="nil"/>
              <w:left w:val="nil"/>
              <w:bottom w:val="nil"/>
              <w:right w:val="nil"/>
            </w:tcBorders>
            <w:shd w:val="clear" w:color="auto" w:fill="auto"/>
            <w:noWrap/>
            <w:vAlign w:val="bottom"/>
            <w:hideMark/>
          </w:tcPr>
          <w:p w:rsidR="006F7AD6" w:rsidRPr="00A032ED" w:rsidP="00886011" w14:paraId="1BEEBC07"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0B021AD" w14:textId="77777777">
            <w:pPr>
              <w:widowControl/>
              <w:jc w:val="center"/>
              <w:rPr>
                <w:rFonts w:ascii="Calibri" w:hAnsi="Calibri" w:cs="Calibri"/>
                <w:snapToGrid/>
                <w:kern w:val="0"/>
                <w:szCs w:val="22"/>
              </w:rPr>
            </w:pPr>
            <w:r w:rsidRPr="00A032ED">
              <w:rPr>
                <w:rFonts w:ascii="Calibri" w:hAnsi="Calibri" w:cs="Calibri"/>
                <w:snapToGrid/>
                <w:kern w:val="0"/>
                <w:szCs w:val="22"/>
              </w:rPr>
              <w:t>WPXA-TV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008A81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6,594,205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726383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$47,639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046EA7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B9D032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$50,819 </w:t>
            </w:r>
          </w:p>
        </w:tc>
      </w:tr>
      <w:tr w14:paraId="4D7A47F4"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A66D1C7" w14:textId="77777777">
            <w:pPr>
              <w:widowControl/>
              <w:jc w:val="center"/>
              <w:rPr>
                <w:rFonts w:ascii="Calibri" w:hAnsi="Calibri" w:cs="Calibri"/>
                <w:snapToGrid/>
                <w:kern w:val="0"/>
                <w:szCs w:val="22"/>
              </w:rPr>
            </w:pPr>
            <w:r w:rsidRPr="00A032ED">
              <w:rPr>
                <w:rFonts w:ascii="Calibri" w:hAnsi="Calibri" w:cs="Calibri"/>
                <w:snapToGrid/>
                <w:kern w:val="0"/>
                <w:szCs w:val="22"/>
              </w:rPr>
              <w:t>WOTF-TV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58A9A5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3,288,537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14F7CF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$23,758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17980D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D4FCC9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$32,216 </w:t>
            </w:r>
          </w:p>
        </w:tc>
        <w:tc>
          <w:tcPr>
            <w:tcW w:w="266" w:type="dxa"/>
            <w:tcBorders>
              <w:top w:val="nil"/>
              <w:left w:val="nil"/>
              <w:bottom w:val="nil"/>
              <w:right w:val="nil"/>
            </w:tcBorders>
            <w:shd w:val="clear" w:color="auto" w:fill="auto"/>
            <w:noWrap/>
            <w:vAlign w:val="bottom"/>
            <w:hideMark/>
          </w:tcPr>
          <w:p w:rsidR="006F7AD6" w:rsidRPr="00A032ED" w:rsidP="00886011" w14:paraId="7968573A"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2E749E0" w14:textId="77777777">
            <w:pPr>
              <w:widowControl/>
              <w:jc w:val="center"/>
              <w:rPr>
                <w:rFonts w:ascii="Calibri" w:hAnsi="Calibri" w:cs="Calibri"/>
                <w:snapToGrid/>
                <w:kern w:val="0"/>
                <w:szCs w:val="22"/>
              </w:rPr>
            </w:pPr>
            <w:r w:rsidRPr="00A032ED">
              <w:rPr>
                <w:rFonts w:ascii="Calibri" w:hAnsi="Calibri" w:cs="Calibri"/>
                <w:snapToGrid/>
                <w:kern w:val="0"/>
                <w:szCs w:val="22"/>
              </w:rPr>
              <w:t>WPXC-TV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E09EF5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1,561,014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E2EC13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$11,277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2B6CC8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9D0E1F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$19,214 </w:t>
            </w:r>
          </w:p>
        </w:tc>
      </w:tr>
      <w:tr w14:paraId="1BCD5139"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7273973" w14:textId="77777777">
            <w:pPr>
              <w:widowControl/>
              <w:jc w:val="center"/>
              <w:rPr>
                <w:rFonts w:ascii="Calibri" w:hAnsi="Calibri" w:cs="Calibri"/>
                <w:snapToGrid/>
                <w:kern w:val="0"/>
                <w:szCs w:val="22"/>
              </w:rPr>
            </w:pPr>
            <w:r w:rsidRPr="00A032ED">
              <w:rPr>
                <w:rFonts w:ascii="Calibri" w:hAnsi="Calibri" w:cs="Calibri"/>
                <w:snapToGrid/>
                <w:kern w:val="0"/>
                <w:szCs w:val="22"/>
              </w:rPr>
              <w:t>WOTV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6D3DA8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2,277,566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87245A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$16,454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2E6F9C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2080BA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$21,802 </w:t>
            </w:r>
          </w:p>
        </w:tc>
        <w:tc>
          <w:tcPr>
            <w:tcW w:w="266" w:type="dxa"/>
            <w:tcBorders>
              <w:top w:val="nil"/>
              <w:left w:val="nil"/>
              <w:bottom w:val="nil"/>
              <w:right w:val="nil"/>
            </w:tcBorders>
            <w:shd w:val="clear" w:color="auto" w:fill="auto"/>
            <w:noWrap/>
            <w:vAlign w:val="bottom"/>
            <w:hideMark/>
          </w:tcPr>
          <w:p w:rsidR="006F7AD6" w:rsidRPr="00A032ED" w:rsidP="00886011" w14:paraId="39B4A5EC"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24E1072" w14:textId="77777777">
            <w:pPr>
              <w:widowControl/>
              <w:jc w:val="center"/>
              <w:rPr>
                <w:rFonts w:ascii="Calibri" w:hAnsi="Calibri" w:cs="Calibri"/>
                <w:snapToGrid/>
                <w:kern w:val="0"/>
                <w:szCs w:val="22"/>
              </w:rPr>
            </w:pPr>
            <w:r w:rsidRPr="00A032ED">
              <w:rPr>
                <w:rFonts w:ascii="Calibri" w:hAnsi="Calibri" w:cs="Calibri"/>
                <w:snapToGrid/>
                <w:kern w:val="0"/>
                <w:szCs w:val="22"/>
              </w:rPr>
              <w:t>WPXD-TV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7D9CAB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5,133,364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942BE8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$37,085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092FD2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207AEE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$38,880 </w:t>
            </w:r>
          </w:p>
        </w:tc>
      </w:tr>
      <w:tr w14:paraId="02F10C5B"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EB1C85E" w14:textId="77777777">
            <w:pPr>
              <w:widowControl/>
              <w:jc w:val="center"/>
              <w:rPr>
                <w:rFonts w:ascii="Calibri" w:hAnsi="Calibri" w:cs="Calibri"/>
                <w:snapToGrid/>
                <w:kern w:val="0"/>
                <w:szCs w:val="22"/>
              </w:rPr>
            </w:pPr>
            <w:r w:rsidRPr="00A032ED">
              <w:rPr>
                <w:rFonts w:ascii="Calibri" w:hAnsi="Calibri" w:cs="Calibri"/>
                <w:snapToGrid/>
                <w:kern w:val="0"/>
                <w:szCs w:val="22"/>
              </w:rPr>
              <w:t>WOWK-TV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560995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1,176,043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5E8C43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$8,496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DBB529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65CF71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$11,023 </w:t>
            </w:r>
          </w:p>
        </w:tc>
        <w:tc>
          <w:tcPr>
            <w:tcW w:w="266" w:type="dxa"/>
            <w:tcBorders>
              <w:top w:val="nil"/>
              <w:left w:val="nil"/>
              <w:bottom w:val="nil"/>
              <w:right w:val="nil"/>
            </w:tcBorders>
            <w:shd w:val="clear" w:color="auto" w:fill="auto"/>
            <w:noWrap/>
            <w:vAlign w:val="bottom"/>
            <w:hideMark/>
          </w:tcPr>
          <w:p w:rsidR="006F7AD6" w:rsidRPr="00A032ED" w:rsidP="00886011" w14:paraId="27805E6A"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2B2C44E" w14:textId="77777777">
            <w:pPr>
              <w:widowControl/>
              <w:jc w:val="center"/>
              <w:rPr>
                <w:rFonts w:ascii="Calibri" w:hAnsi="Calibri" w:cs="Calibri"/>
                <w:snapToGrid/>
                <w:kern w:val="0"/>
                <w:szCs w:val="22"/>
              </w:rPr>
            </w:pPr>
            <w:r w:rsidRPr="00A032ED">
              <w:rPr>
                <w:rFonts w:ascii="Calibri" w:hAnsi="Calibri" w:cs="Calibri"/>
                <w:snapToGrid/>
                <w:kern w:val="0"/>
                <w:szCs w:val="22"/>
              </w:rPr>
              <w:t>WPXE-TV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F2195D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3,163,550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67F1B9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$22,855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552A50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E9205B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$25,002 </w:t>
            </w:r>
          </w:p>
        </w:tc>
      </w:tr>
      <w:tr w14:paraId="07843203"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473A33F" w14:textId="77777777">
            <w:pPr>
              <w:widowControl/>
              <w:jc w:val="center"/>
              <w:rPr>
                <w:rFonts w:ascii="Calibri" w:hAnsi="Calibri" w:cs="Calibri"/>
                <w:snapToGrid/>
                <w:kern w:val="0"/>
                <w:szCs w:val="22"/>
              </w:rPr>
            </w:pPr>
            <w:r w:rsidRPr="00A032ED">
              <w:rPr>
                <w:rFonts w:ascii="Calibri" w:hAnsi="Calibri" w:cs="Calibri"/>
                <w:snapToGrid/>
                <w:kern w:val="0"/>
                <w:szCs w:val="22"/>
              </w:rPr>
              <w:t>WOWT</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34A9DD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1,380,979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09594D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$9,977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57B2F1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1C9F69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$11,763 </w:t>
            </w:r>
          </w:p>
        </w:tc>
        <w:tc>
          <w:tcPr>
            <w:tcW w:w="266" w:type="dxa"/>
            <w:tcBorders>
              <w:top w:val="nil"/>
              <w:left w:val="nil"/>
              <w:bottom w:val="nil"/>
              <w:right w:val="nil"/>
            </w:tcBorders>
            <w:shd w:val="clear" w:color="auto" w:fill="auto"/>
            <w:noWrap/>
            <w:vAlign w:val="bottom"/>
            <w:hideMark/>
          </w:tcPr>
          <w:p w:rsidR="006F7AD6" w:rsidRPr="00A032ED" w:rsidP="00886011" w14:paraId="0C060774"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E58A5A3" w14:textId="77777777">
            <w:pPr>
              <w:widowControl/>
              <w:jc w:val="center"/>
              <w:rPr>
                <w:rFonts w:ascii="Calibri" w:hAnsi="Calibri" w:cs="Calibri"/>
                <w:snapToGrid/>
                <w:kern w:val="0"/>
                <w:szCs w:val="22"/>
              </w:rPr>
            </w:pPr>
            <w:r w:rsidRPr="00A032ED">
              <w:rPr>
                <w:rFonts w:ascii="Calibri" w:hAnsi="Calibri" w:cs="Calibri"/>
                <w:snapToGrid/>
                <w:kern w:val="0"/>
                <w:szCs w:val="22"/>
              </w:rPr>
              <w:t>WPXG-TV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9D7366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2,577,848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04F059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$18,623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296CC4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E275F6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$36,312 </w:t>
            </w:r>
          </w:p>
        </w:tc>
      </w:tr>
      <w:tr w14:paraId="6D2A3AB4" w14:textId="77777777" w:rsidTr="00886011">
        <w:tblPrEx>
          <w:tblW w:w="13388" w:type="dxa"/>
          <w:jc w:val="center"/>
          <w:tblLook w:val="04A0"/>
        </w:tblPrEx>
        <w:trPr>
          <w:trHeight w:val="494"/>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57F6205" w14:textId="77777777">
            <w:pPr>
              <w:widowControl/>
              <w:jc w:val="center"/>
              <w:rPr>
                <w:rFonts w:ascii="Calibri" w:hAnsi="Calibri" w:cs="Calibri"/>
                <w:snapToGrid/>
                <w:kern w:val="0"/>
                <w:szCs w:val="22"/>
              </w:rPr>
            </w:pPr>
            <w:r w:rsidRPr="00A032ED">
              <w:rPr>
                <w:rFonts w:ascii="Calibri" w:hAnsi="Calibri" w:cs="Calibri"/>
                <w:snapToGrid/>
                <w:kern w:val="0"/>
                <w:szCs w:val="22"/>
              </w:rPr>
              <w:t>WPAN</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2E05E3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637,347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48B3C5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$4,604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C95F58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FF9DAF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$9,077 </w:t>
            </w:r>
          </w:p>
        </w:tc>
        <w:tc>
          <w:tcPr>
            <w:tcW w:w="266" w:type="dxa"/>
            <w:tcBorders>
              <w:top w:val="nil"/>
              <w:left w:val="nil"/>
              <w:bottom w:val="nil"/>
              <w:right w:val="nil"/>
            </w:tcBorders>
            <w:shd w:val="clear" w:color="auto" w:fill="auto"/>
            <w:noWrap/>
            <w:vAlign w:val="bottom"/>
            <w:hideMark/>
          </w:tcPr>
          <w:p w:rsidR="006F7AD6" w:rsidRPr="00A032ED" w:rsidP="00886011" w14:paraId="1F513CA6"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A9071C4" w14:textId="77777777">
            <w:pPr>
              <w:widowControl/>
              <w:jc w:val="center"/>
              <w:rPr>
                <w:rFonts w:ascii="Calibri" w:hAnsi="Calibri" w:cs="Calibri"/>
                <w:snapToGrid/>
                <w:kern w:val="0"/>
                <w:szCs w:val="22"/>
              </w:rPr>
            </w:pPr>
            <w:r w:rsidRPr="00A032ED">
              <w:rPr>
                <w:rFonts w:ascii="Calibri" w:hAnsi="Calibri" w:cs="Calibri"/>
                <w:snapToGrid/>
                <w:kern w:val="0"/>
                <w:szCs w:val="22"/>
              </w:rPr>
              <w:t>WPXH-TV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2692E4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1,495,586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821AEA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$10,805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F368B2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A85E18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$18,977 </w:t>
            </w:r>
          </w:p>
        </w:tc>
      </w:tr>
      <w:tr w14:paraId="20233F77"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81B07DA" w14:textId="77777777">
            <w:pPr>
              <w:widowControl/>
              <w:jc w:val="center"/>
              <w:rPr>
                <w:rFonts w:ascii="Calibri" w:hAnsi="Calibri" w:cs="Calibri"/>
                <w:snapToGrid/>
                <w:kern w:val="0"/>
                <w:szCs w:val="22"/>
              </w:rPr>
            </w:pPr>
            <w:r w:rsidRPr="00A032ED">
              <w:rPr>
                <w:rFonts w:ascii="Calibri" w:hAnsi="Calibri" w:cs="Calibri"/>
                <w:snapToGrid/>
                <w:kern w:val="0"/>
                <w:szCs w:val="22"/>
              </w:rPr>
              <w:t>WPBF</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008DE6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3,190,307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F4A108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$23,048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769F55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6F52D8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$25,099 </w:t>
            </w:r>
          </w:p>
        </w:tc>
        <w:tc>
          <w:tcPr>
            <w:tcW w:w="266" w:type="dxa"/>
            <w:tcBorders>
              <w:top w:val="nil"/>
              <w:left w:val="nil"/>
              <w:bottom w:val="nil"/>
              <w:right w:val="nil"/>
            </w:tcBorders>
            <w:shd w:val="clear" w:color="auto" w:fill="auto"/>
            <w:noWrap/>
            <w:vAlign w:val="bottom"/>
            <w:hideMark/>
          </w:tcPr>
          <w:p w:rsidR="006F7AD6" w:rsidRPr="00A032ED" w:rsidP="00886011" w14:paraId="16E116C6"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4336546" w14:textId="77777777">
            <w:pPr>
              <w:widowControl/>
              <w:jc w:val="center"/>
              <w:rPr>
                <w:rFonts w:ascii="Calibri" w:hAnsi="Calibri" w:cs="Calibri"/>
                <w:snapToGrid/>
                <w:kern w:val="0"/>
                <w:szCs w:val="22"/>
              </w:rPr>
            </w:pPr>
            <w:r w:rsidRPr="00A032ED">
              <w:rPr>
                <w:rFonts w:ascii="Calibri" w:hAnsi="Calibri" w:cs="Calibri"/>
                <w:snapToGrid/>
                <w:kern w:val="0"/>
                <w:szCs w:val="22"/>
              </w:rPr>
              <w:t>WPXI</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2C102E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480,916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1981A0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$3,474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32C33E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1D0BE5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$22,075 </w:t>
            </w:r>
          </w:p>
        </w:tc>
      </w:tr>
      <w:tr w14:paraId="396B3042"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34677A0" w14:textId="77777777">
            <w:pPr>
              <w:widowControl/>
              <w:jc w:val="center"/>
              <w:rPr>
                <w:rFonts w:ascii="Calibri" w:hAnsi="Calibri" w:cs="Calibri"/>
                <w:snapToGrid/>
                <w:kern w:val="0"/>
                <w:szCs w:val="22"/>
              </w:rPr>
            </w:pPr>
            <w:r w:rsidRPr="00A032ED">
              <w:rPr>
                <w:rFonts w:ascii="Calibri" w:hAnsi="Calibri" w:cs="Calibri"/>
                <w:snapToGrid/>
                <w:kern w:val="0"/>
                <w:szCs w:val="22"/>
              </w:rPr>
              <w:t>WPXK-TV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167DBD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1,907,446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86A839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$13,780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947A56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CA04C7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$13,665 </w:t>
            </w:r>
          </w:p>
        </w:tc>
        <w:tc>
          <w:tcPr>
            <w:tcW w:w="266" w:type="dxa"/>
            <w:tcBorders>
              <w:top w:val="nil"/>
              <w:left w:val="nil"/>
              <w:bottom w:val="nil"/>
              <w:right w:val="nil"/>
            </w:tcBorders>
            <w:shd w:val="clear" w:color="auto" w:fill="auto"/>
            <w:noWrap/>
            <w:vAlign w:val="bottom"/>
            <w:hideMark/>
          </w:tcPr>
          <w:p w:rsidR="006F7AD6" w:rsidRPr="00A032ED" w:rsidP="00886011" w14:paraId="7CA12220"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CA723BB" w14:textId="77777777">
            <w:pPr>
              <w:widowControl/>
              <w:jc w:val="center"/>
              <w:rPr>
                <w:rFonts w:ascii="Calibri" w:hAnsi="Calibri" w:cs="Calibri"/>
                <w:snapToGrid/>
                <w:kern w:val="0"/>
                <w:szCs w:val="22"/>
              </w:rPr>
            </w:pPr>
            <w:r w:rsidRPr="00A032ED">
              <w:rPr>
                <w:rFonts w:ascii="Calibri" w:hAnsi="Calibri" w:cs="Calibri"/>
                <w:snapToGrid/>
                <w:kern w:val="0"/>
                <w:szCs w:val="22"/>
              </w:rPr>
              <w:t>WPXJ-TV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3128B6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2,257,059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97A0F4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$16,306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AA83CF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3373EA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$14,928 </w:t>
            </w:r>
          </w:p>
        </w:tc>
      </w:tr>
      <w:tr w14:paraId="5F106221"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0273887" w14:textId="77777777">
            <w:pPr>
              <w:widowControl/>
              <w:jc w:val="center"/>
              <w:rPr>
                <w:rFonts w:ascii="Calibri" w:hAnsi="Calibri" w:cs="Calibri"/>
                <w:snapToGrid/>
                <w:kern w:val="0"/>
                <w:szCs w:val="22"/>
              </w:rPr>
            </w:pPr>
            <w:r w:rsidRPr="00A032ED">
              <w:rPr>
                <w:rFonts w:ascii="Calibri" w:hAnsi="Calibri" w:cs="Calibri"/>
                <w:snapToGrid/>
                <w:kern w:val="0"/>
                <w:szCs w:val="22"/>
              </w:rPr>
              <w:t>WPXL-TV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BB08A1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1,566,829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EAEF95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$11,319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9A035A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2381B1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$19,235 </w:t>
            </w:r>
          </w:p>
        </w:tc>
        <w:tc>
          <w:tcPr>
            <w:tcW w:w="266" w:type="dxa"/>
            <w:tcBorders>
              <w:top w:val="nil"/>
              <w:left w:val="nil"/>
              <w:bottom w:val="nil"/>
              <w:right w:val="nil"/>
            </w:tcBorders>
            <w:shd w:val="clear" w:color="auto" w:fill="auto"/>
            <w:noWrap/>
            <w:vAlign w:val="bottom"/>
            <w:hideMark/>
          </w:tcPr>
          <w:p w:rsidR="006F7AD6" w:rsidRPr="00A032ED" w:rsidP="00886011" w14:paraId="4D743B1D"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F0CA7BD" w14:textId="77777777">
            <w:pPr>
              <w:widowControl/>
              <w:jc w:val="center"/>
              <w:rPr>
                <w:rFonts w:ascii="Calibri" w:hAnsi="Calibri" w:cs="Calibri"/>
                <w:snapToGrid/>
                <w:kern w:val="0"/>
                <w:szCs w:val="22"/>
              </w:rPr>
            </w:pPr>
            <w:r w:rsidRPr="00A032ED">
              <w:rPr>
                <w:rFonts w:ascii="Calibri" w:hAnsi="Calibri" w:cs="Calibri"/>
                <w:snapToGrid/>
                <w:kern w:val="0"/>
                <w:szCs w:val="22"/>
              </w:rPr>
              <w:t>WREX</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38C068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2,303,027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DE44A0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$16,638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9F8E39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C3F9A5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$10,544 </w:t>
            </w:r>
          </w:p>
        </w:tc>
      </w:tr>
      <w:tr w14:paraId="3BCA3000"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2916F1F" w14:textId="77777777">
            <w:pPr>
              <w:widowControl/>
              <w:jc w:val="center"/>
              <w:rPr>
                <w:rFonts w:ascii="Calibri" w:hAnsi="Calibri" w:cs="Calibri"/>
                <w:snapToGrid/>
                <w:kern w:val="0"/>
                <w:szCs w:val="22"/>
              </w:rPr>
            </w:pPr>
            <w:r w:rsidRPr="00A032ED">
              <w:rPr>
                <w:rFonts w:ascii="Calibri" w:hAnsi="Calibri" w:cs="Calibri"/>
                <w:snapToGrid/>
                <w:kern w:val="0"/>
                <w:szCs w:val="22"/>
              </w:rPr>
              <w:t>WPXM-TV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060B7A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5,206,059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9724EC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$37,610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144B1F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36BEE6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$39,143 </w:t>
            </w:r>
          </w:p>
        </w:tc>
        <w:tc>
          <w:tcPr>
            <w:tcW w:w="266" w:type="dxa"/>
            <w:tcBorders>
              <w:top w:val="nil"/>
              <w:left w:val="nil"/>
              <w:bottom w:val="nil"/>
              <w:right w:val="nil"/>
            </w:tcBorders>
            <w:shd w:val="clear" w:color="auto" w:fill="auto"/>
            <w:noWrap/>
            <w:vAlign w:val="bottom"/>
            <w:hideMark/>
          </w:tcPr>
          <w:p w:rsidR="006F7AD6" w:rsidRPr="00A032ED" w:rsidP="00886011" w14:paraId="5EA5BC8F"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73F9D4F" w14:textId="77777777">
            <w:pPr>
              <w:widowControl/>
              <w:jc w:val="center"/>
              <w:rPr>
                <w:rFonts w:ascii="Calibri" w:hAnsi="Calibri" w:cs="Calibri"/>
                <w:snapToGrid/>
                <w:kern w:val="0"/>
                <w:szCs w:val="22"/>
              </w:rPr>
            </w:pPr>
            <w:r w:rsidRPr="00A032ED">
              <w:rPr>
                <w:rFonts w:ascii="Calibri" w:hAnsi="Calibri" w:cs="Calibri"/>
                <w:snapToGrid/>
                <w:kern w:val="0"/>
                <w:szCs w:val="22"/>
              </w:rPr>
              <w:t>WRFB</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E828DA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2,674,527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180409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$19,322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03AB84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7BD148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$11,886 </w:t>
            </w:r>
          </w:p>
        </w:tc>
      </w:tr>
      <w:tr w14:paraId="69E79F8D"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6A0547A" w14:textId="77777777">
            <w:pPr>
              <w:widowControl/>
              <w:jc w:val="center"/>
              <w:rPr>
                <w:rFonts w:ascii="Calibri" w:hAnsi="Calibri" w:cs="Calibri"/>
                <w:snapToGrid/>
                <w:kern w:val="0"/>
                <w:szCs w:val="22"/>
              </w:rPr>
            </w:pPr>
            <w:r w:rsidRPr="00A032ED">
              <w:rPr>
                <w:rFonts w:ascii="Calibri" w:hAnsi="Calibri" w:cs="Calibri"/>
                <w:snapToGrid/>
                <w:kern w:val="0"/>
                <w:szCs w:val="22"/>
              </w:rPr>
              <w:t>WPXN-TV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FD5BC6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20,465,198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5A9FE2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$147,848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588219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27D8E9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$100,924 </w:t>
            </w:r>
          </w:p>
        </w:tc>
        <w:tc>
          <w:tcPr>
            <w:tcW w:w="266" w:type="dxa"/>
            <w:tcBorders>
              <w:top w:val="nil"/>
              <w:left w:val="nil"/>
              <w:bottom w:val="nil"/>
              <w:right w:val="nil"/>
            </w:tcBorders>
            <w:shd w:val="clear" w:color="auto" w:fill="auto"/>
            <w:noWrap/>
            <w:vAlign w:val="bottom"/>
            <w:hideMark/>
          </w:tcPr>
          <w:p w:rsidR="006F7AD6" w:rsidRPr="00A032ED" w:rsidP="00886011" w14:paraId="35D551C3"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3AE842C" w14:textId="77777777">
            <w:pPr>
              <w:widowControl/>
              <w:jc w:val="center"/>
              <w:rPr>
                <w:rFonts w:ascii="Calibri" w:hAnsi="Calibri" w:cs="Calibri"/>
                <w:snapToGrid/>
                <w:kern w:val="0"/>
                <w:szCs w:val="22"/>
              </w:rPr>
            </w:pPr>
            <w:r w:rsidRPr="00A032ED">
              <w:rPr>
                <w:rFonts w:ascii="Calibri" w:hAnsi="Calibri" w:cs="Calibri"/>
                <w:snapToGrid/>
                <w:kern w:val="0"/>
                <w:szCs w:val="22"/>
              </w:rPr>
              <w:t>WRGB</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911801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2,886,233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F6D13E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$20,851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6A2762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19C07E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$17,201 </w:t>
            </w:r>
          </w:p>
        </w:tc>
      </w:tr>
      <w:tr w14:paraId="1578EE13"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5E0C95F" w14:textId="77777777">
            <w:pPr>
              <w:widowControl/>
              <w:jc w:val="center"/>
              <w:rPr>
                <w:rFonts w:ascii="Calibri" w:hAnsi="Calibri" w:cs="Calibri"/>
                <w:snapToGrid/>
                <w:kern w:val="0"/>
                <w:szCs w:val="22"/>
              </w:rPr>
            </w:pPr>
            <w:r w:rsidRPr="00A032ED">
              <w:rPr>
                <w:rFonts w:ascii="Calibri" w:hAnsi="Calibri" w:cs="Calibri"/>
                <w:snapToGrid/>
                <w:kern w:val="0"/>
                <w:szCs w:val="22"/>
              </w:rPr>
              <w:t>WPXP-TV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B9A49F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5,565,072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9140D0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$40,204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143A06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A6D5C5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$33,677 </w:t>
            </w:r>
          </w:p>
        </w:tc>
        <w:tc>
          <w:tcPr>
            <w:tcW w:w="266" w:type="dxa"/>
            <w:tcBorders>
              <w:top w:val="nil"/>
              <w:left w:val="nil"/>
              <w:bottom w:val="nil"/>
              <w:right w:val="nil"/>
            </w:tcBorders>
            <w:shd w:val="clear" w:color="auto" w:fill="auto"/>
            <w:noWrap/>
            <w:vAlign w:val="bottom"/>
            <w:hideMark/>
          </w:tcPr>
          <w:p w:rsidR="006F7AD6" w:rsidRPr="00A032ED" w:rsidP="00886011" w14:paraId="007D70E6"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760C67F" w14:textId="77777777">
            <w:pPr>
              <w:widowControl/>
              <w:jc w:val="center"/>
              <w:rPr>
                <w:rFonts w:ascii="Calibri" w:hAnsi="Calibri" w:cs="Calibri"/>
                <w:snapToGrid/>
                <w:kern w:val="0"/>
                <w:szCs w:val="22"/>
              </w:rPr>
            </w:pPr>
            <w:r w:rsidRPr="00A032ED">
              <w:rPr>
                <w:rFonts w:ascii="Calibri" w:hAnsi="Calibri" w:cs="Calibri"/>
                <w:snapToGrid/>
                <w:kern w:val="0"/>
                <w:szCs w:val="22"/>
              </w:rPr>
              <w:t>WRGT-TV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6ABF70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3,252,046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E30239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$23,494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7D1B76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3761E6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$18,522 </w:t>
            </w:r>
          </w:p>
        </w:tc>
      </w:tr>
      <w:tr w14:paraId="4C93F376"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B51F93C" w14:textId="77777777">
            <w:pPr>
              <w:widowControl/>
              <w:jc w:val="center"/>
              <w:rPr>
                <w:rFonts w:ascii="Calibri" w:hAnsi="Calibri" w:cs="Calibri"/>
                <w:snapToGrid/>
                <w:kern w:val="0"/>
                <w:szCs w:val="22"/>
              </w:rPr>
            </w:pPr>
            <w:r w:rsidRPr="00A032ED">
              <w:rPr>
                <w:rFonts w:ascii="Calibri" w:hAnsi="Calibri" w:cs="Calibri"/>
                <w:snapToGrid/>
                <w:kern w:val="0"/>
                <w:szCs w:val="22"/>
              </w:rPr>
              <w:t>WPXQ-TV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2D364A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3,281,532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2CA916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$23,707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037D6D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93983B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$18,628 </w:t>
            </w:r>
          </w:p>
        </w:tc>
        <w:tc>
          <w:tcPr>
            <w:tcW w:w="266" w:type="dxa"/>
            <w:tcBorders>
              <w:top w:val="nil"/>
              <w:left w:val="nil"/>
              <w:bottom w:val="nil"/>
              <w:right w:val="nil"/>
            </w:tcBorders>
            <w:shd w:val="clear" w:color="auto" w:fill="auto"/>
            <w:noWrap/>
            <w:vAlign w:val="bottom"/>
            <w:hideMark/>
          </w:tcPr>
          <w:p w:rsidR="006F7AD6" w:rsidRPr="00A032ED" w:rsidP="00886011" w14:paraId="4E7FEC1C"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C91D114" w14:textId="77777777">
            <w:pPr>
              <w:widowControl/>
              <w:jc w:val="center"/>
              <w:rPr>
                <w:rFonts w:ascii="Calibri" w:hAnsi="Calibri" w:cs="Calibri"/>
                <w:snapToGrid/>
                <w:kern w:val="0"/>
                <w:szCs w:val="22"/>
              </w:rPr>
            </w:pPr>
            <w:r w:rsidRPr="00A032ED">
              <w:rPr>
                <w:rFonts w:ascii="Calibri" w:hAnsi="Calibri" w:cs="Calibri"/>
                <w:snapToGrid/>
                <w:kern w:val="0"/>
                <w:szCs w:val="22"/>
              </w:rPr>
              <w:t>WRIC-TV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10EBD1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1,996,265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D79DB0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$14,422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6D3643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6B799C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$13,986 </w:t>
            </w:r>
          </w:p>
        </w:tc>
      </w:tr>
      <w:tr w14:paraId="3566F5B3"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2EFD33A" w14:textId="77777777">
            <w:pPr>
              <w:widowControl/>
              <w:jc w:val="center"/>
              <w:rPr>
                <w:rFonts w:ascii="Calibri" w:hAnsi="Calibri" w:cs="Calibri"/>
                <w:snapToGrid/>
                <w:kern w:val="0"/>
                <w:szCs w:val="22"/>
              </w:rPr>
            </w:pPr>
            <w:r w:rsidRPr="00A032ED">
              <w:rPr>
                <w:rFonts w:ascii="Calibri" w:hAnsi="Calibri" w:cs="Calibri"/>
                <w:snapToGrid/>
                <w:kern w:val="0"/>
                <w:szCs w:val="22"/>
              </w:rPr>
              <w:t>WPXR-TV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5873E5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1,300,747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06FB3D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$9,397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8536BA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3563EC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$11,474 </w:t>
            </w:r>
          </w:p>
        </w:tc>
        <w:tc>
          <w:tcPr>
            <w:tcW w:w="266" w:type="dxa"/>
            <w:tcBorders>
              <w:top w:val="nil"/>
              <w:left w:val="nil"/>
              <w:bottom w:val="nil"/>
              <w:right w:val="nil"/>
            </w:tcBorders>
            <w:shd w:val="clear" w:color="auto" w:fill="auto"/>
            <w:noWrap/>
            <w:vAlign w:val="bottom"/>
            <w:hideMark/>
          </w:tcPr>
          <w:p w:rsidR="006F7AD6" w:rsidRPr="00A032ED" w:rsidP="00886011" w14:paraId="7EB4742C"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BD9A82E" w14:textId="77777777">
            <w:pPr>
              <w:widowControl/>
              <w:jc w:val="center"/>
              <w:rPr>
                <w:rFonts w:ascii="Calibri" w:hAnsi="Calibri" w:cs="Calibri"/>
                <w:snapToGrid/>
                <w:kern w:val="0"/>
                <w:szCs w:val="22"/>
              </w:rPr>
            </w:pPr>
            <w:r w:rsidRPr="00A032ED">
              <w:rPr>
                <w:rFonts w:ascii="Calibri" w:hAnsi="Calibri" w:cs="Calibri"/>
                <w:snapToGrid/>
                <w:kern w:val="0"/>
                <w:szCs w:val="22"/>
              </w:rPr>
              <w:t>WRLH-TV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815D1A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1,950,292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8184DD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$14,090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76EA24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A540C4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$13,820 </w:t>
            </w:r>
          </w:p>
        </w:tc>
      </w:tr>
      <w:tr w14:paraId="31D21DB3"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9ECB6EF" w14:textId="77777777">
            <w:pPr>
              <w:widowControl/>
              <w:jc w:val="center"/>
              <w:rPr>
                <w:rFonts w:ascii="Calibri" w:hAnsi="Calibri" w:cs="Calibri"/>
                <w:snapToGrid/>
                <w:kern w:val="0"/>
                <w:szCs w:val="22"/>
              </w:rPr>
            </w:pPr>
            <w:r w:rsidRPr="00A032ED">
              <w:rPr>
                <w:rFonts w:ascii="Calibri" w:hAnsi="Calibri" w:cs="Calibri"/>
                <w:snapToGrid/>
                <w:kern w:val="0"/>
                <w:szCs w:val="22"/>
              </w:rPr>
              <w:t>WPXS</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932BFA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1,152,104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AF002F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$8,323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4ADF97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1485E9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$24,499 </w:t>
            </w:r>
          </w:p>
        </w:tc>
        <w:tc>
          <w:tcPr>
            <w:tcW w:w="266" w:type="dxa"/>
            <w:tcBorders>
              <w:top w:val="nil"/>
              <w:left w:val="nil"/>
              <w:bottom w:val="nil"/>
              <w:right w:val="nil"/>
            </w:tcBorders>
            <w:shd w:val="clear" w:color="auto" w:fill="auto"/>
            <w:noWrap/>
            <w:vAlign w:val="bottom"/>
            <w:hideMark/>
          </w:tcPr>
          <w:p w:rsidR="006F7AD6" w:rsidRPr="00A032ED" w:rsidP="00886011" w14:paraId="60619335"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A59359E" w14:textId="77777777">
            <w:pPr>
              <w:widowControl/>
              <w:jc w:val="center"/>
              <w:rPr>
                <w:rFonts w:ascii="Calibri" w:hAnsi="Calibri" w:cs="Calibri"/>
                <w:snapToGrid/>
                <w:kern w:val="0"/>
                <w:szCs w:val="22"/>
              </w:rPr>
            </w:pPr>
            <w:r w:rsidRPr="00A032ED">
              <w:rPr>
                <w:rFonts w:ascii="Calibri" w:hAnsi="Calibri" w:cs="Calibri"/>
                <w:snapToGrid/>
                <w:kern w:val="0"/>
                <w:szCs w:val="22"/>
              </w:rPr>
              <w:t>WRNN</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B6AAE4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19,853,836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6AE0A9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$143,431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DD8AF9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CD566B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$98,716 </w:t>
            </w:r>
          </w:p>
        </w:tc>
      </w:tr>
      <w:tr w14:paraId="04162E6F"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4CA1DBD" w14:textId="77777777">
            <w:pPr>
              <w:widowControl/>
              <w:jc w:val="center"/>
              <w:rPr>
                <w:rFonts w:ascii="Calibri" w:hAnsi="Calibri" w:cs="Calibri"/>
                <w:snapToGrid/>
                <w:kern w:val="0"/>
                <w:szCs w:val="22"/>
              </w:rPr>
            </w:pPr>
            <w:r w:rsidRPr="00A032ED">
              <w:rPr>
                <w:rFonts w:ascii="Calibri" w:hAnsi="Calibri" w:cs="Calibri"/>
                <w:snapToGrid/>
                <w:kern w:val="0"/>
                <w:szCs w:val="22"/>
              </w:rPr>
              <w:t>WPXT</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8E3C0F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760,491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46E8D6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$5,494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032D7A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987B61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$9,522 </w:t>
            </w:r>
          </w:p>
        </w:tc>
        <w:tc>
          <w:tcPr>
            <w:tcW w:w="266" w:type="dxa"/>
            <w:tcBorders>
              <w:top w:val="nil"/>
              <w:left w:val="nil"/>
              <w:bottom w:val="nil"/>
              <w:right w:val="nil"/>
            </w:tcBorders>
            <w:shd w:val="clear" w:color="auto" w:fill="auto"/>
            <w:noWrap/>
            <w:vAlign w:val="bottom"/>
            <w:hideMark/>
          </w:tcPr>
          <w:p w:rsidR="006F7AD6" w:rsidRPr="00A032ED" w:rsidP="00886011" w14:paraId="1662B3BB"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395D90F" w14:textId="77777777">
            <w:pPr>
              <w:widowControl/>
              <w:jc w:val="center"/>
              <w:rPr>
                <w:rFonts w:ascii="Calibri" w:hAnsi="Calibri" w:cs="Calibri"/>
                <w:snapToGrid/>
                <w:kern w:val="0"/>
                <w:szCs w:val="22"/>
              </w:rPr>
            </w:pPr>
            <w:r w:rsidRPr="00A032ED">
              <w:rPr>
                <w:rFonts w:ascii="Calibri" w:hAnsi="Calibri" w:cs="Calibri"/>
                <w:snapToGrid/>
                <w:kern w:val="0"/>
                <w:szCs w:val="22"/>
              </w:rPr>
              <w:t>WROC-TV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6B5034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1,187,949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94B3A5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$8,582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60A185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C556BD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$11,066 </w:t>
            </w:r>
          </w:p>
        </w:tc>
      </w:tr>
      <w:tr w14:paraId="1E150646"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2001550" w14:textId="77777777">
            <w:pPr>
              <w:widowControl/>
              <w:jc w:val="center"/>
              <w:rPr>
                <w:rFonts w:ascii="Calibri" w:hAnsi="Calibri" w:cs="Calibri"/>
                <w:snapToGrid/>
                <w:kern w:val="0"/>
                <w:szCs w:val="22"/>
              </w:rPr>
            </w:pPr>
            <w:r w:rsidRPr="00A032ED">
              <w:rPr>
                <w:rFonts w:ascii="Calibri" w:hAnsi="Calibri" w:cs="Calibri"/>
                <w:snapToGrid/>
                <w:kern w:val="0"/>
                <w:szCs w:val="22"/>
              </w:rPr>
              <w:t>WPXU-TV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83E98B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690,613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475B1F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$4,989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238685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90843E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$9,270 </w:t>
            </w:r>
          </w:p>
        </w:tc>
        <w:tc>
          <w:tcPr>
            <w:tcW w:w="266" w:type="dxa"/>
            <w:tcBorders>
              <w:top w:val="nil"/>
              <w:left w:val="nil"/>
              <w:bottom w:val="nil"/>
              <w:right w:val="nil"/>
            </w:tcBorders>
            <w:shd w:val="clear" w:color="auto" w:fill="auto"/>
            <w:noWrap/>
            <w:vAlign w:val="bottom"/>
            <w:hideMark/>
          </w:tcPr>
          <w:p w:rsidR="006F7AD6" w:rsidRPr="00A032ED" w:rsidP="00886011" w14:paraId="1D229EE9"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43712E1" w14:textId="77777777">
            <w:pPr>
              <w:widowControl/>
              <w:jc w:val="center"/>
              <w:rPr>
                <w:rFonts w:ascii="Calibri" w:hAnsi="Calibri" w:cs="Calibri"/>
                <w:snapToGrid/>
                <w:kern w:val="0"/>
                <w:szCs w:val="22"/>
              </w:rPr>
            </w:pPr>
            <w:r w:rsidRPr="00A032ED">
              <w:rPr>
                <w:rFonts w:ascii="Calibri" w:hAnsi="Calibri" w:cs="Calibri"/>
                <w:snapToGrid/>
                <w:kern w:val="0"/>
                <w:szCs w:val="22"/>
              </w:rPr>
              <w:t>WRPT</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FDC317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110,009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D6228A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$795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9BF402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90CE0B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$2,622 </w:t>
            </w:r>
          </w:p>
        </w:tc>
      </w:tr>
      <w:tr w14:paraId="32C218C8"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79E7DB4" w14:textId="77777777">
            <w:pPr>
              <w:widowControl/>
              <w:jc w:val="center"/>
              <w:rPr>
                <w:rFonts w:ascii="Calibri" w:hAnsi="Calibri" w:cs="Calibri"/>
                <w:snapToGrid/>
                <w:kern w:val="0"/>
                <w:szCs w:val="22"/>
              </w:rPr>
            </w:pPr>
            <w:r w:rsidRPr="00A032ED">
              <w:rPr>
                <w:rFonts w:ascii="Calibri" w:hAnsi="Calibri" w:cs="Calibri"/>
                <w:snapToGrid/>
                <w:kern w:val="0"/>
                <w:szCs w:val="22"/>
              </w:rPr>
              <w:t>WPXV-TV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64926C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1,905,128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F625A1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$13,763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B27197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608E6C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$20,457 </w:t>
            </w:r>
          </w:p>
        </w:tc>
        <w:tc>
          <w:tcPr>
            <w:tcW w:w="266" w:type="dxa"/>
            <w:tcBorders>
              <w:top w:val="nil"/>
              <w:left w:val="nil"/>
              <w:bottom w:val="nil"/>
              <w:right w:val="nil"/>
            </w:tcBorders>
            <w:shd w:val="clear" w:color="auto" w:fill="auto"/>
            <w:noWrap/>
            <w:vAlign w:val="bottom"/>
            <w:hideMark/>
          </w:tcPr>
          <w:p w:rsidR="006F7AD6" w:rsidRPr="00A032ED" w:rsidP="00886011" w14:paraId="7E899C54"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03F4C63" w14:textId="77777777">
            <w:pPr>
              <w:widowControl/>
              <w:jc w:val="center"/>
              <w:rPr>
                <w:rFonts w:ascii="Calibri" w:hAnsi="Calibri" w:cs="Calibri"/>
                <w:snapToGrid/>
                <w:kern w:val="0"/>
                <w:szCs w:val="22"/>
              </w:rPr>
            </w:pPr>
            <w:r w:rsidRPr="00A032ED">
              <w:rPr>
                <w:rFonts w:ascii="Calibri" w:hAnsi="Calibri" w:cs="Calibri"/>
                <w:snapToGrid/>
                <w:kern w:val="0"/>
                <w:szCs w:val="22"/>
              </w:rPr>
              <w:t>WRPX-TV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7622DD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2,218,968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C85233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$16,031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AA5C1B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40584B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$28,353 </w:t>
            </w:r>
          </w:p>
        </w:tc>
      </w:tr>
      <w:tr w14:paraId="50EC0979"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B3D8D7E" w14:textId="77777777">
            <w:pPr>
              <w:widowControl/>
              <w:jc w:val="center"/>
              <w:rPr>
                <w:rFonts w:ascii="Calibri" w:hAnsi="Calibri" w:cs="Calibri"/>
                <w:snapToGrid/>
                <w:kern w:val="0"/>
                <w:szCs w:val="22"/>
              </w:rPr>
            </w:pPr>
            <w:r w:rsidRPr="00A032ED">
              <w:rPr>
                <w:rFonts w:ascii="Calibri" w:hAnsi="Calibri" w:cs="Calibri"/>
                <w:snapToGrid/>
                <w:kern w:val="0"/>
                <w:szCs w:val="22"/>
              </w:rPr>
              <w:t>WPXW-TV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369F6A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8,091,469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327993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$58,456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12DB03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0CD202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$56,228 </w:t>
            </w:r>
          </w:p>
        </w:tc>
        <w:tc>
          <w:tcPr>
            <w:tcW w:w="266" w:type="dxa"/>
            <w:tcBorders>
              <w:top w:val="nil"/>
              <w:left w:val="nil"/>
              <w:bottom w:val="nil"/>
              <w:right w:val="nil"/>
            </w:tcBorders>
            <w:shd w:val="clear" w:color="auto" w:fill="auto"/>
            <w:noWrap/>
            <w:vAlign w:val="bottom"/>
            <w:hideMark/>
          </w:tcPr>
          <w:p w:rsidR="006F7AD6" w:rsidRPr="00A032ED" w:rsidP="00886011" w14:paraId="3856E4D6"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895C4D3" w14:textId="77777777">
            <w:pPr>
              <w:widowControl/>
              <w:jc w:val="center"/>
              <w:rPr>
                <w:rFonts w:ascii="Calibri" w:hAnsi="Calibri" w:cs="Calibri"/>
                <w:snapToGrid/>
                <w:kern w:val="0"/>
                <w:szCs w:val="22"/>
              </w:rPr>
            </w:pPr>
            <w:r w:rsidRPr="00A032ED">
              <w:rPr>
                <w:rFonts w:ascii="Calibri" w:hAnsi="Calibri" w:cs="Calibri"/>
                <w:snapToGrid/>
                <w:kern w:val="0"/>
                <w:szCs w:val="22"/>
              </w:rPr>
              <w:t>WRSP-TV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4ACBFC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904,190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244EE3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$6,532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9734FB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7C58E2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$10,041 </w:t>
            </w:r>
          </w:p>
        </w:tc>
      </w:tr>
      <w:tr w14:paraId="72A03F8A"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A34387C" w14:textId="77777777">
            <w:pPr>
              <w:widowControl/>
              <w:jc w:val="center"/>
              <w:rPr>
                <w:rFonts w:ascii="Calibri" w:hAnsi="Calibri" w:cs="Calibri"/>
                <w:snapToGrid/>
                <w:kern w:val="0"/>
                <w:szCs w:val="22"/>
              </w:rPr>
            </w:pPr>
            <w:r w:rsidRPr="00A032ED">
              <w:rPr>
                <w:rFonts w:ascii="Calibri" w:hAnsi="Calibri" w:cs="Calibri"/>
                <w:snapToGrid/>
                <w:kern w:val="0"/>
                <w:szCs w:val="22"/>
              </w:rPr>
              <w:t>WPXX-TV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067922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1,562,675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05E1F2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$11,289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5DF191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AD1E75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$12,420 </w:t>
            </w:r>
          </w:p>
        </w:tc>
        <w:tc>
          <w:tcPr>
            <w:tcW w:w="266" w:type="dxa"/>
            <w:tcBorders>
              <w:top w:val="nil"/>
              <w:left w:val="nil"/>
              <w:bottom w:val="nil"/>
              <w:right w:val="nil"/>
            </w:tcBorders>
            <w:shd w:val="clear" w:color="auto" w:fill="auto"/>
            <w:noWrap/>
            <w:vAlign w:val="bottom"/>
            <w:hideMark/>
          </w:tcPr>
          <w:p w:rsidR="006F7AD6" w:rsidRPr="00A032ED" w:rsidP="00886011" w14:paraId="21A59F1F"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9D634E9" w14:textId="77777777">
            <w:pPr>
              <w:widowControl/>
              <w:jc w:val="center"/>
              <w:rPr>
                <w:rFonts w:ascii="Calibri" w:hAnsi="Calibri" w:cs="Calibri"/>
                <w:snapToGrid/>
                <w:kern w:val="0"/>
                <w:szCs w:val="22"/>
              </w:rPr>
            </w:pPr>
            <w:r w:rsidRPr="00A032ED">
              <w:rPr>
                <w:rFonts w:ascii="Calibri" w:hAnsi="Calibri" w:cs="Calibri"/>
                <w:snapToGrid/>
                <w:kern w:val="0"/>
                <w:szCs w:val="22"/>
              </w:rPr>
              <w:t>WRTV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9B8C7E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2,919,683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0D8D88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$21,093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9F7B26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E84AAF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$24,121 </w:t>
            </w:r>
          </w:p>
        </w:tc>
      </w:tr>
      <w:tr w14:paraId="77DF4CF4"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8B281C1" w14:textId="77777777">
            <w:pPr>
              <w:widowControl/>
              <w:jc w:val="center"/>
              <w:rPr>
                <w:rFonts w:ascii="Calibri" w:hAnsi="Calibri" w:cs="Calibri"/>
                <w:snapToGrid/>
                <w:kern w:val="0"/>
                <w:szCs w:val="22"/>
              </w:rPr>
            </w:pPr>
            <w:r w:rsidRPr="00A032ED">
              <w:rPr>
                <w:rFonts w:ascii="Calibri" w:hAnsi="Calibri" w:cs="Calibri"/>
                <w:snapToGrid/>
                <w:kern w:val="0"/>
                <w:szCs w:val="22"/>
              </w:rPr>
              <w:t>WQAD-TV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3287CE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1,079,594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34BFE0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$7,799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55C81F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8F3E35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$6,125 </w:t>
            </w:r>
          </w:p>
        </w:tc>
        <w:tc>
          <w:tcPr>
            <w:tcW w:w="266" w:type="dxa"/>
            <w:tcBorders>
              <w:top w:val="nil"/>
              <w:left w:val="nil"/>
              <w:bottom w:val="nil"/>
              <w:right w:val="nil"/>
            </w:tcBorders>
            <w:shd w:val="clear" w:color="auto" w:fill="auto"/>
            <w:noWrap/>
            <w:vAlign w:val="bottom"/>
            <w:hideMark/>
          </w:tcPr>
          <w:p w:rsidR="006F7AD6" w:rsidRPr="00A032ED" w:rsidP="00886011" w14:paraId="5F663B74"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003B4B8" w14:textId="77777777">
            <w:pPr>
              <w:widowControl/>
              <w:jc w:val="center"/>
              <w:rPr>
                <w:rFonts w:ascii="Calibri" w:hAnsi="Calibri" w:cs="Calibri"/>
                <w:snapToGrid/>
                <w:kern w:val="0"/>
                <w:szCs w:val="22"/>
              </w:rPr>
            </w:pPr>
            <w:r w:rsidRPr="00A032ED">
              <w:rPr>
                <w:rFonts w:ascii="Calibri" w:hAnsi="Calibri" w:cs="Calibri"/>
                <w:snapToGrid/>
                <w:kern w:val="0"/>
                <w:szCs w:val="22"/>
              </w:rPr>
              <w:t>WRUA</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938E00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2,905,193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5F7E0B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$20,988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17564D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FAB40B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$12,719 </w:t>
            </w:r>
          </w:p>
        </w:tc>
      </w:tr>
      <w:tr w14:paraId="131B45CF"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C98129E" w14:textId="77777777">
            <w:pPr>
              <w:widowControl/>
              <w:jc w:val="center"/>
              <w:rPr>
                <w:rFonts w:ascii="Calibri" w:hAnsi="Calibri" w:cs="Calibri"/>
                <w:snapToGrid/>
                <w:kern w:val="0"/>
                <w:szCs w:val="22"/>
              </w:rPr>
            </w:pPr>
            <w:r w:rsidRPr="00A032ED">
              <w:rPr>
                <w:rFonts w:ascii="Calibri" w:hAnsi="Calibri" w:cs="Calibri"/>
                <w:snapToGrid/>
                <w:kern w:val="0"/>
                <w:szCs w:val="22"/>
              </w:rPr>
              <w:t>WQCW</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10F197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1,319,392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B51549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$9,532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A279EB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D01BB9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$11,541 </w:t>
            </w:r>
          </w:p>
        </w:tc>
        <w:tc>
          <w:tcPr>
            <w:tcW w:w="266" w:type="dxa"/>
            <w:tcBorders>
              <w:top w:val="nil"/>
              <w:left w:val="nil"/>
              <w:bottom w:val="nil"/>
              <w:right w:val="nil"/>
            </w:tcBorders>
            <w:shd w:val="clear" w:color="auto" w:fill="auto"/>
            <w:noWrap/>
            <w:vAlign w:val="bottom"/>
            <w:hideMark/>
          </w:tcPr>
          <w:p w:rsidR="006F7AD6" w:rsidRPr="00A032ED" w:rsidP="00886011" w14:paraId="6685434D"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173BF76" w14:textId="77777777">
            <w:pPr>
              <w:widowControl/>
              <w:jc w:val="center"/>
              <w:rPr>
                <w:rFonts w:ascii="Calibri" w:hAnsi="Calibri" w:cs="Calibri"/>
                <w:snapToGrid/>
                <w:kern w:val="0"/>
                <w:szCs w:val="22"/>
              </w:rPr>
            </w:pPr>
            <w:r w:rsidRPr="00A032ED">
              <w:rPr>
                <w:rFonts w:ascii="Calibri" w:hAnsi="Calibri" w:cs="Calibri"/>
                <w:snapToGrid/>
                <w:kern w:val="0"/>
                <w:szCs w:val="22"/>
              </w:rPr>
              <w:t>WSAV-TV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084C73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1,000,315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0DB6F6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$7,227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D4DCE4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CF08B4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$10,388 </w:t>
            </w:r>
          </w:p>
        </w:tc>
      </w:tr>
      <w:tr w14:paraId="5B68562A"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851E015" w14:textId="77777777">
            <w:pPr>
              <w:widowControl/>
              <w:jc w:val="center"/>
              <w:rPr>
                <w:rFonts w:ascii="Calibri" w:hAnsi="Calibri" w:cs="Calibri"/>
                <w:snapToGrid/>
                <w:kern w:val="0"/>
                <w:szCs w:val="22"/>
              </w:rPr>
            </w:pPr>
            <w:r w:rsidRPr="00A032ED">
              <w:rPr>
                <w:rFonts w:ascii="Calibri" w:hAnsi="Calibri" w:cs="Calibri"/>
                <w:snapToGrid/>
                <w:kern w:val="0"/>
                <w:szCs w:val="22"/>
              </w:rPr>
              <w:t>WQED</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80E3CD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3,270,764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5414C0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$23,629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50E009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53A1B5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$32,152 </w:t>
            </w:r>
          </w:p>
        </w:tc>
        <w:tc>
          <w:tcPr>
            <w:tcW w:w="266" w:type="dxa"/>
            <w:tcBorders>
              <w:top w:val="nil"/>
              <w:left w:val="nil"/>
              <w:bottom w:val="nil"/>
              <w:right w:val="nil"/>
            </w:tcBorders>
            <w:shd w:val="clear" w:color="auto" w:fill="auto"/>
            <w:noWrap/>
            <w:vAlign w:val="bottom"/>
            <w:hideMark/>
          </w:tcPr>
          <w:p w:rsidR="006F7AD6" w:rsidRPr="00A032ED" w:rsidP="00886011" w14:paraId="0137BB11"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2102236" w14:textId="77777777">
            <w:pPr>
              <w:widowControl/>
              <w:jc w:val="center"/>
              <w:rPr>
                <w:rFonts w:ascii="Calibri" w:hAnsi="Calibri" w:cs="Calibri"/>
                <w:snapToGrid/>
                <w:kern w:val="0"/>
                <w:szCs w:val="22"/>
              </w:rPr>
            </w:pPr>
            <w:r w:rsidRPr="00A032ED">
              <w:rPr>
                <w:rFonts w:ascii="Calibri" w:hAnsi="Calibri" w:cs="Calibri"/>
                <w:snapToGrid/>
                <w:kern w:val="0"/>
                <w:szCs w:val="22"/>
              </w:rPr>
              <w:t>WSAW-TV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FFD63C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652,442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6EADA9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$4,713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AD1676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E79380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$4,582 </w:t>
            </w:r>
          </w:p>
        </w:tc>
      </w:tr>
      <w:tr w14:paraId="4BD6B152"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CBE645F" w14:textId="77777777">
            <w:pPr>
              <w:widowControl/>
              <w:jc w:val="center"/>
              <w:rPr>
                <w:rFonts w:ascii="Calibri" w:hAnsi="Calibri" w:cs="Calibri"/>
                <w:snapToGrid/>
                <w:kern w:val="0"/>
                <w:szCs w:val="22"/>
              </w:rPr>
            </w:pPr>
            <w:r w:rsidRPr="00A032ED">
              <w:rPr>
                <w:rFonts w:ascii="Calibri" w:hAnsi="Calibri" w:cs="Calibri"/>
                <w:snapToGrid/>
                <w:kern w:val="0"/>
                <w:szCs w:val="22"/>
              </w:rPr>
              <w:t>WQHA</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F1D658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1,052,107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5CDD8A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$7,601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4FD068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9F0926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$6,025 </w:t>
            </w:r>
          </w:p>
        </w:tc>
        <w:tc>
          <w:tcPr>
            <w:tcW w:w="266" w:type="dxa"/>
            <w:tcBorders>
              <w:top w:val="nil"/>
              <w:left w:val="nil"/>
              <w:bottom w:val="nil"/>
              <w:right w:val="nil"/>
            </w:tcBorders>
            <w:shd w:val="clear" w:color="auto" w:fill="auto"/>
            <w:noWrap/>
            <w:vAlign w:val="bottom"/>
            <w:hideMark/>
          </w:tcPr>
          <w:p w:rsidR="006F7AD6" w:rsidRPr="00A032ED" w:rsidP="00886011" w14:paraId="3D2C808F"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F4CC84F" w14:textId="77777777">
            <w:pPr>
              <w:widowControl/>
              <w:jc w:val="center"/>
              <w:rPr>
                <w:rFonts w:ascii="Calibri" w:hAnsi="Calibri" w:cs="Calibri"/>
                <w:snapToGrid/>
                <w:kern w:val="0"/>
                <w:szCs w:val="22"/>
              </w:rPr>
            </w:pPr>
            <w:r w:rsidRPr="00A032ED">
              <w:rPr>
                <w:rFonts w:ascii="Calibri" w:hAnsi="Calibri" w:cs="Calibri"/>
                <w:snapToGrid/>
                <w:kern w:val="0"/>
                <w:szCs w:val="22"/>
              </w:rPr>
              <w:t>WSAZ-TV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FAD812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1,184,629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E4071C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$8,558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95A03E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D54DE0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$11,054 </w:t>
            </w:r>
          </w:p>
        </w:tc>
      </w:tr>
      <w:tr w14:paraId="64BE77B5"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65D7D85" w14:textId="77777777">
            <w:pPr>
              <w:widowControl/>
              <w:jc w:val="center"/>
              <w:rPr>
                <w:rFonts w:ascii="Calibri" w:hAnsi="Calibri" w:cs="Calibri"/>
                <w:snapToGrid/>
                <w:kern w:val="0"/>
                <w:szCs w:val="22"/>
              </w:rPr>
            </w:pPr>
            <w:r w:rsidRPr="00A032ED">
              <w:rPr>
                <w:rFonts w:ascii="Calibri" w:hAnsi="Calibri" w:cs="Calibri"/>
                <w:snapToGrid/>
                <w:kern w:val="0"/>
                <w:szCs w:val="22"/>
              </w:rPr>
              <w:t>WQHS-DT</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BA50BE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3,837,316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5C6FD7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$27,722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DF719A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B9EBC9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$34,199 </w:t>
            </w:r>
          </w:p>
        </w:tc>
        <w:tc>
          <w:tcPr>
            <w:tcW w:w="266" w:type="dxa"/>
            <w:tcBorders>
              <w:top w:val="nil"/>
              <w:left w:val="nil"/>
              <w:bottom w:val="nil"/>
              <w:right w:val="nil"/>
            </w:tcBorders>
            <w:shd w:val="clear" w:color="auto" w:fill="auto"/>
            <w:noWrap/>
            <w:vAlign w:val="bottom"/>
            <w:hideMark/>
          </w:tcPr>
          <w:p w:rsidR="006F7AD6" w:rsidRPr="00A032ED" w:rsidP="00886011" w14:paraId="73B669F6"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80BF289" w14:textId="77777777">
            <w:pPr>
              <w:widowControl/>
              <w:jc w:val="center"/>
              <w:rPr>
                <w:rFonts w:ascii="Calibri" w:hAnsi="Calibri" w:cs="Calibri"/>
                <w:snapToGrid/>
                <w:kern w:val="0"/>
                <w:szCs w:val="22"/>
              </w:rPr>
            </w:pPr>
            <w:r w:rsidRPr="00A032ED">
              <w:rPr>
                <w:rFonts w:ascii="Calibri" w:hAnsi="Calibri" w:cs="Calibri"/>
                <w:snapToGrid/>
                <w:kern w:val="0"/>
                <w:szCs w:val="22"/>
              </w:rPr>
              <w:t>WSBK-TV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D64487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7,161,406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B3CB6C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$51,737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33CB6F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B436D2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$52,868 </w:t>
            </w:r>
          </w:p>
        </w:tc>
      </w:tr>
      <w:tr w14:paraId="759E49B7"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A034A2B" w14:textId="77777777">
            <w:pPr>
              <w:widowControl/>
              <w:jc w:val="center"/>
              <w:rPr>
                <w:rFonts w:ascii="Calibri" w:hAnsi="Calibri" w:cs="Calibri"/>
                <w:snapToGrid/>
                <w:kern w:val="0"/>
                <w:szCs w:val="22"/>
              </w:rPr>
            </w:pPr>
            <w:r w:rsidRPr="00A032ED">
              <w:rPr>
                <w:rFonts w:ascii="Calibri" w:hAnsi="Calibri" w:cs="Calibri"/>
                <w:snapToGrid/>
                <w:kern w:val="0"/>
                <w:szCs w:val="22"/>
              </w:rPr>
              <w:t>WQMY</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B4157A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410,269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4CC30E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$2,964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87BFCC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79D64B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$8,257 </w:t>
            </w:r>
          </w:p>
        </w:tc>
        <w:tc>
          <w:tcPr>
            <w:tcW w:w="266" w:type="dxa"/>
            <w:tcBorders>
              <w:top w:val="nil"/>
              <w:left w:val="nil"/>
              <w:bottom w:val="nil"/>
              <w:right w:val="nil"/>
            </w:tcBorders>
            <w:shd w:val="clear" w:color="auto" w:fill="auto"/>
            <w:noWrap/>
            <w:vAlign w:val="bottom"/>
            <w:hideMark/>
          </w:tcPr>
          <w:p w:rsidR="006F7AD6" w:rsidRPr="00A032ED" w:rsidP="00886011" w14:paraId="6C2D9512"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BBCD697" w14:textId="77777777">
            <w:pPr>
              <w:widowControl/>
              <w:jc w:val="center"/>
              <w:rPr>
                <w:rFonts w:ascii="Calibri" w:hAnsi="Calibri" w:cs="Calibri"/>
                <w:snapToGrid/>
                <w:kern w:val="0"/>
                <w:szCs w:val="22"/>
              </w:rPr>
            </w:pPr>
            <w:r w:rsidRPr="00A032ED">
              <w:rPr>
                <w:rFonts w:ascii="Calibri" w:hAnsi="Calibri" w:cs="Calibri"/>
                <w:snapToGrid/>
                <w:kern w:val="0"/>
                <w:szCs w:val="22"/>
              </w:rPr>
              <w:t>WSBS-TV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6812CD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42,952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4A2AAC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$310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F7E1FE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49AE70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$20,493 </w:t>
            </w:r>
          </w:p>
        </w:tc>
      </w:tr>
      <w:tr w14:paraId="7BB3F90F"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47EDEA6" w14:textId="77777777">
            <w:pPr>
              <w:widowControl/>
              <w:jc w:val="center"/>
              <w:rPr>
                <w:rFonts w:ascii="Calibri" w:hAnsi="Calibri" w:cs="Calibri"/>
                <w:snapToGrid/>
                <w:kern w:val="0"/>
                <w:szCs w:val="22"/>
              </w:rPr>
            </w:pPr>
            <w:r w:rsidRPr="00A032ED">
              <w:rPr>
                <w:rFonts w:ascii="Calibri" w:hAnsi="Calibri" w:cs="Calibri"/>
                <w:snapToGrid/>
                <w:kern w:val="0"/>
                <w:szCs w:val="22"/>
              </w:rPr>
              <w:t>WQOW</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230792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369,066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8A551E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$2,666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944826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44BA80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$3,558 </w:t>
            </w:r>
          </w:p>
        </w:tc>
        <w:tc>
          <w:tcPr>
            <w:tcW w:w="266" w:type="dxa"/>
            <w:tcBorders>
              <w:top w:val="nil"/>
              <w:left w:val="nil"/>
              <w:bottom w:val="nil"/>
              <w:right w:val="nil"/>
            </w:tcBorders>
            <w:shd w:val="clear" w:color="auto" w:fill="auto"/>
            <w:noWrap/>
            <w:vAlign w:val="bottom"/>
            <w:hideMark/>
          </w:tcPr>
          <w:p w:rsidR="006F7AD6" w:rsidRPr="00A032ED" w:rsidP="00886011" w14:paraId="357AAD26"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E516E03" w14:textId="77777777">
            <w:pPr>
              <w:widowControl/>
              <w:jc w:val="center"/>
              <w:rPr>
                <w:rFonts w:ascii="Calibri" w:hAnsi="Calibri" w:cs="Calibri"/>
                <w:snapToGrid/>
                <w:kern w:val="0"/>
                <w:szCs w:val="22"/>
              </w:rPr>
            </w:pPr>
            <w:r w:rsidRPr="00A032ED">
              <w:rPr>
                <w:rFonts w:ascii="Calibri" w:hAnsi="Calibri" w:cs="Calibri"/>
                <w:snapToGrid/>
                <w:kern w:val="0"/>
                <w:szCs w:val="22"/>
              </w:rPr>
              <w:t>WSBT-TV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4F62F7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1,691,194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38717C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$12,218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0A7442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BEF058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$12,884 </w:t>
            </w:r>
          </w:p>
        </w:tc>
      </w:tr>
      <w:tr w14:paraId="44E9D3BC"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266BFAB" w14:textId="77777777">
            <w:pPr>
              <w:widowControl/>
              <w:jc w:val="center"/>
              <w:rPr>
                <w:rFonts w:ascii="Calibri" w:hAnsi="Calibri" w:cs="Calibri"/>
                <w:snapToGrid/>
                <w:kern w:val="0"/>
                <w:szCs w:val="22"/>
              </w:rPr>
            </w:pPr>
            <w:r w:rsidRPr="00A032ED">
              <w:rPr>
                <w:rFonts w:ascii="Calibri" w:hAnsi="Calibri" w:cs="Calibri"/>
                <w:snapToGrid/>
                <w:kern w:val="0"/>
                <w:szCs w:val="22"/>
              </w:rPr>
              <w:t>WQPX-TV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AD3C97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1,515,992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9E53CA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$10,952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A551C9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E37076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$12,251 </w:t>
            </w:r>
          </w:p>
        </w:tc>
        <w:tc>
          <w:tcPr>
            <w:tcW w:w="266" w:type="dxa"/>
            <w:tcBorders>
              <w:top w:val="nil"/>
              <w:left w:val="nil"/>
              <w:bottom w:val="nil"/>
              <w:right w:val="nil"/>
            </w:tcBorders>
            <w:shd w:val="clear" w:color="auto" w:fill="auto"/>
            <w:noWrap/>
            <w:vAlign w:val="bottom"/>
            <w:hideMark/>
          </w:tcPr>
          <w:p w:rsidR="006F7AD6" w:rsidRPr="00A032ED" w:rsidP="00886011" w14:paraId="7024C560"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DB4D97A" w14:textId="77777777">
            <w:pPr>
              <w:widowControl/>
              <w:jc w:val="center"/>
              <w:rPr>
                <w:rFonts w:ascii="Calibri" w:hAnsi="Calibri" w:cs="Calibri"/>
                <w:snapToGrid/>
                <w:kern w:val="0"/>
                <w:szCs w:val="22"/>
              </w:rPr>
            </w:pPr>
            <w:r w:rsidRPr="00A032ED">
              <w:rPr>
                <w:rFonts w:ascii="Calibri" w:hAnsi="Calibri" w:cs="Calibri"/>
                <w:snapToGrid/>
                <w:kern w:val="0"/>
                <w:szCs w:val="22"/>
              </w:rPr>
              <w:t>WSB-TV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E0802D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1,504,105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4621D6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$10,866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30E680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AB8F70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$32,433 </w:t>
            </w:r>
          </w:p>
        </w:tc>
      </w:tr>
      <w:tr w14:paraId="62FDF9B8"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96CA75D" w14:textId="77777777">
            <w:pPr>
              <w:widowControl/>
              <w:jc w:val="center"/>
              <w:rPr>
                <w:rFonts w:ascii="Calibri" w:hAnsi="Calibri" w:cs="Calibri"/>
                <w:snapToGrid/>
                <w:kern w:val="0"/>
                <w:szCs w:val="22"/>
              </w:rPr>
            </w:pPr>
            <w:r w:rsidRPr="00A032ED">
              <w:rPr>
                <w:rFonts w:ascii="Calibri" w:hAnsi="Calibri" w:cs="Calibri"/>
                <w:snapToGrid/>
                <w:kern w:val="0"/>
                <w:szCs w:val="22"/>
              </w:rPr>
              <w:t>WQRF-TV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85D935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1,326,695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8EA7AC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$9,585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674D5A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B35F5E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$7,017 </w:t>
            </w:r>
          </w:p>
        </w:tc>
        <w:tc>
          <w:tcPr>
            <w:tcW w:w="266" w:type="dxa"/>
            <w:tcBorders>
              <w:top w:val="nil"/>
              <w:left w:val="nil"/>
              <w:bottom w:val="nil"/>
              <w:right w:val="nil"/>
            </w:tcBorders>
            <w:shd w:val="clear" w:color="auto" w:fill="auto"/>
            <w:noWrap/>
            <w:vAlign w:val="bottom"/>
            <w:hideMark/>
          </w:tcPr>
          <w:p w:rsidR="006F7AD6" w:rsidRPr="00A032ED" w:rsidP="00886011" w14:paraId="4028B27B"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453FEA8" w14:textId="77777777">
            <w:pPr>
              <w:widowControl/>
              <w:jc w:val="center"/>
              <w:rPr>
                <w:rFonts w:ascii="Calibri" w:hAnsi="Calibri" w:cs="Calibri"/>
                <w:snapToGrid/>
                <w:kern w:val="0"/>
                <w:szCs w:val="22"/>
              </w:rPr>
            </w:pPr>
            <w:r w:rsidRPr="00A032ED">
              <w:rPr>
                <w:rFonts w:ascii="Calibri" w:hAnsi="Calibri" w:cs="Calibri"/>
                <w:snapToGrid/>
                <w:kern w:val="0"/>
                <w:szCs w:val="22"/>
              </w:rPr>
              <w:t>WSCG</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55D7B6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867,516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E53E85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$6,267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406691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4F9820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$9,909 </w:t>
            </w:r>
          </w:p>
        </w:tc>
      </w:tr>
      <w:tr w14:paraId="36D7C467"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461E401" w14:textId="77777777">
            <w:pPr>
              <w:widowControl/>
              <w:jc w:val="center"/>
              <w:rPr>
                <w:rFonts w:ascii="Calibri" w:hAnsi="Calibri" w:cs="Calibri"/>
                <w:snapToGrid/>
                <w:kern w:val="0"/>
                <w:szCs w:val="22"/>
              </w:rPr>
            </w:pPr>
            <w:r w:rsidRPr="00A032ED">
              <w:rPr>
                <w:rFonts w:ascii="Calibri" w:hAnsi="Calibri" w:cs="Calibri"/>
                <w:snapToGrid/>
                <w:kern w:val="0"/>
                <w:szCs w:val="22"/>
              </w:rPr>
              <w:t>WQTO</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A74E43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2,864,201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164C4E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$20,692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1E2124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8E50C1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$12,571 </w:t>
            </w:r>
          </w:p>
        </w:tc>
        <w:tc>
          <w:tcPr>
            <w:tcW w:w="266" w:type="dxa"/>
            <w:tcBorders>
              <w:top w:val="nil"/>
              <w:left w:val="nil"/>
              <w:bottom w:val="nil"/>
              <w:right w:val="nil"/>
            </w:tcBorders>
            <w:shd w:val="clear" w:color="auto" w:fill="auto"/>
            <w:noWrap/>
            <w:vAlign w:val="bottom"/>
            <w:hideMark/>
          </w:tcPr>
          <w:p w:rsidR="006F7AD6" w:rsidRPr="00A032ED" w:rsidP="00886011" w14:paraId="260D61FD"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A74F103" w14:textId="77777777">
            <w:pPr>
              <w:widowControl/>
              <w:jc w:val="center"/>
              <w:rPr>
                <w:rFonts w:ascii="Calibri" w:hAnsi="Calibri" w:cs="Calibri"/>
                <w:snapToGrid/>
                <w:kern w:val="0"/>
                <w:szCs w:val="22"/>
              </w:rPr>
            </w:pPr>
            <w:r w:rsidRPr="00A032ED">
              <w:rPr>
                <w:rFonts w:ascii="Calibri" w:hAnsi="Calibri" w:cs="Calibri"/>
                <w:snapToGrid/>
                <w:kern w:val="0"/>
                <w:szCs w:val="22"/>
              </w:rPr>
              <w:t>WSCV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34EF29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5,465,435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6BD069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$39,484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CB274C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5367FF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$40,080 </w:t>
            </w:r>
          </w:p>
        </w:tc>
      </w:tr>
      <w:tr w14:paraId="336E4478"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E967A90" w14:textId="77777777">
            <w:pPr>
              <w:widowControl/>
              <w:jc w:val="center"/>
              <w:rPr>
                <w:rFonts w:ascii="Calibri" w:hAnsi="Calibri" w:cs="Calibri"/>
                <w:snapToGrid/>
                <w:kern w:val="0"/>
                <w:szCs w:val="22"/>
              </w:rPr>
            </w:pPr>
            <w:r w:rsidRPr="00A032ED">
              <w:rPr>
                <w:rFonts w:ascii="Calibri" w:hAnsi="Calibri" w:cs="Calibri"/>
                <w:snapToGrid/>
                <w:kern w:val="0"/>
                <w:szCs w:val="22"/>
              </w:rPr>
              <w:t>WRAL-TV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DE8A34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3,643,511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0CDBBA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$26,322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FA3F69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037D64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$33,499 </w:t>
            </w:r>
          </w:p>
        </w:tc>
        <w:tc>
          <w:tcPr>
            <w:tcW w:w="266" w:type="dxa"/>
            <w:tcBorders>
              <w:top w:val="nil"/>
              <w:left w:val="nil"/>
              <w:bottom w:val="nil"/>
              <w:right w:val="nil"/>
            </w:tcBorders>
            <w:shd w:val="clear" w:color="auto" w:fill="auto"/>
            <w:noWrap/>
            <w:vAlign w:val="bottom"/>
            <w:hideMark/>
          </w:tcPr>
          <w:p w:rsidR="006F7AD6" w:rsidRPr="00A032ED" w:rsidP="00886011" w14:paraId="1924FA7A"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AA9DE22" w14:textId="77777777">
            <w:pPr>
              <w:widowControl/>
              <w:jc w:val="center"/>
              <w:rPr>
                <w:rFonts w:ascii="Calibri" w:hAnsi="Calibri" w:cs="Calibri"/>
                <w:snapToGrid/>
                <w:kern w:val="0"/>
                <w:szCs w:val="22"/>
              </w:rPr>
            </w:pPr>
            <w:r w:rsidRPr="00A032ED">
              <w:rPr>
                <w:rFonts w:ascii="Calibri" w:hAnsi="Calibri" w:cs="Calibri"/>
                <w:snapToGrid/>
                <w:kern w:val="0"/>
                <w:szCs w:val="22"/>
              </w:rPr>
              <w:t>WSEE-TV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1BB809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556,533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140EA3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$4,021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265ECC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B39CCB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$4,235 </w:t>
            </w:r>
          </w:p>
        </w:tc>
      </w:tr>
      <w:tr w14:paraId="028A6FAC"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84582D7" w14:textId="77777777">
            <w:pPr>
              <w:widowControl/>
              <w:jc w:val="center"/>
              <w:rPr>
                <w:rFonts w:ascii="Calibri" w:hAnsi="Calibri" w:cs="Calibri"/>
                <w:snapToGrid/>
                <w:kern w:val="0"/>
                <w:szCs w:val="22"/>
              </w:rPr>
            </w:pPr>
            <w:r w:rsidRPr="00A032ED">
              <w:rPr>
                <w:rFonts w:ascii="Calibri" w:hAnsi="Calibri" w:cs="Calibri"/>
                <w:snapToGrid/>
                <w:kern w:val="0"/>
                <w:szCs w:val="22"/>
              </w:rPr>
              <w:t>WRAZ</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DB9446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3,605,228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78101A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$26,045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B2910E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17B22D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$33,360 </w:t>
            </w:r>
          </w:p>
        </w:tc>
        <w:tc>
          <w:tcPr>
            <w:tcW w:w="266" w:type="dxa"/>
            <w:tcBorders>
              <w:top w:val="nil"/>
              <w:left w:val="nil"/>
              <w:bottom w:val="nil"/>
              <w:right w:val="nil"/>
            </w:tcBorders>
            <w:shd w:val="clear" w:color="auto" w:fill="auto"/>
            <w:noWrap/>
            <w:vAlign w:val="bottom"/>
            <w:hideMark/>
          </w:tcPr>
          <w:p w:rsidR="006F7AD6" w:rsidRPr="00A032ED" w:rsidP="00886011" w14:paraId="6BF4B4FF"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5D0967F" w14:textId="77777777">
            <w:pPr>
              <w:widowControl/>
              <w:jc w:val="center"/>
              <w:rPr>
                <w:rFonts w:ascii="Calibri" w:hAnsi="Calibri" w:cs="Calibri"/>
                <w:snapToGrid/>
                <w:kern w:val="0"/>
                <w:szCs w:val="22"/>
              </w:rPr>
            </w:pPr>
            <w:r w:rsidRPr="00A032ED">
              <w:rPr>
                <w:rFonts w:ascii="Calibri" w:hAnsi="Calibri" w:cs="Calibri"/>
                <w:snapToGrid/>
                <w:kern w:val="0"/>
                <w:szCs w:val="22"/>
              </w:rPr>
              <w:t>WSES</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E2A4EE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1,548,117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82168F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$11,184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4C52B1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B12FD4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$7,817 </w:t>
            </w:r>
          </w:p>
        </w:tc>
      </w:tr>
      <w:tr w14:paraId="28977E0A"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3EAD0C9" w14:textId="77777777">
            <w:pPr>
              <w:widowControl/>
              <w:jc w:val="center"/>
              <w:rPr>
                <w:rFonts w:ascii="Calibri" w:hAnsi="Calibri" w:cs="Calibri"/>
                <w:snapToGrid/>
                <w:kern w:val="0"/>
                <w:szCs w:val="22"/>
              </w:rPr>
            </w:pPr>
            <w:r w:rsidRPr="00A032ED">
              <w:rPr>
                <w:rFonts w:ascii="Calibri" w:hAnsi="Calibri" w:cs="Calibri"/>
                <w:snapToGrid/>
                <w:kern w:val="0"/>
                <w:szCs w:val="22"/>
              </w:rPr>
              <w:t>WRBL</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258647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1,493,140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412477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$10,787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C4BDF0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5B881C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$7,618 </w:t>
            </w:r>
          </w:p>
        </w:tc>
        <w:tc>
          <w:tcPr>
            <w:tcW w:w="266" w:type="dxa"/>
            <w:tcBorders>
              <w:top w:val="nil"/>
              <w:left w:val="nil"/>
              <w:bottom w:val="nil"/>
              <w:right w:val="nil"/>
            </w:tcBorders>
            <w:shd w:val="clear" w:color="auto" w:fill="auto"/>
            <w:noWrap/>
            <w:vAlign w:val="bottom"/>
            <w:hideMark/>
          </w:tcPr>
          <w:p w:rsidR="006F7AD6" w:rsidRPr="00A032ED" w:rsidP="00886011" w14:paraId="6257DF39"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01B7A6D" w14:textId="77777777">
            <w:pPr>
              <w:widowControl/>
              <w:jc w:val="center"/>
              <w:rPr>
                <w:rFonts w:ascii="Calibri" w:hAnsi="Calibri" w:cs="Calibri"/>
                <w:snapToGrid/>
                <w:kern w:val="0"/>
                <w:szCs w:val="22"/>
              </w:rPr>
            </w:pPr>
            <w:r w:rsidRPr="00A032ED">
              <w:rPr>
                <w:rFonts w:ascii="Calibri" w:hAnsi="Calibri" w:cs="Calibri"/>
                <w:snapToGrid/>
                <w:kern w:val="0"/>
                <w:szCs w:val="22"/>
              </w:rPr>
              <w:t>WSET-TV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93496F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1,569,722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18F723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$11,340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71E946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B312CF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$12,445 </w:t>
            </w:r>
          </w:p>
        </w:tc>
      </w:tr>
      <w:tr w14:paraId="6EFDC8DF"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6CB0BFD" w14:textId="77777777">
            <w:pPr>
              <w:widowControl/>
              <w:jc w:val="center"/>
              <w:rPr>
                <w:rFonts w:ascii="Calibri" w:hAnsi="Calibri" w:cs="Calibri"/>
                <w:snapToGrid/>
                <w:kern w:val="0"/>
                <w:szCs w:val="22"/>
              </w:rPr>
            </w:pPr>
            <w:r w:rsidRPr="00A032ED">
              <w:rPr>
                <w:rFonts w:ascii="Calibri" w:hAnsi="Calibri" w:cs="Calibri"/>
                <w:snapToGrid/>
                <w:kern w:val="0"/>
                <w:szCs w:val="22"/>
              </w:rPr>
              <w:t>WRBU</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697D84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2,737,188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A500C4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$19,774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BF4EC3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E17F38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$30,225 </w:t>
            </w:r>
          </w:p>
        </w:tc>
        <w:tc>
          <w:tcPr>
            <w:tcW w:w="266" w:type="dxa"/>
            <w:tcBorders>
              <w:top w:val="nil"/>
              <w:left w:val="nil"/>
              <w:bottom w:val="nil"/>
              <w:right w:val="nil"/>
            </w:tcBorders>
            <w:shd w:val="clear" w:color="auto" w:fill="auto"/>
            <w:noWrap/>
            <w:vAlign w:val="bottom"/>
            <w:hideMark/>
          </w:tcPr>
          <w:p w:rsidR="006F7AD6" w:rsidRPr="00A032ED" w:rsidP="00886011" w14:paraId="77E7006C"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40822D9" w14:textId="77777777">
            <w:pPr>
              <w:widowControl/>
              <w:jc w:val="center"/>
              <w:rPr>
                <w:rFonts w:ascii="Calibri" w:hAnsi="Calibri" w:cs="Calibri"/>
                <w:snapToGrid/>
                <w:kern w:val="0"/>
                <w:szCs w:val="22"/>
              </w:rPr>
            </w:pPr>
            <w:r w:rsidRPr="00A032ED">
              <w:rPr>
                <w:rFonts w:ascii="Calibri" w:hAnsi="Calibri" w:cs="Calibri"/>
                <w:snapToGrid/>
                <w:kern w:val="0"/>
                <w:szCs w:val="22"/>
              </w:rPr>
              <w:t>WSFA</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72DC32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1,168,636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1A4DE2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$8,443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CEA509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4215D1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$6,446 </w:t>
            </w:r>
          </w:p>
        </w:tc>
      </w:tr>
      <w:tr w14:paraId="247E0418"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90FFAB7" w14:textId="77777777">
            <w:pPr>
              <w:widowControl/>
              <w:jc w:val="center"/>
              <w:rPr>
                <w:rFonts w:ascii="Calibri" w:hAnsi="Calibri" w:cs="Calibri"/>
                <w:snapToGrid/>
                <w:kern w:val="0"/>
                <w:szCs w:val="22"/>
              </w:rPr>
            </w:pPr>
            <w:r w:rsidRPr="00A032ED">
              <w:rPr>
                <w:rFonts w:ascii="Calibri" w:hAnsi="Calibri" w:cs="Calibri"/>
                <w:snapToGrid/>
                <w:kern w:val="0"/>
                <w:szCs w:val="22"/>
              </w:rPr>
              <w:t>WRBW</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51200F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4,025,123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EBAFBC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$29,079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65B215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11C060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$34,877 </w:t>
            </w:r>
          </w:p>
        </w:tc>
        <w:tc>
          <w:tcPr>
            <w:tcW w:w="266" w:type="dxa"/>
            <w:tcBorders>
              <w:top w:val="nil"/>
              <w:left w:val="nil"/>
              <w:bottom w:val="nil"/>
              <w:right w:val="nil"/>
            </w:tcBorders>
            <w:shd w:val="clear" w:color="auto" w:fill="auto"/>
            <w:noWrap/>
            <w:vAlign w:val="bottom"/>
            <w:hideMark/>
          </w:tcPr>
          <w:p w:rsidR="006F7AD6" w:rsidRPr="00A032ED" w:rsidP="00886011" w14:paraId="6B1F8C63"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4599000" w14:textId="77777777">
            <w:pPr>
              <w:widowControl/>
              <w:jc w:val="center"/>
              <w:rPr>
                <w:rFonts w:ascii="Calibri" w:hAnsi="Calibri" w:cs="Calibri"/>
                <w:snapToGrid/>
                <w:kern w:val="0"/>
                <w:szCs w:val="22"/>
              </w:rPr>
            </w:pPr>
            <w:r w:rsidRPr="00A032ED">
              <w:rPr>
                <w:rFonts w:ascii="Calibri" w:hAnsi="Calibri" w:cs="Calibri"/>
                <w:snapToGrid/>
                <w:kern w:val="0"/>
                <w:szCs w:val="22"/>
              </w:rPr>
              <w:t>WSFL-TV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AF6285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5,316,261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076715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$38,407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AE7DC0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BF0807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$39,541 </w:t>
            </w:r>
          </w:p>
        </w:tc>
      </w:tr>
      <w:tr w14:paraId="6DD8E206"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16FC78A" w14:textId="77777777">
            <w:pPr>
              <w:widowControl/>
              <w:jc w:val="center"/>
              <w:rPr>
                <w:rFonts w:ascii="Calibri" w:hAnsi="Calibri" w:cs="Calibri"/>
                <w:snapToGrid/>
                <w:kern w:val="0"/>
                <w:szCs w:val="22"/>
              </w:rPr>
            </w:pPr>
            <w:r w:rsidRPr="00A032ED">
              <w:rPr>
                <w:rFonts w:ascii="Calibri" w:hAnsi="Calibri" w:cs="Calibri"/>
                <w:snapToGrid/>
                <w:kern w:val="0"/>
                <w:szCs w:val="22"/>
              </w:rPr>
              <w:t>WRCB</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846C32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1,587,742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DB9E76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$11,470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FEFC07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BB6C7A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$12,510 </w:t>
            </w:r>
          </w:p>
        </w:tc>
        <w:tc>
          <w:tcPr>
            <w:tcW w:w="266" w:type="dxa"/>
            <w:tcBorders>
              <w:top w:val="nil"/>
              <w:left w:val="nil"/>
              <w:bottom w:val="nil"/>
              <w:right w:val="nil"/>
            </w:tcBorders>
            <w:shd w:val="clear" w:color="auto" w:fill="auto"/>
            <w:noWrap/>
            <w:vAlign w:val="bottom"/>
            <w:hideMark/>
          </w:tcPr>
          <w:p w:rsidR="006F7AD6" w:rsidRPr="00A032ED" w:rsidP="00886011" w14:paraId="1E173834"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BD3DC22" w14:textId="77777777">
            <w:pPr>
              <w:widowControl/>
              <w:jc w:val="center"/>
              <w:rPr>
                <w:rFonts w:ascii="Calibri" w:hAnsi="Calibri" w:cs="Calibri"/>
                <w:snapToGrid/>
                <w:kern w:val="0"/>
                <w:szCs w:val="22"/>
              </w:rPr>
            </w:pPr>
            <w:r w:rsidRPr="00A032ED">
              <w:rPr>
                <w:rFonts w:ascii="Calibri" w:hAnsi="Calibri" w:cs="Calibri"/>
                <w:snapToGrid/>
                <w:kern w:val="0"/>
                <w:szCs w:val="22"/>
              </w:rPr>
              <w:t>WSFX-TV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9B0FBD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928,247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5BB1C5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$6,706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63ADAE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AED54B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$5,578 </w:t>
            </w:r>
          </w:p>
        </w:tc>
      </w:tr>
      <w:tr w14:paraId="543A0801"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463FAB0" w14:textId="77777777">
            <w:pPr>
              <w:widowControl/>
              <w:jc w:val="center"/>
              <w:rPr>
                <w:rFonts w:ascii="Calibri" w:hAnsi="Calibri" w:cs="Calibri"/>
                <w:snapToGrid/>
                <w:kern w:val="0"/>
                <w:szCs w:val="22"/>
              </w:rPr>
            </w:pPr>
            <w:r w:rsidRPr="00A032ED">
              <w:rPr>
                <w:rFonts w:ascii="Calibri" w:hAnsi="Calibri" w:cs="Calibri"/>
                <w:snapToGrid/>
                <w:kern w:val="0"/>
                <w:szCs w:val="22"/>
              </w:rPr>
              <w:t>WRC-TV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A950B2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8,001,448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2DAA40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$57,805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8D2682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AF22C9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$55,903 </w:t>
            </w:r>
          </w:p>
        </w:tc>
        <w:tc>
          <w:tcPr>
            <w:tcW w:w="266" w:type="dxa"/>
            <w:tcBorders>
              <w:top w:val="nil"/>
              <w:left w:val="nil"/>
              <w:bottom w:val="nil"/>
              <w:right w:val="nil"/>
            </w:tcBorders>
            <w:shd w:val="clear" w:color="auto" w:fill="auto"/>
            <w:noWrap/>
            <w:vAlign w:val="bottom"/>
            <w:hideMark/>
          </w:tcPr>
          <w:p w:rsidR="006F7AD6" w:rsidRPr="00A032ED" w:rsidP="00886011" w14:paraId="57A615FE"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9A68964" w14:textId="77777777">
            <w:pPr>
              <w:widowControl/>
              <w:jc w:val="center"/>
              <w:rPr>
                <w:rFonts w:ascii="Calibri" w:hAnsi="Calibri" w:cs="Calibri"/>
                <w:snapToGrid/>
                <w:kern w:val="0"/>
                <w:szCs w:val="22"/>
              </w:rPr>
            </w:pPr>
            <w:r w:rsidRPr="00A032ED">
              <w:rPr>
                <w:rFonts w:ascii="Calibri" w:hAnsi="Calibri" w:cs="Calibri"/>
                <w:snapToGrid/>
                <w:kern w:val="0"/>
                <w:szCs w:val="22"/>
              </w:rPr>
              <w:t>WSIL-TV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4F18C2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672,560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19BAC2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$4,859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C28668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4F132E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$9,204 </w:t>
            </w:r>
          </w:p>
        </w:tc>
      </w:tr>
      <w:tr w14:paraId="210697B4"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151EA86" w14:textId="77777777">
            <w:pPr>
              <w:widowControl/>
              <w:jc w:val="center"/>
              <w:rPr>
                <w:rFonts w:ascii="Calibri" w:hAnsi="Calibri" w:cs="Calibri"/>
                <w:snapToGrid/>
                <w:kern w:val="0"/>
                <w:szCs w:val="22"/>
              </w:rPr>
            </w:pPr>
            <w:r w:rsidRPr="00A032ED">
              <w:rPr>
                <w:rFonts w:ascii="Calibri" w:hAnsi="Calibri" w:cs="Calibri"/>
                <w:snapToGrid/>
                <w:kern w:val="0"/>
                <w:szCs w:val="22"/>
              </w:rPr>
              <w:t>WRDC</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E9F008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3,624,288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4E5145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$26,183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3491AE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699E19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$33,429 </w:t>
            </w:r>
          </w:p>
        </w:tc>
        <w:tc>
          <w:tcPr>
            <w:tcW w:w="266" w:type="dxa"/>
            <w:tcBorders>
              <w:top w:val="nil"/>
              <w:left w:val="nil"/>
              <w:bottom w:val="nil"/>
              <w:right w:val="nil"/>
            </w:tcBorders>
            <w:shd w:val="clear" w:color="auto" w:fill="auto"/>
            <w:noWrap/>
            <w:vAlign w:val="bottom"/>
            <w:hideMark/>
          </w:tcPr>
          <w:p w:rsidR="006F7AD6" w:rsidRPr="00A032ED" w:rsidP="00886011" w14:paraId="1870373F"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4043A1D" w14:textId="77777777">
            <w:pPr>
              <w:widowControl/>
              <w:jc w:val="center"/>
              <w:rPr>
                <w:rFonts w:ascii="Calibri" w:hAnsi="Calibri" w:cs="Calibri"/>
                <w:snapToGrid/>
                <w:kern w:val="0"/>
                <w:szCs w:val="22"/>
              </w:rPr>
            </w:pPr>
            <w:r w:rsidRPr="00A032ED">
              <w:rPr>
                <w:rFonts w:ascii="Calibri" w:hAnsi="Calibri" w:cs="Calibri"/>
                <w:snapToGrid/>
                <w:kern w:val="0"/>
                <w:szCs w:val="22"/>
              </w:rPr>
              <w:t>WSJV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136364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1,522,499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7CD80D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$10,999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1D558C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0BCAB5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$12,275 </w:t>
            </w:r>
          </w:p>
        </w:tc>
      </w:tr>
      <w:tr w14:paraId="0D449979"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4F69F79" w14:textId="77777777">
            <w:pPr>
              <w:widowControl/>
              <w:jc w:val="center"/>
              <w:rPr>
                <w:rFonts w:ascii="Calibri" w:hAnsi="Calibri" w:cs="Calibri"/>
                <w:snapToGrid/>
                <w:kern w:val="0"/>
                <w:szCs w:val="22"/>
              </w:rPr>
            </w:pPr>
            <w:r w:rsidRPr="00A032ED">
              <w:rPr>
                <w:rFonts w:ascii="Calibri" w:hAnsi="Calibri" w:cs="Calibri"/>
                <w:snapToGrid/>
                <w:kern w:val="0"/>
                <w:szCs w:val="22"/>
              </w:rPr>
              <w:t>WRDQ</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450989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3,931,023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2FA6BB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$28,399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C0402C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0EC8E2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$34,537 </w:t>
            </w:r>
          </w:p>
        </w:tc>
        <w:tc>
          <w:tcPr>
            <w:tcW w:w="266" w:type="dxa"/>
            <w:tcBorders>
              <w:top w:val="nil"/>
              <w:left w:val="nil"/>
              <w:bottom w:val="nil"/>
              <w:right w:val="nil"/>
            </w:tcBorders>
            <w:shd w:val="clear" w:color="auto" w:fill="auto"/>
            <w:noWrap/>
            <w:vAlign w:val="bottom"/>
            <w:hideMark/>
          </w:tcPr>
          <w:p w:rsidR="006F7AD6" w:rsidRPr="00A032ED" w:rsidP="00886011" w14:paraId="1E17190F"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7291D94" w14:textId="77777777">
            <w:pPr>
              <w:widowControl/>
              <w:jc w:val="center"/>
              <w:rPr>
                <w:rFonts w:ascii="Calibri" w:hAnsi="Calibri" w:cs="Calibri"/>
                <w:snapToGrid/>
                <w:kern w:val="0"/>
                <w:szCs w:val="22"/>
              </w:rPr>
            </w:pPr>
            <w:r w:rsidRPr="00A032ED">
              <w:rPr>
                <w:rFonts w:ascii="Calibri" w:hAnsi="Calibri" w:cs="Calibri"/>
                <w:snapToGrid/>
                <w:kern w:val="0"/>
                <w:szCs w:val="22"/>
              </w:rPr>
              <w:t>WSKY-TV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F609B6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1,934,585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836496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$13,976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5ABF5C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1008D9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$20,563 </w:t>
            </w:r>
          </w:p>
        </w:tc>
      </w:tr>
      <w:tr w14:paraId="04CAA4E5"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BC0729B" w14:textId="77777777">
            <w:pPr>
              <w:widowControl/>
              <w:jc w:val="center"/>
              <w:rPr>
                <w:rFonts w:ascii="Calibri" w:hAnsi="Calibri" w:cs="Calibri"/>
                <w:snapToGrid/>
                <w:kern w:val="0"/>
                <w:szCs w:val="22"/>
              </w:rPr>
            </w:pPr>
            <w:r w:rsidRPr="00A032ED">
              <w:rPr>
                <w:rFonts w:ascii="Calibri" w:hAnsi="Calibri" w:cs="Calibri"/>
                <w:snapToGrid/>
                <w:kern w:val="0"/>
                <w:szCs w:val="22"/>
              </w:rPr>
              <w:t>WRDW-TV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0F9536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1,564,584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801634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$11,303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849AC0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D5A36B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$7,877 </w:t>
            </w:r>
          </w:p>
        </w:tc>
        <w:tc>
          <w:tcPr>
            <w:tcW w:w="266" w:type="dxa"/>
            <w:tcBorders>
              <w:top w:val="nil"/>
              <w:left w:val="nil"/>
              <w:bottom w:val="nil"/>
              <w:right w:val="nil"/>
            </w:tcBorders>
            <w:shd w:val="clear" w:color="auto" w:fill="auto"/>
            <w:noWrap/>
            <w:vAlign w:val="bottom"/>
            <w:hideMark/>
          </w:tcPr>
          <w:p w:rsidR="006F7AD6" w:rsidRPr="00A032ED" w:rsidP="00886011" w14:paraId="78F26CC3"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74363F6" w14:textId="77777777">
            <w:pPr>
              <w:widowControl/>
              <w:jc w:val="center"/>
              <w:rPr>
                <w:rFonts w:ascii="Calibri" w:hAnsi="Calibri" w:cs="Calibri"/>
                <w:snapToGrid/>
                <w:kern w:val="0"/>
                <w:szCs w:val="22"/>
              </w:rPr>
            </w:pPr>
            <w:r w:rsidRPr="00A032ED">
              <w:rPr>
                <w:rFonts w:ascii="Calibri" w:hAnsi="Calibri" w:cs="Calibri"/>
                <w:snapToGrid/>
                <w:kern w:val="0"/>
                <w:szCs w:val="22"/>
              </w:rPr>
              <w:t>WSLS-TV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F5E963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1,440,376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AB6225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$10,406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84F187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D6AC9B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$11,978 </w:t>
            </w:r>
          </w:p>
        </w:tc>
      </w:tr>
      <w:tr w14:paraId="63A7112E"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D248615" w14:textId="77777777">
            <w:pPr>
              <w:widowControl/>
              <w:jc w:val="center"/>
              <w:rPr>
                <w:rFonts w:ascii="Calibri" w:hAnsi="Calibri" w:cs="Calibri"/>
                <w:snapToGrid/>
                <w:kern w:val="0"/>
                <w:szCs w:val="22"/>
              </w:rPr>
            </w:pPr>
            <w:r w:rsidRPr="00A032ED">
              <w:rPr>
                <w:rFonts w:ascii="Calibri" w:hAnsi="Calibri" w:cs="Calibri"/>
                <w:snapToGrid/>
                <w:kern w:val="0"/>
                <w:szCs w:val="22"/>
              </w:rPr>
              <w:t>WREG-TV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D38C9D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1,642,307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6A5156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$11,865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632DC6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83DEFB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$12,707 </w:t>
            </w:r>
          </w:p>
        </w:tc>
        <w:tc>
          <w:tcPr>
            <w:tcW w:w="266" w:type="dxa"/>
            <w:tcBorders>
              <w:top w:val="nil"/>
              <w:left w:val="nil"/>
              <w:bottom w:val="nil"/>
              <w:right w:val="nil"/>
            </w:tcBorders>
            <w:shd w:val="clear" w:color="auto" w:fill="auto"/>
            <w:noWrap/>
            <w:vAlign w:val="bottom"/>
            <w:hideMark/>
          </w:tcPr>
          <w:p w:rsidR="006F7AD6" w:rsidRPr="00A032ED" w:rsidP="00886011" w14:paraId="5B226EA9"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2FC3D28" w14:textId="77777777">
            <w:pPr>
              <w:widowControl/>
              <w:jc w:val="center"/>
              <w:rPr>
                <w:rFonts w:ascii="Calibri" w:hAnsi="Calibri" w:cs="Calibri"/>
                <w:snapToGrid/>
                <w:kern w:val="0"/>
                <w:szCs w:val="22"/>
              </w:rPr>
            </w:pPr>
            <w:r w:rsidRPr="00A032ED">
              <w:rPr>
                <w:rFonts w:ascii="Calibri" w:hAnsi="Calibri" w:cs="Calibri"/>
                <w:snapToGrid/>
                <w:kern w:val="0"/>
                <w:szCs w:val="22"/>
              </w:rPr>
              <w:t>WSMH</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1C319B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2,339,224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4BEA12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$16,899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03931E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D3D4C5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$15,225 </w:t>
            </w:r>
          </w:p>
        </w:tc>
      </w:tr>
      <w:tr w14:paraId="4ABA3A6C"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B4AEE8D" w14:textId="77777777">
            <w:pPr>
              <w:widowControl/>
              <w:jc w:val="center"/>
              <w:rPr>
                <w:rFonts w:ascii="Calibri" w:hAnsi="Calibri" w:cs="Calibri"/>
                <w:snapToGrid/>
                <w:kern w:val="0"/>
                <w:szCs w:val="22"/>
              </w:rPr>
            </w:pPr>
            <w:r w:rsidRPr="00A032ED">
              <w:rPr>
                <w:rFonts w:ascii="Calibri" w:hAnsi="Calibri" w:cs="Calibri"/>
                <w:snapToGrid/>
                <w:kern w:val="0"/>
                <w:szCs w:val="22"/>
              </w:rPr>
              <w:t>WSNS-TV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4AE4CB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9,914,395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DC2233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$71,625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BCD857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685FE9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$62,813 </w:t>
            </w:r>
          </w:p>
        </w:tc>
        <w:tc>
          <w:tcPr>
            <w:tcW w:w="266" w:type="dxa"/>
            <w:tcBorders>
              <w:top w:val="nil"/>
              <w:left w:val="nil"/>
              <w:bottom w:val="nil"/>
              <w:right w:val="nil"/>
            </w:tcBorders>
            <w:shd w:val="clear" w:color="auto" w:fill="auto"/>
            <w:noWrap/>
            <w:vAlign w:val="bottom"/>
            <w:hideMark/>
          </w:tcPr>
          <w:p w:rsidR="006F7AD6" w:rsidRPr="00A032ED" w:rsidP="00886011" w14:paraId="5D8406CC"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D059F32" w14:textId="77777777">
            <w:pPr>
              <w:widowControl/>
              <w:jc w:val="center"/>
              <w:rPr>
                <w:rFonts w:ascii="Calibri" w:hAnsi="Calibri" w:cs="Calibri"/>
                <w:snapToGrid/>
                <w:kern w:val="0"/>
                <w:szCs w:val="22"/>
              </w:rPr>
            </w:pPr>
            <w:r w:rsidRPr="00A032ED">
              <w:rPr>
                <w:rFonts w:ascii="Calibri" w:hAnsi="Calibri" w:cs="Calibri"/>
                <w:snapToGrid/>
                <w:kern w:val="0"/>
                <w:szCs w:val="22"/>
              </w:rPr>
              <w:t>WSMV-TV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BB907E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2,447,769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470C80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$17,684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5B6038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2B2A6E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$22,417 </w:t>
            </w:r>
          </w:p>
        </w:tc>
      </w:tr>
      <w:tr w14:paraId="6ED12C6F"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5600BC9" w14:textId="77777777">
            <w:pPr>
              <w:widowControl/>
              <w:jc w:val="center"/>
              <w:rPr>
                <w:rFonts w:ascii="Calibri" w:hAnsi="Calibri" w:cs="Calibri"/>
                <w:snapToGrid/>
                <w:kern w:val="0"/>
                <w:szCs w:val="22"/>
              </w:rPr>
            </w:pPr>
            <w:r w:rsidRPr="00A032ED">
              <w:rPr>
                <w:rFonts w:ascii="Calibri" w:hAnsi="Calibri" w:cs="Calibri"/>
                <w:snapToGrid/>
                <w:kern w:val="0"/>
                <w:szCs w:val="22"/>
              </w:rPr>
              <w:t>WSOC-TV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0B113F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1,119,856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457741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$8,090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A0DB19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A636EE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$24,383 </w:t>
            </w:r>
          </w:p>
        </w:tc>
        <w:tc>
          <w:tcPr>
            <w:tcW w:w="266" w:type="dxa"/>
            <w:tcBorders>
              <w:top w:val="nil"/>
              <w:left w:val="nil"/>
              <w:bottom w:val="nil"/>
              <w:right w:val="nil"/>
            </w:tcBorders>
            <w:shd w:val="clear" w:color="auto" w:fill="auto"/>
            <w:noWrap/>
            <w:vAlign w:val="bottom"/>
            <w:hideMark/>
          </w:tcPr>
          <w:p w:rsidR="006F7AD6" w:rsidRPr="00A032ED" w:rsidP="00886011" w14:paraId="53A3A8C1"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88DDD8A" w14:textId="77777777">
            <w:pPr>
              <w:widowControl/>
              <w:jc w:val="center"/>
              <w:rPr>
                <w:rFonts w:ascii="Calibri" w:hAnsi="Calibri" w:cs="Calibri"/>
                <w:snapToGrid/>
                <w:kern w:val="0"/>
                <w:szCs w:val="22"/>
              </w:rPr>
            </w:pPr>
            <w:r w:rsidRPr="00A032ED">
              <w:rPr>
                <w:rFonts w:ascii="Calibri" w:hAnsi="Calibri" w:cs="Calibri"/>
                <w:snapToGrid/>
                <w:kern w:val="0"/>
                <w:szCs w:val="22"/>
              </w:rPr>
              <w:t>WTNZ</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578C06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1,722,805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47A6EB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$12,446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7F60B8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5259BA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$12,998 </w:t>
            </w:r>
          </w:p>
        </w:tc>
      </w:tr>
      <w:tr w14:paraId="7B4773CC"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9A28533" w14:textId="77777777">
            <w:pPr>
              <w:widowControl/>
              <w:jc w:val="center"/>
              <w:rPr>
                <w:rFonts w:ascii="Calibri" w:hAnsi="Calibri" w:cs="Calibri"/>
                <w:snapToGrid/>
                <w:kern w:val="0"/>
                <w:szCs w:val="22"/>
              </w:rPr>
            </w:pPr>
            <w:r w:rsidRPr="00A032ED">
              <w:rPr>
                <w:rFonts w:ascii="Calibri" w:hAnsi="Calibri" w:cs="Calibri"/>
                <w:snapToGrid/>
                <w:kern w:val="0"/>
                <w:szCs w:val="22"/>
              </w:rPr>
              <w:t>WSPX-TV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ADCDE8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1,106,838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650C0B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$7,996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2FD519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B30016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$10,773 </w:t>
            </w:r>
          </w:p>
        </w:tc>
        <w:tc>
          <w:tcPr>
            <w:tcW w:w="266" w:type="dxa"/>
            <w:tcBorders>
              <w:top w:val="nil"/>
              <w:left w:val="nil"/>
              <w:bottom w:val="nil"/>
              <w:right w:val="nil"/>
            </w:tcBorders>
            <w:shd w:val="clear" w:color="auto" w:fill="auto"/>
            <w:noWrap/>
            <w:vAlign w:val="bottom"/>
            <w:hideMark/>
          </w:tcPr>
          <w:p w:rsidR="006F7AD6" w:rsidRPr="00A032ED" w:rsidP="00886011" w14:paraId="0BB25CFC"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4A5D922" w14:textId="77777777">
            <w:pPr>
              <w:widowControl/>
              <w:jc w:val="center"/>
              <w:rPr>
                <w:rFonts w:ascii="Calibri" w:hAnsi="Calibri" w:cs="Calibri"/>
                <w:snapToGrid/>
                <w:kern w:val="0"/>
                <w:szCs w:val="22"/>
              </w:rPr>
            </w:pPr>
            <w:r w:rsidRPr="00A032ED">
              <w:rPr>
                <w:rFonts w:ascii="Calibri" w:hAnsi="Calibri" w:cs="Calibri"/>
                <w:snapToGrid/>
                <w:kern w:val="0"/>
                <w:szCs w:val="22"/>
              </w:rPr>
              <w:t>WTOC-TV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987BFE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993,098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7DAA10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$7,175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960000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2EDE3C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$10,362 </w:t>
            </w:r>
          </w:p>
        </w:tc>
      </w:tr>
      <w:tr w14:paraId="746A545A"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F324FA5" w14:textId="77777777">
            <w:pPr>
              <w:widowControl/>
              <w:jc w:val="center"/>
              <w:rPr>
                <w:rFonts w:ascii="Calibri" w:hAnsi="Calibri" w:cs="Calibri"/>
                <w:snapToGrid/>
                <w:kern w:val="0"/>
                <w:szCs w:val="22"/>
              </w:rPr>
            </w:pPr>
            <w:r w:rsidRPr="00A032ED">
              <w:rPr>
                <w:rFonts w:ascii="Calibri" w:hAnsi="Calibri" w:cs="Calibri"/>
                <w:snapToGrid/>
                <w:kern w:val="0"/>
                <w:szCs w:val="22"/>
              </w:rPr>
              <w:t>WSST-TV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8266B7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345,428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4F6B90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$2,495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825563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B68CAC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$3,473 </w:t>
            </w:r>
          </w:p>
        </w:tc>
        <w:tc>
          <w:tcPr>
            <w:tcW w:w="266" w:type="dxa"/>
            <w:tcBorders>
              <w:top w:val="nil"/>
              <w:left w:val="nil"/>
              <w:bottom w:val="nil"/>
              <w:right w:val="nil"/>
            </w:tcBorders>
            <w:shd w:val="clear" w:color="auto" w:fill="auto"/>
            <w:noWrap/>
            <w:vAlign w:val="bottom"/>
            <w:hideMark/>
          </w:tcPr>
          <w:p w:rsidR="006F7AD6" w:rsidRPr="00A032ED" w:rsidP="00886011" w14:paraId="1E371AFE"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31343B0" w14:textId="77777777">
            <w:pPr>
              <w:widowControl/>
              <w:jc w:val="center"/>
              <w:rPr>
                <w:rFonts w:ascii="Calibri" w:hAnsi="Calibri" w:cs="Calibri"/>
                <w:snapToGrid/>
                <w:kern w:val="0"/>
                <w:szCs w:val="22"/>
              </w:rPr>
            </w:pPr>
            <w:r w:rsidRPr="00A032ED">
              <w:rPr>
                <w:rFonts w:ascii="Calibri" w:hAnsi="Calibri" w:cs="Calibri"/>
                <w:snapToGrid/>
                <w:kern w:val="0"/>
                <w:szCs w:val="22"/>
              </w:rPr>
              <w:t>WTOG</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518805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4,796,964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801704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$34,655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A3D8E1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67FEB1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$37,665 </w:t>
            </w:r>
          </w:p>
        </w:tc>
      </w:tr>
      <w:tr w14:paraId="359E72B7"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E32E4BA" w14:textId="77777777">
            <w:pPr>
              <w:widowControl/>
              <w:jc w:val="center"/>
              <w:rPr>
                <w:rFonts w:ascii="Calibri" w:hAnsi="Calibri" w:cs="Calibri"/>
                <w:snapToGrid/>
                <w:kern w:val="0"/>
                <w:szCs w:val="22"/>
              </w:rPr>
            </w:pPr>
            <w:r w:rsidRPr="00A032ED">
              <w:rPr>
                <w:rFonts w:ascii="Calibri" w:hAnsi="Calibri" w:cs="Calibri"/>
                <w:snapToGrid/>
                <w:kern w:val="0"/>
                <w:szCs w:val="22"/>
              </w:rPr>
              <w:t>WSTE-DT</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17D79E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3,723,967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5BB687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$26,903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1A28DE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42A51B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$15,677 </w:t>
            </w:r>
          </w:p>
        </w:tc>
        <w:tc>
          <w:tcPr>
            <w:tcW w:w="266" w:type="dxa"/>
            <w:tcBorders>
              <w:top w:val="nil"/>
              <w:left w:val="nil"/>
              <w:bottom w:val="nil"/>
              <w:right w:val="nil"/>
            </w:tcBorders>
            <w:shd w:val="clear" w:color="auto" w:fill="auto"/>
            <w:noWrap/>
            <w:vAlign w:val="bottom"/>
            <w:hideMark/>
          </w:tcPr>
          <w:p w:rsidR="006F7AD6" w:rsidRPr="00A032ED" w:rsidP="00886011" w14:paraId="268EF823"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5D211D5" w14:textId="77777777">
            <w:pPr>
              <w:widowControl/>
              <w:jc w:val="center"/>
              <w:rPr>
                <w:rFonts w:ascii="Calibri" w:hAnsi="Calibri" w:cs="Calibri"/>
                <w:snapToGrid/>
                <w:kern w:val="0"/>
                <w:szCs w:val="22"/>
              </w:rPr>
            </w:pPr>
            <w:r w:rsidRPr="00A032ED">
              <w:rPr>
                <w:rFonts w:ascii="Calibri" w:hAnsi="Calibri" w:cs="Calibri"/>
                <w:snapToGrid/>
                <w:kern w:val="0"/>
                <w:szCs w:val="22"/>
              </w:rPr>
              <w:t>WTOK-TV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702FE4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410,134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8E1EB3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$2,963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E08AB5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DA1073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$3,706 </w:t>
            </w:r>
          </w:p>
        </w:tc>
      </w:tr>
      <w:tr w14:paraId="5919E9B9"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AA3B6FE" w14:textId="77777777">
            <w:pPr>
              <w:widowControl/>
              <w:jc w:val="center"/>
              <w:rPr>
                <w:rFonts w:ascii="Calibri" w:hAnsi="Calibri" w:cs="Calibri"/>
                <w:snapToGrid/>
                <w:kern w:val="0"/>
                <w:szCs w:val="22"/>
              </w:rPr>
            </w:pPr>
            <w:r w:rsidRPr="00A032ED">
              <w:rPr>
                <w:rFonts w:ascii="Calibri" w:hAnsi="Calibri" w:cs="Calibri"/>
                <w:snapToGrid/>
                <w:kern w:val="0"/>
                <w:szCs w:val="22"/>
              </w:rPr>
              <w:t>WSTM-TV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5AFDFF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1,458,931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72F578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$10,540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E3D9F4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D131F7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$12,045 </w:t>
            </w:r>
          </w:p>
        </w:tc>
        <w:tc>
          <w:tcPr>
            <w:tcW w:w="266" w:type="dxa"/>
            <w:tcBorders>
              <w:top w:val="nil"/>
              <w:left w:val="nil"/>
              <w:bottom w:val="nil"/>
              <w:right w:val="nil"/>
            </w:tcBorders>
            <w:shd w:val="clear" w:color="auto" w:fill="auto"/>
            <w:noWrap/>
            <w:vAlign w:val="bottom"/>
            <w:hideMark/>
          </w:tcPr>
          <w:p w:rsidR="006F7AD6" w:rsidRPr="00A032ED" w:rsidP="00886011" w14:paraId="11ABAB98"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1E2AE14" w14:textId="77777777">
            <w:pPr>
              <w:widowControl/>
              <w:jc w:val="center"/>
              <w:rPr>
                <w:rFonts w:ascii="Calibri" w:hAnsi="Calibri" w:cs="Calibri"/>
                <w:snapToGrid/>
                <w:kern w:val="0"/>
                <w:szCs w:val="22"/>
              </w:rPr>
            </w:pPr>
            <w:r w:rsidRPr="00A032ED">
              <w:rPr>
                <w:rFonts w:ascii="Calibri" w:hAnsi="Calibri" w:cs="Calibri"/>
                <w:snapToGrid/>
                <w:kern w:val="0"/>
                <w:szCs w:val="22"/>
              </w:rPr>
              <w:t>WTOL</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03CF02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4,184,020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CD625E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$30,227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E789A3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3C1B3C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$21,888 </w:t>
            </w:r>
          </w:p>
        </w:tc>
      </w:tr>
      <w:tr w14:paraId="5A4E2B55"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2284CA7" w14:textId="77777777">
            <w:pPr>
              <w:widowControl/>
              <w:jc w:val="center"/>
              <w:rPr>
                <w:rFonts w:ascii="Calibri" w:hAnsi="Calibri" w:cs="Calibri"/>
                <w:snapToGrid/>
                <w:kern w:val="0"/>
                <w:szCs w:val="22"/>
              </w:rPr>
            </w:pPr>
            <w:r w:rsidRPr="00A032ED">
              <w:rPr>
                <w:rFonts w:ascii="Calibri" w:hAnsi="Calibri" w:cs="Calibri"/>
                <w:snapToGrid/>
                <w:kern w:val="0"/>
                <w:szCs w:val="22"/>
              </w:rPr>
              <w:t>WSTR-TV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F11727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3,252,460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B612A3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$23,497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99DDB9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7FE3EF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$25,323 </w:t>
            </w:r>
          </w:p>
        </w:tc>
        <w:tc>
          <w:tcPr>
            <w:tcW w:w="266" w:type="dxa"/>
            <w:tcBorders>
              <w:top w:val="nil"/>
              <w:left w:val="nil"/>
              <w:bottom w:val="nil"/>
              <w:right w:val="nil"/>
            </w:tcBorders>
            <w:shd w:val="clear" w:color="auto" w:fill="auto"/>
            <w:noWrap/>
            <w:vAlign w:val="bottom"/>
            <w:hideMark/>
          </w:tcPr>
          <w:p w:rsidR="006F7AD6" w:rsidRPr="00A032ED" w:rsidP="00886011" w14:paraId="5FC28762"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4D0ABE5" w14:textId="77777777">
            <w:pPr>
              <w:widowControl/>
              <w:jc w:val="center"/>
              <w:rPr>
                <w:rFonts w:ascii="Calibri" w:hAnsi="Calibri" w:cs="Calibri"/>
                <w:snapToGrid/>
                <w:kern w:val="0"/>
                <w:szCs w:val="22"/>
              </w:rPr>
            </w:pPr>
            <w:r w:rsidRPr="00A032ED">
              <w:rPr>
                <w:rFonts w:ascii="Calibri" w:hAnsi="Calibri" w:cs="Calibri"/>
                <w:snapToGrid/>
                <w:kern w:val="0"/>
                <w:szCs w:val="22"/>
              </w:rPr>
              <w:t>WTOM-TV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45F3C3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83,379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496FE6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$602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FA9794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39E487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$2,526 </w:t>
            </w:r>
          </w:p>
        </w:tc>
      </w:tr>
      <w:tr w14:paraId="57D9ACAD"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3E147A1" w14:textId="77777777">
            <w:pPr>
              <w:widowControl/>
              <w:jc w:val="center"/>
              <w:rPr>
                <w:rFonts w:ascii="Calibri" w:hAnsi="Calibri" w:cs="Calibri"/>
                <w:snapToGrid/>
                <w:kern w:val="0"/>
                <w:szCs w:val="22"/>
              </w:rPr>
            </w:pPr>
            <w:r w:rsidRPr="00A032ED">
              <w:rPr>
                <w:rFonts w:ascii="Calibri" w:hAnsi="Calibri" w:cs="Calibri"/>
                <w:snapToGrid/>
                <w:kern w:val="0"/>
                <w:szCs w:val="22"/>
              </w:rPr>
              <w:t>WSUR-DT</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485A69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3,716,312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6556E3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$26,848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671E8A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AF7431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$15,649 </w:t>
            </w:r>
          </w:p>
        </w:tc>
        <w:tc>
          <w:tcPr>
            <w:tcW w:w="266" w:type="dxa"/>
            <w:tcBorders>
              <w:top w:val="nil"/>
              <w:left w:val="nil"/>
              <w:bottom w:val="nil"/>
              <w:right w:val="nil"/>
            </w:tcBorders>
            <w:shd w:val="clear" w:color="auto" w:fill="auto"/>
            <w:noWrap/>
            <w:vAlign w:val="bottom"/>
            <w:hideMark/>
          </w:tcPr>
          <w:p w:rsidR="006F7AD6" w:rsidRPr="00A032ED" w:rsidP="00886011" w14:paraId="2AD646FD"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96E2C34" w14:textId="77777777">
            <w:pPr>
              <w:widowControl/>
              <w:jc w:val="center"/>
              <w:rPr>
                <w:rFonts w:ascii="Calibri" w:hAnsi="Calibri" w:cs="Calibri"/>
                <w:snapToGrid/>
                <w:kern w:val="0"/>
                <w:szCs w:val="22"/>
              </w:rPr>
            </w:pPr>
            <w:r w:rsidRPr="00A032ED">
              <w:rPr>
                <w:rFonts w:ascii="Calibri" w:hAnsi="Calibri" w:cs="Calibri"/>
                <w:snapToGrid/>
                <w:kern w:val="0"/>
                <w:szCs w:val="22"/>
              </w:rPr>
              <w:t>WTOV-TV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2A2ADF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3,892,886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5F9C0B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$28,124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963055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6D0EB2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$16,287 </w:t>
            </w:r>
          </w:p>
        </w:tc>
      </w:tr>
      <w:tr w14:paraId="7176072B"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4C25891" w14:textId="77777777">
            <w:pPr>
              <w:widowControl/>
              <w:jc w:val="center"/>
              <w:rPr>
                <w:rFonts w:ascii="Calibri" w:hAnsi="Calibri" w:cs="Calibri"/>
                <w:snapToGrid/>
                <w:kern w:val="0"/>
                <w:szCs w:val="22"/>
              </w:rPr>
            </w:pPr>
            <w:r w:rsidRPr="00A032ED">
              <w:rPr>
                <w:rFonts w:ascii="Calibri" w:hAnsi="Calibri" w:cs="Calibri"/>
                <w:snapToGrid/>
                <w:kern w:val="0"/>
                <w:szCs w:val="22"/>
              </w:rPr>
              <w:t>WSVI</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ECC85D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50,601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737A12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$366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C2D843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937382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$2,408 </w:t>
            </w:r>
          </w:p>
        </w:tc>
        <w:tc>
          <w:tcPr>
            <w:tcW w:w="266" w:type="dxa"/>
            <w:tcBorders>
              <w:top w:val="nil"/>
              <w:left w:val="nil"/>
              <w:bottom w:val="nil"/>
              <w:right w:val="nil"/>
            </w:tcBorders>
            <w:shd w:val="clear" w:color="auto" w:fill="auto"/>
            <w:noWrap/>
            <w:vAlign w:val="bottom"/>
            <w:hideMark/>
          </w:tcPr>
          <w:p w:rsidR="006F7AD6" w:rsidRPr="00A032ED" w:rsidP="00886011" w14:paraId="167142A0"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215B88A" w14:textId="77777777">
            <w:pPr>
              <w:widowControl/>
              <w:jc w:val="center"/>
              <w:rPr>
                <w:rFonts w:ascii="Calibri" w:hAnsi="Calibri" w:cs="Calibri"/>
                <w:snapToGrid/>
                <w:kern w:val="0"/>
                <w:szCs w:val="22"/>
              </w:rPr>
            </w:pPr>
            <w:r w:rsidRPr="00A032ED">
              <w:rPr>
                <w:rFonts w:ascii="Calibri" w:hAnsi="Calibri" w:cs="Calibri"/>
                <w:snapToGrid/>
                <w:kern w:val="0"/>
                <w:szCs w:val="22"/>
              </w:rPr>
              <w:t>WTPX-TV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655336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255,972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DA1521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$1,849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0D69F6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4AF3AF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$3,150 </w:t>
            </w:r>
          </w:p>
        </w:tc>
      </w:tr>
      <w:tr w14:paraId="6ECB60DF"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7FDFCF9" w14:textId="77777777">
            <w:pPr>
              <w:widowControl/>
              <w:jc w:val="center"/>
              <w:rPr>
                <w:rFonts w:ascii="Calibri" w:hAnsi="Calibri" w:cs="Calibri"/>
                <w:snapToGrid/>
                <w:kern w:val="0"/>
                <w:szCs w:val="22"/>
              </w:rPr>
            </w:pPr>
            <w:r w:rsidRPr="00A032ED">
              <w:rPr>
                <w:rFonts w:ascii="Calibri" w:hAnsi="Calibri" w:cs="Calibri"/>
                <w:snapToGrid/>
                <w:kern w:val="0"/>
                <w:szCs w:val="22"/>
              </w:rPr>
              <w:t>WSVN</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5DEBC2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5,588,760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CE4893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$40,375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6700E0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3D69AE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$40,525 </w:t>
            </w:r>
          </w:p>
        </w:tc>
        <w:tc>
          <w:tcPr>
            <w:tcW w:w="266" w:type="dxa"/>
            <w:tcBorders>
              <w:top w:val="nil"/>
              <w:left w:val="nil"/>
              <w:bottom w:val="nil"/>
              <w:right w:val="nil"/>
            </w:tcBorders>
            <w:shd w:val="clear" w:color="auto" w:fill="auto"/>
            <w:noWrap/>
            <w:vAlign w:val="bottom"/>
            <w:hideMark/>
          </w:tcPr>
          <w:p w:rsidR="006F7AD6" w:rsidRPr="00A032ED" w:rsidP="00886011" w14:paraId="5B015586"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D3AEC11" w14:textId="77777777">
            <w:pPr>
              <w:widowControl/>
              <w:jc w:val="center"/>
              <w:rPr>
                <w:rFonts w:ascii="Calibri" w:hAnsi="Calibri" w:cs="Calibri"/>
                <w:snapToGrid/>
                <w:kern w:val="0"/>
                <w:szCs w:val="22"/>
              </w:rPr>
            </w:pPr>
            <w:r w:rsidRPr="00A032ED">
              <w:rPr>
                <w:rFonts w:ascii="Calibri" w:hAnsi="Calibri" w:cs="Calibri"/>
                <w:snapToGrid/>
                <w:kern w:val="0"/>
                <w:szCs w:val="22"/>
              </w:rPr>
              <w:t>WTRF-TV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87F21B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2,941,511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03D45A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$21,251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9A58E7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F56C4D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$12,850 </w:t>
            </w:r>
          </w:p>
        </w:tc>
      </w:tr>
      <w:tr w14:paraId="3C333CF1"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B503E54" w14:textId="77777777">
            <w:pPr>
              <w:widowControl/>
              <w:jc w:val="center"/>
              <w:rPr>
                <w:rFonts w:ascii="Calibri" w:hAnsi="Calibri" w:cs="Calibri"/>
                <w:snapToGrid/>
                <w:kern w:val="0"/>
                <w:szCs w:val="22"/>
              </w:rPr>
            </w:pPr>
            <w:r w:rsidRPr="00A032ED">
              <w:rPr>
                <w:rFonts w:ascii="Calibri" w:hAnsi="Calibri" w:cs="Calibri"/>
                <w:snapToGrid/>
                <w:kern w:val="0"/>
                <w:szCs w:val="22"/>
              </w:rPr>
              <w:t>WSWB</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073E4F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1,500,450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923F0B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$10,840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2D732B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4C0745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$12,195 </w:t>
            </w:r>
          </w:p>
        </w:tc>
        <w:tc>
          <w:tcPr>
            <w:tcW w:w="266" w:type="dxa"/>
            <w:tcBorders>
              <w:top w:val="nil"/>
              <w:left w:val="nil"/>
              <w:bottom w:val="nil"/>
              <w:right w:val="nil"/>
            </w:tcBorders>
            <w:shd w:val="clear" w:color="auto" w:fill="auto"/>
            <w:noWrap/>
            <w:vAlign w:val="bottom"/>
            <w:hideMark/>
          </w:tcPr>
          <w:p w:rsidR="006F7AD6" w:rsidRPr="00A032ED" w:rsidP="00886011" w14:paraId="463BDE62"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1CF38F6" w14:textId="77777777">
            <w:pPr>
              <w:widowControl/>
              <w:jc w:val="center"/>
              <w:rPr>
                <w:rFonts w:ascii="Calibri" w:hAnsi="Calibri" w:cs="Calibri"/>
                <w:snapToGrid/>
                <w:kern w:val="0"/>
                <w:szCs w:val="22"/>
              </w:rPr>
            </w:pPr>
            <w:r w:rsidRPr="00A032ED">
              <w:rPr>
                <w:rFonts w:ascii="Calibri" w:hAnsi="Calibri" w:cs="Calibri"/>
                <w:snapToGrid/>
                <w:kern w:val="0"/>
                <w:szCs w:val="22"/>
              </w:rPr>
              <w:t>WTSF</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5C8E34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593,934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6C4C1B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$4,291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548518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26D752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$8,920 </w:t>
            </w:r>
          </w:p>
        </w:tc>
      </w:tr>
      <w:tr w14:paraId="34EA260F"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4B5CE1C" w14:textId="77777777">
            <w:pPr>
              <w:widowControl/>
              <w:jc w:val="center"/>
              <w:rPr>
                <w:rFonts w:ascii="Calibri" w:hAnsi="Calibri" w:cs="Calibri"/>
                <w:snapToGrid/>
                <w:kern w:val="0"/>
                <w:szCs w:val="22"/>
              </w:rPr>
            </w:pPr>
            <w:r w:rsidRPr="00A032ED">
              <w:rPr>
                <w:rFonts w:ascii="Calibri" w:hAnsi="Calibri" w:cs="Calibri"/>
                <w:snapToGrid/>
                <w:kern w:val="0"/>
                <w:szCs w:val="22"/>
              </w:rPr>
              <w:t>WSWG</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DB0C98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363,166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22F690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$2,624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FDDF5F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1328B5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$3,537 </w:t>
            </w:r>
          </w:p>
        </w:tc>
        <w:tc>
          <w:tcPr>
            <w:tcW w:w="266" w:type="dxa"/>
            <w:tcBorders>
              <w:top w:val="nil"/>
              <w:left w:val="nil"/>
              <w:bottom w:val="nil"/>
              <w:right w:val="nil"/>
            </w:tcBorders>
            <w:shd w:val="clear" w:color="auto" w:fill="auto"/>
            <w:noWrap/>
            <w:vAlign w:val="bottom"/>
            <w:hideMark/>
          </w:tcPr>
          <w:p w:rsidR="006F7AD6" w:rsidRPr="00A032ED" w:rsidP="00886011" w14:paraId="1B18EE7D"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681EF61" w14:textId="77777777">
            <w:pPr>
              <w:widowControl/>
              <w:jc w:val="center"/>
              <w:rPr>
                <w:rFonts w:ascii="Calibri" w:hAnsi="Calibri" w:cs="Calibri"/>
                <w:snapToGrid/>
                <w:kern w:val="0"/>
                <w:szCs w:val="22"/>
              </w:rPr>
            </w:pPr>
            <w:r w:rsidRPr="00A032ED">
              <w:rPr>
                <w:rFonts w:ascii="Calibri" w:hAnsi="Calibri" w:cs="Calibri"/>
                <w:snapToGrid/>
                <w:kern w:val="0"/>
                <w:szCs w:val="22"/>
              </w:rPr>
              <w:t>WTSP</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1C9180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116,070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AABC2C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$839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A5CE86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94D48A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$20,757 </w:t>
            </w:r>
          </w:p>
        </w:tc>
      </w:tr>
      <w:tr w14:paraId="73D4B204"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5C2E80A" w14:textId="77777777">
            <w:pPr>
              <w:widowControl/>
              <w:jc w:val="center"/>
              <w:rPr>
                <w:rFonts w:ascii="Calibri" w:hAnsi="Calibri" w:cs="Calibri"/>
                <w:snapToGrid/>
                <w:kern w:val="0"/>
                <w:szCs w:val="22"/>
              </w:rPr>
            </w:pPr>
            <w:r w:rsidRPr="00A032ED">
              <w:rPr>
                <w:rFonts w:ascii="Calibri" w:hAnsi="Calibri" w:cs="Calibri"/>
                <w:snapToGrid/>
                <w:kern w:val="0"/>
                <w:szCs w:val="22"/>
              </w:rPr>
              <w:t>WSYM-TV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14C924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1,516,677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193EAE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$10,957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2A6B22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00D31A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$7,704 </w:t>
            </w:r>
          </w:p>
        </w:tc>
        <w:tc>
          <w:tcPr>
            <w:tcW w:w="266" w:type="dxa"/>
            <w:tcBorders>
              <w:top w:val="nil"/>
              <w:left w:val="nil"/>
              <w:bottom w:val="nil"/>
              <w:right w:val="nil"/>
            </w:tcBorders>
            <w:shd w:val="clear" w:color="auto" w:fill="auto"/>
            <w:noWrap/>
            <w:vAlign w:val="bottom"/>
            <w:hideMark/>
          </w:tcPr>
          <w:p w:rsidR="006F7AD6" w:rsidRPr="00A032ED" w:rsidP="00886011" w14:paraId="65377377"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B559039" w14:textId="77777777">
            <w:pPr>
              <w:widowControl/>
              <w:jc w:val="center"/>
              <w:rPr>
                <w:rFonts w:ascii="Calibri" w:hAnsi="Calibri" w:cs="Calibri"/>
                <w:snapToGrid/>
                <w:kern w:val="0"/>
                <w:szCs w:val="22"/>
              </w:rPr>
            </w:pPr>
            <w:r w:rsidRPr="00A032ED">
              <w:rPr>
                <w:rFonts w:ascii="Calibri" w:hAnsi="Calibri" w:cs="Calibri"/>
                <w:snapToGrid/>
                <w:kern w:val="0"/>
                <w:szCs w:val="22"/>
              </w:rPr>
              <w:t>WTTA</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C8A951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5,450,176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B85E6D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$39,374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AF5F0B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8208D2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$40,025 </w:t>
            </w:r>
          </w:p>
        </w:tc>
      </w:tr>
      <w:tr w14:paraId="0064C990"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1BE25E9" w14:textId="77777777">
            <w:pPr>
              <w:widowControl/>
              <w:jc w:val="center"/>
              <w:rPr>
                <w:rFonts w:ascii="Calibri" w:hAnsi="Calibri" w:cs="Calibri"/>
                <w:snapToGrid/>
                <w:kern w:val="0"/>
                <w:szCs w:val="22"/>
              </w:rPr>
            </w:pPr>
            <w:r w:rsidRPr="00A032ED">
              <w:rPr>
                <w:rFonts w:ascii="Calibri" w:hAnsi="Calibri" w:cs="Calibri"/>
                <w:snapToGrid/>
                <w:kern w:val="0"/>
                <w:szCs w:val="22"/>
              </w:rPr>
              <w:t>WSYR-TV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6C1293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1,329,933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B563CE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$9,608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66C412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20CC5C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$11,579 </w:t>
            </w:r>
          </w:p>
        </w:tc>
        <w:tc>
          <w:tcPr>
            <w:tcW w:w="266" w:type="dxa"/>
            <w:tcBorders>
              <w:top w:val="nil"/>
              <w:left w:val="nil"/>
              <w:bottom w:val="nil"/>
              <w:right w:val="nil"/>
            </w:tcBorders>
            <w:shd w:val="clear" w:color="auto" w:fill="auto"/>
            <w:noWrap/>
            <w:vAlign w:val="bottom"/>
            <w:hideMark/>
          </w:tcPr>
          <w:p w:rsidR="006F7AD6" w:rsidRPr="00A032ED" w:rsidP="00886011" w14:paraId="5F0BE46A"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646AC25" w14:textId="77777777">
            <w:pPr>
              <w:widowControl/>
              <w:jc w:val="center"/>
              <w:rPr>
                <w:rFonts w:ascii="Calibri" w:hAnsi="Calibri" w:cs="Calibri"/>
                <w:snapToGrid/>
                <w:kern w:val="0"/>
                <w:szCs w:val="22"/>
              </w:rPr>
            </w:pPr>
            <w:r w:rsidRPr="00A032ED">
              <w:rPr>
                <w:rFonts w:ascii="Calibri" w:hAnsi="Calibri" w:cs="Calibri"/>
                <w:snapToGrid/>
                <w:kern w:val="0"/>
                <w:szCs w:val="22"/>
              </w:rPr>
              <w:t>WTTE</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046E80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2,636,341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B400D2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$19,046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346D09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EBC145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$23,098 </w:t>
            </w:r>
          </w:p>
        </w:tc>
      </w:tr>
      <w:tr w14:paraId="501446EB"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5955422" w14:textId="77777777">
            <w:pPr>
              <w:widowControl/>
              <w:jc w:val="center"/>
              <w:rPr>
                <w:rFonts w:ascii="Calibri" w:hAnsi="Calibri" w:cs="Calibri"/>
                <w:snapToGrid/>
                <w:kern w:val="0"/>
                <w:szCs w:val="22"/>
              </w:rPr>
            </w:pPr>
            <w:r w:rsidRPr="00A032ED">
              <w:rPr>
                <w:rFonts w:ascii="Calibri" w:hAnsi="Calibri" w:cs="Calibri"/>
                <w:snapToGrid/>
                <w:kern w:val="0"/>
                <w:szCs w:val="22"/>
              </w:rPr>
              <w:t>WSYT</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CC9666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1,878,638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569912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$13,572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DF2269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DBF22C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$13,561 </w:t>
            </w:r>
          </w:p>
        </w:tc>
        <w:tc>
          <w:tcPr>
            <w:tcW w:w="266" w:type="dxa"/>
            <w:tcBorders>
              <w:top w:val="nil"/>
              <w:left w:val="nil"/>
              <w:bottom w:val="nil"/>
              <w:right w:val="nil"/>
            </w:tcBorders>
            <w:shd w:val="clear" w:color="auto" w:fill="auto"/>
            <w:noWrap/>
            <w:vAlign w:val="bottom"/>
            <w:hideMark/>
          </w:tcPr>
          <w:p w:rsidR="006F7AD6" w:rsidRPr="00A032ED" w:rsidP="00886011" w14:paraId="48A627C6"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950BDF5" w14:textId="77777777">
            <w:pPr>
              <w:widowControl/>
              <w:jc w:val="center"/>
              <w:rPr>
                <w:rFonts w:ascii="Calibri" w:hAnsi="Calibri" w:cs="Calibri"/>
                <w:snapToGrid/>
                <w:kern w:val="0"/>
                <w:szCs w:val="22"/>
              </w:rPr>
            </w:pPr>
            <w:r w:rsidRPr="00A032ED">
              <w:rPr>
                <w:rFonts w:ascii="Calibri" w:hAnsi="Calibri" w:cs="Calibri"/>
                <w:snapToGrid/>
                <w:kern w:val="0"/>
                <w:szCs w:val="22"/>
              </w:rPr>
              <w:t>WTTG</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994307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8,070,491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514954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$58,304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1B0BB2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407F37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$56,152 </w:t>
            </w:r>
          </w:p>
        </w:tc>
      </w:tr>
      <w:tr w14:paraId="6F6595CA"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4F176AB" w14:textId="77777777">
            <w:pPr>
              <w:widowControl/>
              <w:jc w:val="center"/>
              <w:rPr>
                <w:rFonts w:ascii="Calibri" w:hAnsi="Calibri" w:cs="Calibri"/>
                <w:snapToGrid/>
                <w:kern w:val="0"/>
                <w:szCs w:val="22"/>
              </w:rPr>
            </w:pPr>
            <w:r w:rsidRPr="00A032ED">
              <w:rPr>
                <w:rFonts w:ascii="Calibri" w:hAnsi="Calibri" w:cs="Calibri"/>
                <w:snapToGrid/>
                <w:kern w:val="0"/>
                <w:szCs w:val="22"/>
              </w:rPr>
              <w:t>WSYX</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E625B0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2,635,937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E4B24B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$19,043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3CD308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1CBFBB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$23,096 </w:t>
            </w:r>
          </w:p>
        </w:tc>
        <w:tc>
          <w:tcPr>
            <w:tcW w:w="266" w:type="dxa"/>
            <w:tcBorders>
              <w:top w:val="nil"/>
              <w:left w:val="nil"/>
              <w:bottom w:val="nil"/>
              <w:right w:val="nil"/>
            </w:tcBorders>
            <w:shd w:val="clear" w:color="auto" w:fill="auto"/>
            <w:noWrap/>
            <w:vAlign w:val="bottom"/>
            <w:hideMark/>
          </w:tcPr>
          <w:p w:rsidR="006F7AD6" w:rsidRPr="00A032ED" w:rsidP="00886011" w14:paraId="298496BD"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E97A2C8" w14:textId="77777777">
            <w:pPr>
              <w:widowControl/>
              <w:jc w:val="center"/>
              <w:rPr>
                <w:rFonts w:ascii="Calibri" w:hAnsi="Calibri" w:cs="Calibri"/>
                <w:snapToGrid/>
                <w:kern w:val="0"/>
                <w:szCs w:val="22"/>
              </w:rPr>
            </w:pPr>
            <w:r w:rsidRPr="00A032ED">
              <w:rPr>
                <w:rFonts w:ascii="Calibri" w:hAnsi="Calibri" w:cs="Calibri"/>
                <w:snapToGrid/>
                <w:kern w:val="0"/>
                <w:szCs w:val="22"/>
              </w:rPr>
              <w:t>WTTK</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A4CAF7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2,817,698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AF550A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$20,356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0234B5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50F1A0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$23,753 </w:t>
            </w:r>
          </w:p>
        </w:tc>
      </w:tr>
      <w:tr w14:paraId="1AA9BBD3"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7306922" w14:textId="77777777">
            <w:pPr>
              <w:widowControl/>
              <w:jc w:val="center"/>
              <w:rPr>
                <w:rFonts w:ascii="Calibri" w:hAnsi="Calibri" w:cs="Calibri"/>
                <w:snapToGrid/>
                <w:kern w:val="0"/>
                <w:szCs w:val="22"/>
              </w:rPr>
            </w:pPr>
            <w:r w:rsidRPr="00A032ED">
              <w:rPr>
                <w:rFonts w:ascii="Calibri" w:hAnsi="Calibri" w:cs="Calibri"/>
                <w:snapToGrid/>
                <w:kern w:val="0"/>
                <w:szCs w:val="22"/>
              </w:rPr>
              <w:t>WTAE-TV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73E15D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1,815,300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3D8C6C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$13,114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E4F7D5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A8753F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$26,895 </w:t>
            </w:r>
          </w:p>
        </w:tc>
        <w:tc>
          <w:tcPr>
            <w:tcW w:w="266" w:type="dxa"/>
            <w:tcBorders>
              <w:top w:val="nil"/>
              <w:left w:val="nil"/>
              <w:bottom w:val="nil"/>
              <w:right w:val="nil"/>
            </w:tcBorders>
            <w:shd w:val="clear" w:color="auto" w:fill="auto"/>
            <w:noWrap/>
            <w:vAlign w:val="bottom"/>
            <w:hideMark/>
          </w:tcPr>
          <w:p w:rsidR="006F7AD6" w:rsidRPr="00A032ED" w:rsidP="00886011" w14:paraId="24ADAFEF"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6431EF2" w14:textId="77777777">
            <w:pPr>
              <w:widowControl/>
              <w:jc w:val="center"/>
              <w:rPr>
                <w:rFonts w:ascii="Calibri" w:hAnsi="Calibri" w:cs="Calibri"/>
                <w:snapToGrid/>
                <w:kern w:val="0"/>
                <w:szCs w:val="22"/>
              </w:rPr>
            </w:pPr>
            <w:r w:rsidRPr="00A032ED">
              <w:rPr>
                <w:rFonts w:ascii="Calibri" w:hAnsi="Calibri" w:cs="Calibri"/>
                <w:snapToGrid/>
                <w:kern w:val="0"/>
                <w:szCs w:val="22"/>
              </w:rPr>
              <w:t>WTTO</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806E97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1,817,151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C36E22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$13,128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08FCCC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7B01F3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$20,139 </w:t>
            </w:r>
          </w:p>
        </w:tc>
      </w:tr>
      <w:tr w14:paraId="1EB8F0DF"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C974E63" w14:textId="77777777">
            <w:pPr>
              <w:widowControl/>
              <w:jc w:val="center"/>
              <w:rPr>
                <w:rFonts w:ascii="Calibri" w:hAnsi="Calibri" w:cs="Calibri"/>
                <w:snapToGrid/>
                <w:kern w:val="0"/>
                <w:szCs w:val="22"/>
              </w:rPr>
            </w:pPr>
            <w:r w:rsidRPr="00A032ED">
              <w:rPr>
                <w:rFonts w:ascii="Calibri" w:hAnsi="Calibri" w:cs="Calibri"/>
                <w:snapToGrid/>
                <w:kern w:val="0"/>
                <w:szCs w:val="22"/>
              </w:rPr>
              <w:t>WTAJ-TV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3A729C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1,080,523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EFA438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$7,806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1FC9D0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32013D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$6,128 </w:t>
            </w:r>
          </w:p>
        </w:tc>
        <w:tc>
          <w:tcPr>
            <w:tcW w:w="266" w:type="dxa"/>
            <w:tcBorders>
              <w:top w:val="nil"/>
              <w:left w:val="nil"/>
              <w:bottom w:val="nil"/>
              <w:right w:val="nil"/>
            </w:tcBorders>
            <w:shd w:val="clear" w:color="auto" w:fill="auto"/>
            <w:noWrap/>
            <w:vAlign w:val="bottom"/>
            <w:hideMark/>
          </w:tcPr>
          <w:p w:rsidR="006F7AD6" w:rsidRPr="00A032ED" w:rsidP="00886011" w14:paraId="00A60F47"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DA4C70C" w14:textId="77777777">
            <w:pPr>
              <w:widowControl/>
              <w:jc w:val="center"/>
              <w:rPr>
                <w:rFonts w:ascii="Calibri" w:hAnsi="Calibri" w:cs="Calibri"/>
                <w:snapToGrid/>
                <w:kern w:val="0"/>
                <w:szCs w:val="22"/>
              </w:rPr>
            </w:pPr>
            <w:r w:rsidRPr="00A032ED">
              <w:rPr>
                <w:rFonts w:ascii="Calibri" w:hAnsi="Calibri" w:cs="Calibri"/>
                <w:snapToGrid/>
                <w:kern w:val="0"/>
                <w:szCs w:val="22"/>
              </w:rPr>
              <w:t>WTTV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575074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2,362,145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5A5C3A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$17,065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34FBDB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52E5D2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$22,108 </w:t>
            </w:r>
          </w:p>
        </w:tc>
      </w:tr>
      <w:tr w14:paraId="40F438E8"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7FD61F8" w14:textId="77777777">
            <w:pPr>
              <w:widowControl/>
              <w:jc w:val="center"/>
              <w:rPr>
                <w:rFonts w:ascii="Calibri" w:hAnsi="Calibri" w:cs="Calibri"/>
                <w:snapToGrid/>
                <w:kern w:val="0"/>
                <w:szCs w:val="22"/>
              </w:rPr>
            </w:pPr>
            <w:r w:rsidRPr="00A032ED">
              <w:rPr>
                <w:rFonts w:ascii="Calibri" w:hAnsi="Calibri" w:cs="Calibri"/>
                <w:snapToGrid/>
                <w:kern w:val="0"/>
                <w:szCs w:val="22"/>
              </w:rPr>
              <w:t>WTAP-TV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EA4417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472,761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E70019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$3,415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9F9E0C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23069B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$3,933 </w:t>
            </w:r>
          </w:p>
        </w:tc>
        <w:tc>
          <w:tcPr>
            <w:tcW w:w="266" w:type="dxa"/>
            <w:tcBorders>
              <w:top w:val="nil"/>
              <w:left w:val="nil"/>
              <w:bottom w:val="nil"/>
              <w:right w:val="nil"/>
            </w:tcBorders>
            <w:shd w:val="clear" w:color="auto" w:fill="auto"/>
            <w:noWrap/>
            <w:vAlign w:val="bottom"/>
            <w:hideMark/>
          </w:tcPr>
          <w:p w:rsidR="006F7AD6" w:rsidRPr="00A032ED" w:rsidP="00886011" w14:paraId="56535E67"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7596A9C" w14:textId="77777777">
            <w:pPr>
              <w:widowControl/>
              <w:jc w:val="center"/>
              <w:rPr>
                <w:rFonts w:ascii="Calibri" w:hAnsi="Calibri" w:cs="Calibri"/>
                <w:snapToGrid/>
                <w:kern w:val="0"/>
                <w:szCs w:val="22"/>
              </w:rPr>
            </w:pPr>
            <w:r w:rsidRPr="00A032ED">
              <w:rPr>
                <w:rFonts w:ascii="Calibri" w:hAnsi="Calibri" w:cs="Calibri"/>
                <w:snapToGrid/>
                <w:kern w:val="0"/>
                <w:szCs w:val="22"/>
              </w:rPr>
              <w:t>WTTW</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C5BD0A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9,729,982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960FC7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$70,293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8C28B5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A6788B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$62,146 </w:t>
            </w:r>
          </w:p>
        </w:tc>
      </w:tr>
      <w:tr w14:paraId="3BF6C52A"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437FC1D" w14:textId="77777777">
            <w:pPr>
              <w:widowControl/>
              <w:jc w:val="center"/>
              <w:rPr>
                <w:rFonts w:ascii="Calibri" w:hAnsi="Calibri" w:cs="Calibri"/>
                <w:snapToGrid/>
                <w:kern w:val="0"/>
                <w:szCs w:val="22"/>
              </w:rPr>
            </w:pPr>
            <w:r w:rsidRPr="00A032ED">
              <w:rPr>
                <w:rFonts w:ascii="Calibri" w:hAnsi="Calibri" w:cs="Calibri"/>
                <w:snapToGrid/>
                <w:kern w:val="0"/>
                <w:szCs w:val="22"/>
              </w:rPr>
              <w:t>WTAT-TV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2CFCA9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1,153,279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89BC59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$8,332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AF9122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03AD84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$10,941 </w:t>
            </w:r>
          </w:p>
        </w:tc>
        <w:tc>
          <w:tcPr>
            <w:tcW w:w="266" w:type="dxa"/>
            <w:tcBorders>
              <w:top w:val="nil"/>
              <w:left w:val="nil"/>
              <w:bottom w:val="nil"/>
              <w:right w:val="nil"/>
            </w:tcBorders>
            <w:shd w:val="clear" w:color="auto" w:fill="auto"/>
            <w:noWrap/>
            <w:vAlign w:val="bottom"/>
            <w:hideMark/>
          </w:tcPr>
          <w:p w:rsidR="006F7AD6" w:rsidRPr="00A032ED" w:rsidP="00886011" w14:paraId="5C891CA0"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31BFC5F" w14:textId="77777777">
            <w:pPr>
              <w:widowControl/>
              <w:jc w:val="center"/>
              <w:rPr>
                <w:rFonts w:ascii="Calibri" w:hAnsi="Calibri" w:cs="Calibri"/>
                <w:snapToGrid/>
                <w:kern w:val="0"/>
                <w:szCs w:val="22"/>
              </w:rPr>
            </w:pPr>
            <w:r w:rsidRPr="00A032ED">
              <w:rPr>
                <w:rFonts w:ascii="Calibri" w:hAnsi="Calibri" w:cs="Calibri"/>
                <w:snapToGrid/>
                <w:kern w:val="0"/>
                <w:szCs w:val="22"/>
              </w:rPr>
              <w:t>WTVA</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3AD7E9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717,035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1DF060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$5,180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3F829B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26446A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$4,815 </w:t>
            </w:r>
          </w:p>
        </w:tc>
      </w:tr>
      <w:tr w14:paraId="6FAEE3F2"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4F6AFF5" w14:textId="77777777">
            <w:pPr>
              <w:widowControl/>
              <w:jc w:val="center"/>
              <w:rPr>
                <w:rFonts w:ascii="Calibri" w:hAnsi="Calibri" w:cs="Calibri"/>
                <w:snapToGrid/>
                <w:kern w:val="0"/>
                <w:szCs w:val="22"/>
              </w:rPr>
            </w:pPr>
            <w:r w:rsidRPr="00A032ED">
              <w:rPr>
                <w:rFonts w:ascii="Calibri" w:hAnsi="Calibri" w:cs="Calibri"/>
                <w:snapToGrid/>
                <w:kern w:val="0"/>
                <w:szCs w:val="22"/>
              </w:rPr>
              <w:t>WTCE-TV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6C8F95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2,600,584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713107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$18,788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16BA17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91E0BD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$22,969 </w:t>
            </w:r>
          </w:p>
        </w:tc>
        <w:tc>
          <w:tcPr>
            <w:tcW w:w="266" w:type="dxa"/>
            <w:tcBorders>
              <w:top w:val="nil"/>
              <w:left w:val="nil"/>
              <w:bottom w:val="nil"/>
              <w:right w:val="nil"/>
            </w:tcBorders>
            <w:shd w:val="clear" w:color="auto" w:fill="auto"/>
            <w:noWrap/>
            <w:vAlign w:val="bottom"/>
            <w:hideMark/>
          </w:tcPr>
          <w:p w:rsidR="006F7AD6" w:rsidRPr="00A032ED" w:rsidP="00886011" w14:paraId="10B977D3"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6369406" w14:textId="77777777">
            <w:pPr>
              <w:widowControl/>
              <w:jc w:val="center"/>
              <w:rPr>
                <w:rFonts w:ascii="Calibri" w:hAnsi="Calibri" w:cs="Calibri"/>
                <w:snapToGrid/>
                <w:kern w:val="0"/>
                <w:szCs w:val="22"/>
              </w:rPr>
            </w:pPr>
            <w:r w:rsidRPr="00A032ED">
              <w:rPr>
                <w:rFonts w:ascii="Calibri" w:hAnsi="Calibri" w:cs="Calibri"/>
                <w:snapToGrid/>
                <w:kern w:val="0"/>
                <w:szCs w:val="22"/>
              </w:rPr>
              <w:t>WTVC</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6D970C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1,579,628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EC7C6B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$11,412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11F97E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413339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$12,481 </w:t>
            </w:r>
          </w:p>
        </w:tc>
      </w:tr>
      <w:tr w14:paraId="5FA15706"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36BAEAE" w14:textId="77777777">
            <w:pPr>
              <w:widowControl/>
              <w:jc w:val="center"/>
              <w:rPr>
                <w:rFonts w:ascii="Calibri" w:hAnsi="Calibri" w:cs="Calibri"/>
                <w:snapToGrid/>
                <w:kern w:val="0"/>
                <w:szCs w:val="22"/>
              </w:rPr>
            </w:pPr>
            <w:r w:rsidRPr="00A032ED">
              <w:rPr>
                <w:rFonts w:ascii="Calibri" w:hAnsi="Calibri" w:cs="Calibri"/>
                <w:snapToGrid/>
                <w:kern w:val="0"/>
                <w:szCs w:val="22"/>
              </w:rPr>
              <w:t>WTEN</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519151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1,768,667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E4BD37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$12,778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DFBBB6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D51CD2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$13,164 </w:t>
            </w:r>
          </w:p>
        </w:tc>
        <w:tc>
          <w:tcPr>
            <w:tcW w:w="266" w:type="dxa"/>
            <w:tcBorders>
              <w:top w:val="nil"/>
              <w:left w:val="nil"/>
              <w:bottom w:val="nil"/>
              <w:right w:val="nil"/>
            </w:tcBorders>
            <w:shd w:val="clear" w:color="auto" w:fill="auto"/>
            <w:noWrap/>
            <w:vAlign w:val="bottom"/>
            <w:hideMark/>
          </w:tcPr>
          <w:p w:rsidR="006F7AD6" w:rsidRPr="00A032ED" w:rsidP="00886011" w14:paraId="2637ACAE"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0E85771" w14:textId="77777777">
            <w:pPr>
              <w:widowControl/>
              <w:jc w:val="center"/>
              <w:rPr>
                <w:rFonts w:ascii="Calibri" w:hAnsi="Calibri" w:cs="Calibri"/>
                <w:snapToGrid/>
                <w:kern w:val="0"/>
                <w:szCs w:val="22"/>
              </w:rPr>
            </w:pPr>
            <w:r w:rsidRPr="00A032ED">
              <w:rPr>
                <w:rFonts w:ascii="Calibri" w:hAnsi="Calibri" w:cs="Calibri"/>
                <w:snapToGrid/>
                <w:kern w:val="0"/>
                <w:szCs w:val="22"/>
              </w:rPr>
              <w:t>WTVD</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C6F67C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4,012,851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8ED6CC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$28,990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772D13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AD0999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$34,833 </w:t>
            </w:r>
          </w:p>
        </w:tc>
      </w:tr>
      <w:tr w14:paraId="1566F8DA"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B94764B" w14:textId="77777777">
            <w:pPr>
              <w:widowControl/>
              <w:jc w:val="center"/>
              <w:rPr>
                <w:rFonts w:ascii="Calibri" w:hAnsi="Calibri" w:cs="Calibri"/>
                <w:snapToGrid/>
                <w:kern w:val="0"/>
                <w:szCs w:val="22"/>
              </w:rPr>
            </w:pPr>
            <w:r w:rsidRPr="00A032ED">
              <w:rPr>
                <w:rFonts w:ascii="Calibri" w:hAnsi="Calibri" w:cs="Calibri"/>
                <w:snapToGrid/>
                <w:kern w:val="0"/>
                <w:szCs w:val="22"/>
              </w:rPr>
              <w:t>WTGS</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98AF16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967,792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25C450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$6,992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8CFF48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CE3DB1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$10,271 </w:t>
            </w:r>
          </w:p>
        </w:tc>
        <w:tc>
          <w:tcPr>
            <w:tcW w:w="266" w:type="dxa"/>
            <w:tcBorders>
              <w:top w:val="nil"/>
              <w:left w:val="nil"/>
              <w:bottom w:val="nil"/>
              <w:right w:val="nil"/>
            </w:tcBorders>
            <w:shd w:val="clear" w:color="auto" w:fill="auto"/>
            <w:noWrap/>
            <w:vAlign w:val="bottom"/>
            <w:hideMark/>
          </w:tcPr>
          <w:p w:rsidR="006F7AD6" w:rsidRPr="00A032ED" w:rsidP="00886011" w14:paraId="5C591D94"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1D0AC40" w14:textId="77777777">
            <w:pPr>
              <w:widowControl/>
              <w:jc w:val="center"/>
              <w:rPr>
                <w:rFonts w:ascii="Calibri" w:hAnsi="Calibri" w:cs="Calibri"/>
                <w:snapToGrid/>
                <w:kern w:val="0"/>
                <w:szCs w:val="22"/>
              </w:rPr>
            </w:pPr>
            <w:r w:rsidRPr="00A032ED">
              <w:rPr>
                <w:rFonts w:ascii="Calibri" w:hAnsi="Calibri" w:cs="Calibri"/>
                <w:snapToGrid/>
                <w:kern w:val="0"/>
                <w:szCs w:val="22"/>
              </w:rPr>
              <w:t>WTVF</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D6D0C4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1,839,337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B7C273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$13,288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4F9C17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C7F297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$20,219 </w:t>
            </w:r>
          </w:p>
        </w:tc>
      </w:tr>
      <w:tr w14:paraId="40C0FD98"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A657A45" w14:textId="77777777">
            <w:pPr>
              <w:widowControl/>
              <w:jc w:val="center"/>
              <w:rPr>
                <w:rFonts w:ascii="Calibri" w:hAnsi="Calibri" w:cs="Calibri"/>
                <w:snapToGrid/>
                <w:kern w:val="0"/>
                <w:szCs w:val="22"/>
              </w:rPr>
            </w:pPr>
            <w:r w:rsidRPr="00A032ED">
              <w:rPr>
                <w:rFonts w:ascii="Calibri" w:hAnsi="Calibri" w:cs="Calibri"/>
                <w:snapToGrid/>
                <w:kern w:val="0"/>
                <w:szCs w:val="22"/>
              </w:rPr>
              <w:t>WTHI-TV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2106FF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928,934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BA390A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$6,711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CF1F6B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991C6D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$5,580 </w:t>
            </w:r>
          </w:p>
        </w:tc>
        <w:tc>
          <w:tcPr>
            <w:tcW w:w="266" w:type="dxa"/>
            <w:tcBorders>
              <w:top w:val="nil"/>
              <w:left w:val="nil"/>
              <w:bottom w:val="nil"/>
              <w:right w:val="nil"/>
            </w:tcBorders>
            <w:shd w:val="clear" w:color="auto" w:fill="auto"/>
            <w:noWrap/>
            <w:vAlign w:val="bottom"/>
            <w:hideMark/>
          </w:tcPr>
          <w:p w:rsidR="006F7AD6" w:rsidRPr="00A032ED" w:rsidP="00886011" w14:paraId="0885ADD4"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B6A4655" w14:textId="77777777">
            <w:pPr>
              <w:widowControl/>
              <w:jc w:val="center"/>
              <w:rPr>
                <w:rFonts w:ascii="Calibri" w:hAnsi="Calibri" w:cs="Calibri"/>
                <w:snapToGrid/>
                <w:kern w:val="0"/>
                <w:szCs w:val="22"/>
              </w:rPr>
            </w:pPr>
            <w:r w:rsidRPr="00A032ED">
              <w:rPr>
                <w:rFonts w:ascii="Calibri" w:hAnsi="Calibri" w:cs="Calibri"/>
                <w:snapToGrid/>
                <w:kern w:val="0"/>
                <w:szCs w:val="22"/>
              </w:rPr>
              <w:t>WTVG</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718D3B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4,274,274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E7EED1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$30,879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65A94D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C0D2E9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$22,214 </w:t>
            </w:r>
          </w:p>
        </w:tc>
      </w:tr>
      <w:tr w14:paraId="0F8E469C"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6CD8689" w14:textId="77777777">
            <w:pPr>
              <w:widowControl/>
              <w:jc w:val="center"/>
              <w:rPr>
                <w:rFonts w:ascii="Calibri" w:hAnsi="Calibri" w:cs="Calibri"/>
                <w:snapToGrid/>
                <w:kern w:val="0"/>
                <w:szCs w:val="22"/>
              </w:rPr>
            </w:pPr>
            <w:r w:rsidRPr="00A032ED">
              <w:rPr>
                <w:rFonts w:ascii="Calibri" w:hAnsi="Calibri" w:cs="Calibri"/>
                <w:snapToGrid/>
                <w:kern w:val="0"/>
                <w:szCs w:val="22"/>
              </w:rPr>
              <w:t>WTHR</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5AF193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2,988,174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96694C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$21,588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F66EC5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A86839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$24,369 </w:t>
            </w:r>
          </w:p>
        </w:tc>
        <w:tc>
          <w:tcPr>
            <w:tcW w:w="266" w:type="dxa"/>
            <w:tcBorders>
              <w:top w:val="nil"/>
              <w:left w:val="nil"/>
              <w:bottom w:val="nil"/>
              <w:right w:val="nil"/>
            </w:tcBorders>
            <w:shd w:val="clear" w:color="auto" w:fill="auto"/>
            <w:noWrap/>
            <w:vAlign w:val="bottom"/>
            <w:hideMark/>
          </w:tcPr>
          <w:p w:rsidR="006F7AD6" w:rsidRPr="00A032ED" w:rsidP="00886011" w14:paraId="3573804A"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B0D6C74" w14:textId="77777777">
            <w:pPr>
              <w:widowControl/>
              <w:jc w:val="center"/>
              <w:rPr>
                <w:rFonts w:ascii="Calibri" w:hAnsi="Calibri" w:cs="Calibri"/>
                <w:snapToGrid/>
                <w:kern w:val="0"/>
                <w:szCs w:val="22"/>
              </w:rPr>
            </w:pPr>
            <w:r w:rsidRPr="00A032ED">
              <w:rPr>
                <w:rFonts w:ascii="Calibri" w:hAnsi="Calibri" w:cs="Calibri"/>
                <w:snapToGrid/>
                <w:kern w:val="0"/>
                <w:szCs w:val="22"/>
              </w:rPr>
              <w:t>WTVH</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D06624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1,350,223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8F40F5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$9,755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5FE1BA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077D0B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$11,652 </w:t>
            </w:r>
          </w:p>
        </w:tc>
      </w:tr>
      <w:tr w14:paraId="61183790"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0379182" w14:textId="77777777">
            <w:pPr>
              <w:widowControl/>
              <w:jc w:val="center"/>
              <w:rPr>
                <w:rFonts w:ascii="Calibri" w:hAnsi="Calibri" w:cs="Calibri"/>
                <w:snapToGrid/>
                <w:kern w:val="0"/>
                <w:szCs w:val="22"/>
              </w:rPr>
            </w:pPr>
            <w:r w:rsidRPr="00A032ED">
              <w:rPr>
                <w:rFonts w:ascii="Calibri" w:hAnsi="Calibri" w:cs="Calibri"/>
                <w:snapToGrid/>
                <w:kern w:val="0"/>
                <w:szCs w:val="22"/>
              </w:rPr>
              <w:t>WTIC-TV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ED60E7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5,314,290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4F5D27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$38,392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5989E0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AF49C7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$32,771 </w:t>
            </w:r>
          </w:p>
        </w:tc>
        <w:tc>
          <w:tcPr>
            <w:tcW w:w="266" w:type="dxa"/>
            <w:tcBorders>
              <w:top w:val="nil"/>
              <w:left w:val="nil"/>
              <w:bottom w:val="nil"/>
              <w:right w:val="nil"/>
            </w:tcBorders>
            <w:shd w:val="clear" w:color="auto" w:fill="auto"/>
            <w:noWrap/>
            <w:vAlign w:val="bottom"/>
            <w:hideMark/>
          </w:tcPr>
          <w:p w:rsidR="006F7AD6" w:rsidRPr="00A032ED" w:rsidP="00886011" w14:paraId="05223940"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CFB0772" w14:textId="77777777">
            <w:pPr>
              <w:widowControl/>
              <w:jc w:val="center"/>
              <w:rPr>
                <w:rFonts w:ascii="Calibri" w:hAnsi="Calibri" w:cs="Calibri"/>
                <w:snapToGrid/>
                <w:kern w:val="0"/>
                <w:szCs w:val="22"/>
              </w:rPr>
            </w:pPr>
            <w:r w:rsidRPr="00A032ED">
              <w:rPr>
                <w:rFonts w:ascii="Calibri" w:hAnsi="Calibri" w:cs="Calibri"/>
                <w:snapToGrid/>
                <w:kern w:val="0"/>
                <w:szCs w:val="22"/>
              </w:rPr>
              <w:t>WTVI</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55966E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2,853,540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1CE42A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$20,615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0DFCF1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519928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$30,645 </w:t>
            </w:r>
          </w:p>
        </w:tc>
      </w:tr>
      <w:tr w14:paraId="1DAB0039"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9187CD1" w14:textId="77777777">
            <w:pPr>
              <w:widowControl/>
              <w:jc w:val="center"/>
              <w:rPr>
                <w:rFonts w:ascii="Calibri" w:hAnsi="Calibri" w:cs="Calibri"/>
                <w:snapToGrid/>
                <w:kern w:val="0"/>
                <w:szCs w:val="22"/>
              </w:rPr>
            </w:pPr>
            <w:r w:rsidRPr="00A032ED">
              <w:rPr>
                <w:rFonts w:ascii="Calibri" w:hAnsi="Calibri" w:cs="Calibri"/>
                <w:snapToGrid/>
                <w:kern w:val="0"/>
                <w:szCs w:val="22"/>
              </w:rPr>
              <w:t>WTIN-TV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B795CD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3,714,547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9EC0C0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$26,835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F95896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6C45A9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$15,643 </w:t>
            </w:r>
          </w:p>
        </w:tc>
        <w:tc>
          <w:tcPr>
            <w:tcW w:w="266" w:type="dxa"/>
            <w:tcBorders>
              <w:top w:val="nil"/>
              <w:left w:val="nil"/>
              <w:bottom w:val="nil"/>
              <w:right w:val="nil"/>
            </w:tcBorders>
            <w:shd w:val="clear" w:color="auto" w:fill="auto"/>
            <w:noWrap/>
            <w:vAlign w:val="bottom"/>
            <w:hideMark/>
          </w:tcPr>
          <w:p w:rsidR="006F7AD6" w:rsidRPr="00A032ED" w:rsidP="00886011" w14:paraId="05D3C1C7"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7BD92E3" w14:textId="77777777">
            <w:pPr>
              <w:widowControl/>
              <w:jc w:val="center"/>
              <w:rPr>
                <w:rFonts w:ascii="Calibri" w:hAnsi="Calibri" w:cs="Calibri"/>
                <w:snapToGrid/>
                <w:kern w:val="0"/>
                <w:szCs w:val="22"/>
              </w:rPr>
            </w:pPr>
            <w:r w:rsidRPr="00A032ED">
              <w:rPr>
                <w:rFonts w:ascii="Calibri" w:hAnsi="Calibri" w:cs="Calibri"/>
                <w:snapToGrid/>
                <w:kern w:val="0"/>
                <w:szCs w:val="22"/>
              </w:rPr>
              <w:t>WTVJ</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EB8CCA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5,458,451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29019B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$39,434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D37E67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4911A4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$40,054 </w:t>
            </w:r>
          </w:p>
        </w:tc>
      </w:tr>
      <w:tr w14:paraId="5AD0C1D1"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4345509" w14:textId="77777777">
            <w:pPr>
              <w:widowControl/>
              <w:jc w:val="center"/>
              <w:rPr>
                <w:rFonts w:ascii="Calibri" w:hAnsi="Calibri" w:cs="Calibri"/>
                <w:snapToGrid/>
                <w:kern w:val="0"/>
                <w:szCs w:val="22"/>
              </w:rPr>
            </w:pPr>
            <w:r w:rsidRPr="00A032ED">
              <w:rPr>
                <w:rFonts w:ascii="Calibri" w:hAnsi="Calibri" w:cs="Calibri"/>
                <w:snapToGrid/>
                <w:kern w:val="0"/>
                <w:szCs w:val="22"/>
              </w:rPr>
              <w:t>WTKR</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6AF1B4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2,142,272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6B73B6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$15,477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E6FB85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F00939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$21,313 </w:t>
            </w:r>
          </w:p>
        </w:tc>
        <w:tc>
          <w:tcPr>
            <w:tcW w:w="266" w:type="dxa"/>
            <w:tcBorders>
              <w:top w:val="nil"/>
              <w:left w:val="nil"/>
              <w:bottom w:val="nil"/>
              <w:right w:val="nil"/>
            </w:tcBorders>
            <w:shd w:val="clear" w:color="auto" w:fill="auto"/>
            <w:noWrap/>
            <w:vAlign w:val="bottom"/>
            <w:hideMark/>
          </w:tcPr>
          <w:p w:rsidR="006F7AD6" w:rsidRPr="00A032ED" w:rsidP="00886011" w14:paraId="542BC0FB"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D973A05" w14:textId="77777777">
            <w:pPr>
              <w:widowControl/>
              <w:jc w:val="center"/>
              <w:rPr>
                <w:rFonts w:ascii="Calibri" w:hAnsi="Calibri" w:cs="Calibri"/>
                <w:snapToGrid/>
                <w:kern w:val="0"/>
                <w:szCs w:val="22"/>
              </w:rPr>
            </w:pPr>
            <w:r w:rsidRPr="00A032ED">
              <w:rPr>
                <w:rFonts w:ascii="Calibri" w:hAnsi="Calibri" w:cs="Calibri"/>
                <w:snapToGrid/>
                <w:kern w:val="0"/>
                <w:szCs w:val="22"/>
              </w:rPr>
              <w:t>WTVM</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D99ADA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1,498,667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BA8BA3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$10,827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2FC86D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CCD4B5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$7,638 </w:t>
            </w:r>
          </w:p>
        </w:tc>
      </w:tr>
      <w:tr w14:paraId="198143AB"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5A86504" w14:textId="77777777">
            <w:pPr>
              <w:widowControl/>
              <w:jc w:val="center"/>
              <w:rPr>
                <w:rFonts w:ascii="Calibri" w:hAnsi="Calibri" w:cs="Calibri"/>
                <w:snapToGrid/>
                <w:kern w:val="0"/>
                <w:szCs w:val="22"/>
              </w:rPr>
            </w:pPr>
            <w:r w:rsidRPr="00A032ED">
              <w:rPr>
                <w:rFonts w:ascii="Calibri" w:hAnsi="Calibri" w:cs="Calibri"/>
                <w:snapToGrid/>
                <w:kern w:val="0"/>
                <w:szCs w:val="22"/>
              </w:rPr>
              <w:t>WTLF</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838081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349,696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89C538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$2,526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03DE40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1617C9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$3,488 </w:t>
            </w:r>
          </w:p>
        </w:tc>
        <w:tc>
          <w:tcPr>
            <w:tcW w:w="266" w:type="dxa"/>
            <w:tcBorders>
              <w:top w:val="nil"/>
              <w:left w:val="nil"/>
              <w:bottom w:val="nil"/>
              <w:right w:val="nil"/>
            </w:tcBorders>
            <w:shd w:val="clear" w:color="auto" w:fill="auto"/>
            <w:noWrap/>
            <w:vAlign w:val="bottom"/>
            <w:hideMark/>
          </w:tcPr>
          <w:p w:rsidR="006F7AD6" w:rsidRPr="00A032ED" w:rsidP="00886011" w14:paraId="33F49DF8"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A5CFE06" w14:textId="77777777">
            <w:pPr>
              <w:widowControl/>
              <w:jc w:val="center"/>
              <w:rPr>
                <w:rFonts w:ascii="Calibri" w:hAnsi="Calibri" w:cs="Calibri"/>
                <w:snapToGrid/>
                <w:kern w:val="0"/>
                <w:szCs w:val="22"/>
              </w:rPr>
            </w:pPr>
            <w:r w:rsidRPr="00A032ED">
              <w:rPr>
                <w:rFonts w:ascii="Calibri" w:hAnsi="Calibri" w:cs="Calibri"/>
                <w:snapToGrid/>
                <w:kern w:val="0"/>
                <w:szCs w:val="22"/>
              </w:rPr>
              <w:t>WTVO</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C89F83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1,409,708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404D74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$10,184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8C3DC1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CDE5C2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$7,317 </w:t>
            </w:r>
          </w:p>
        </w:tc>
      </w:tr>
      <w:tr w14:paraId="3D5B7E56"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F0DBD42" w14:textId="77777777">
            <w:pPr>
              <w:widowControl/>
              <w:jc w:val="center"/>
              <w:rPr>
                <w:rFonts w:ascii="Calibri" w:hAnsi="Calibri" w:cs="Calibri"/>
                <w:snapToGrid/>
                <w:kern w:val="0"/>
                <w:szCs w:val="22"/>
              </w:rPr>
            </w:pPr>
            <w:r w:rsidRPr="00A032ED">
              <w:rPr>
                <w:rFonts w:ascii="Calibri" w:hAnsi="Calibri" w:cs="Calibri"/>
                <w:snapToGrid/>
                <w:kern w:val="0"/>
                <w:szCs w:val="22"/>
              </w:rPr>
              <w:t>WTLH</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D22410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1,038,086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62672C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$7,500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C0E1B1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4319F7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$5,975 </w:t>
            </w:r>
          </w:p>
        </w:tc>
        <w:tc>
          <w:tcPr>
            <w:tcW w:w="266" w:type="dxa"/>
            <w:tcBorders>
              <w:top w:val="nil"/>
              <w:left w:val="nil"/>
              <w:bottom w:val="nil"/>
              <w:right w:val="nil"/>
            </w:tcBorders>
            <w:shd w:val="clear" w:color="auto" w:fill="auto"/>
            <w:noWrap/>
            <w:vAlign w:val="bottom"/>
            <w:hideMark/>
          </w:tcPr>
          <w:p w:rsidR="006F7AD6" w:rsidRPr="00A032ED" w:rsidP="00886011" w14:paraId="0EC0545B"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370E7A7" w14:textId="77777777">
            <w:pPr>
              <w:widowControl/>
              <w:jc w:val="center"/>
              <w:rPr>
                <w:rFonts w:ascii="Calibri" w:hAnsi="Calibri" w:cs="Calibri"/>
                <w:snapToGrid/>
                <w:kern w:val="0"/>
                <w:szCs w:val="22"/>
              </w:rPr>
            </w:pPr>
            <w:r w:rsidRPr="00A032ED">
              <w:rPr>
                <w:rFonts w:ascii="Calibri" w:hAnsi="Calibri" w:cs="Calibri"/>
                <w:snapToGrid/>
                <w:kern w:val="0"/>
                <w:szCs w:val="22"/>
              </w:rPr>
              <w:t>WTVQ-DT</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D7394D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989,180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620AA4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$7,146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E325BC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CF7113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$10,348 </w:t>
            </w:r>
          </w:p>
        </w:tc>
      </w:tr>
      <w:tr w14:paraId="73C16205"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A0A748B" w14:textId="77777777">
            <w:pPr>
              <w:widowControl/>
              <w:jc w:val="center"/>
              <w:rPr>
                <w:rFonts w:ascii="Calibri" w:hAnsi="Calibri" w:cs="Calibri"/>
                <w:snapToGrid/>
                <w:kern w:val="0"/>
                <w:szCs w:val="22"/>
              </w:rPr>
            </w:pPr>
            <w:r w:rsidRPr="00A032ED">
              <w:rPr>
                <w:rFonts w:ascii="Calibri" w:hAnsi="Calibri" w:cs="Calibri"/>
                <w:snapToGrid/>
                <w:kern w:val="0"/>
                <w:szCs w:val="22"/>
              </w:rPr>
              <w:t>WTLJ</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E25E76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1,622,365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F2ABA9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$11,721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5446BB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CE6702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$19,435 </w:t>
            </w:r>
          </w:p>
        </w:tc>
        <w:tc>
          <w:tcPr>
            <w:tcW w:w="266" w:type="dxa"/>
            <w:tcBorders>
              <w:top w:val="nil"/>
              <w:left w:val="nil"/>
              <w:bottom w:val="nil"/>
              <w:right w:val="nil"/>
            </w:tcBorders>
            <w:shd w:val="clear" w:color="auto" w:fill="auto"/>
            <w:noWrap/>
            <w:vAlign w:val="bottom"/>
            <w:hideMark/>
          </w:tcPr>
          <w:p w:rsidR="006F7AD6" w:rsidRPr="00A032ED" w:rsidP="00886011" w14:paraId="0F6871A4"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4DC5747" w14:textId="77777777">
            <w:pPr>
              <w:widowControl/>
              <w:jc w:val="center"/>
              <w:rPr>
                <w:rFonts w:ascii="Calibri" w:hAnsi="Calibri" w:cs="Calibri"/>
                <w:snapToGrid/>
                <w:kern w:val="0"/>
                <w:szCs w:val="22"/>
              </w:rPr>
            </w:pPr>
            <w:r w:rsidRPr="00A032ED">
              <w:rPr>
                <w:rFonts w:ascii="Calibri" w:hAnsi="Calibri" w:cs="Calibri"/>
                <w:snapToGrid/>
                <w:kern w:val="0"/>
                <w:szCs w:val="22"/>
              </w:rPr>
              <w:t>WTVR-TV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40D093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1,808,516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326AB2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$13,065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D81489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3CABCF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$13,308 </w:t>
            </w:r>
          </w:p>
        </w:tc>
      </w:tr>
      <w:tr w14:paraId="5640ABB1"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CDA3C6C" w14:textId="77777777">
            <w:pPr>
              <w:widowControl/>
              <w:jc w:val="center"/>
              <w:rPr>
                <w:rFonts w:ascii="Calibri" w:hAnsi="Calibri" w:cs="Calibri"/>
                <w:snapToGrid/>
                <w:kern w:val="0"/>
                <w:szCs w:val="22"/>
              </w:rPr>
            </w:pPr>
            <w:r w:rsidRPr="00A032ED">
              <w:rPr>
                <w:rFonts w:ascii="Calibri" w:hAnsi="Calibri" w:cs="Calibri"/>
                <w:snapToGrid/>
                <w:kern w:val="0"/>
                <w:szCs w:val="22"/>
              </w:rPr>
              <w:t>WTLV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B4CD69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1,757,600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DD088F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$12,698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424259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9C3810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$19,924 </w:t>
            </w:r>
          </w:p>
        </w:tc>
        <w:tc>
          <w:tcPr>
            <w:tcW w:w="266" w:type="dxa"/>
            <w:tcBorders>
              <w:top w:val="nil"/>
              <w:left w:val="nil"/>
              <w:bottom w:val="nil"/>
              <w:right w:val="nil"/>
            </w:tcBorders>
            <w:shd w:val="clear" w:color="auto" w:fill="auto"/>
            <w:noWrap/>
            <w:vAlign w:val="bottom"/>
            <w:hideMark/>
          </w:tcPr>
          <w:p w:rsidR="006F7AD6" w:rsidRPr="00A032ED" w:rsidP="00886011" w14:paraId="6C39BB96"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DDE65B8" w14:textId="77777777">
            <w:pPr>
              <w:widowControl/>
              <w:jc w:val="center"/>
              <w:rPr>
                <w:rFonts w:ascii="Calibri" w:hAnsi="Calibri" w:cs="Calibri"/>
                <w:snapToGrid/>
                <w:kern w:val="0"/>
                <w:szCs w:val="22"/>
              </w:rPr>
            </w:pPr>
            <w:r w:rsidRPr="00A032ED">
              <w:rPr>
                <w:rFonts w:ascii="Calibri" w:hAnsi="Calibri" w:cs="Calibri"/>
                <w:snapToGrid/>
                <w:kern w:val="0"/>
                <w:szCs w:val="22"/>
              </w:rPr>
              <w:t>WTVT</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7F14A5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5,475,385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EBDC73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$39,556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19174F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441AAC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$40,116 </w:t>
            </w:r>
          </w:p>
        </w:tc>
      </w:tr>
      <w:tr w14:paraId="1D1F58B9"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A078FA1" w14:textId="77777777">
            <w:pPr>
              <w:widowControl/>
              <w:jc w:val="center"/>
              <w:rPr>
                <w:rFonts w:ascii="Calibri" w:hAnsi="Calibri" w:cs="Calibri"/>
                <w:snapToGrid/>
                <w:kern w:val="0"/>
                <w:szCs w:val="22"/>
              </w:rPr>
            </w:pPr>
            <w:r w:rsidRPr="00A032ED">
              <w:rPr>
                <w:rFonts w:ascii="Calibri" w:hAnsi="Calibri" w:cs="Calibri"/>
                <w:snapToGrid/>
                <w:kern w:val="0"/>
                <w:szCs w:val="22"/>
              </w:rPr>
              <w:t>WTMJ-TV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F1DBD4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3,010,678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2F3F41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$21,750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3E7C3E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D53AC4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$24,450 </w:t>
            </w:r>
          </w:p>
        </w:tc>
        <w:tc>
          <w:tcPr>
            <w:tcW w:w="266" w:type="dxa"/>
            <w:tcBorders>
              <w:top w:val="nil"/>
              <w:left w:val="nil"/>
              <w:bottom w:val="nil"/>
              <w:right w:val="nil"/>
            </w:tcBorders>
            <w:shd w:val="clear" w:color="auto" w:fill="auto"/>
            <w:noWrap/>
            <w:vAlign w:val="bottom"/>
            <w:hideMark/>
          </w:tcPr>
          <w:p w:rsidR="006F7AD6" w:rsidRPr="00A032ED" w:rsidP="00886011" w14:paraId="6E0498BF"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164D4BE" w14:textId="77777777">
            <w:pPr>
              <w:widowControl/>
              <w:jc w:val="center"/>
              <w:rPr>
                <w:rFonts w:ascii="Calibri" w:hAnsi="Calibri" w:cs="Calibri"/>
                <w:snapToGrid/>
                <w:kern w:val="0"/>
                <w:szCs w:val="22"/>
              </w:rPr>
            </w:pPr>
            <w:r w:rsidRPr="00A032ED">
              <w:rPr>
                <w:rFonts w:ascii="Calibri" w:hAnsi="Calibri" w:cs="Calibri"/>
                <w:snapToGrid/>
                <w:kern w:val="0"/>
                <w:szCs w:val="22"/>
              </w:rPr>
              <w:t>WTVW</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442528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791,430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F64757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$5,718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BFAEBB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4326A2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$5,084 </w:t>
            </w:r>
          </w:p>
        </w:tc>
      </w:tr>
      <w:tr w14:paraId="7C535322"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69B8307" w14:textId="77777777">
            <w:pPr>
              <w:widowControl/>
              <w:jc w:val="center"/>
              <w:rPr>
                <w:rFonts w:ascii="Calibri" w:hAnsi="Calibri" w:cs="Calibri"/>
                <w:snapToGrid/>
                <w:kern w:val="0"/>
                <w:szCs w:val="22"/>
              </w:rPr>
            </w:pPr>
            <w:r w:rsidRPr="00A032ED">
              <w:rPr>
                <w:rFonts w:ascii="Calibri" w:hAnsi="Calibri" w:cs="Calibri"/>
                <w:snapToGrid/>
                <w:kern w:val="0"/>
                <w:szCs w:val="22"/>
              </w:rPr>
              <w:t>WTNH</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6FE8AD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7,845,782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E22530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$56,681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5D6CD2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C88A30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$41,915 </w:t>
            </w:r>
          </w:p>
        </w:tc>
        <w:tc>
          <w:tcPr>
            <w:tcW w:w="266" w:type="dxa"/>
            <w:tcBorders>
              <w:top w:val="nil"/>
              <w:left w:val="nil"/>
              <w:bottom w:val="nil"/>
              <w:right w:val="nil"/>
            </w:tcBorders>
            <w:shd w:val="clear" w:color="auto" w:fill="auto"/>
            <w:noWrap/>
            <w:vAlign w:val="bottom"/>
            <w:hideMark/>
          </w:tcPr>
          <w:p w:rsidR="006F7AD6" w:rsidRPr="00A032ED" w:rsidP="00886011" w14:paraId="10E28821"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D8D0BE4" w14:textId="77777777">
            <w:pPr>
              <w:widowControl/>
              <w:jc w:val="center"/>
              <w:rPr>
                <w:rFonts w:ascii="Calibri" w:hAnsi="Calibri" w:cs="Calibri"/>
                <w:snapToGrid/>
                <w:kern w:val="0"/>
                <w:szCs w:val="22"/>
              </w:rPr>
            </w:pPr>
            <w:r w:rsidRPr="00A032ED">
              <w:rPr>
                <w:rFonts w:ascii="Calibri" w:hAnsi="Calibri" w:cs="Calibri"/>
                <w:snapToGrid/>
                <w:kern w:val="0"/>
                <w:szCs w:val="22"/>
              </w:rPr>
              <w:t>WTVX</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70E029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2,962,933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F874A9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$21,405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445E2A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815831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$24,278 </w:t>
            </w:r>
          </w:p>
        </w:tc>
      </w:tr>
      <w:tr w14:paraId="11ECEA8F"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3A945A0" w14:textId="77777777">
            <w:pPr>
              <w:widowControl/>
              <w:jc w:val="center"/>
              <w:rPr>
                <w:rFonts w:ascii="Calibri" w:hAnsi="Calibri" w:cs="Calibri"/>
                <w:snapToGrid/>
                <w:kern w:val="0"/>
                <w:szCs w:val="22"/>
              </w:rPr>
            </w:pPr>
            <w:r w:rsidRPr="00A032ED">
              <w:rPr>
                <w:rFonts w:ascii="Calibri" w:hAnsi="Calibri" w:cs="Calibri"/>
                <w:snapToGrid/>
                <w:kern w:val="0"/>
                <w:szCs w:val="22"/>
              </w:rPr>
              <w:t>WTVZ-TV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FE0D1C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2,156,534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EDCCA8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$15,580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751C9C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7B7788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$21,365 </w:t>
            </w:r>
          </w:p>
        </w:tc>
        <w:tc>
          <w:tcPr>
            <w:tcW w:w="266" w:type="dxa"/>
            <w:tcBorders>
              <w:top w:val="nil"/>
              <w:left w:val="nil"/>
              <w:bottom w:val="nil"/>
              <w:right w:val="nil"/>
            </w:tcBorders>
            <w:shd w:val="clear" w:color="auto" w:fill="auto"/>
            <w:noWrap/>
            <w:vAlign w:val="bottom"/>
            <w:hideMark/>
          </w:tcPr>
          <w:p w:rsidR="006F7AD6" w:rsidRPr="00A032ED" w:rsidP="00886011" w14:paraId="54973EE3"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95469B3" w14:textId="77777777">
            <w:pPr>
              <w:widowControl/>
              <w:jc w:val="center"/>
              <w:rPr>
                <w:rFonts w:ascii="Calibri" w:hAnsi="Calibri" w:cs="Calibri"/>
                <w:snapToGrid/>
                <w:kern w:val="0"/>
                <w:szCs w:val="22"/>
              </w:rPr>
            </w:pPr>
            <w:r w:rsidRPr="00A032ED">
              <w:rPr>
                <w:rFonts w:ascii="Calibri" w:hAnsi="Calibri" w:cs="Calibri"/>
                <w:snapToGrid/>
                <w:kern w:val="0"/>
                <w:szCs w:val="22"/>
              </w:rPr>
              <w:t>WTVY</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667CCB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974,532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724AC3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$7,040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4F0AFB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09226F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$5,745 </w:t>
            </w:r>
          </w:p>
        </w:tc>
      </w:tr>
      <w:tr w14:paraId="7BB1EECA"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8EF1EDB" w14:textId="77777777">
            <w:pPr>
              <w:widowControl/>
              <w:jc w:val="center"/>
              <w:rPr>
                <w:rFonts w:ascii="Calibri" w:hAnsi="Calibri" w:cs="Calibri"/>
                <w:snapToGrid/>
                <w:kern w:val="0"/>
                <w:szCs w:val="22"/>
              </w:rPr>
            </w:pPr>
            <w:r w:rsidRPr="00A032ED">
              <w:rPr>
                <w:rFonts w:ascii="Calibri" w:hAnsi="Calibri" w:cs="Calibri"/>
                <w:snapToGrid/>
                <w:kern w:val="0"/>
                <w:szCs w:val="22"/>
              </w:rPr>
              <w:t>WTWC-TV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87F862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1,032,942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F4A9B1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$7,462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C2DF85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A9DC44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$5,956 </w:t>
            </w:r>
          </w:p>
        </w:tc>
        <w:tc>
          <w:tcPr>
            <w:tcW w:w="266" w:type="dxa"/>
            <w:tcBorders>
              <w:top w:val="nil"/>
              <w:left w:val="nil"/>
              <w:bottom w:val="nil"/>
              <w:right w:val="nil"/>
            </w:tcBorders>
            <w:shd w:val="clear" w:color="auto" w:fill="auto"/>
            <w:noWrap/>
            <w:vAlign w:val="bottom"/>
            <w:hideMark/>
          </w:tcPr>
          <w:p w:rsidR="006F7AD6" w:rsidRPr="00A032ED" w:rsidP="00886011" w14:paraId="017EBB7F"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5EBAE5B" w14:textId="77777777">
            <w:pPr>
              <w:widowControl/>
              <w:jc w:val="center"/>
              <w:rPr>
                <w:rFonts w:ascii="Calibri" w:hAnsi="Calibri" w:cs="Calibri"/>
                <w:snapToGrid/>
                <w:kern w:val="0"/>
                <w:szCs w:val="22"/>
              </w:rPr>
            </w:pPr>
            <w:r w:rsidRPr="00A032ED">
              <w:rPr>
                <w:rFonts w:ascii="Calibri" w:hAnsi="Calibri" w:cs="Calibri"/>
                <w:snapToGrid/>
                <w:kern w:val="0"/>
                <w:szCs w:val="22"/>
              </w:rPr>
              <w:t>WVIZ</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D8CD43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3,638,440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EB7253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$26,285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31B8EF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348675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$33,480 </w:t>
            </w:r>
          </w:p>
        </w:tc>
      </w:tr>
      <w:tr w14:paraId="2958B417"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422A853" w14:textId="77777777">
            <w:pPr>
              <w:widowControl/>
              <w:jc w:val="center"/>
              <w:rPr>
                <w:rFonts w:ascii="Calibri" w:hAnsi="Calibri" w:cs="Calibri"/>
                <w:snapToGrid/>
                <w:kern w:val="0"/>
                <w:szCs w:val="22"/>
              </w:rPr>
            </w:pPr>
            <w:r w:rsidRPr="00A032ED">
              <w:rPr>
                <w:rFonts w:ascii="Calibri" w:hAnsi="Calibri" w:cs="Calibri"/>
                <w:snapToGrid/>
                <w:kern w:val="0"/>
                <w:szCs w:val="22"/>
              </w:rPr>
              <w:t>WTWO</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0A07C8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737,757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7D7059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$5,330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EFD452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552827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$4,890 </w:t>
            </w:r>
          </w:p>
        </w:tc>
        <w:tc>
          <w:tcPr>
            <w:tcW w:w="266" w:type="dxa"/>
            <w:tcBorders>
              <w:top w:val="nil"/>
              <w:left w:val="nil"/>
              <w:bottom w:val="nil"/>
              <w:right w:val="nil"/>
            </w:tcBorders>
            <w:shd w:val="clear" w:color="auto" w:fill="auto"/>
            <w:noWrap/>
            <w:vAlign w:val="bottom"/>
            <w:hideMark/>
          </w:tcPr>
          <w:p w:rsidR="006F7AD6" w:rsidRPr="00A032ED" w:rsidP="00886011" w14:paraId="496504E6"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379BF53" w14:textId="77777777">
            <w:pPr>
              <w:widowControl/>
              <w:jc w:val="center"/>
              <w:rPr>
                <w:rFonts w:ascii="Calibri" w:hAnsi="Calibri" w:cs="Calibri"/>
                <w:snapToGrid/>
                <w:kern w:val="0"/>
                <w:szCs w:val="22"/>
              </w:rPr>
            </w:pPr>
            <w:r w:rsidRPr="00A032ED">
              <w:rPr>
                <w:rFonts w:ascii="Calibri" w:hAnsi="Calibri" w:cs="Calibri"/>
                <w:snapToGrid/>
                <w:kern w:val="0"/>
                <w:szCs w:val="22"/>
              </w:rPr>
              <w:t>WVLA-TV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0ADAFD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1,897,179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23F990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$13,706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CDE9E2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365F44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$13,628 </w:t>
            </w:r>
          </w:p>
        </w:tc>
      </w:tr>
      <w:tr w14:paraId="5D8C39A6"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B0192AC" w14:textId="77777777">
            <w:pPr>
              <w:widowControl/>
              <w:jc w:val="center"/>
              <w:rPr>
                <w:rFonts w:ascii="Calibri" w:hAnsi="Calibri" w:cs="Calibri"/>
                <w:snapToGrid/>
                <w:kern w:val="0"/>
                <w:szCs w:val="22"/>
              </w:rPr>
            </w:pPr>
            <w:r w:rsidRPr="00A032ED">
              <w:rPr>
                <w:rFonts w:ascii="Calibri" w:hAnsi="Calibri" w:cs="Calibri"/>
                <w:snapToGrid/>
                <w:kern w:val="0"/>
                <w:szCs w:val="22"/>
              </w:rPr>
              <w:t>WTXF-TV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664B2C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1,477,715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02BD53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$10,676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C9F4CB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64DCE2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$32,338 </w:t>
            </w:r>
          </w:p>
        </w:tc>
        <w:tc>
          <w:tcPr>
            <w:tcW w:w="266" w:type="dxa"/>
            <w:tcBorders>
              <w:top w:val="nil"/>
              <w:left w:val="nil"/>
              <w:bottom w:val="nil"/>
              <w:right w:val="nil"/>
            </w:tcBorders>
            <w:shd w:val="clear" w:color="auto" w:fill="auto"/>
            <w:noWrap/>
            <w:vAlign w:val="bottom"/>
            <w:hideMark/>
          </w:tcPr>
          <w:p w:rsidR="006F7AD6" w:rsidRPr="00A032ED" w:rsidP="00886011" w14:paraId="11E9D229"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2302046" w14:textId="77777777">
            <w:pPr>
              <w:widowControl/>
              <w:jc w:val="center"/>
              <w:rPr>
                <w:rFonts w:ascii="Calibri" w:hAnsi="Calibri" w:cs="Calibri"/>
                <w:snapToGrid/>
                <w:kern w:val="0"/>
                <w:szCs w:val="22"/>
              </w:rPr>
            </w:pPr>
            <w:r w:rsidRPr="00A032ED">
              <w:rPr>
                <w:rFonts w:ascii="Calibri" w:hAnsi="Calibri" w:cs="Calibri"/>
                <w:snapToGrid/>
                <w:kern w:val="0"/>
                <w:szCs w:val="22"/>
              </w:rPr>
              <w:t>WVLT-TV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B52EBC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1,874,453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72D178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$13,542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7EC59C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13D08E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$13,546 </w:t>
            </w:r>
          </w:p>
        </w:tc>
      </w:tr>
      <w:tr w14:paraId="44F0C162"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78C6F11" w14:textId="77777777">
            <w:pPr>
              <w:widowControl/>
              <w:jc w:val="center"/>
              <w:rPr>
                <w:rFonts w:ascii="Calibri" w:hAnsi="Calibri" w:cs="Calibri"/>
                <w:snapToGrid/>
                <w:kern w:val="0"/>
                <w:szCs w:val="22"/>
              </w:rPr>
            </w:pPr>
            <w:r w:rsidRPr="00A032ED">
              <w:rPr>
                <w:rFonts w:ascii="Calibri" w:hAnsi="Calibri" w:cs="Calibri"/>
                <w:snapToGrid/>
                <w:kern w:val="0"/>
                <w:szCs w:val="22"/>
              </w:rPr>
              <w:t>WTXL-TV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18DD03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1,054,514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87AB80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$7,618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6F2FF1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332178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$6,034 </w:t>
            </w:r>
          </w:p>
        </w:tc>
        <w:tc>
          <w:tcPr>
            <w:tcW w:w="266" w:type="dxa"/>
            <w:tcBorders>
              <w:top w:val="nil"/>
              <w:left w:val="nil"/>
              <w:bottom w:val="nil"/>
              <w:right w:val="nil"/>
            </w:tcBorders>
            <w:shd w:val="clear" w:color="auto" w:fill="auto"/>
            <w:noWrap/>
            <w:vAlign w:val="bottom"/>
            <w:hideMark/>
          </w:tcPr>
          <w:p w:rsidR="006F7AD6" w:rsidRPr="00A032ED" w:rsidP="00886011" w14:paraId="03BDC35B"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1FC32B5" w14:textId="77777777">
            <w:pPr>
              <w:widowControl/>
              <w:jc w:val="center"/>
              <w:rPr>
                <w:rFonts w:ascii="Calibri" w:hAnsi="Calibri" w:cs="Calibri"/>
                <w:snapToGrid/>
                <w:kern w:val="0"/>
                <w:szCs w:val="22"/>
              </w:rPr>
            </w:pPr>
            <w:r w:rsidRPr="00A032ED">
              <w:rPr>
                <w:rFonts w:ascii="Calibri" w:hAnsi="Calibri" w:cs="Calibri"/>
                <w:snapToGrid/>
                <w:kern w:val="0"/>
                <w:szCs w:val="22"/>
              </w:rPr>
              <w:t>WVNS-TV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332098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911,630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1A3FCE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$6,586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B29C54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C81A70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$5,518 </w:t>
            </w:r>
          </w:p>
        </w:tc>
      </w:tr>
      <w:tr w14:paraId="12A2EFEC"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337955B" w14:textId="77777777">
            <w:pPr>
              <w:widowControl/>
              <w:jc w:val="center"/>
              <w:rPr>
                <w:rFonts w:ascii="Calibri" w:hAnsi="Calibri" w:cs="Calibri"/>
                <w:snapToGrid/>
                <w:kern w:val="0"/>
                <w:szCs w:val="22"/>
              </w:rPr>
            </w:pPr>
            <w:r w:rsidRPr="00A032ED">
              <w:rPr>
                <w:rFonts w:ascii="Calibri" w:hAnsi="Calibri" w:cs="Calibri"/>
                <w:snapToGrid/>
                <w:kern w:val="0"/>
                <w:szCs w:val="22"/>
              </w:rPr>
              <w:t>WUCW</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669AC3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3,664,480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F00598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$26,474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B77559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C1AD7D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$33,574 </w:t>
            </w:r>
          </w:p>
        </w:tc>
        <w:tc>
          <w:tcPr>
            <w:tcW w:w="266" w:type="dxa"/>
            <w:tcBorders>
              <w:top w:val="nil"/>
              <w:left w:val="nil"/>
              <w:bottom w:val="nil"/>
              <w:right w:val="nil"/>
            </w:tcBorders>
            <w:shd w:val="clear" w:color="auto" w:fill="auto"/>
            <w:noWrap/>
            <w:vAlign w:val="bottom"/>
            <w:hideMark/>
          </w:tcPr>
          <w:p w:rsidR="006F7AD6" w:rsidRPr="00A032ED" w:rsidP="00886011" w14:paraId="6CD670F2"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9B7F610" w14:textId="77777777">
            <w:pPr>
              <w:widowControl/>
              <w:jc w:val="center"/>
              <w:rPr>
                <w:rFonts w:ascii="Calibri" w:hAnsi="Calibri" w:cs="Calibri"/>
                <w:snapToGrid/>
                <w:kern w:val="0"/>
                <w:szCs w:val="22"/>
              </w:rPr>
            </w:pPr>
            <w:r w:rsidRPr="00A032ED">
              <w:rPr>
                <w:rFonts w:ascii="Calibri" w:hAnsi="Calibri" w:cs="Calibri"/>
                <w:snapToGrid/>
                <w:kern w:val="0"/>
                <w:szCs w:val="22"/>
              </w:rPr>
              <w:t>WVNY</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167B14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721,176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208FF8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$5,210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E3FDF3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36346E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$9,380 </w:t>
            </w:r>
          </w:p>
        </w:tc>
      </w:tr>
      <w:tr w14:paraId="345E8F6F"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FDADD78" w14:textId="77777777">
            <w:pPr>
              <w:widowControl/>
              <w:jc w:val="center"/>
              <w:rPr>
                <w:rFonts w:ascii="Calibri" w:hAnsi="Calibri" w:cs="Calibri"/>
                <w:snapToGrid/>
                <w:kern w:val="0"/>
                <w:szCs w:val="22"/>
              </w:rPr>
            </w:pPr>
            <w:r w:rsidRPr="00A032ED">
              <w:rPr>
                <w:rFonts w:ascii="Calibri" w:hAnsi="Calibri" w:cs="Calibri"/>
                <w:snapToGrid/>
                <w:kern w:val="0"/>
                <w:szCs w:val="22"/>
              </w:rPr>
              <w:t>WUHF</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A6F08E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1,152,580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0B65F1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$8,327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F6BAE6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10EA1B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$10,938 </w:t>
            </w:r>
          </w:p>
        </w:tc>
        <w:tc>
          <w:tcPr>
            <w:tcW w:w="266" w:type="dxa"/>
            <w:tcBorders>
              <w:top w:val="nil"/>
              <w:left w:val="nil"/>
              <w:bottom w:val="nil"/>
              <w:right w:val="nil"/>
            </w:tcBorders>
            <w:shd w:val="clear" w:color="auto" w:fill="auto"/>
            <w:noWrap/>
            <w:vAlign w:val="bottom"/>
            <w:hideMark/>
          </w:tcPr>
          <w:p w:rsidR="006F7AD6" w:rsidRPr="00A032ED" w:rsidP="00886011" w14:paraId="295F1D29"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0EE7767" w14:textId="77777777">
            <w:pPr>
              <w:widowControl/>
              <w:jc w:val="center"/>
              <w:rPr>
                <w:rFonts w:ascii="Calibri" w:hAnsi="Calibri" w:cs="Calibri"/>
                <w:snapToGrid/>
                <w:kern w:val="0"/>
                <w:szCs w:val="22"/>
              </w:rPr>
            </w:pPr>
            <w:r w:rsidRPr="00A032ED">
              <w:rPr>
                <w:rFonts w:ascii="Calibri" w:hAnsi="Calibri" w:cs="Calibri"/>
                <w:snapToGrid/>
                <w:kern w:val="0"/>
                <w:szCs w:val="22"/>
              </w:rPr>
              <w:t>WVOZ-TV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76770A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1,132,932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659FB6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$8,185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50F845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F553EF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$6,317 </w:t>
            </w:r>
          </w:p>
        </w:tc>
      </w:tr>
      <w:tr w14:paraId="5F0ECFD1"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AB1643A" w14:textId="77777777">
            <w:pPr>
              <w:widowControl/>
              <w:jc w:val="center"/>
              <w:rPr>
                <w:rFonts w:ascii="Calibri" w:hAnsi="Calibri" w:cs="Calibri"/>
                <w:snapToGrid/>
                <w:kern w:val="0"/>
                <w:szCs w:val="22"/>
              </w:rPr>
            </w:pPr>
            <w:r w:rsidRPr="00A032ED">
              <w:rPr>
                <w:rFonts w:ascii="Calibri" w:hAnsi="Calibri" w:cs="Calibri"/>
                <w:snapToGrid/>
                <w:kern w:val="0"/>
                <w:szCs w:val="22"/>
              </w:rPr>
              <w:t>WUJA</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25EC2C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2,638,361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86472D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$19,060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09579E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17201F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$11,755 </w:t>
            </w:r>
          </w:p>
        </w:tc>
        <w:tc>
          <w:tcPr>
            <w:tcW w:w="266" w:type="dxa"/>
            <w:tcBorders>
              <w:top w:val="nil"/>
              <w:left w:val="nil"/>
              <w:bottom w:val="nil"/>
              <w:right w:val="nil"/>
            </w:tcBorders>
            <w:shd w:val="clear" w:color="auto" w:fill="auto"/>
            <w:noWrap/>
            <w:vAlign w:val="bottom"/>
            <w:hideMark/>
          </w:tcPr>
          <w:p w:rsidR="006F7AD6" w:rsidRPr="00A032ED" w:rsidP="00886011" w14:paraId="0DC2F871"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BC1C880" w14:textId="77777777">
            <w:pPr>
              <w:widowControl/>
              <w:jc w:val="center"/>
              <w:rPr>
                <w:rFonts w:ascii="Calibri" w:hAnsi="Calibri" w:cs="Calibri"/>
                <w:snapToGrid/>
                <w:kern w:val="0"/>
                <w:szCs w:val="22"/>
              </w:rPr>
            </w:pPr>
            <w:r w:rsidRPr="00A032ED">
              <w:rPr>
                <w:rFonts w:ascii="Calibri" w:hAnsi="Calibri" w:cs="Calibri"/>
                <w:snapToGrid/>
                <w:kern w:val="0"/>
                <w:szCs w:val="22"/>
              </w:rPr>
              <w:t>WVPX-TV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4359F9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4,165,601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838582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$30,094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49BC99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7929FF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$35,384 </w:t>
            </w:r>
          </w:p>
        </w:tc>
      </w:tr>
      <w:tr w14:paraId="19BF60E6"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6477B03" w14:textId="77777777">
            <w:pPr>
              <w:widowControl/>
              <w:jc w:val="center"/>
              <w:rPr>
                <w:rFonts w:ascii="Calibri" w:hAnsi="Calibri" w:cs="Calibri"/>
                <w:snapToGrid/>
                <w:kern w:val="0"/>
                <w:szCs w:val="22"/>
              </w:rPr>
            </w:pPr>
            <w:r w:rsidRPr="00A032ED">
              <w:rPr>
                <w:rFonts w:ascii="Calibri" w:hAnsi="Calibri" w:cs="Calibri"/>
                <w:snapToGrid/>
                <w:kern w:val="0"/>
                <w:szCs w:val="22"/>
              </w:rPr>
              <w:t>WUNI</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F47061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7,209,571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2C2998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$52,085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E8951D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516B2D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$53,042 </w:t>
            </w:r>
          </w:p>
        </w:tc>
        <w:tc>
          <w:tcPr>
            <w:tcW w:w="266" w:type="dxa"/>
            <w:tcBorders>
              <w:top w:val="nil"/>
              <w:left w:val="nil"/>
              <w:bottom w:val="nil"/>
              <w:right w:val="nil"/>
            </w:tcBorders>
            <w:shd w:val="clear" w:color="auto" w:fill="auto"/>
            <w:noWrap/>
            <w:vAlign w:val="bottom"/>
            <w:hideMark/>
          </w:tcPr>
          <w:p w:rsidR="006F7AD6" w:rsidRPr="00A032ED" w:rsidP="00886011" w14:paraId="72D7282F"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32D839E" w14:textId="77777777">
            <w:pPr>
              <w:widowControl/>
              <w:jc w:val="center"/>
              <w:rPr>
                <w:rFonts w:ascii="Calibri" w:hAnsi="Calibri" w:cs="Calibri"/>
                <w:snapToGrid/>
                <w:kern w:val="0"/>
                <w:szCs w:val="22"/>
              </w:rPr>
            </w:pPr>
            <w:r w:rsidRPr="00A032ED">
              <w:rPr>
                <w:rFonts w:ascii="Calibri" w:hAnsi="Calibri" w:cs="Calibri"/>
                <w:snapToGrid/>
                <w:kern w:val="0"/>
                <w:szCs w:val="22"/>
              </w:rPr>
              <w:t>WVSN</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41F17A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2,869,888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7DAE73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$20,733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3E4ED6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073E90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$12,592 </w:t>
            </w:r>
          </w:p>
        </w:tc>
      </w:tr>
      <w:tr w14:paraId="4FB61CF4"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DF5299A" w14:textId="77777777">
            <w:pPr>
              <w:widowControl/>
              <w:jc w:val="center"/>
              <w:rPr>
                <w:rFonts w:ascii="Calibri" w:hAnsi="Calibri" w:cs="Calibri"/>
                <w:snapToGrid/>
                <w:kern w:val="0"/>
                <w:szCs w:val="22"/>
              </w:rPr>
            </w:pPr>
            <w:r w:rsidRPr="00A032ED">
              <w:rPr>
                <w:rFonts w:ascii="Calibri" w:hAnsi="Calibri" w:cs="Calibri"/>
                <w:snapToGrid/>
                <w:kern w:val="0"/>
                <w:szCs w:val="22"/>
              </w:rPr>
              <w:t>WUPA</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149CED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5,946,477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78FE18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$42,960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5CC857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229C6C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$48,480 </w:t>
            </w:r>
          </w:p>
        </w:tc>
        <w:tc>
          <w:tcPr>
            <w:tcW w:w="266" w:type="dxa"/>
            <w:tcBorders>
              <w:top w:val="nil"/>
              <w:left w:val="nil"/>
              <w:bottom w:val="nil"/>
              <w:right w:val="nil"/>
            </w:tcBorders>
            <w:shd w:val="clear" w:color="auto" w:fill="auto"/>
            <w:noWrap/>
            <w:vAlign w:val="bottom"/>
            <w:hideMark/>
          </w:tcPr>
          <w:p w:rsidR="006F7AD6" w:rsidRPr="00A032ED" w:rsidP="00886011" w14:paraId="37BBAD3D"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5F1DB0C" w14:textId="77777777">
            <w:pPr>
              <w:widowControl/>
              <w:jc w:val="center"/>
              <w:rPr>
                <w:rFonts w:ascii="Calibri" w:hAnsi="Calibri" w:cs="Calibri"/>
                <w:snapToGrid/>
                <w:kern w:val="0"/>
                <w:szCs w:val="22"/>
              </w:rPr>
            </w:pPr>
            <w:r w:rsidRPr="00A032ED">
              <w:rPr>
                <w:rFonts w:ascii="Calibri" w:hAnsi="Calibri" w:cs="Calibri"/>
                <w:snapToGrid/>
                <w:kern w:val="0"/>
                <w:szCs w:val="22"/>
              </w:rPr>
              <w:t>WVTA</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A6D25B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1,232,486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84BB1F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$8,904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AF7598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E3343A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$11,227 </w:t>
            </w:r>
          </w:p>
        </w:tc>
      </w:tr>
      <w:tr w14:paraId="63AB50D3"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8818F97" w14:textId="77777777">
            <w:pPr>
              <w:widowControl/>
              <w:jc w:val="center"/>
              <w:rPr>
                <w:rFonts w:ascii="Calibri" w:hAnsi="Calibri" w:cs="Calibri"/>
                <w:snapToGrid/>
                <w:kern w:val="0"/>
                <w:szCs w:val="22"/>
              </w:rPr>
            </w:pPr>
            <w:r w:rsidRPr="00A032ED">
              <w:rPr>
                <w:rFonts w:ascii="Calibri" w:hAnsi="Calibri" w:cs="Calibri"/>
                <w:snapToGrid/>
                <w:kern w:val="0"/>
                <w:szCs w:val="22"/>
              </w:rPr>
              <w:t>WUPL</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D6E4A4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1,632,100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B23748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$11,791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A39715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8BE402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$19,470 </w:t>
            </w:r>
          </w:p>
        </w:tc>
        <w:tc>
          <w:tcPr>
            <w:tcW w:w="266" w:type="dxa"/>
            <w:tcBorders>
              <w:top w:val="nil"/>
              <w:left w:val="nil"/>
              <w:bottom w:val="nil"/>
              <w:right w:val="nil"/>
            </w:tcBorders>
            <w:shd w:val="clear" w:color="auto" w:fill="auto"/>
            <w:noWrap/>
            <w:vAlign w:val="bottom"/>
            <w:hideMark/>
          </w:tcPr>
          <w:p w:rsidR="006F7AD6" w:rsidRPr="00A032ED" w:rsidP="00886011" w14:paraId="35B08D7C"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1309C32" w14:textId="77777777">
            <w:pPr>
              <w:widowControl/>
              <w:jc w:val="center"/>
              <w:rPr>
                <w:rFonts w:ascii="Calibri" w:hAnsi="Calibri" w:cs="Calibri"/>
                <w:snapToGrid/>
                <w:kern w:val="0"/>
                <w:szCs w:val="22"/>
              </w:rPr>
            </w:pPr>
            <w:r w:rsidRPr="00A032ED">
              <w:rPr>
                <w:rFonts w:ascii="Calibri" w:hAnsi="Calibri" w:cs="Calibri"/>
                <w:snapToGrid/>
                <w:kern w:val="0"/>
                <w:szCs w:val="22"/>
              </w:rPr>
              <w:t>WVTB</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0E5155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454,244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F6F6E2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$3,282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0E1FB6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876767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$8,416 </w:t>
            </w:r>
          </w:p>
        </w:tc>
      </w:tr>
      <w:tr w14:paraId="64AB4FF2"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E48A530" w14:textId="77777777">
            <w:pPr>
              <w:widowControl/>
              <w:jc w:val="center"/>
              <w:rPr>
                <w:rFonts w:ascii="Calibri" w:hAnsi="Calibri" w:cs="Calibri"/>
                <w:snapToGrid/>
                <w:kern w:val="0"/>
                <w:szCs w:val="22"/>
              </w:rPr>
            </w:pPr>
            <w:r w:rsidRPr="00A032ED">
              <w:rPr>
                <w:rFonts w:ascii="Calibri" w:hAnsi="Calibri" w:cs="Calibri"/>
                <w:snapToGrid/>
                <w:kern w:val="0"/>
                <w:szCs w:val="22"/>
              </w:rPr>
              <w:t>WUPV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3F609E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1,654,049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0E729E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$11,949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F4053B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1D8A5E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$12,750 </w:t>
            </w:r>
          </w:p>
        </w:tc>
        <w:tc>
          <w:tcPr>
            <w:tcW w:w="266" w:type="dxa"/>
            <w:tcBorders>
              <w:top w:val="nil"/>
              <w:left w:val="nil"/>
              <w:bottom w:val="nil"/>
              <w:right w:val="nil"/>
            </w:tcBorders>
            <w:shd w:val="clear" w:color="auto" w:fill="auto"/>
            <w:noWrap/>
            <w:vAlign w:val="bottom"/>
            <w:hideMark/>
          </w:tcPr>
          <w:p w:rsidR="006F7AD6" w:rsidRPr="00A032ED" w:rsidP="00886011" w14:paraId="5F60F2D1"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55037B6" w14:textId="77777777">
            <w:pPr>
              <w:widowControl/>
              <w:jc w:val="center"/>
              <w:rPr>
                <w:rFonts w:ascii="Calibri" w:hAnsi="Calibri" w:cs="Calibri"/>
                <w:snapToGrid/>
                <w:kern w:val="0"/>
                <w:szCs w:val="22"/>
              </w:rPr>
            </w:pPr>
            <w:r w:rsidRPr="00A032ED">
              <w:rPr>
                <w:rFonts w:ascii="Calibri" w:hAnsi="Calibri" w:cs="Calibri"/>
                <w:snapToGrid/>
                <w:kern w:val="0"/>
                <w:szCs w:val="22"/>
              </w:rPr>
              <w:t>WVTM-TV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175F74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1,876,825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59CB83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$13,559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854B44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49509F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$20,354 </w:t>
            </w:r>
          </w:p>
        </w:tc>
      </w:tr>
      <w:tr w14:paraId="3348060C"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B26D840" w14:textId="77777777">
            <w:pPr>
              <w:widowControl/>
              <w:jc w:val="center"/>
              <w:rPr>
                <w:rFonts w:ascii="Calibri" w:hAnsi="Calibri" w:cs="Calibri"/>
                <w:snapToGrid/>
                <w:kern w:val="0"/>
                <w:szCs w:val="22"/>
              </w:rPr>
            </w:pPr>
            <w:r w:rsidRPr="00A032ED">
              <w:rPr>
                <w:rFonts w:ascii="Calibri" w:hAnsi="Calibri" w:cs="Calibri"/>
                <w:snapToGrid/>
                <w:kern w:val="0"/>
                <w:szCs w:val="22"/>
              </w:rPr>
              <w:t>WUPW</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C42C0D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2,074,890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7ED4E7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$14,990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5E86BA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076842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$14,270 </w:t>
            </w:r>
          </w:p>
        </w:tc>
        <w:tc>
          <w:tcPr>
            <w:tcW w:w="266" w:type="dxa"/>
            <w:tcBorders>
              <w:top w:val="nil"/>
              <w:left w:val="nil"/>
              <w:bottom w:val="nil"/>
              <w:right w:val="nil"/>
            </w:tcBorders>
            <w:shd w:val="clear" w:color="auto" w:fill="auto"/>
            <w:noWrap/>
            <w:vAlign w:val="bottom"/>
            <w:hideMark/>
          </w:tcPr>
          <w:p w:rsidR="006F7AD6" w:rsidRPr="00A032ED" w:rsidP="00886011" w14:paraId="2DB91653"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09A4A8A" w14:textId="77777777">
            <w:pPr>
              <w:widowControl/>
              <w:jc w:val="center"/>
              <w:rPr>
                <w:rFonts w:ascii="Calibri" w:hAnsi="Calibri" w:cs="Calibri"/>
                <w:snapToGrid/>
                <w:kern w:val="0"/>
                <w:szCs w:val="22"/>
              </w:rPr>
            </w:pPr>
            <w:r w:rsidRPr="00A032ED">
              <w:rPr>
                <w:rFonts w:ascii="Calibri" w:hAnsi="Calibri" w:cs="Calibri"/>
                <w:snapToGrid/>
                <w:kern w:val="0"/>
                <w:szCs w:val="22"/>
              </w:rPr>
              <w:t>WVTV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A2A688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2,999,694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7F9A99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$21,671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FEBBA7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15CE19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$24,410 </w:t>
            </w:r>
          </w:p>
        </w:tc>
      </w:tr>
      <w:tr w14:paraId="1DD2FFA0"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D1CD52C" w14:textId="77777777">
            <w:pPr>
              <w:widowControl/>
              <w:jc w:val="center"/>
              <w:rPr>
                <w:rFonts w:ascii="Calibri" w:hAnsi="Calibri" w:cs="Calibri"/>
                <w:snapToGrid/>
                <w:kern w:val="0"/>
                <w:szCs w:val="22"/>
              </w:rPr>
            </w:pPr>
            <w:r w:rsidRPr="00A032ED">
              <w:rPr>
                <w:rFonts w:ascii="Calibri" w:hAnsi="Calibri" w:cs="Calibri"/>
                <w:snapToGrid/>
                <w:kern w:val="0"/>
                <w:szCs w:val="22"/>
              </w:rPr>
              <w:t>WUPX-TV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62AD88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1,147,454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4C1309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$8,290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2712B1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A8F6B0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$10,920 </w:t>
            </w:r>
          </w:p>
        </w:tc>
        <w:tc>
          <w:tcPr>
            <w:tcW w:w="266" w:type="dxa"/>
            <w:tcBorders>
              <w:top w:val="nil"/>
              <w:left w:val="nil"/>
              <w:bottom w:val="nil"/>
              <w:right w:val="nil"/>
            </w:tcBorders>
            <w:shd w:val="clear" w:color="auto" w:fill="auto"/>
            <w:noWrap/>
            <w:vAlign w:val="bottom"/>
            <w:hideMark/>
          </w:tcPr>
          <w:p w:rsidR="006F7AD6" w:rsidRPr="00A032ED" w:rsidP="00886011" w14:paraId="6B099247"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93DAA8C" w14:textId="77777777">
            <w:pPr>
              <w:widowControl/>
              <w:jc w:val="center"/>
              <w:rPr>
                <w:rFonts w:ascii="Calibri" w:hAnsi="Calibri" w:cs="Calibri"/>
                <w:snapToGrid/>
                <w:kern w:val="0"/>
                <w:szCs w:val="22"/>
              </w:rPr>
            </w:pPr>
            <w:r w:rsidRPr="00A032ED">
              <w:rPr>
                <w:rFonts w:ascii="Calibri" w:hAnsi="Calibri" w:cs="Calibri"/>
                <w:snapToGrid/>
                <w:kern w:val="0"/>
                <w:szCs w:val="22"/>
              </w:rPr>
              <w:t>WVUE-DT</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DC4A75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1,658,125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C5445F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$11,979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80DDA2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676922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$19,564 </w:t>
            </w:r>
          </w:p>
        </w:tc>
      </w:tr>
      <w:tr w14:paraId="7857C70B"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2A55BD7" w14:textId="77777777">
            <w:pPr>
              <w:widowControl/>
              <w:jc w:val="center"/>
              <w:rPr>
                <w:rFonts w:ascii="Calibri" w:hAnsi="Calibri" w:cs="Calibri"/>
                <w:snapToGrid/>
                <w:kern w:val="0"/>
                <w:szCs w:val="22"/>
              </w:rPr>
            </w:pPr>
            <w:r w:rsidRPr="00A032ED">
              <w:rPr>
                <w:rFonts w:ascii="Calibri" w:hAnsi="Calibri" w:cs="Calibri"/>
                <w:snapToGrid/>
                <w:kern w:val="0"/>
                <w:szCs w:val="22"/>
              </w:rPr>
              <w:t>WUSA</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CC1223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8,970,526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84A936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$64,806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0051D0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F3743E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$59,403 </w:t>
            </w:r>
          </w:p>
        </w:tc>
        <w:tc>
          <w:tcPr>
            <w:tcW w:w="266" w:type="dxa"/>
            <w:tcBorders>
              <w:top w:val="nil"/>
              <w:left w:val="nil"/>
              <w:bottom w:val="nil"/>
              <w:right w:val="nil"/>
            </w:tcBorders>
            <w:shd w:val="clear" w:color="auto" w:fill="auto"/>
            <w:noWrap/>
            <w:vAlign w:val="bottom"/>
            <w:hideMark/>
          </w:tcPr>
          <w:p w:rsidR="006F7AD6" w:rsidRPr="00A032ED" w:rsidP="00886011" w14:paraId="46359F48"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22C723D" w14:textId="77777777">
            <w:pPr>
              <w:widowControl/>
              <w:jc w:val="center"/>
              <w:rPr>
                <w:rFonts w:ascii="Calibri" w:hAnsi="Calibri" w:cs="Calibri"/>
                <w:snapToGrid/>
                <w:kern w:val="0"/>
                <w:szCs w:val="22"/>
              </w:rPr>
            </w:pPr>
            <w:r w:rsidRPr="00A032ED">
              <w:rPr>
                <w:rFonts w:ascii="Calibri" w:hAnsi="Calibri" w:cs="Calibri"/>
                <w:snapToGrid/>
                <w:kern w:val="0"/>
                <w:szCs w:val="22"/>
              </w:rPr>
              <w:t>WVVA</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E2742E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1,035,752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33EB9B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$7,483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86674F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DA32F3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$5,966 </w:t>
            </w:r>
          </w:p>
        </w:tc>
      </w:tr>
      <w:tr w14:paraId="4BC695C7"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A7BDE51" w14:textId="77777777">
            <w:pPr>
              <w:widowControl/>
              <w:jc w:val="center"/>
              <w:rPr>
                <w:rFonts w:ascii="Calibri" w:hAnsi="Calibri" w:cs="Calibri"/>
                <w:snapToGrid/>
                <w:kern w:val="0"/>
                <w:szCs w:val="22"/>
              </w:rPr>
            </w:pPr>
            <w:r w:rsidRPr="00A032ED">
              <w:rPr>
                <w:rFonts w:ascii="Calibri" w:hAnsi="Calibri" w:cs="Calibri"/>
                <w:snapToGrid/>
                <w:kern w:val="0"/>
                <w:szCs w:val="22"/>
              </w:rPr>
              <w:t>WUTF-TV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D0CA3D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8,557,497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8F7385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$61,823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F39406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2680D8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$57,911 </w:t>
            </w:r>
          </w:p>
        </w:tc>
        <w:tc>
          <w:tcPr>
            <w:tcW w:w="266" w:type="dxa"/>
            <w:tcBorders>
              <w:top w:val="nil"/>
              <w:left w:val="nil"/>
              <w:bottom w:val="nil"/>
              <w:right w:val="nil"/>
            </w:tcBorders>
            <w:shd w:val="clear" w:color="auto" w:fill="auto"/>
            <w:noWrap/>
            <w:vAlign w:val="bottom"/>
            <w:hideMark/>
          </w:tcPr>
          <w:p w:rsidR="006F7AD6" w:rsidRPr="00A032ED" w:rsidP="00886011" w14:paraId="4CDCB02A"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95F2236" w14:textId="77777777">
            <w:pPr>
              <w:widowControl/>
              <w:jc w:val="center"/>
              <w:rPr>
                <w:rFonts w:ascii="Calibri" w:hAnsi="Calibri" w:cs="Calibri"/>
                <w:snapToGrid/>
                <w:kern w:val="0"/>
                <w:szCs w:val="22"/>
              </w:rPr>
            </w:pPr>
            <w:r w:rsidRPr="00A032ED">
              <w:rPr>
                <w:rFonts w:ascii="Calibri" w:hAnsi="Calibri" w:cs="Calibri"/>
                <w:snapToGrid/>
                <w:kern w:val="0"/>
                <w:szCs w:val="22"/>
              </w:rPr>
              <w:t>WVXF</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1B03B1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85,191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0D8F55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$615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E4A009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804D0A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$2,533 </w:t>
            </w:r>
          </w:p>
        </w:tc>
      </w:tr>
      <w:tr w14:paraId="22F1F851"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C6CC2B8" w14:textId="77777777">
            <w:pPr>
              <w:widowControl/>
              <w:jc w:val="center"/>
              <w:rPr>
                <w:rFonts w:ascii="Calibri" w:hAnsi="Calibri" w:cs="Calibri"/>
                <w:snapToGrid/>
                <w:kern w:val="0"/>
                <w:szCs w:val="22"/>
              </w:rPr>
            </w:pPr>
            <w:r w:rsidRPr="00A032ED">
              <w:rPr>
                <w:rFonts w:ascii="Calibri" w:hAnsi="Calibri" w:cs="Calibri"/>
                <w:snapToGrid/>
                <w:kern w:val="0"/>
                <w:szCs w:val="22"/>
              </w:rPr>
              <w:t>WUTR</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376D50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526,114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0D637C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$3,801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526411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79B852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$4,125 </w:t>
            </w:r>
          </w:p>
        </w:tc>
        <w:tc>
          <w:tcPr>
            <w:tcW w:w="266" w:type="dxa"/>
            <w:tcBorders>
              <w:top w:val="nil"/>
              <w:left w:val="nil"/>
              <w:bottom w:val="nil"/>
              <w:right w:val="nil"/>
            </w:tcBorders>
            <w:shd w:val="clear" w:color="auto" w:fill="auto"/>
            <w:noWrap/>
            <w:vAlign w:val="bottom"/>
            <w:hideMark/>
          </w:tcPr>
          <w:p w:rsidR="006F7AD6" w:rsidRPr="00A032ED" w:rsidP="00886011" w14:paraId="5450817C"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F845B19" w14:textId="77777777">
            <w:pPr>
              <w:widowControl/>
              <w:jc w:val="center"/>
              <w:rPr>
                <w:rFonts w:ascii="Calibri" w:hAnsi="Calibri" w:cs="Calibri"/>
                <w:snapToGrid/>
                <w:kern w:val="0"/>
                <w:szCs w:val="22"/>
              </w:rPr>
            </w:pPr>
            <w:r w:rsidRPr="00A032ED">
              <w:rPr>
                <w:rFonts w:ascii="Calibri" w:hAnsi="Calibri" w:cs="Calibri"/>
                <w:snapToGrid/>
                <w:kern w:val="0"/>
                <w:szCs w:val="22"/>
              </w:rPr>
              <w:t>WWAY</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3A79AE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1,206,281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FEDB0E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$8,715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CA8A83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D495FE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$6,582 </w:t>
            </w:r>
          </w:p>
        </w:tc>
      </w:tr>
      <w:tr w14:paraId="42E44914"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7D00083" w14:textId="77777777">
            <w:pPr>
              <w:widowControl/>
              <w:jc w:val="center"/>
              <w:rPr>
                <w:rFonts w:ascii="Calibri" w:hAnsi="Calibri" w:cs="Calibri"/>
                <w:snapToGrid/>
                <w:kern w:val="0"/>
                <w:szCs w:val="22"/>
              </w:rPr>
            </w:pPr>
            <w:r w:rsidRPr="00A032ED">
              <w:rPr>
                <w:rFonts w:ascii="Calibri" w:hAnsi="Calibri" w:cs="Calibri"/>
                <w:snapToGrid/>
                <w:kern w:val="0"/>
                <w:szCs w:val="22"/>
              </w:rPr>
              <w:t>WUTV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1B0673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1,405,230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773DF8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$10,152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353FDC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83AFE0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$11,851 </w:t>
            </w:r>
          </w:p>
        </w:tc>
        <w:tc>
          <w:tcPr>
            <w:tcW w:w="266" w:type="dxa"/>
            <w:tcBorders>
              <w:top w:val="nil"/>
              <w:left w:val="nil"/>
              <w:bottom w:val="nil"/>
              <w:right w:val="nil"/>
            </w:tcBorders>
            <w:shd w:val="clear" w:color="auto" w:fill="auto"/>
            <w:noWrap/>
            <w:vAlign w:val="bottom"/>
            <w:hideMark/>
          </w:tcPr>
          <w:p w:rsidR="006F7AD6" w:rsidRPr="00A032ED" w:rsidP="00886011" w14:paraId="3A2F2FE0"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F4C711A" w14:textId="77777777">
            <w:pPr>
              <w:widowControl/>
              <w:jc w:val="center"/>
              <w:rPr>
                <w:rFonts w:ascii="Calibri" w:hAnsi="Calibri" w:cs="Calibri"/>
                <w:snapToGrid/>
                <w:kern w:val="0"/>
                <w:szCs w:val="22"/>
              </w:rPr>
            </w:pPr>
            <w:r w:rsidRPr="00A032ED">
              <w:rPr>
                <w:rFonts w:ascii="Calibri" w:hAnsi="Calibri" w:cs="Calibri"/>
                <w:snapToGrid/>
                <w:kern w:val="0"/>
                <w:szCs w:val="22"/>
              </w:rPr>
              <w:t>WWBT</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29BCC4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1,911,854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DF8DE3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$13,812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F70D75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70200C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$13,681 </w:t>
            </w:r>
          </w:p>
        </w:tc>
      </w:tr>
      <w:tr w14:paraId="51A061E0"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AD450FE" w14:textId="77777777">
            <w:pPr>
              <w:widowControl/>
              <w:jc w:val="center"/>
              <w:rPr>
                <w:rFonts w:ascii="Calibri" w:hAnsi="Calibri" w:cs="Calibri"/>
                <w:snapToGrid/>
                <w:kern w:val="0"/>
                <w:szCs w:val="22"/>
              </w:rPr>
            </w:pPr>
            <w:r w:rsidRPr="00A032ED">
              <w:rPr>
                <w:rFonts w:ascii="Calibri" w:hAnsi="Calibri" w:cs="Calibri"/>
                <w:snapToGrid/>
                <w:kern w:val="0"/>
                <w:szCs w:val="22"/>
              </w:rPr>
              <w:t>WUVC-DT</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E33FA1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3,528,124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B0EFC3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$25,488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8EE56A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A7EC62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$33,082 </w:t>
            </w:r>
          </w:p>
        </w:tc>
        <w:tc>
          <w:tcPr>
            <w:tcW w:w="266" w:type="dxa"/>
            <w:tcBorders>
              <w:top w:val="nil"/>
              <w:left w:val="nil"/>
              <w:bottom w:val="nil"/>
              <w:right w:val="nil"/>
            </w:tcBorders>
            <w:shd w:val="clear" w:color="auto" w:fill="auto"/>
            <w:noWrap/>
            <w:vAlign w:val="bottom"/>
            <w:hideMark/>
          </w:tcPr>
          <w:p w:rsidR="006F7AD6" w:rsidRPr="00A032ED" w:rsidP="00886011" w14:paraId="6C852B5F"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BDDCDED" w14:textId="77777777">
            <w:pPr>
              <w:widowControl/>
              <w:jc w:val="center"/>
              <w:rPr>
                <w:rFonts w:ascii="Calibri" w:hAnsi="Calibri" w:cs="Calibri"/>
                <w:snapToGrid/>
                <w:kern w:val="0"/>
                <w:szCs w:val="22"/>
              </w:rPr>
            </w:pPr>
            <w:r w:rsidRPr="00A032ED">
              <w:rPr>
                <w:rFonts w:ascii="Calibri" w:hAnsi="Calibri" w:cs="Calibri"/>
                <w:snapToGrid/>
                <w:kern w:val="0"/>
                <w:szCs w:val="22"/>
              </w:rPr>
              <w:t>WWCP-TV</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731E50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2,811,278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02BEE8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$20,310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06B42C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DECD47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$12,380 </w:t>
            </w:r>
          </w:p>
        </w:tc>
      </w:tr>
      <w:tr w14:paraId="624AD5C5"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0D7BD7F" w14:textId="77777777">
            <w:pPr>
              <w:widowControl/>
              <w:jc w:val="center"/>
              <w:rPr>
                <w:rFonts w:ascii="Calibri" w:hAnsi="Calibri" w:cs="Calibri"/>
                <w:snapToGrid/>
                <w:kern w:val="0"/>
                <w:szCs w:val="22"/>
              </w:rPr>
            </w:pPr>
            <w:r w:rsidRPr="00A032ED">
              <w:rPr>
                <w:rFonts w:ascii="Calibri" w:hAnsi="Calibri" w:cs="Calibri"/>
                <w:snapToGrid/>
                <w:kern w:val="0"/>
                <w:szCs w:val="22"/>
              </w:rPr>
              <w:t>WUVG-DT</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F8D72E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2,203,405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07EB40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$15,918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7CC764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9E1B16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$34,959 </w:t>
            </w:r>
          </w:p>
        </w:tc>
        <w:tc>
          <w:tcPr>
            <w:tcW w:w="266" w:type="dxa"/>
            <w:tcBorders>
              <w:top w:val="nil"/>
              <w:left w:val="nil"/>
              <w:bottom w:val="nil"/>
              <w:right w:val="nil"/>
            </w:tcBorders>
            <w:shd w:val="clear" w:color="auto" w:fill="auto"/>
            <w:noWrap/>
            <w:vAlign w:val="bottom"/>
            <w:hideMark/>
          </w:tcPr>
          <w:p w:rsidR="006F7AD6" w:rsidRPr="00A032ED" w:rsidP="00886011" w14:paraId="725F4D59"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D27517B" w14:textId="77777777">
            <w:pPr>
              <w:widowControl/>
              <w:jc w:val="center"/>
              <w:rPr>
                <w:rFonts w:ascii="Calibri" w:hAnsi="Calibri" w:cs="Calibri"/>
                <w:snapToGrid/>
                <w:kern w:val="0"/>
                <w:szCs w:val="22"/>
              </w:rPr>
            </w:pPr>
            <w:r w:rsidRPr="00A032ED">
              <w:rPr>
                <w:rFonts w:ascii="Calibri" w:hAnsi="Calibri" w:cs="Calibri"/>
                <w:snapToGrid/>
                <w:kern w:val="0"/>
                <w:szCs w:val="22"/>
              </w:rPr>
              <w:t>WWCW</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86DC92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1,404,553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6CAC57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$10,147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C06607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BAE8C5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$11,849 </w:t>
            </w:r>
          </w:p>
        </w:tc>
      </w:tr>
      <w:tr w14:paraId="274CD6B2"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BF7E38B" w14:textId="77777777">
            <w:pPr>
              <w:widowControl/>
              <w:jc w:val="center"/>
              <w:rPr>
                <w:rFonts w:ascii="Calibri" w:hAnsi="Calibri" w:cs="Calibri"/>
                <w:snapToGrid/>
                <w:kern w:val="0"/>
                <w:szCs w:val="22"/>
              </w:rPr>
            </w:pPr>
            <w:r w:rsidRPr="00A032ED">
              <w:rPr>
                <w:rFonts w:ascii="Calibri" w:hAnsi="Calibri" w:cs="Calibri"/>
                <w:snapToGrid/>
                <w:kern w:val="0"/>
                <w:szCs w:val="22"/>
              </w:rPr>
              <w:t>WUXP-TV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FE14AC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2,316,872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0FF655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$16,738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0DF0C9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7F3358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$21,944 </w:t>
            </w:r>
          </w:p>
        </w:tc>
        <w:tc>
          <w:tcPr>
            <w:tcW w:w="266" w:type="dxa"/>
            <w:tcBorders>
              <w:top w:val="nil"/>
              <w:left w:val="nil"/>
              <w:bottom w:val="nil"/>
              <w:right w:val="nil"/>
            </w:tcBorders>
            <w:shd w:val="clear" w:color="auto" w:fill="auto"/>
            <w:noWrap/>
            <w:vAlign w:val="bottom"/>
            <w:hideMark/>
          </w:tcPr>
          <w:p w:rsidR="006F7AD6" w:rsidRPr="00A032ED" w:rsidP="00886011" w14:paraId="185A589D"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D063DB6" w14:textId="77777777">
            <w:pPr>
              <w:widowControl/>
              <w:jc w:val="center"/>
              <w:rPr>
                <w:rFonts w:ascii="Calibri" w:hAnsi="Calibri" w:cs="Calibri"/>
                <w:snapToGrid/>
                <w:kern w:val="0"/>
                <w:szCs w:val="22"/>
              </w:rPr>
            </w:pPr>
            <w:r w:rsidRPr="00A032ED">
              <w:rPr>
                <w:rFonts w:ascii="Calibri" w:hAnsi="Calibri" w:cs="Calibri"/>
                <w:snapToGrid/>
                <w:kern w:val="0"/>
                <w:szCs w:val="22"/>
              </w:rPr>
              <w:t>WWDP</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37A59E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5,792,048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7D8C35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$41,844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1CAF68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260D15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$47,922 </w:t>
            </w:r>
          </w:p>
        </w:tc>
      </w:tr>
      <w:tr w14:paraId="22C44351"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9D53272" w14:textId="77777777">
            <w:pPr>
              <w:widowControl/>
              <w:jc w:val="center"/>
              <w:rPr>
                <w:rFonts w:ascii="Calibri" w:hAnsi="Calibri" w:cs="Calibri"/>
                <w:snapToGrid/>
                <w:kern w:val="0"/>
                <w:szCs w:val="22"/>
              </w:rPr>
            </w:pPr>
            <w:r w:rsidRPr="00A032ED">
              <w:rPr>
                <w:rFonts w:ascii="Calibri" w:hAnsi="Calibri" w:cs="Calibri"/>
                <w:snapToGrid/>
                <w:kern w:val="0"/>
                <w:szCs w:val="22"/>
              </w:rPr>
              <w:t>WVAH-TV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2FD19B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1,373,707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2CFE38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$9,924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C57D94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136631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$11,737 </w:t>
            </w:r>
          </w:p>
        </w:tc>
        <w:tc>
          <w:tcPr>
            <w:tcW w:w="266" w:type="dxa"/>
            <w:tcBorders>
              <w:top w:val="nil"/>
              <w:left w:val="nil"/>
              <w:bottom w:val="nil"/>
              <w:right w:val="nil"/>
            </w:tcBorders>
            <w:shd w:val="clear" w:color="auto" w:fill="auto"/>
            <w:noWrap/>
            <w:vAlign w:val="bottom"/>
            <w:hideMark/>
          </w:tcPr>
          <w:p w:rsidR="006F7AD6" w:rsidRPr="00A032ED" w:rsidP="00886011" w14:paraId="7E841FFA" w14:textId="77777777">
            <w:pPr>
              <w:widowControl/>
              <w:jc w:val="center"/>
              <w:rPr>
                <w:rFonts w:ascii="Calibri" w:hAnsi="Calibri" w:cs="Calibri"/>
                <w:snapToGrid/>
                <w:kern w:val="0"/>
                <w:szCs w:val="22"/>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DCBA39F" w14:textId="77777777">
            <w:pPr>
              <w:widowControl/>
              <w:jc w:val="center"/>
              <w:rPr>
                <w:rFonts w:ascii="Calibri" w:hAnsi="Calibri" w:cs="Calibri"/>
                <w:snapToGrid/>
                <w:kern w:val="0"/>
                <w:szCs w:val="22"/>
              </w:rPr>
            </w:pPr>
            <w:r w:rsidRPr="00A032ED">
              <w:rPr>
                <w:rFonts w:ascii="Calibri" w:hAnsi="Calibri" w:cs="Calibri"/>
                <w:snapToGrid/>
                <w:kern w:val="0"/>
                <w:szCs w:val="22"/>
              </w:rPr>
              <w:t>WWHO</w:t>
            </w:r>
          </w:p>
        </w:tc>
        <w:tc>
          <w:tcPr>
            <w:tcW w:w="130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850D08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2,879,726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F5C5C4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$20,804 </w:t>
            </w:r>
          </w:p>
        </w:tc>
        <w:tc>
          <w:tcPr>
            <w:tcW w:w="1396"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54CE13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603"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169CC0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$23,977 </w:t>
            </w:r>
          </w:p>
        </w:tc>
      </w:tr>
      <w:tr w14:paraId="40EE4083"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E57450E" w14:textId="77777777">
            <w:pPr>
              <w:widowControl/>
              <w:jc w:val="center"/>
              <w:rPr>
                <w:rFonts w:ascii="Calibri" w:hAnsi="Calibri" w:cs="Calibri"/>
                <w:snapToGrid/>
                <w:kern w:val="0"/>
                <w:szCs w:val="22"/>
              </w:rPr>
            </w:pPr>
            <w:r w:rsidRPr="00A032ED">
              <w:rPr>
                <w:rFonts w:ascii="Calibri" w:hAnsi="Calibri" w:cs="Calibri"/>
                <w:snapToGrid/>
                <w:kern w:val="0"/>
                <w:szCs w:val="22"/>
              </w:rPr>
              <w:t>WVBT</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50100A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1,848,277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281F27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$13,353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E3F67C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17CAE4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$20,251 </w:t>
            </w:r>
          </w:p>
        </w:tc>
        <w:tc>
          <w:tcPr>
            <w:tcW w:w="266" w:type="dxa"/>
            <w:tcBorders>
              <w:top w:val="nil"/>
              <w:left w:val="nil"/>
              <w:bottom w:val="nil"/>
              <w:right w:val="nil"/>
            </w:tcBorders>
            <w:shd w:val="clear" w:color="auto" w:fill="auto"/>
            <w:noWrap/>
            <w:vAlign w:val="bottom"/>
            <w:hideMark/>
          </w:tcPr>
          <w:p w:rsidR="006F7AD6" w:rsidRPr="00A032ED" w:rsidP="00886011" w14:paraId="7737D9F2" w14:textId="77777777">
            <w:pPr>
              <w:widowControl/>
              <w:jc w:val="center"/>
              <w:rPr>
                <w:rFonts w:ascii="Calibri" w:hAnsi="Calibri" w:cs="Calibri"/>
                <w:snapToGrid/>
                <w:kern w:val="0"/>
                <w:szCs w:val="22"/>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34B12388" w14:textId="77777777">
            <w:pPr>
              <w:widowControl/>
              <w:jc w:val="center"/>
              <w:rPr>
                <w:rFonts w:ascii="Calibri" w:hAnsi="Calibri" w:cs="Calibri"/>
                <w:snapToGrid/>
                <w:kern w:val="0"/>
                <w:szCs w:val="22"/>
              </w:rPr>
            </w:pPr>
            <w:r w:rsidRPr="00A032ED">
              <w:rPr>
                <w:rFonts w:ascii="Calibri" w:hAnsi="Calibri" w:cs="Calibri"/>
                <w:snapToGrid/>
                <w:kern w:val="0"/>
                <w:szCs w:val="22"/>
              </w:rPr>
              <w:t>WWJ-TV</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6F7AD6" w:rsidRPr="00A032ED" w:rsidP="00886011" w14:paraId="0AACF3BF" w14:textId="77777777">
            <w:pPr>
              <w:widowControl/>
              <w:jc w:val="center"/>
              <w:rPr>
                <w:rFonts w:ascii="Calibri" w:hAnsi="Calibri" w:cs="Calibri"/>
                <w:snapToGrid/>
                <w:kern w:val="0"/>
                <w:szCs w:val="22"/>
              </w:rPr>
            </w:pPr>
            <w:r w:rsidRPr="00A032ED">
              <w:rPr>
                <w:rFonts w:ascii="Calibri" w:hAnsi="Calibri" w:cs="Calibri"/>
                <w:snapToGrid/>
                <w:kern w:val="0"/>
                <w:szCs w:val="22"/>
              </w:rPr>
              <w:t>5,374,064</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6F7AD6" w:rsidRPr="00A032ED" w:rsidP="00886011" w14:paraId="280FA9F9" w14:textId="77777777">
            <w:pPr>
              <w:widowControl/>
              <w:jc w:val="center"/>
              <w:rPr>
                <w:rFonts w:ascii="Calibri" w:hAnsi="Calibri" w:cs="Calibri"/>
                <w:snapToGrid/>
                <w:kern w:val="0"/>
                <w:szCs w:val="22"/>
              </w:rPr>
            </w:pPr>
            <w:r w:rsidRPr="00A032ED">
              <w:rPr>
                <w:rFonts w:ascii="Calibri" w:hAnsi="Calibri" w:cs="Calibri"/>
                <w:snapToGrid/>
                <w:kern w:val="0"/>
                <w:szCs w:val="22"/>
              </w:rPr>
              <w:t>$38,824</w:t>
            </w:r>
          </w:p>
        </w:tc>
        <w:tc>
          <w:tcPr>
            <w:tcW w:w="1396" w:type="dxa"/>
            <w:tcBorders>
              <w:top w:val="single" w:sz="4" w:space="0" w:color="auto"/>
              <w:left w:val="nil"/>
              <w:bottom w:val="single" w:sz="4" w:space="0" w:color="auto"/>
              <w:right w:val="single" w:sz="4" w:space="0" w:color="auto"/>
            </w:tcBorders>
            <w:shd w:val="clear" w:color="auto" w:fill="auto"/>
            <w:noWrap/>
            <w:vAlign w:val="bottom"/>
            <w:hideMark/>
          </w:tcPr>
          <w:p w:rsidR="006F7AD6" w:rsidRPr="00A032ED" w:rsidP="00886011" w14:paraId="7BF88926" w14:textId="77777777">
            <w:pPr>
              <w:widowControl/>
              <w:jc w:val="center"/>
              <w:rPr>
                <w:rFonts w:ascii="Calibri" w:hAnsi="Calibri" w:cs="Calibri"/>
                <w:snapToGrid/>
                <w:kern w:val="0"/>
                <w:szCs w:val="22"/>
              </w:rPr>
            </w:pPr>
            <w:r w:rsidRPr="00A032ED">
              <w:rPr>
                <w:rFonts w:ascii="Calibri" w:hAnsi="Calibri" w:cs="Calibri"/>
                <w:snapToGrid/>
                <w:kern w:val="0"/>
                <w:szCs w:val="22"/>
              </w:rPr>
              <w:t>$40,675</w:t>
            </w:r>
          </w:p>
        </w:tc>
        <w:tc>
          <w:tcPr>
            <w:tcW w:w="1603" w:type="dxa"/>
            <w:tcBorders>
              <w:top w:val="single" w:sz="4" w:space="0" w:color="auto"/>
              <w:left w:val="nil"/>
              <w:bottom w:val="single" w:sz="4" w:space="0" w:color="auto"/>
              <w:right w:val="single" w:sz="4" w:space="0" w:color="auto"/>
            </w:tcBorders>
            <w:shd w:val="clear" w:color="auto" w:fill="auto"/>
            <w:noWrap/>
            <w:vAlign w:val="bottom"/>
            <w:hideMark/>
          </w:tcPr>
          <w:p w:rsidR="006F7AD6" w:rsidRPr="00A032ED" w:rsidP="00886011" w14:paraId="08B272E4" w14:textId="77777777">
            <w:pPr>
              <w:widowControl/>
              <w:jc w:val="center"/>
              <w:rPr>
                <w:rFonts w:ascii="Calibri" w:hAnsi="Calibri" w:cs="Calibri"/>
                <w:snapToGrid/>
                <w:kern w:val="0"/>
                <w:szCs w:val="22"/>
              </w:rPr>
            </w:pPr>
            <w:r w:rsidRPr="00A032ED">
              <w:rPr>
                <w:rFonts w:ascii="Calibri" w:hAnsi="Calibri" w:cs="Calibri"/>
                <w:snapToGrid/>
                <w:kern w:val="0"/>
                <w:szCs w:val="22"/>
              </w:rPr>
              <w:t>$39,750</w:t>
            </w:r>
          </w:p>
        </w:tc>
      </w:tr>
      <w:tr w14:paraId="1F2E4A0C"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F2DB776" w14:textId="77777777">
            <w:pPr>
              <w:widowControl/>
              <w:jc w:val="center"/>
              <w:rPr>
                <w:rFonts w:ascii="Calibri" w:hAnsi="Calibri" w:cs="Calibri"/>
                <w:snapToGrid/>
                <w:kern w:val="0"/>
                <w:szCs w:val="22"/>
              </w:rPr>
            </w:pPr>
            <w:r w:rsidRPr="00A032ED">
              <w:rPr>
                <w:rFonts w:ascii="Calibri" w:hAnsi="Calibri" w:cs="Calibri"/>
                <w:snapToGrid/>
                <w:kern w:val="0"/>
                <w:szCs w:val="22"/>
              </w:rPr>
              <w:t>WVCY-TV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7E3E37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3,117,342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C9B000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$22,521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15D3A0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086FEF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$24,835 </w:t>
            </w:r>
          </w:p>
        </w:tc>
        <w:tc>
          <w:tcPr>
            <w:tcW w:w="266" w:type="dxa"/>
            <w:tcBorders>
              <w:top w:val="nil"/>
              <w:left w:val="nil"/>
              <w:bottom w:val="nil"/>
              <w:right w:val="nil"/>
            </w:tcBorders>
            <w:shd w:val="clear" w:color="auto" w:fill="auto"/>
            <w:noWrap/>
            <w:vAlign w:val="bottom"/>
            <w:hideMark/>
          </w:tcPr>
          <w:p w:rsidR="006F7AD6" w:rsidRPr="00A032ED" w:rsidP="00886011" w14:paraId="55EF67CC" w14:textId="77777777">
            <w:pPr>
              <w:widowControl/>
              <w:jc w:val="center"/>
              <w:rPr>
                <w:rFonts w:ascii="Calibri" w:hAnsi="Calibri" w:cs="Calibri"/>
                <w:snapToGrid/>
                <w:kern w:val="0"/>
                <w:szCs w:val="22"/>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5C6DEDCD" w14:textId="77777777">
            <w:pPr>
              <w:widowControl/>
              <w:jc w:val="center"/>
              <w:rPr>
                <w:rFonts w:ascii="Calibri" w:hAnsi="Calibri" w:cs="Calibri"/>
                <w:snapToGrid/>
                <w:kern w:val="0"/>
                <w:szCs w:val="22"/>
              </w:rPr>
            </w:pPr>
            <w:r w:rsidRPr="00A032ED">
              <w:rPr>
                <w:rFonts w:ascii="Calibri" w:hAnsi="Calibri" w:cs="Calibri"/>
                <w:snapToGrid/>
                <w:kern w:val="0"/>
                <w:szCs w:val="22"/>
              </w:rPr>
              <w:t>WWJX</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6F7AD6" w:rsidRPr="00A032ED" w:rsidP="00886011" w14:paraId="0048BDF9" w14:textId="77777777">
            <w:pPr>
              <w:widowControl/>
              <w:jc w:val="center"/>
              <w:rPr>
                <w:rFonts w:ascii="Calibri" w:hAnsi="Calibri" w:cs="Calibri"/>
                <w:snapToGrid/>
                <w:kern w:val="0"/>
                <w:szCs w:val="22"/>
              </w:rPr>
            </w:pPr>
            <w:r w:rsidRPr="00A032ED">
              <w:rPr>
                <w:rFonts w:ascii="Calibri" w:hAnsi="Calibri" w:cs="Calibri"/>
                <w:snapToGrid/>
                <w:kern w:val="0"/>
                <w:szCs w:val="22"/>
              </w:rPr>
              <w:t>518,866</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6F7AD6" w:rsidRPr="00A032ED" w:rsidP="00886011" w14:paraId="01ACAD89" w14:textId="77777777">
            <w:pPr>
              <w:widowControl/>
              <w:jc w:val="center"/>
              <w:rPr>
                <w:rFonts w:ascii="Calibri" w:hAnsi="Calibri" w:cs="Calibri"/>
                <w:snapToGrid/>
                <w:kern w:val="0"/>
                <w:szCs w:val="22"/>
              </w:rPr>
            </w:pPr>
            <w:r w:rsidRPr="00A032ED">
              <w:rPr>
                <w:rFonts w:ascii="Calibri" w:hAnsi="Calibri" w:cs="Calibri"/>
                <w:snapToGrid/>
                <w:kern w:val="0"/>
                <w:szCs w:val="22"/>
              </w:rPr>
              <w:t>$3,748</w:t>
            </w:r>
          </w:p>
        </w:tc>
        <w:tc>
          <w:tcPr>
            <w:tcW w:w="1396" w:type="dxa"/>
            <w:tcBorders>
              <w:top w:val="single" w:sz="4" w:space="0" w:color="auto"/>
              <w:left w:val="nil"/>
              <w:bottom w:val="single" w:sz="4" w:space="0" w:color="auto"/>
              <w:right w:val="single" w:sz="4" w:space="0" w:color="auto"/>
            </w:tcBorders>
            <w:shd w:val="clear" w:color="auto" w:fill="auto"/>
            <w:noWrap/>
            <w:vAlign w:val="bottom"/>
            <w:hideMark/>
          </w:tcPr>
          <w:p w:rsidR="006F7AD6" w:rsidRPr="00A032ED" w:rsidP="00886011" w14:paraId="588A1D76" w14:textId="77777777">
            <w:pPr>
              <w:widowControl/>
              <w:jc w:val="center"/>
              <w:rPr>
                <w:rFonts w:ascii="Calibri" w:hAnsi="Calibri" w:cs="Calibri"/>
                <w:snapToGrid/>
                <w:kern w:val="0"/>
                <w:szCs w:val="22"/>
              </w:rPr>
            </w:pPr>
            <w:r w:rsidRPr="00A032ED">
              <w:rPr>
                <w:rFonts w:ascii="Calibri" w:hAnsi="Calibri" w:cs="Calibri"/>
                <w:snapToGrid/>
                <w:kern w:val="0"/>
                <w:szCs w:val="22"/>
              </w:rPr>
              <w:t>$13,550</w:t>
            </w:r>
          </w:p>
        </w:tc>
        <w:tc>
          <w:tcPr>
            <w:tcW w:w="1603" w:type="dxa"/>
            <w:tcBorders>
              <w:top w:val="single" w:sz="4" w:space="0" w:color="auto"/>
              <w:left w:val="nil"/>
              <w:bottom w:val="single" w:sz="4" w:space="0" w:color="auto"/>
              <w:right w:val="single" w:sz="4" w:space="0" w:color="auto"/>
            </w:tcBorders>
            <w:shd w:val="clear" w:color="auto" w:fill="auto"/>
            <w:noWrap/>
            <w:vAlign w:val="bottom"/>
            <w:hideMark/>
          </w:tcPr>
          <w:p w:rsidR="006F7AD6" w:rsidRPr="00A032ED" w:rsidP="00886011" w14:paraId="45992507" w14:textId="77777777">
            <w:pPr>
              <w:widowControl/>
              <w:jc w:val="center"/>
              <w:rPr>
                <w:rFonts w:ascii="Calibri" w:hAnsi="Calibri" w:cs="Calibri"/>
                <w:snapToGrid/>
                <w:kern w:val="0"/>
                <w:szCs w:val="22"/>
              </w:rPr>
            </w:pPr>
            <w:r w:rsidRPr="00A032ED">
              <w:rPr>
                <w:rFonts w:ascii="Calibri" w:hAnsi="Calibri" w:cs="Calibri"/>
                <w:snapToGrid/>
                <w:kern w:val="0"/>
                <w:szCs w:val="22"/>
              </w:rPr>
              <w:t>$8,649</w:t>
            </w:r>
          </w:p>
        </w:tc>
      </w:tr>
      <w:tr w14:paraId="19A8F4E1"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DDB734B" w14:textId="77777777">
            <w:pPr>
              <w:widowControl/>
              <w:jc w:val="center"/>
              <w:rPr>
                <w:rFonts w:ascii="Calibri" w:hAnsi="Calibri" w:cs="Calibri"/>
                <w:snapToGrid/>
                <w:kern w:val="0"/>
                <w:szCs w:val="22"/>
              </w:rPr>
            </w:pPr>
            <w:r w:rsidRPr="00A032ED">
              <w:rPr>
                <w:rFonts w:ascii="Calibri" w:hAnsi="Calibri" w:cs="Calibri"/>
                <w:snapToGrid/>
                <w:kern w:val="0"/>
                <w:szCs w:val="22"/>
              </w:rPr>
              <w:t>WVEA-TV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6E2E24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4,283,915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90FBC6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$30,949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BBC542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2F60D3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$35,812 </w:t>
            </w:r>
          </w:p>
        </w:tc>
        <w:tc>
          <w:tcPr>
            <w:tcW w:w="266" w:type="dxa"/>
            <w:tcBorders>
              <w:top w:val="nil"/>
              <w:left w:val="nil"/>
              <w:bottom w:val="nil"/>
              <w:right w:val="nil"/>
            </w:tcBorders>
            <w:shd w:val="clear" w:color="auto" w:fill="auto"/>
            <w:noWrap/>
            <w:vAlign w:val="bottom"/>
            <w:hideMark/>
          </w:tcPr>
          <w:p w:rsidR="006F7AD6" w:rsidRPr="00A032ED" w:rsidP="00886011" w14:paraId="2465490D" w14:textId="77777777">
            <w:pPr>
              <w:widowControl/>
              <w:jc w:val="center"/>
              <w:rPr>
                <w:rFonts w:ascii="Calibri" w:hAnsi="Calibri" w:cs="Calibri"/>
                <w:snapToGrid/>
                <w:kern w:val="0"/>
                <w:szCs w:val="22"/>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5CB0444C" w14:textId="77777777">
            <w:pPr>
              <w:widowControl/>
              <w:jc w:val="center"/>
              <w:rPr>
                <w:rFonts w:ascii="Calibri" w:hAnsi="Calibri" w:cs="Calibri"/>
                <w:snapToGrid/>
                <w:kern w:val="0"/>
                <w:szCs w:val="22"/>
              </w:rPr>
            </w:pPr>
            <w:r w:rsidRPr="00A032ED">
              <w:rPr>
                <w:rFonts w:ascii="Calibri" w:hAnsi="Calibri" w:cs="Calibri"/>
                <w:snapToGrid/>
                <w:kern w:val="0"/>
                <w:szCs w:val="22"/>
              </w:rPr>
              <w:t>WWLP</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6F7AD6" w:rsidRPr="00A032ED" w:rsidP="00886011" w14:paraId="713909DF" w14:textId="77777777">
            <w:pPr>
              <w:widowControl/>
              <w:jc w:val="center"/>
              <w:rPr>
                <w:rFonts w:ascii="Calibri" w:hAnsi="Calibri" w:cs="Calibri"/>
                <w:snapToGrid/>
                <w:kern w:val="0"/>
                <w:szCs w:val="22"/>
              </w:rPr>
            </w:pPr>
            <w:r w:rsidRPr="00A032ED">
              <w:rPr>
                <w:rFonts w:ascii="Calibri" w:hAnsi="Calibri" w:cs="Calibri"/>
                <w:snapToGrid/>
                <w:kern w:val="0"/>
                <w:szCs w:val="22"/>
              </w:rPr>
              <w:t>3,838,272</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6F7AD6" w:rsidRPr="00A032ED" w:rsidP="00886011" w14:paraId="343CB04A" w14:textId="77777777">
            <w:pPr>
              <w:widowControl/>
              <w:jc w:val="center"/>
              <w:rPr>
                <w:rFonts w:ascii="Calibri" w:hAnsi="Calibri" w:cs="Calibri"/>
                <w:snapToGrid/>
                <w:kern w:val="0"/>
                <w:szCs w:val="22"/>
              </w:rPr>
            </w:pPr>
            <w:r w:rsidRPr="00A032ED">
              <w:rPr>
                <w:rFonts w:ascii="Calibri" w:hAnsi="Calibri" w:cs="Calibri"/>
                <w:snapToGrid/>
                <w:kern w:val="0"/>
                <w:szCs w:val="22"/>
              </w:rPr>
              <w:t>$27,729</w:t>
            </w:r>
          </w:p>
        </w:tc>
        <w:tc>
          <w:tcPr>
            <w:tcW w:w="1396" w:type="dxa"/>
            <w:tcBorders>
              <w:top w:val="single" w:sz="4" w:space="0" w:color="auto"/>
              <w:left w:val="nil"/>
              <w:bottom w:val="single" w:sz="4" w:space="0" w:color="auto"/>
              <w:right w:val="single" w:sz="4" w:space="0" w:color="auto"/>
            </w:tcBorders>
            <w:shd w:val="clear" w:color="auto" w:fill="auto"/>
            <w:noWrap/>
            <w:vAlign w:val="bottom"/>
            <w:hideMark/>
          </w:tcPr>
          <w:p w:rsidR="006F7AD6" w:rsidRPr="00A032ED" w:rsidP="00886011" w14:paraId="1743DF87" w14:textId="77777777">
            <w:pPr>
              <w:widowControl/>
              <w:jc w:val="center"/>
              <w:rPr>
                <w:rFonts w:ascii="Calibri" w:hAnsi="Calibri" w:cs="Calibri"/>
                <w:snapToGrid/>
                <w:kern w:val="0"/>
                <w:szCs w:val="22"/>
              </w:rPr>
            </w:pPr>
            <w:r w:rsidRPr="00A032ED">
              <w:rPr>
                <w:rFonts w:ascii="Calibri" w:hAnsi="Calibri" w:cs="Calibri"/>
                <w:snapToGrid/>
                <w:kern w:val="0"/>
                <w:szCs w:val="22"/>
              </w:rPr>
              <w:t>$4,450</w:t>
            </w:r>
          </w:p>
        </w:tc>
        <w:tc>
          <w:tcPr>
            <w:tcW w:w="1603" w:type="dxa"/>
            <w:tcBorders>
              <w:top w:val="single" w:sz="4" w:space="0" w:color="auto"/>
              <w:left w:val="nil"/>
              <w:bottom w:val="single" w:sz="4" w:space="0" w:color="auto"/>
              <w:right w:val="single" w:sz="4" w:space="0" w:color="auto"/>
            </w:tcBorders>
            <w:shd w:val="clear" w:color="auto" w:fill="auto"/>
            <w:noWrap/>
            <w:vAlign w:val="bottom"/>
            <w:hideMark/>
          </w:tcPr>
          <w:p w:rsidR="006F7AD6" w:rsidRPr="00A032ED" w:rsidP="00886011" w14:paraId="21E2ECF3" w14:textId="77777777">
            <w:pPr>
              <w:widowControl/>
              <w:jc w:val="center"/>
              <w:rPr>
                <w:rFonts w:ascii="Calibri" w:hAnsi="Calibri" w:cs="Calibri"/>
                <w:snapToGrid/>
                <w:kern w:val="0"/>
                <w:szCs w:val="22"/>
              </w:rPr>
            </w:pPr>
            <w:r w:rsidRPr="00A032ED">
              <w:rPr>
                <w:rFonts w:ascii="Calibri" w:hAnsi="Calibri" w:cs="Calibri"/>
                <w:snapToGrid/>
                <w:kern w:val="0"/>
                <w:szCs w:val="22"/>
              </w:rPr>
              <w:t>$16,090</w:t>
            </w:r>
          </w:p>
        </w:tc>
      </w:tr>
      <w:tr w14:paraId="4B43F46A"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1C723F9" w14:textId="77777777">
            <w:pPr>
              <w:widowControl/>
              <w:jc w:val="center"/>
              <w:rPr>
                <w:rFonts w:ascii="Calibri" w:hAnsi="Calibri" w:cs="Calibri"/>
                <w:snapToGrid/>
                <w:kern w:val="0"/>
                <w:szCs w:val="22"/>
                <w:highlight w:val="yellow"/>
              </w:rPr>
            </w:pPr>
            <w:r w:rsidRPr="00A032ED">
              <w:rPr>
                <w:rFonts w:ascii="Calibri" w:hAnsi="Calibri" w:cs="Calibri"/>
                <w:snapToGrid/>
                <w:kern w:val="0"/>
                <w:szCs w:val="22"/>
              </w:rPr>
              <w:t>WVEC</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FBBBED4" w14:textId="77777777">
            <w:pPr>
              <w:widowControl/>
              <w:jc w:val="center"/>
              <w:rPr>
                <w:rFonts w:ascii="Calibri" w:hAnsi="Calibri" w:cs="Calibri"/>
                <w:snapToGrid/>
                <w:kern w:val="0"/>
                <w:szCs w:val="22"/>
                <w:highlight w:val="yellow"/>
              </w:rPr>
            </w:pPr>
            <w:r w:rsidRPr="00A032ED">
              <w:rPr>
                <w:rFonts w:ascii="Calibri" w:hAnsi="Calibri" w:cs="Calibri"/>
                <w:snapToGrid/>
                <w:kern w:val="0"/>
                <w:szCs w:val="22"/>
              </w:rPr>
              <w:t xml:space="preserve">2,179,223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094ADC5" w14:textId="77777777">
            <w:pPr>
              <w:widowControl/>
              <w:jc w:val="center"/>
              <w:rPr>
                <w:rFonts w:ascii="Calibri" w:hAnsi="Calibri" w:cs="Calibri"/>
                <w:snapToGrid/>
                <w:kern w:val="0"/>
                <w:szCs w:val="22"/>
                <w:highlight w:val="yellow"/>
              </w:rPr>
            </w:pPr>
            <w:r w:rsidRPr="00A032ED">
              <w:rPr>
                <w:rFonts w:ascii="Calibri" w:hAnsi="Calibri" w:cs="Calibri"/>
                <w:snapToGrid/>
                <w:kern w:val="0"/>
                <w:szCs w:val="22"/>
              </w:rPr>
              <w:t xml:space="preserve">$15,744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2DB5ED9" w14:textId="77777777">
            <w:pPr>
              <w:widowControl/>
              <w:jc w:val="center"/>
              <w:rPr>
                <w:rFonts w:ascii="Calibri" w:hAnsi="Calibri" w:cs="Calibri"/>
                <w:snapToGrid/>
                <w:kern w:val="0"/>
                <w:szCs w:val="22"/>
                <w:highlight w:val="yellow"/>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4D25D1D" w14:textId="77777777">
            <w:pPr>
              <w:widowControl/>
              <w:jc w:val="center"/>
              <w:rPr>
                <w:rFonts w:ascii="Calibri" w:hAnsi="Calibri" w:cs="Calibri"/>
                <w:snapToGrid/>
                <w:kern w:val="0"/>
                <w:szCs w:val="22"/>
                <w:highlight w:val="yellow"/>
              </w:rPr>
            </w:pPr>
            <w:r w:rsidRPr="00A032ED">
              <w:rPr>
                <w:rFonts w:ascii="Calibri" w:hAnsi="Calibri" w:cs="Calibri"/>
                <w:snapToGrid/>
                <w:kern w:val="0"/>
                <w:szCs w:val="22"/>
              </w:rPr>
              <w:t xml:space="preserve">$21,447 </w:t>
            </w:r>
          </w:p>
        </w:tc>
        <w:tc>
          <w:tcPr>
            <w:tcW w:w="266" w:type="dxa"/>
            <w:tcBorders>
              <w:top w:val="nil"/>
              <w:left w:val="nil"/>
              <w:bottom w:val="nil"/>
              <w:right w:val="nil"/>
            </w:tcBorders>
            <w:shd w:val="clear" w:color="auto" w:fill="auto"/>
            <w:noWrap/>
            <w:vAlign w:val="bottom"/>
            <w:hideMark/>
          </w:tcPr>
          <w:p w:rsidR="006F7AD6" w:rsidRPr="00A032ED" w:rsidP="00886011" w14:paraId="154AD071" w14:textId="77777777">
            <w:pPr>
              <w:widowControl/>
              <w:jc w:val="center"/>
              <w:rPr>
                <w:rFonts w:ascii="Calibri" w:hAnsi="Calibri" w:cs="Calibri"/>
                <w:snapToGrid/>
                <w:kern w:val="0"/>
                <w:szCs w:val="22"/>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722B4DA6" w14:textId="77777777">
            <w:pPr>
              <w:widowControl/>
              <w:jc w:val="center"/>
              <w:rPr>
                <w:rFonts w:ascii="Calibri" w:hAnsi="Calibri" w:cs="Calibri"/>
                <w:snapToGrid/>
                <w:kern w:val="0"/>
                <w:szCs w:val="22"/>
              </w:rPr>
            </w:pPr>
            <w:r w:rsidRPr="00A032ED">
              <w:rPr>
                <w:rFonts w:ascii="Calibri" w:hAnsi="Calibri" w:cs="Calibri"/>
                <w:snapToGrid/>
                <w:kern w:val="0"/>
                <w:szCs w:val="22"/>
              </w:rPr>
              <w:t>WWL-TV</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6F7AD6" w:rsidRPr="00A032ED" w:rsidP="00886011" w14:paraId="024EC7E7" w14:textId="77777777">
            <w:pPr>
              <w:widowControl/>
              <w:jc w:val="center"/>
              <w:rPr>
                <w:rFonts w:ascii="Calibri" w:hAnsi="Calibri" w:cs="Calibri"/>
                <w:snapToGrid/>
                <w:kern w:val="0"/>
                <w:szCs w:val="22"/>
              </w:rPr>
            </w:pPr>
            <w:r w:rsidRPr="00A032ED">
              <w:rPr>
                <w:rFonts w:ascii="Calibri" w:hAnsi="Calibri" w:cs="Calibri"/>
                <w:snapToGrid/>
                <w:kern w:val="0"/>
                <w:szCs w:val="22"/>
              </w:rPr>
              <w:t>1,756,442</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6F7AD6" w:rsidRPr="00A032ED" w:rsidP="00886011" w14:paraId="2357A04B" w14:textId="77777777">
            <w:pPr>
              <w:widowControl/>
              <w:jc w:val="center"/>
              <w:rPr>
                <w:rFonts w:ascii="Calibri" w:hAnsi="Calibri" w:cs="Calibri"/>
                <w:snapToGrid/>
                <w:kern w:val="0"/>
                <w:szCs w:val="22"/>
              </w:rPr>
            </w:pPr>
            <w:r w:rsidRPr="00A032ED">
              <w:rPr>
                <w:rFonts w:ascii="Calibri" w:hAnsi="Calibri" w:cs="Calibri"/>
                <w:snapToGrid/>
                <w:kern w:val="0"/>
                <w:szCs w:val="22"/>
              </w:rPr>
              <w:t>$12,689</w:t>
            </w:r>
          </w:p>
        </w:tc>
        <w:tc>
          <w:tcPr>
            <w:tcW w:w="1396" w:type="dxa"/>
            <w:tcBorders>
              <w:top w:val="single" w:sz="4" w:space="0" w:color="auto"/>
              <w:left w:val="nil"/>
              <w:bottom w:val="single" w:sz="4" w:space="0" w:color="auto"/>
              <w:right w:val="single" w:sz="4" w:space="0" w:color="auto"/>
            </w:tcBorders>
            <w:shd w:val="clear" w:color="auto" w:fill="auto"/>
            <w:noWrap/>
            <w:vAlign w:val="bottom"/>
            <w:hideMark/>
          </w:tcPr>
          <w:p w:rsidR="006F7AD6" w:rsidRPr="00A032ED" w:rsidP="00886011" w14:paraId="73AD19A3" w14:textId="77777777">
            <w:pPr>
              <w:widowControl/>
              <w:jc w:val="center"/>
              <w:rPr>
                <w:rFonts w:ascii="Calibri" w:hAnsi="Calibri" w:cs="Calibri"/>
                <w:snapToGrid/>
                <w:kern w:val="0"/>
                <w:szCs w:val="22"/>
              </w:rPr>
            </w:pPr>
            <w:r w:rsidRPr="00A032ED">
              <w:rPr>
                <w:rFonts w:ascii="Calibri" w:hAnsi="Calibri" w:cs="Calibri"/>
                <w:snapToGrid/>
                <w:kern w:val="0"/>
                <w:szCs w:val="22"/>
              </w:rPr>
              <w:t>$27,150</w:t>
            </w:r>
          </w:p>
        </w:tc>
        <w:tc>
          <w:tcPr>
            <w:tcW w:w="1603" w:type="dxa"/>
            <w:tcBorders>
              <w:top w:val="single" w:sz="4" w:space="0" w:color="auto"/>
              <w:left w:val="nil"/>
              <w:bottom w:val="single" w:sz="4" w:space="0" w:color="auto"/>
              <w:right w:val="single" w:sz="4" w:space="0" w:color="auto"/>
            </w:tcBorders>
            <w:shd w:val="clear" w:color="auto" w:fill="auto"/>
            <w:noWrap/>
            <w:vAlign w:val="bottom"/>
            <w:hideMark/>
          </w:tcPr>
          <w:p w:rsidR="006F7AD6" w:rsidRPr="00A032ED" w:rsidP="00886011" w14:paraId="52BD827E" w14:textId="77777777">
            <w:pPr>
              <w:widowControl/>
              <w:jc w:val="center"/>
              <w:rPr>
                <w:rFonts w:ascii="Calibri" w:hAnsi="Calibri" w:cs="Calibri"/>
                <w:snapToGrid/>
                <w:kern w:val="0"/>
                <w:szCs w:val="22"/>
              </w:rPr>
            </w:pPr>
            <w:r w:rsidRPr="00A032ED">
              <w:rPr>
                <w:rFonts w:ascii="Calibri" w:hAnsi="Calibri" w:cs="Calibri"/>
                <w:snapToGrid/>
                <w:kern w:val="0"/>
                <w:szCs w:val="22"/>
              </w:rPr>
              <w:t>$19,920</w:t>
            </w:r>
          </w:p>
        </w:tc>
      </w:tr>
      <w:tr w14:paraId="66AA41AC"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9045BC8" w14:textId="77777777">
            <w:pPr>
              <w:widowControl/>
              <w:jc w:val="center"/>
              <w:rPr>
                <w:rFonts w:ascii="Calibri" w:hAnsi="Calibri" w:cs="Calibri"/>
                <w:snapToGrid/>
                <w:kern w:val="0"/>
                <w:szCs w:val="22"/>
              </w:rPr>
            </w:pPr>
            <w:r w:rsidRPr="00A032ED">
              <w:rPr>
                <w:rFonts w:ascii="Calibri" w:hAnsi="Calibri" w:cs="Calibri"/>
                <w:snapToGrid/>
                <w:kern w:val="0"/>
                <w:szCs w:val="22"/>
              </w:rPr>
              <w:t>WVEN-TV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741AFE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3,607,540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E05AC6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$26,062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AB488F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AF774E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$33,369 </w:t>
            </w:r>
          </w:p>
        </w:tc>
        <w:tc>
          <w:tcPr>
            <w:tcW w:w="266" w:type="dxa"/>
            <w:tcBorders>
              <w:top w:val="nil"/>
              <w:left w:val="nil"/>
              <w:bottom w:val="nil"/>
              <w:right w:val="nil"/>
            </w:tcBorders>
            <w:shd w:val="clear" w:color="auto" w:fill="auto"/>
            <w:noWrap/>
            <w:vAlign w:val="bottom"/>
            <w:hideMark/>
          </w:tcPr>
          <w:p w:rsidR="006F7AD6" w:rsidRPr="00A032ED" w:rsidP="00886011" w14:paraId="424D71FA" w14:textId="77777777">
            <w:pPr>
              <w:widowControl/>
              <w:jc w:val="center"/>
              <w:rPr>
                <w:rFonts w:ascii="Calibri" w:hAnsi="Calibri" w:cs="Calibri"/>
                <w:snapToGrid/>
                <w:kern w:val="0"/>
                <w:szCs w:val="22"/>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301A6168" w14:textId="77777777">
            <w:pPr>
              <w:widowControl/>
              <w:jc w:val="center"/>
              <w:rPr>
                <w:rFonts w:ascii="Calibri" w:hAnsi="Calibri" w:cs="Calibri"/>
                <w:snapToGrid/>
                <w:kern w:val="0"/>
                <w:szCs w:val="22"/>
              </w:rPr>
            </w:pPr>
            <w:r w:rsidRPr="00A032ED">
              <w:rPr>
                <w:rFonts w:ascii="Calibri" w:hAnsi="Calibri" w:cs="Calibri"/>
                <w:snapToGrid/>
                <w:kern w:val="0"/>
                <w:szCs w:val="22"/>
              </w:rPr>
              <w:t>WWMB</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6F7AD6" w:rsidRPr="00A032ED" w:rsidP="00886011" w14:paraId="7F17A799" w14:textId="77777777">
            <w:pPr>
              <w:widowControl/>
              <w:jc w:val="center"/>
              <w:rPr>
                <w:rFonts w:ascii="Calibri" w:hAnsi="Calibri" w:cs="Calibri"/>
                <w:snapToGrid/>
                <w:kern w:val="0"/>
                <w:szCs w:val="22"/>
              </w:rPr>
            </w:pPr>
            <w:r w:rsidRPr="00A032ED">
              <w:rPr>
                <w:rFonts w:ascii="Calibri" w:hAnsi="Calibri" w:cs="Calibri"/>
                <w:snapToGrid/>
                <w:kern w:val="0"/>
                <w:szCs w:val="22"/>
              </w:rPr>
              <w:t>1,460,406</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6F7AD6" w:rsidRPr="00A032ED" w:rsidP="00886011" w14:paraId="49858A19" w14:textId="77777777">
            <w:pPr>
              <w:widowControl/>
              <w:jc w:val="center"/>
              <w:rPr>
                <w:rFonts w:ascii="Calibri" w:hAnsi="Calibri" w:cs="Calibri"/>
                <w:snapToGrid/>
                <w:kern w:val="0"/>
                <w:szCs w:val="22"/>
              </w:rPr>
            </w:pPr>
            <w:r w:rsidRPr="00A032ED">
              <w:rPr>
                <w:rFonts w:ascii="Calibri" w:hAnsi="Calibri" w:cs="Calibri"/>
                <w:snapToGrid/>
                <w:kern w:val="0"/>
                <w:szCs w:val="22"/>
              </w:rPr>
              <w:t>$10,551</w:t>
            </w:r>
          </w:p>
        </w:tc>
        <w:tc>
          <w:tcPr>
            <w:tcW w:w="1396" w:type="dxa"/>
            <w:tcBorders>
              <w:top w:val="single" w:sz="4" w:space="0" w:color="auto"/>
              <w:left w:val="nil"/>
              <w:bottom w:val="single" w:sz="4" w:space="0" w:color="auto"/>
              <w:right w:val="single" w:sz="4" w:space="0" w:color="auto"/>
            </w:tcBorders>
            <w:shd w:val="clear" w:color="auto" w:fill="auto"/>
            <w:noWrap/>
            <w:vAlign w:val="bottom"/>
            <w:hideMark/>
          </w:tcPr>
          <w:p w:rsidR="006F7AD6" w:rsidRPr="00A032ED" w:rsidP="00886011" w14:paraId="230FC21E" w14:textId="77777777">
            <w:pPr>
              <w:widowControl/>
              <w:jc w:val="center"/>
              <w:rPr>
                <w:rFonts w:ascii="Calibri" w:hAnsi="Calibri" w:cs="Calibri"/>
                <w:snapToGrid/>
                <w:kern w:val="0"/>
                <w:szCs w:val="22"/>
              </w:rPr>
            </w:pPr>
            <w:r w:rsidRPr="00A032ED">
              <w:rPr>
                <w:rFonts w:ascii="Calibri" w:hAnsi="Calibri" w:cs="Calibri"/>
                <w:snapToGrid/>
                <w:kern w:val="0"/>
                <w:szCs w:val="22"/>
              </w:rPr>
              <w:t>$4,450</w:t>
            </w:r>
          </w:p>
        </w:tc>
        <w:tc>
          <w:tcPr>
            <w:tcW w:w="1603" w:type="dxa"/>
            <w:tcBorders>
              <w:top w:val="single" w:sz="4" w:space="0" w:color="auto"/>
              <w:left w:val="nil"/>
              <w:bottom w:val="single" w:sz="4" w:space="0" w:color="auto"/>
              <w:right w:val="single" w:sz="4" w:space="0" w:color="auto"/>
            </w:tcBorders>
            <w:shd w:val="clear" w:color="auto" w:fill="auto"/>
            <w:noWrap/>
            <w:vAlign w:val="bottom"/>
            <w:hideMark/>
          </w:tcPr>
          <w:p w:rsidR="006F7AD6" w:rsidRPr="00A032ED" w:rsidP="00886011" w14:paraId="2E96B4FE" w14:textId="77777777">
            <w:pPr>
              <w:widowControl/>
              <w:jc w:val="center"/>
              <w:rPr>
                <w:rFonts w:ascii="Calibri" w:hAnsi="Calibri" w:cs="Calibri"/>
                <w:snapToGrid/>
                <w:kern w:val="0"/>
                <w:szCs w:val="22"/>
              </w:rPr>
            </w:pPr>
            <w:r w:rsidRPr="00A032ED">
              <w:rPr>
                <w:rFonts w:ascii="Calibri" w:hAnsi="Calibri" w:cs="Calibri"/>
                <w:snapToGrid/>
                <w:kern w:val="0"/>
                <w:szCs w:val="22"/>
              </w:rPr>
              <w:t>$7,500</w:t>
            </w:r>
          </w:p>
        </w:tc>
      </w:tr>
      <w:tr w14:paraId="52E9A9C0"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CA655AD" w14:textId="77777777">
            <w:pPr>
              <w:widowControl/>
              <w:jc w:val="center"/>
              <w:rPr>
                <w:rFonts w:ascii="Calibri" w:hAnsi="Calibri" w:cs="Calibri"/>
                <w:snapToGrid/>
                <w:kern w:val="0"/>
                <w:szCs w:val="22"/>
              </w:rPr>
            </w:pPr>
            <w:r w:rsidRPr="00A032ED">
              <w:rPr>
                <w:rFonts w:ascii="Calibri" w:hAnsi="Calibri" w:cs="Calibri"/>
                <w:snapToGrid/>
                <w:kern w:val="0"/>
                <w:szCs w:val="22"/>
              </w:rPr>
              <w:t>WVEO</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431A0C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1,153,382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EF2688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$8,332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4A0181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CCA2F7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$6,391 </w:t>
            </w:r>
          </w:p>
        </w:tc>
        <w:tc>
          <w:tcPr>
            <w:tcW w:w="266" w:type="dxa"/>
            <w:tcBorders>
              <w:top w:val="nil"/>
              <w:left w:val="nil"/>
              <w:bottom w:val="nil"/>
              <w:right w:val="single" w:sz="4" w:space="0" w:color="auto"/>
            </w:tcBorders>
            <w:shd w:val="clear" w:color="auto" w:fill="auto"/>
            <w:noWrap/>
            <w:vAlign w:val="bottom"/>
            <w:hideMark/>
          </w:tcPr>
          <w:p w:rsidR="006F7AD6" w:rsidRPr="00A032ED" w:rsidP="00886011" w14:paraId="738B7F4E" w14:textId="77777777">
            <w:pPr>
              <w:widowControl/>
              <w:jc w:val="center"/>
              <w:rPr>
                <w:rFonts w:ascii="Calibri" w:hAnsi="Calibri" w:cs="Calibri"/>
                <w:snapToGrid/>
                <w:kern w:val="0"/>
                <w:szCs w:val="22"/>
              </w:rPr>
            </w:pPr>
          </w:p>
        </w:tc>
        <w:tc>
          <w:tcPr>
            <w:tcW w:w="1041" w:type="dxa"/>
            <w:tcBorders>
              <w:top w:val="single" w:sz="4" w:space="0" w:color="auto"/>
              <w:left w:val="single" w:sz="4" w:space="0" w:color="auto"/>
              <w:bottom w:val="single" w:sz="4" w:space="0" w:color="auto"/>
              <w:right w:val="nil"/>
            </w:tcBorders>
            <w:shd w:val="clear" w:color="auto" w:fill="auto"/>
            <w:noWrap/>
            <w:vAlign w:val="bottom"/>
            <w:hideMark/>
          </w:tcPr>
          <w:p w:rsidR="006F7AD6" w:rsidRPr="00A032ED" w:rsidP="00886011" w14:paraId="499FD171" w14:textId="77777777">
            <w:pPr>
              <w:widowControl/>
              <w:jc w:val="center"/>
              <w:rPr>
                <w:rFonts w:ascii="Calibri" w:hAnsi="Calibri" w:cs="Calibri"/>
                <w:snapToGrid/>
                <w:kern w:val="0"/>
                <w:szCs w:val="22"/>
              </w:rPr>
            </w:pPr>
            <w:r w:rsidRPr="00A032ED">
              <w:rPr>
                <w:rFonts w:ascii="Calibri" w:hAnsi="Calibri" w:cs="Calibri"/>
                <w:snapToGrid/>
                <w:kern w:val="0"/>
                <w:szCs w:val="22"/>
              </w:rPr>
              <w:t>WWMT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1332AA81" w14:textId="77777777">
            <w:pPr>
              <w:widowControl/>
              <w:jc w:val="center"/>
              <w:rPr>
                <w:rFonts w:ascii="Calibri" w:hAnsi="Calibri" w:cs="Calibri"/>
                <w:snapToGrid/>
                <w:kern w:val="0"/>
                <w:szCs w:val="22"/>
              </w:rPr>
            </w:pPr>
            <w:r w:rsidRPr="00A032ED">
              <w:rPr>
                <w:rFonts w:ascii="Calibri" w:hAnsi="Calibri" w:cs="Calibri"/>
                <w:snapToGrid/>
                <w:kern w:val="0"/>
                <w:szCs w:val="22"/>
              </w:rPr>
              <w:t>2,460,942</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6F7AD6" w:rsidRPr="00A032ED" w:rsidP="00886011" w14:paraId="19C3D129" w14:textId="77777777">
            <w:pPr>
              <w:widowControl/>
              <w:jc w:val="center"/>
              <w:rPr>
                <w:rFonts w:ascii="Calibri" w:hAnsi="Calibri" w:cs="Calibri"/>
                <w:snapToGrid/>
                <w:kern w:val="0"/>
                <w:szCs w:val="22"/>
              </w:rPr>
            </w:pPr>
            <w:r w:rsidRPr="00A032ED">
              <w:rPr>
                <w:rFonts w:ascii="Calibri" w:hAnsi="Calibri" w:cs="Calibri"/>
                <w:snapToGrid/>
                <w:kern w:val="0"/>
                <w:szCs w:val="22"/>
              </w:rPr>
              <w:t>$17,779</w:t>
            </w:r>
          </w:p>
        </w:tc>
        <w:tc>
          <w:tcPr>
            <w:tcW w:w="1396" w:type="dxa"/>
            <w:tcBorders>
              <w:top w:val="single" w:sz="4" w:space="0" w:color="auto"/>
              <w:left w:val="nil"/>
              <w:bottom w:val="single" w:sz="4" w:space="0" w:color="auto"/>
              <w:right w:val="single" w:sz="4" w:space="0" w:color="auto"/>
            </w:tcBorders>
            <w:shd w:val="clear" w:color="auto" w:fill="auto"/>
            <w:noWrap/>
            <w:vAlign w:val="bottom"/>
            <w:hideMark/>
          </w:tcPr>
          <w:p w:rsidR="006F7AD6" w:rsidRPr="00A032ED" w:rsidP="00886011" w14:paraId="083BD183" w14:textId="77777777">
            <w:pPr>
              <w:widowControl/>
              <w:jc w:val="center"/>
              <w:rPr>
                <w:rFonts w:ascii="Calibri" w:hAnsi="Calibri" w:cs="Calibri"/>
                <w:snapToGrid/>
                <w:kern w:val="0"/>
                <w:szCs w:val="22"/>
              </w:rPr>
            </w:pPr>
            <w:r w:rsidRPr="00A032ED">
              <w:rPr>
                <w:rFonts w:ascii="Calibri" w:hAnsi="Calibri" w:cs="Calibri"/>
                <w:snapToGrid/>
                <w:kern w:val="0"/>
                <w:szCs w:val="22"/>
              </w:rPr>
              <w:t>$27,150</w:t>
            </w:r>
          </w:p>
        </w:tc>
        <w:tc>
          <w:tcPr>
            <w:tcW w:w="1603" w:type="dxa"/>
            <w:tcBorders>
              <w:top w:val="single" w:sz="4" w:space="0" w:color="auto"/>
              <w:left w:val="nil"/>
              <w:bottom w:val="single" w:sz="4" w:space="0" w:color="auto"/>
              <w:right w:val="single" w:sz="4" w:space="0" w:color="auto"/>
            </w:tcBorders>
            <w:shd w:val="clear" w:color="auto" w:fill="auto"/>
            <w:noWrap/>
            <w:vAlign w:val="bottom"/>
            <w:hideMark/>
          </w:tcPr>
          <w:p w:rsidR="006F7AD6" w:rsidRPr="00A032ED" w:rsidP="00886011" w14:paraId="79E14A3B" w14:textId="77777777">
            <w:pPr>
              <w:widowControl/>
              <w:jc w:val="center"/>
              <w:rPr>
                <w:rFonts w:ascii="Calibri" w:hAnsi="Calibri" w:cs="Calibri"/>
                <w:snapToGrid/>
                <w:kern w:val="0"/>
                <w:szCs w:val="22"/>
              </w:rPr>
            </w:pPr>
            <w:r w:rsidRPr="00A032ED">
              <w:rPr>
                <w:rFonts w:ascii="Calibri" w:hAnsi="Calibri" w:cs="Calibri"/>
                <w:snapToGrid/>
                <w:kern w:val="0"/>
                <w:szCs w:val="22"/>
              </w:rPr>
              <w:t>$22,464</w:t>
            </w:r>
          </w:p>
        </w:tc>
      </w:tr>
      <w:tr w14:paraId="2F12FFDD"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9220F60" w14:textId="77777777">
            <w:pPr>
              <w:widowControl/>
              <w:jc w:val="center"/>
              <w:rPr>
                <w:rFonts w:ascii="Calibri" w:hAnsi="Calibri" w:cs="Calibri"/>
                <w:snapToGrid/>
                <w:kern w:val="0"/>
                <w:szCs w:val="22"/>
              </w:rPr>
            </w:pPr>
            <w:r w:rsidRPr="00A032ED">
              <w:rPr>
                <w:rFonts w:ascii="Calibri" w:hAnsi="Calibri" w:cs="Calibri"/>
                <w:snapToGrid/>
                <w:kern w:val="0"/>
                <w:szCs w:val="22"/>
              </w:rPr>
              <w:t>WVER</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AB4D3E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760,072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63232B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$5,491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ECF67C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5CBF41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$9,521 </w:t>
            </w:r>
          </w:p>
        </w:tc>
        <w:tc>
          <w:tcPr>
            <w:tcW w:w="266" w:type="dxa"/>
            <w:tcBorders>
              <w:top w:val="nil"/>
              <w:left w:val="nil"/>
              <w:bottom w:val="nil"/>
              <w:right w:val="single" w:sz="4" w:space="0" w:color="auto"/>
            </w:tcBorders>
            <w:shd w:val="clear" w:color="auto" w:fill="auto"/>
            <w:noWrap/>
            <w:vAlign w:val="bottom"/>
            <w:hideMark/>
          </w:tcPr>
          <w:p w:rsidR="006F7AD6" w:rsidRPr="00A032ED" w:rsidP="00886011" w14:paraId="5C60BB53" w14:textId="77777777">
            <w:pPr>
              <w:widowControl/>
              <w:jc w:val="center"/>
              <w:rPr>
                <w:rFonts w:ascii="Calibri" w:hAnsi="Calibri" w:cs="Calibri"/>
                <w:snapToGrid/>
                <w:kern w:val="0"/>
                <w:szCs w:val="22"/>
              </w:rPr>
            </w:pPr>
          </w:p>
        </w:tc>
        <w:tc>
          <w:tcPr>
            <w:tcW w:w="1041" w:type="dxa"/>
            <w:tcBorders>
              <w:top w:val="single" w:sz="4" w:space="0" w:color="auto"/>
              <w:left w:val="single" w:sz="4" w:space="0" w:color="auto"/>
              <w:bottom w:val="single" w:sz="4" w:space="0" w:color="auto"/>
              <w:right w:val="nil"/>
            </w:tcBorders>
            <w:shd w:val="clear" w:color="auto" w:fill="auto"/>
            <w:noWrap/>
            <w:vAlign w:val="bottom"/>
            <w:hideMark/>
          </w:tcPr>
          <w:p w:rsidR="006F7AD6" w:rsidRPr="00A032ED" w:rsidP="00886011" w14:paraId="05FF413D" w14:textId="77777777">
            <w:pPr>
              <w:widowControl/>
              <w:jc w:val="center"/>
              <w:rPr>
                <w:rFonts w:ascii="Calibri" w:hAnsi="Calibri" w:cs="Calibri"/>
                <w:snapToGrid/>
                <w:kern w:val="0"/>
                <w:szCs w:val="22"/>
              </w:rPr>
            </w:pPr>
            <w:r w:rsidRPr="00A032ED">
              <w:rPr>
                <w:rFonts w:ascii="Calibri" w:hAnsi="Calibri" w:cs="Calibri"/>
                <w:snapToGrid/>
                <w:kern w:val="0"/>
                <w:szCs w:val="22"/>
              </w:rPr>
              <w:t>WWNY-TV</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2C766BB9" w14:textId="77777777">
            <w:pPr>
              <w:widowControl/>
              <w:jc w:val="center"/>
              <w:rPr>
                <w:rFonts w:ascii="Calibri" w:hAnsi="Calibri" w:cs="Calibri"/>
                <w:snapToGrid/>
                <w:kern w:val="0"/>
                <w:szCs w:val="22"/>
              </w:rPr>
            </w:pPr>
            <w:r w:rsidRPr="00A032ED">
              <w:rPr>
                <w:rFonts w:ascii="Calibri" w:hAnsi="Calibri" w:cs="Calibri"/>
                <w:snapToGrid/>
                <w:kern w:val="0"/>
                <w:szCs w:val="22"/>
              </w:rPr>
              <w:t>365,677</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6F7AD6" w:rsidRPr="00A032ED" w:rsidP="00886011" w14:paraId="560F5247" w14:textId="77777777">
            <w:pPr>
              <w:widowControl/>
              <w:jc w:val="center"/>
              <w:rPr>
                <w:rFonts w:ascii="Calibri" w:hAnsi="Calibri" w:cs="Calibri"/>
                <w:snapToGrid/>
                <w:kern w:val="0"/>
                <w:szCs w:val="22"/>
              </w:rPr>
            </w:pPr>
            <w:r w:rsidRPr="00A032ED">
              <w:rPr>
                <w:rFonts w:ascii="Calibri" w:hAnsi="Calibri" w:cs="Calibri"/>
                <w:snapToGrid/>
                <w:kern w:val="0"/>
                <w:szCs w:val="22"/>
              </w:rPr>
              <w:t>$2,642</w:t>
            </w:r>
          </w:p>
        </w:tc>
        <w:tc>
          <w:tcPr>
            <w:tcW w:w="1396" w:type="dxa"/>
            <w:tcBorders>
              <w:top w:val="single" w:sz="4" w:space="0" w:color="auto"/>
              <w:left w:val="nil"/>
              <w:bottom w:val="single" w:sz="4" w:space="0" w:color="auto"/>
              <w:right w:val="single" w:sz="4" w:space="0" w:color="auto"/>
            </w:tcBorders>
            <w:shd w:val="clear" w:color="auto" w:fill="auto"/>
            <w:noWrap/>
            <w:vAlign w:val="bottom"/>
            <w:hideMark/>
          </w:tcPr>
          <w:p w:rsidR="006F7AD6" w:rsidRPr="00A032ED" w:rsidP="00886011" w14:paraId="24D43EDE" w14:textId="77777777">
            <w:pPr>
              <w:widowControl/>
              <w:jc w:val="center"/>
              <w:rPr>
                <w:rFonts w:ascii="Calibri" w:hAnsi="Calibri" w:cs="Calibri"/>
                <w:snapToGrid/>
                <w:kern w:val="0"/>
                <w:szCs w:val="22"/>
              </w:rPr>
            </w:pPr>
            <w:r w:rsidRPr="00A032ED">
              <w:rPr>
                <w:rFonts w:ascii="Calibri" w:hAnsi="Calibri" w:cs="Calibri"/>
                <w:snapToGrid/>
                <w:kern w:val="0"/>
                <w:szCs w:val="22"/>
              </w:rPr>
              <w:t>$4,450</w:t>
            </w:r>
          </w:p>
        </w:tc>
        <w:tc>
          <w:tcPr>
            <w:tcW w:w="1603" w:type="dxa"/>
            <w:tcBorders>
              <w:top w:val="single" w:sz="4" w:space="0" w:color="auto"/>
              <w:left w:val="nil"/>
              <w:bottom w:val="single" w:sz="4" w:space="0" w:color="auto"/>
              <w:right w:val="single" w:sz="4" w:space="0" w:color="auto"/>
            </w:tcBorders>
            <w:shd w:val="clear" w:color="auto" w:fill="auto"/>
            <w:noWrap/>
            <w:vAlign w:val="bottom"/>
            <w:hideMark/>
          </w:tcPr>
          <w:p w:rsidR="006F7AD6" w:rsidRPr="00A032ED" w:rsidP="00886011" w14:paraId="7D7C92A7" w14:textId="77777777">
            <w:pPr>
              <w:widowControl/>
              <w:jc w:val="center"/>
              <w:rPr>
                <w:rFonts w:ascii="Calibri" w:hAnsi="Calibri" w:cs="Calibri"/>
                <w:snapToGrid/>
                <w:kern w:val="0"/>
                <w:szCs w:val="22"/>
              </w:rPr>
            </w:pPr>
            <w:r w:rsidRPr="00A032ED">
              <w:rPr>
                <w:rFonts w:ascii="Calibri" w:hAnsi="Calibri" w:cs="Calibri"/>
                <w:snapToGrid/>
                <w:kern w:val="0"/>
                <w:szCs w:val="22"/>
              </w:rPr>
              <w:t>$3,546</w:t>
            </w:r>
          </w:p>
        </w:tc>
      </w:tr>
      <w:tr w14:paraId="32B332B7"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6EE8A0B" w14:textId="77777777">
            <w:pPr>
              <w:widowControl/>
              <w:jc w:val="center"/>
              <w:rPr>
                <w:rFonts w:ascii="Calibri" w:hAnsi="Calibri" w:cs="Calibri"/>
                <w:snapToGrid/>
                <w:kern w:val="0"/>
                <w:szCs w:val="22"/>
              </w:rPr>
            </w:pPr>
            <w:r w:rsidRPr="00A032ED">
              <w:rPr>
                <w:rFonts w:ascii="Calibri" w:hAnsi="Calibri" w:cs="Calibri"/>
                <w:snapToGrid/>
                <w:kern w:val="0"/>
                <w:szCs w:val="22"/>
              </w:rPr>
              <w:t>WVFX</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83289C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731,193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5DCA9E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$5,282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D6FD4F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64B03B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$4,866 </w:t>
            </w:r>
          </w:p>
        </w:tc>
        <w:tc>
          <w:tcPr>
            <w:tcW w:w="266" w:type="dxa"/>
            <w:tcBorders>
              <w:top w:val="nil"/>
              <w:left w:val="nil"/>
              <w:bottom w:val="nil"/>
              <w:right w:val="single" w:sz="4" w:space="0" w:color="auto"/>
            </w:tcBorders>
            <w:shd w:val="clear" w:color="auto" w:fill="auto"/>
            <w:noWrap/>
            <w:vAlign w:val="bottom"/>
            <w:hideMark/>
          </w:tcPr>
          <w:p w:rsidR="006F7AD6" w:rsidRPr="00A032ED" w:rsidP="00886011" w14:paraId="16D97AF7" w14:textId="77777777">
            <w:pPr>
              <w:widowControl/>
              <w:jc w:val="center"/>
              <w:rPr>
                <w:rFonts w:ascii="Calibri" w:hAnsi="Calibri" w:cs="Calibri"/>
                <w:snapToGrid/>
                <w:kern w:val="0"/>
                <w:szCs w:val="22"/>
              </w:rPr>
            </w:pPr>
          </w:p>
        </w:tc>
        <w:tc>
          <w:tcPr>
            <w:tcW w:w="1041" w:type="dxa"/>
            <w:tcBorders>
              <w:top w:val="single" w:sz="4" w:space="0" w:color="auto"/>
              <w:left w:val="single" w:sz="4" w:space="0" w:color="auto"/>
              <w:bottom w:val="single" w:sz="4" w:space="0" w:color="auto"/>
              <w:right w:val="nil"/>
            </w:tcBorders>
            <w:shd w:val="clear" w:color="auto" w:fill="auto"/>
            <w:noWrap/>
            <w:vAlign w:val="bottom"/>
            <w:hideMark/>
          </w:tcPr>
          <w:p w:rsidR="006F7AD6" w:rsidRPr="00A032ED" w:rsidP="00886011" w14:paraId="304F0B28" w14:textId="77777777">
            <w:pPr>
              <w:widowControl/>
              <w:jc w:val="center"/>
              <w:rPr>
                <w:rFonts w:ascii="Calibri" w:hAnsi="Calibri" w:cs="Calibri"/>
                <w:snapToGrid/>
                <w:kern w:val="0"/>
                <w:szCs w:val="22"/>
              </w:rPr>
            </w:pPr>
            <w:r w:rsidRPr="00A032ED">
              <w:rPr>
                <w:rFonts w:ascii="Calibri" w:hAnsi="Calibri" w:cs="Calibri"/>
                <w:snapToGrid/>
                <w:kern w:val="0"/>
                <w:szCs w:val="22"/>
              </w:rPr>
              <w:t>WWOR-TV</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636BC490" w14:textId="77777777">
            <w:pPr>
              <w:widowControl/>
              <w:jc w:val="center"/>
              <w:rPr>
                <w:rFonts w:ascii="Calibri" w:hAnsi="Calibri" w:cs="Calibri"/>
                <w:snapToGrid/>
                <w:kern w:val="0"/>
                <w:szCs w:val="22"/>
              </w:rPr>
            </w:pPr>
            <w:r w:rsidRPr="00A032ED">
              <w:rPr>
                <w:rFonts w:ascii="Calibri" w:hAnsi="Calibri" w:cs="Calibri"/>
                <w:snapToGrid/>
                <w:kern w:val="0"/>
                <w:szCs w:val="22"/>
              </w:rPr>
              <w:t>19,853,836</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6F7AD6" w:rsidRPr="00A032ED" w:rsidP="00886011" w14:paraId="3860A9A5" w14:textId="77777777">
            <w:pPr>
              <w:widowControl/>
              <w:jc w:val="center"/>
              <w:rPr>
                <w:rFonts w:ascii="Calibri" w:hAnsi="Calibri" w:cs="Calibri"/>
                <w:snapToGrid/>
                <w:kern w:val="0"/>
                <w:szCs w:val="22"/>
              </w:rPr>
            </w:pPr>
            <w:r w:rsidRPr="00A032ED">
              <w:rPr>
                <w:rFonts w:ascii="Calibri" w:hAnsi="Calibri" w:cs="Calibri"/>
                <w:snapToGrid/>
                <w:kern w:val="0"/>
                <w:szCs w:val="22"/>
              </w:rPr>
              <w:t>$143,431</w:t>
            </w:r>
          </w:p>
        </w:tc>
        <w:tc>
          <w:tcPr>
            <w:tcW w:w="1396" w:type="dxa"/>
            <w:tcBorders>
              <w:top w:val="single" w:sz="4" w:space="0" w:color="auto"/>
              <w:left w:val="nil"/>
              <w:bottom w:val="single" w:sz="4" w:space="0" w:color="auto"/>
              <w:right w:val="single" w:sz="4" w:space="0" w:color="auto"/>
            </w:tcBorders>
            <w:shd w:val="clear" w:color="auto" w:fill="auto"/>
            <w:noWrap/>
            <w:vAlign w:val="bottom"/>
            <w:hideMark/>
          </w:tcPr>
          <w:p w:rsidR="006F7AD6" w:rsidRPr="00A032ED" w:rsidP="00886011" w14:paraId="6F58F6E8" w14:textId="77777777">
            <w:pPr>
              <w:widowControl/>
              <w:jc w:val="center"/>
              <w:rPr>
                <w:rFonts w:ascii="Calibri" w:hAnsi="Calibri" w:cs="Calibri"/>
                <w:snapToGrid/>
                <w:kern w:val="0"/>
                <w:szCs w:val="22"/>
              </w:rPr>
            </w:pPr>
            <w:r w:rsidRPr="00A032ED">
              <w:rPr>
                <w:rFonts w:ascii="Calibri" w:hAnsi="Calibri" w:cs="Calibri"/>
                <w:snapToGrid/>
                <w:kern w:val="0"/>
                <w:szCs w:val="22"/>
              </w:rPr>
              <w:t>$54,000</w:t>
            </w:r>
          </w:p>
        </w:tc>
        <w:tc>
          <w:tcPr>
            <w:tcW w:w="1603" w:type="dxa"/>
            <w:tcBorders>
              <w:top w:val="single" w:sz="4" w:space="0" w:color="auto"/>
              <w:left w:val="nil"/>
              <w:bottom w:val="single" w:sz="4" w:space="0" w:color="auto"/>
              <w:right w:val="single" w:sz="4" w:space="0" w:color="auto"/>
            </w:tcBorders>
            <w:shd w:val="clear" w:color="auto" w:fill="auto"/>
            <w:noWrap/>
            <w:vAlign w:val="bottom"/>
            <w:hideMark/>
          </w:tcPr>
          <w:p w:rsidR="006F7AD6" w:rsidRPr="00A032ED" w:rsidP="00886011" w14:paraId="43050590" w14:textId="77777777">
            <w:pPr>
              <w:widowControl/>
              <w:jc w:val="center"/>
              <w:rPr>
                <w:rFonts w:ascii="Calibri" w:hAnsi="Calibri" w:cs="Calibri"/>
                <w:snapToGrid/>
                <w:kern w:val="0"/>
                <w:szCs w:val="22"/>
              </w:rPr>
            </w:pPr>
            <w:r w:rsidRPr="00A032ED">
              <w:rPr>
                <w:rFonts w:ascii="Calibri" w:hAnsi="Calibri" w:cs="Calibri"/>
                <w:snapToGrid/>
                <w:kern w:val="0"/>
                <w:szCs w:val="22"/>
              </w:rPr>
              <w:t>$98,716</w:t>
            </w:r>
          </w:p>
        </w:tc>
      </w:tr>
      <w:tr w14:paraId="7C9A98F7"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1FAD624F" w14:textId="77777777">
            <w:pPr>
              <w:widowControl/>
              <w:jc w:val="center"/>
              <w:rPr>
                <w:rFonts w:ascii="Calibri" w:hAnsi="Calibri" w:cs="Calibri"/>
                <w:snapToGrid/>
                <w:kern w:val="0"/>
                <w:szCs w:val="22"/>
              </w:rPr>
            </w:pPr>
            <w:r w:rsidRPr="00A032ED">
              <w:rPr>
                <w:rFonts w:ascii="Calibri" w:hAnsi="Calibri" w:cs="Calibri"/>
                <w:snapToGrid/>
                <w:kern w:val="0"/>
                <w:szCs w:val="22"/>
              </w:rPr>
              <w:t>WVII-TV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9A143A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368,022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AACEDB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$2,659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727E74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0E0ADA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$3,554 </w:t>
            </w:r>
          </w:p>
        </w:tc>
        <w:tc>
          <w:tcPr>
            <w:tcW w:w="266" w:type="dxa"/>
            <w:tcBorders>
              <w:top w:val="nil"/>
              <w:left w:val="nil"/>
              <w:bottom w:val="nil"/>
              <w:right w:val="single" w:sz="4" w:space="0" w:color="auto"/>
            </w:tcBorders>
            <w:shd w:val="clear" w:color="auto" w:fill="auto"/>
            <w:noWrap/>
            <w:vAlign w:val="bottom"/>
            <w:hideMark/>
          </w:tcPr>
          <w:p w:rsidR="006F7AD6" w:rsidRPr="00A032ED" w:rsidP="00886011" w14:paraId="5672496A" w14:textId="77777777">
            <w:pPr>
              <w:widowControl/>
              <w:jc w:val="center"/>
              <w:rPr>
                <w:rFonts w:ascii="Calibri" w:hAnsi="Calibri" w:cs="Calibri"/>
                <w:snapToGrid/>
                <w:kern w:val="0"/>
                <w:szCs w:val="22"/>
              </w:rPr>
            </w:pPr>
          </w:p>
        </w:tc>
        <w:tc>
          <w:tcPr>
            <w:tcW w:w="1041" w:type="dxa"/>
            <w:tcBorders>
              <w:top w:val="single" w:sz="4" w:space="0" w:color="auto"/>
              <w:left w:val="single" w:sz="4" w:space="0" w:color="auto"/>
              <w:bottom w:val="single" w:sz="4" w:space="0" w:color="auto"/>
              <w:right w:val="nil"/>
            </w:tcBorders>
            <w:shd w:val="clear" w:color="auto" w:fill="auto"/>
            <w:noWrap/>
            <w:vAlign w:val="bottom"/>
            <w:hideMark/>
          </w:tcPr>
          <w:p w:rsidR="006F7AD6" w:rsidRPr="00A032ED" w:rsidP="00886011" w14:paraId="7977435E" w14:textId="77777777">
            <w:pPr>
              <w:widowControl/>
              <w:jc w:val="center"/>
              <w:rPr>
                <w:rFonts w:ascii="Calibri" w:hAnsi="Calibri" w:cs="Calibri"/>
                <w:snapToGrid/>
                <w:kern w:val="0"/>
                <w:szCs w:val="22"/>
              </w:rPr>
            </w:pPr>
            <w:r w:rsidRPr="00A032ED">
              <w:rPr>
                <w:rFonts w:ascii="Calibri" w:hAnsi="Calibri" w:cs="Calibri"/>
                <w:snapToGrid/>
                <w:kern w:val="0"/>
                <w:szCs w:val="22"/>
              </w:rPr>
              <w:t>WWPX-TV</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6F606182" w14:textId="77777777">
            <w:pPr>
              <w:widowControl/>
              <w:jc w:val="center"/>
              <w:rPr>
                <w:rFonts w:ascii="Calibri" w:hAnsi="Calibri" w:cs="Calibri"/>
                <w:snapToGrid/>
                <w:kern w:val="0"/>
                <w:szCs w:val="22"/>
              </w:rPr>
            </w:pPr>
            <w:r w:rsidRPr="00A032ED">
              <w:rPr>
                <w:rFonts w:ascii="Calibri" w:hAnsi="Calibri" w:cs="Calibri"/>
                <w:snapToGrid/>
                <w:kern w:val="0"/>
                <w:szCs w:val="22"/>
              </w:rPr>
              <w:t>3,892,904</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6F7AD6" w:rsidRPr="00A032ED" w:rsidP="00886011" w14:paraId="5F89BBE0" w14:textId="77777777">
            <w:pPr>
              <w:widowControl/>
              <w:jc w:val="center"/>
              <w:rPr>
                <w:rFonts w:ascii="Calibri" w:hAnsi="Calibri" w:cs="Calibri"/>
                <w:snapToGrid/>
                <w:kern w:val="0"/>
                <w:szCs w:val="22"/>
              </w:rPr>
            </w:pPr>
            <w:r w:rsidRPr="00A032ED">
              <w:rPr>
                <w:rFonts w:ascii="Calibri" w:hAnsi="Calibri" w:cs="Calibri"/>
                <w:snapToGrid/>
                <w:kern w:val="0"/>
                <w:szCs w:val="22"/>
              </w:rPr>
              <w:t>$28,124</w:t>
            </w:r>
          </w:p>
        </w:tc>
        <w:tc>
          <w:tcPr>
            <w:tcW w:w="1396" w:type="dxa"/>
            <w:tcBorders>
              <w:top w:val="single" w:sz="4" w:space="0" w:color="auto"/>
              <w:left w:val="nil"/>
              <w:bottom w:val="single" w:sz="4" w:space="0" w:color="auto"/>
              <w:right w:val="single" w:sz="4" w:space="0" w:color="auto"/>
            </w:tcBorders>
            <w:shd w:val="clear" w:color="auto" w:fill="auto"/>
            <w:noWrap/>
            <w:vAlign w:val="bottom"/>
            <w:hideMark/>
          </w:tcPr>
          <w:p w:rsidR="006F7AD6" w:rsidRPr="00A032ED" w:rsidP="00886011" w14:paraId="41F95FC2" w14:textId="77777777">
            <w:pPr>
              <w:widowControl/>
              <w:jc w:val="center"/>
              <w:rPr>
                <w:rFonts w:ascii="Calibri" w:hAnsi="Calibri" w:cs="Calibri"/>
                <w:snapToGrid/>
                <w:kern w:val="0"/>
                <w:szCs w:val="22"/>
              </w:rPr>
            </w:pPr>
            <w:r w:rsidRPr="00A032ED">
              <w:rPr>
                <w:rFonts w:ascii="Calibri" w:hAnsi="Calibri" w:cs="Calibri"/>
                <w:snapToGrid/>
                <w:kern w:val="0"/>
                <w:szCs w:val="22"/>
              </w:rPr>
              <w:t>$54,000</w:t>
            </w:r>
          </w:p>
        </w:tc>
        <w:tc>
          <w:tcPr>
            <w:tcW w:w="1603" w:type="dxa"/>
            <w:tcBorders>
              <w:top w:val="single" w:sz="4" w:space="0" w:color="auto"/>
              <w:left w:val="nil"/>
              <w:bottom w:val="single" w:sz="4" w:space="0" w:color="auto"/>
              <w:right w:val="single" w:sz="4" w:space="0" w:color="auto"/>
            </w:tcBorders>
            <w:shd w:val="clear" w:color="auto" w:fill="auto"/>
            <w:noWrap/>
            <w:vAlign w:val="bottom"/>
            <w:hideMark/>
          </w:tcPr>
          <w:p w:rsidR="006F7AD6" w:rsidRPr="00A032ED" w:rsidP="00886011" w14:paraId="16DB7816" w14:textId="77777777">
            <w:pPr>
              <w:widowControl/>
              <w:jc w:val="center"/>
              <w:rPr>
                <w:rFonts w:ascii="Calibri" w:hAnsi="Calibri" w:cs="Calibri"/>
                <w:snapToGrid/>
                <w:kern w:val="0"/>
                <w:szCs w:val="22"/>
              </w:rPr>
            </w:pPr>
            <w:r w:rsidRPr="00A032ED">
              <w:rPr>
                <w:rFonts w:ascii="Calibri" w:hAnsi="Calibri" w:cs="Calibri"/>
                <w:snapToGrid/>
                <w:kern w:val="0"/>
                <w:szCs w:val="22"/>
              </w:rPr>
              <w:t>$41,062</w:t>
            </w:r>
          </w:p>
        </w:tc>
      </w:tr>
      <w:tr w14:paraId="1CF7136B"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1EB25AE" w14:textId="77777777">
            <w:pPr>
              <w:widowControl/>
              <w:jc w:val="center"/>
              <w:rPr>
                <w:rFonts w:ascii="Calibri" w:hAnsi="Calibri" w:cs="Calibri"/>
                <w:snapToGrid/>
                <w:kern w:val="0"/>
                <w:szCs w:val="22"/>
              </w:rPr>
            </w:pPr>
            <w:r w:rsidRPr="00A032ED">
              <w:rPr>
                <w:rFonts w:ascii="Calibri" w:hAnsi="Calibri" w:cs="Calibri"/>
                <w:snapToGrid/>
                <w:kern w:val="0"/>
                <w:szCs w:val="22"/>
              </w:rPr>
              <w:t>WVIR-TV</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511580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1,944,353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56BF4B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$14,047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998E6D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9DC29A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$9,248 </w:t>
            </w:r>
          </w:p>
        </w:tc>
        <w:tc>
          <w:tcPr>
            <w:tcW w:w="266" w:type="dxa"/>
            <w:tcBorders>
              <w:top w:val="nil"/>
              <w:left w:val="nil"/>
              <w:bottom w:val="nil"/>
              <w:right w:val="single" w:sz="4" w:space="0" w:color="auto"/>
            </w:tcBorders>
            <w:shd w:val="clear" w:color="auto" w:fill="auto"/>
            <w:noWrap/>
            <w:vAlign w:val="bottom"/>
            <w:hideMark/>
          </w:tcPr>
          <w:p w:rsidR="006F7AD6" w:rsidRPr="00A032ED" w:rsidP="00886011" w14:paraId="6E3604CA" w14:textId="77777777">
            <w:pPr>
              <w:widowControl/>
              <w:jc w:val="center"/>
              <w:rPr>
                <w:rFonts w:ascii="Calibri" w:hAnsi="Calibri" w:cs="Calibri"/>
                <w:snapToGrid/>
                <w:kern w:val="0"/>
                <w:szCs w:val="22"/>
              </w:rPr>
            </w:pPr>
          </w:p>
        </w:tc>
        <w:tc>
          <w:tcPr>
            <w:tcW w:w="1041" w:type="dxa"/>
            <w:tcBorders>
              <w:top w:val="single" w:sz="4" w:space="0" w:color="auto"/>
              <w:left w:val="single" w:sz="4" w:space="0" w:color="auto"/>
              <w:bottom w:val="single" w:sz="4" w:space="0" w:color="auto"/>
              <w:right w:val="nil"/>
            </w:tcBorders>
            <w:shd w:val="clear" w:color="auto" w:fill="auto"/>
            <w:noWrap/>
            <w:vAlign w:val="bottom"/>
            <w:hideMark/>
          </w:tcPr>
          <w:p w:rsidR="006F7AD6" w:rsidRPr="00A032ED" w:rsidP="00886011" w14:paraId="2962AA87" w14:textId="77777777">
            <w:pPr>
              <w:widowControl/>
              <w:jc w:val="center"/>
              <w:rPr>
                <w:rFonts w:ascii="Calibri" w:hAnsi="Calibri" w:cs="Calibri"/>
                <w:snapToGrid/>
                <w:kern w:val="0"/>
                <w:szCs w:val="22"/>
              </w:rPr>
            </w:pPr>
            <w:r w:rsidRPr="00A032ED">
              <w:rPr>
                <w:rFonts w:ascii="Calibri" w:hAnsi="Calibri" w:cs="Calibri"/>
                <w:snapToGrid/>
                <w:kern w:val="0"/>
                <w:szCs w:val="22"/>
              </w:rPr>
              <w:t>WWSB</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4934BB4F" w14:textId="77777777">
            <w:pPr>
              <w:widowControl/>
              <w:jc w:val="center"/>
              <w:rPr>
                <w:rFonts w:ascii="Calibri" w:hAnsi="Calibri" w:cs="Calibri"/>
                <w:snapToGrid/>
                <w:kern w:val="0"/>
                <w:szCs w:val="22"/>
              </w:rPr>
            </w:pPr>
            <w:r w:rsidRPr="00A032ED">
              <w:rPr>
                <w:rFonts w:ascii="Calibri" w:hAnsi="Calibri" w:cs="Calibri"/>
                <w:snapToGrid/>
                <w:kern w:val="0"/>
                <w:szCs w:val="22"/>
              </w:rPr>
              <w:t>3,340,133</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6F7AD6" w:rsidRPr="00A032ED" w:rsidP="00886011" w14:paraId="07029D5E" w14:textId="77777777">
            <w:pPr>
              <w:widowControl/>
              <w:jc w:val="center"/>
              <w:rPr>
                <w:rFonts w:ascii="Calibri" w:hAnsi="Calibri" w:cs="Calibri"/>
                <w:snapToGrid/>
                <w:kern w:val="0"/>
                <w:szCs w:val="22"/>
              </w:rPr>
            </w:pPr>
            <w:r w:rsidRPr="00A032ED">
              <w:rPr>
                <w:rFonts w:ascii="Calibri" w:hAnsi="Calibri" w:cs="Calibri"/>
                <w:snapToGrid/>
                <w:kern w:val="0"/>
                <w:szCs w:val="22"/>
              </w:rPr>
              <w:t>$24,130</w:t>
            </w:r>
          </w:p>
        </w:tc>
        <w:tc>
          <w:tcPr>
            <w:tcW w:w="1396" w:type="dxa"/>
            <w:tcBorders>
              <w:top w:val="single" w:sz="4" w:space="0" w:color="auto"/>
              <w:left w:val="nil"/>
              <w:bottom w:val="single" w:sz="4" w:space="0" w:color="auto"/>
              <w:right w:val="single" w:sz="4" w:space="0" w:color="auto"/>
            </w:tcBorders>
            <w:shd w:val="clear" w:color="auto" w:fill="auto"/>
            <w:noWrap/>
            <w:vAlign w:val="bottom"/>
            <w:hideMark/>
          </w:tcPr>
          <w:p w:rsidR="006F7AD6" w:rsidRPr="00A032ED" w:rsidP="00886011" w14:paraId="0A5BE68F" w14:textId="77777777">
            <w:pPr>
              <w:widowControl/>
              <w:jc w:val="center"/>
              <w:rPr>
                <w:rFonts w:ascii="Calibri" w:hAnsi="Calibri" w:cs="Calibri"/>
                <w:snapToGrid/>
                <w:kern w:val="0"/>
                <w:szCs w:val="22"/>
              </w:rPr>
            </w:pPr>
            <w:r w:rsidRPr="00A032ED">
              <w:rPr>
                <w:rFonts w:ascii="Calibri" w:hAnsi="Calibri" w:cs="Calibri"/>
                <w:snapToGrid/>
                <w:kern w:val="0"/>
                <w:szCs w:val="22"/>
              </w:rPr>
              <w:t>$40,675</w:t>
            </w:r>
          </w:p>
        </w:tc>
        <w:tc>
          <w:tcPr>
            <w:tcW w:w="1603" w:type="dxa"/>
            <w:tcBorders>
              <w:top w:val="single" w:sz="4" w:space="0" w:color="auto"/>
              <w:left w:val="nil"/>
              <w:bottom w:val="single" w:sz="4" w:space="0" w:color="auto"/>
              <w:right w:val="single" w:sz="4" w:space="0" w:color="auto"/>
            </w:tcBorders>
            <w:shd w:val="clear" w:color="auto" w:fill="auto"/>
            <w:noWrap/>
            <w:vAlign w:val="bottom"/>
            <w:hideMark/>
          </w:tcPr>
          <w:p w:rsidR="006F7AD6" w:rsidRPr="00A032ED" w:rsidP="00886011" w14:paraId="02A8B366" w14:textId="77777777">
            <w:pPr>
              <w:widowControl/>
              <w:jc w:val="center"/>
              <w:rPr>
                <w:rFonts w:ascii="Calibri" w:hAnsi="Calibri" w:cs="Calibri"/>
                <w:snapToGrid/>
                <w:kern w:val="0"/>
                <w:szCs w:val="22"/>
              </w:rPr>
            </w:pPr>
            <w:r w:rsidRPr="00A032ED">
              <w:rPr>
                <w:rFonts w:ascii="Calibri" w:hAnsi="Calibri" w:cs="Calibri"/>
                <w:snapToGrid/>
                <w:kern w:val="0"/>
                <w:szCs w:val="22"/>
              </w:rPr>
              <w:t>$32,403</w:t>
            </w:r>
          </w:p>
        </w:tc>
      </w:tr>
      <w:tr w14:paraId="25AB8E6A" w14:textId="77777777" w:rsidTr="00886011">
        <w:tblPrEx>
          <w:tblW w:w="13388" w:type="dxa"/>
          <w:jc w:val="center"/>
          <w:tblLook w:val="04A0"/>
        </w:tblPrEx>
        <w:trPr>
          <w:trHeight w:val="300"/>
          <w:jc w:val="center"/>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DB0AEAA" w14:textId="77777777">
            <w:pPr>
              <w:widowControl/>
              <w:jc w:val="center"/>
              <w:rPr>
                <w:rFonts w:ascii="Calibri" w:hAnsi="Calibri" w:cs="Calibri"/>
                <w:snapToGrid/>
                <w:kern w:val="0"/>
                <w:szCs w:val="22"/>
              </w:rPr>
            </w:pPr>
            <w:r w:rsidRPr="00A032ED">
              <w:rPr>
                <w:rFonts w:ascii="Calibri" w:hAnsi="Calibri" w:cs="Calibri"/>
                <w:snapToGrid/>
                <w:kern w:val="0"/>
                <w:szCs w:val="22"/>
              </w:rPr>
              <w:t>WVIT</w:t>
            </w:r>
          </w:p>
        </w:tc>
        <w:tc>
          <w:tcPr>
            <w:tcW w:w="1488"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E29827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4,963,855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97F708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$35,861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90D3F6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C45B05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$31,505 </w:t>
            </w:r>
          </w:p>
        </w:tc>
        <w:tc>
          <w:tcPr>
            <w:tcW w:w="266" w:type="dxa"/>
            <w:tcBorders>
              <w:top w:val="nil"/>
              <w:left w:val="nil"/>
              <w:bottom w:val="nil"/>
              <w:right w:val="single" w:sz="4" w:space="0" w:color="auto"/>
            </w:tcBorders>
            <w:shd w:val="clear" w:color="auto" w:fill="auto"/>
            <w:noWrap/>
            <w:vAlign w:val="bottom"/>
            <w:hideMark/>
          </w:tcPr>
          <w:p w:rsidR="006F7AD6" w:rsidRPr="00A032ED" w:rsidP="00886011" w14:paraId="488A478E" w14:textId="77777777">
            <w:pPr>
              <w:widowControl/>
              <w:jc w:val="center"/>
              <w:rPr>
                <w:rFonts w:ascii="Calibri" w:hAnsi="Calibri" w:cs="Calibri"/>
                <w:snapToGrid/>
                <w:kern w:val="0"/>
                <w:szCs w:val="22"/>
              </w:rPr>
            </w:pPr>
          </w:p>
        </w:tc>
        <w:tc>
          <w:tcPr>
            <w:tcW w:w="1041" w:type="dxa"/>
            <w:tcBorders>
              <w:top w:val="single" w:sz="4" w:space="0" w:color="auto"/>
              <w:left w:val="single" w:sz="4" w:space="0" w:color="auto"/>
              <w:bottom w:val="single" w:sz="4" w:space="0" w:color="auto"/>
              <w:right w:val="nil"/>
            </w:tcBorders>
            <w:shd w:val="clear" w:color="auto" w:fill="auto"/>
            <w:noWrap/>
            <w:vAlign w:val="bottom"/>
            <w:hideMark/>
          </w:tcPr>
          <w:p w:rsidR="006F7AD6" w:rsidRPr="00A032ED" w:rsidP="00886011" w14:paraId="7BE7DF89" w14:textId="77777777">
            <w:pPr>
              <w:widowControl/>
              <w:jc w:val="center"/>
              <w:rPr>
                <w:rFonts w:ascii="Calibri" w:hAnsi="Calibri" w:cs="Calibri"/>
                <w:snapToGrid/>
                <w:kern w:val="0"/>
                <w:szCs w:val="22"/>
              </w:rPr>
            </w:pPr>
            <w:r w:rsidRPr="00A032ED">
              <w:rPr>
                <w:rFonts w:ascii="Calibri" w:hAnsi="Calibri" w:cs="Calibri"/>
                <w:snapToGrid/>
                <w:kern w:val="0"/>
                <w:szCs w:val="22"/>
              </w:rPr>
              <w:t>WWSI</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09777984" w14:textId="77777777">
            <w:pPr>
              <w:widowControl/>
              <w:jc w:val="center"/>
              <w:rPr>
                <w:rFonts w:ascii="Calibri" w:hAnsi="Calibri" w:cs="Calibri"/>
                <w:snapToGrid/>
                <w:kern w:val="0"/>
                <w:szCs w:val="22"/>
              </w:rPr>
            </w:pPr>
            <w:r w:rsidRPr="00A032ED">
              <w:rPr>
                <w:rFonts w:ascii="Calibri" w:hAnsi="Calibri" w:cs="Calibri"/>
                <w:snapToGrid/>
                <w:kern w:val="0"/>
                <w:szCs w:val="22"/>
              </w:rPr>
              <w:t>11,012,279</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6F7AD6" w:rsidRPr="00A032ED" w:rsidP="00886011" w14:paraId="477D8269" w14:textId="77777777">
            <w:pPr>
              <w:widowControl/>
              <w:jc w:val="center"/>
              <w:rPr>
                <w:rFonts w:ascii="Calibri" w:hAnsi="Calibri" w:cs="Calibri"/>
                <w:snapToGrid/>
                <w:kern w:val="0"/>
                <w:szCs w:val="22"/>
              </w:rPr>
            </w:pPr>
            <w:r w:rsidRPr="00A032ED">
              <w:rPr>
                <w:rFonts w:ascii="Calibri" w:hAnsi="Calibri" w:cs="Calibri"/>
                <w:snapToGrid/>
                <w:kern w:val="0"/>
                <w:szCs w:val="22"/>
              </w:rPr>
              <w:t>$79,557</w:t>
            </w:r>
          </w:p>
        </w:tc>
        <w:tc>
          <w:tcPr>
            <w:tcW w:w="1396" w:type="dxa"/>
            <w:tcBorders>
              <w:top w:val="single" w:sz="4" w:space="0" w:color="auto"/>
              <w:left w:val="nil"/>
              <w:bottom w:val="single" w:sz="4" w:space="0" w:color="auto"/>
              <w:right w:val="single" w:sz="4" w:space="0" w:color="auto"/>
            </w:tcBorders>
            <w:shd w:val="clear" w:color="auto" w:fill="auto"/>
            <w:noWrap/>
            <w:vAlign w:val="bottom"/>
            <w:hideMark/>
          </w:tcPr>
          <w:p w:rsidR="006F7AD6" w:rsidRPr="00A032ED" w:rsidP="00886011" w14:paraId="3500DE98" w14:textId="77777777">
            <w:pPr>
              <w:widowControl/>
              <w:jc w:val="center"/>
              <w:rPr>
                <w:rFonts w:ascii="Calibri" w:hAnsi="Calibri" w:cs="Calibri"/>
                <w:snapToGrid/>
                <w:kern w:val="0"/>
                <w:szCs w:val="22"/>
              </w:rPr>
            </w:pPr>
            <w:r w:rsidRPr="00A032ED">
              <w:rPr>
                <w:rFonts w:ascii="Calibri" w:hAnsi="Calibri" w:cs="Calibri"/>
                <w:snapToGrid/>
                <w:kern w:val="0"/>
                <w:szCs w:val="22"/>
              </w:rPr>
              <w:t>$54,000</w:t>
            </w:r>
          </w:p>
        </w:tc>
        <w:tc>
          <w:tcPr>
            <w:tcW w:w="1603" w:type="dxa"/>
            <w:tcBorders>
              <w:top w:val="single" w:sz="4" w:space="0" w:color="auto"/>
              <w:left w:val="nil"/>
              <w:bottom w:val="single" w:sz="4" w:space="0" w:color="auto"/>
              <w:right w:val="single" w:sz="4" w:space="0" w:color="auto"/>
            </w:tcBorders>
            <w:shd w:val="clear" w:color="auto" w:fill="auto"/>
            <w:noWrap/>
            <w:vAlign w:val="bottom"/>
            <w:hideMark/>
          </w:tcPr>
          <w:p w:rsidR="006F7AD6" w:rsidRPr="00A032ED" w:rsidP="00886011" w14:paraId="7D684EFF" w14:textId="77777777">
            <w:pPr>
              <w:widowControl/>
              <w:jc w:val="center"/>
              <w:rPr>
                <w:rFonts w:ascii="Calibri" w:hAnsi="Calibri" w:cs="Calibri"/>
                <w:snapToGrid/>
                <w:kern w:val="0"/>
                <w:szCs w:val="22"/>
              </w:rPr>
            </w:pPr>
            <w:r w:rsidRPr="00A032ED">
              <w:rPr>
                <w:rFonts w:ascii="Calibri" w:hAnsi="Calibri" w:cs="Calibri"/>
                <w:snapToGrid/>
                <w:kern w:val="0"/>
                <w:szCs w:val="22"/>
              </w:rPr>
              <w:t>$66,778</w:t>
            </w:r>
          </w:p>
        </w:tc>
      </w:tr>
      <w:tr w14:paraId="498B7E4E" w14:textId="77777777" w:rsidTr="00886011">
        <w:tblPrEx>
          <w:tblW w:w="13388" w:type="dxa"/>
          <w:jc w:val="center"/>
          <w:tblLook w:val="04A0"/>
        </w:tblPrEx>
        <w:trPr>
          <w:trHeight w:val="300"/>
          <w:jc w:val="center"/>
        </w:trPr>
        <w:tc>
          <w:tcPr>
            <w:tcW w:w="1241" w:type="dxa"/>
            <w:tcBorders>
              <w:top w:val="single" w:sz="4" w:space="0" w:color="auto"/>
              <w:left w:val="single" w:sz="4" w:space="0" w:color="auto"/>
              <w:bottom w:val="single" w:sz="4" w:space="0" w:color="auto"/>
              <w:right w:val="nil"/>
            </w:tcBorders>
            <w:shd w:val="clear" w:color="auto" w:fill="auto"/>
            <w:noWrap/>
            <w:vAlign w:val="bottom"/>
            <w:hideMark/>
          </w:tcPr>
          <w:p w:rsidR="006F7AD6" w:rsidRPr="00A032ED" w:rsidP="00886011" w14:paraId="41834310" w14:textId="77777777">
            <w:pPr>
              <w:widowControl/>
              <w:jc w:val="center"/>
              <w:rPr>
                <w:rFonts w:ascii="Calibri" w:hAnsi="Calibri" w:cs="Calibri"/>
                <w:snapToGrid/>
                <w:kern w:val="0"/>
                <w:szCs w:val="22"/>
              </w:rPr>
            </w:pPr>
            <w:r w:rsidRPr="00A032ED">
              <w:rPr>
                <w:rFonts w:ascii="Calibri" w:hAnsi="Calibri" w:cs="Calibri"/>
                <w:snapToGrid/>
                <w:kern w:val="0"/>
                <w:szCs w:val="22"/>
              </w:rPr>
              <w:t>WWTW</w:t>
            </w:r>
          </w:p>
        </w:tc>
        <w:tc>
          <w:tcPr>
            <w:tcW w:w="1488"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3B08C6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9,729,982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706881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$70,293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09E75F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$54,000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A20B914"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$62,146 </w:t>
            </w:r>
          </w:p>
        </w:tc>
        <w:tc>
          <w:tcPr>
            <w:tcW w:w="266" w:type="dxa"/>
            <w:tcBorders>
              <w:top w:val="nil"/>
              <w:left w:val="nil"/>
              <w:bottom w:val="nil"/>
              <w:right w:val="single" w:sz="4" w:space="0" w:color="auto"/>
            </w:tcBorders>
            <w:shd w:val="clear" w:color="auto" w:fill="auto"/>
            <w:noWrap/>
            <w:vAlign w:val="bottom"/>
            <w:hideMark/>
          </w:tcPr>
          <w:p w:rsidR="006F7AD6" w:rsidRPr="00A032ED" w:rsidP="00886011" w14:paraId="54693C7C" w14:textId="77777777">
            <w:pPr>
              <w:widowControl/>
              <w:jc w:val="center"/>
              <w:rPr>
                <w:rFonts w:ascii="Calibri" w:hAnsi="Calibri" w:cs="Calibri"/>
                <w:snapToGrid/>
                <w:kern w:val="0"/>
                <w:szCs w:val="22"/>
              </w:rPr>
            </w:pPr>
          </w:p>
        </w:tc>
        <w:tc>
          <w:tcPr>
            <w:tcW w:w="1041" w:type="dxa"/>
            <w:tcBorders>
              <w:top w:val="single" w:sz="4" w:space="0" w:color="auto"/>
              <w:left w:val="single" w:sz="4" w:space="0" w:color="auto"/>
              <w:bottom w:val="single" w:sz="4" w:space="0" w:color="auto"/>
              <w:right w:val="nil"/>
            </w:tcBorders>
            <w:shd w:val="clear" w:color="auto" w:fill="auto"/>
            <w:noWrap/>
            <w:vAlign w:val="bottom"/>
            <w:hideMark/>
          </w:tcPr>
          <w:p w:rsidR="006F7AD6" w:rsidRPr="00A032ED" w:rsidP="00886011" w14:paraId="64424393" w14:textId="77777777">
            <w:pPr>
              <w:widowControl/>
              <w:jc w:val="center"/>
              <w:rPr>
                <w:rFonts w:ascii="Calibri" w:hAnsi="Calibri" w:cs="Calibri"/>
                <w:snapToGrid/>
                <w:kern w:val="0"/>
                <w:szCs w:val="22"/>
              </w:rPr>
            </w:pPr>
            <w:r w:rsidRPr="00A032ED">
              <w:rPr>
                <w:rFonts w:ascii="Calibri" w:hAnsi="Calibri" w:cs="Calibri"/>
                <w:snapToGrid/>
                <w:kern w:val="0"/>
                <w:szCs w:val="22"/>
              </w:rPr>
              <w:t>WWTI</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5D275922" w14:textId="77777777">
            <w:pPr>
              <w:widowControl/>
              <w:jc w:val="center"/>
              <w:rPr>
                <w:rFonts w:ascii="Calibri" w:hAnsi="Calibri" w:cs="Calibri"/>
                <w:snapToGrid/>
                <w:kern w:val="0"/>
                <w:szCs w:val="22"/>
              </w:rPr>
            </w:pPr>
            <w:r w:rsidRPr="00A032ED">
              <w:rPr>
                <w:rFonts w:ascii="Calibri" w:hAnsi="Calibri" w:cs="Calibri"/>
                <w:snapToGrid/>
                <w:kern w:val="0"/>
                <w:szCs w:val="22"/>
              </w:rPr>
              <w:t>196,531</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6F7AD6" w:rsidRPr="00A032ED" w:rsidP="00886011" w14:paraId="49935B6C" w14:textId="77777777">
            <w:pPr>
              <w:widowControl/>
              <w:jc w:val="center"/>
              <w:rPr>
                <w:rFonts w:ascii="Calibri" w:hAnsi="Calibri" w:cs="Calibri"/>
                <w:snapToGrid/>
                <w:kern w:val="0"/>
                <w:szCs w:val="22"/>
              </w:rPr>
            </w:pPr>
            <w:r w:rsidRPr="00A032ED">
              <w:rPr>
                <w:rFonts w:ascii="Calibri" w:hAnsi="Calibri" w:cs="Calibri"/>
                <w:snapToGrid/>
                <w:kern w:val="0"/>
                <w:szCs w:val="22"/>
              </w:rPr>
              <w:t>$1,420</w:t>
            </w:r>
          </w:p>
        </w:tc>
        <w:tc>
          <w:tcPr>
            <w:tcW w:w="1396" w:type="dxa"/>
            <w:tcBorders>
              <w:top w:val="single" w:sz="4" w:space="0" w:color="auto"/>
              <w:left w:val="nil"/>
              <w:bottom w:val="single" w:sz="4" w:space="0" w:color="auto"/>
              <w:right w:val="single" w:sz="4" w:space="0" w:color="auto"/>
            </w:tcBorders>
            <w:shd w:val="clear" w:color="auto" w:fill="auto"/>
            <w:noWrap/>
            <w:vAlign w:val="bottom"/>
            <w:hideMark/>
          </w:tcPr>
          <w:p w:rsidR="006F7AD6" w:rsidRPr="00A032ED" w:rsidP="00886011" w14:paraId="3527118E" w14:textId="77777777">
            <w:pPr>
              <w:widowControl/>
              <w:jc w:val="center"/>
              <w:rPr>
                <w:rFonts w:ascii="Calibri" w:hAnsi="Calibri" w:cs="Calibri"/>
                <w:snapToGrid/>
                <w:kern w:val="0"/>
                <w:szCs w:val="22"/>
              </w:rPr>
            </w:pPr>
            <w:r w:rsidRPr="00A032ED">
              <w:rPr>
                <w:rFonts w:ascii="Calibri" w:hAnsi="Calibri" w:cs="Calibri"/>
                <w:snapToGrid/>
                <w:kern w:val="0"/>
                <w:szCs w:val="22"/>
              </w:rPr>
              <w:t>$4,450</w:t>
            </w:r>
          </w:p>
        </w:tc>
        <w:tc>
          <w:tcPr>
            <w:tcW w:w="1603" w:type="dxa"/>
            <w:tcBorders>
              <w:top w:val="single" w:sz="4" w:space="0" w:color="auto"/>
              <w:left w:val="nil"/>
              <w:bottom w:val="single" w:sz="4" w:space="0" w:color="auto"/>
              <w:right w:val="single" w:sz="4" w:space="0" w:color="auto"/>
            </w:tcBorders>
            <w:shd w:val="clear" w:color="auto" w:fill="auto"/>
            <w:noWrap/>
            <w:vAlign w:val="bottom"/>
            <w:hideMark/>
          </w:tcPr>
          <w:p w:rsidR="006F7AD6" w:rsidRPr="00A032ED" w:rsidP="00886011" w14:paraId="36D94DD4" w14:textId="77777777">
            <w:pPr>
              <w:widowControl/>
              <w:jc w:val="center"/>
              <w:rPr>
                <w:rFonts w:ascii="Calibri" w:hAnsi="Calibri" w:cs="Calibri"/>
                <w:snapToGrid/>
                <w:kern w:val="0"/>
                <w:szCs w:val="22"/>
              </w:rPr>
            </w:pPr>
            <w:r w:rsidRPr="00A032ED">
              <w:rPr>
                <w:rFonts w:ascii="Calibri" w:hAnsi="Calibri" w:cs="Calibri"/>
                <w:snapToGrid/>
                <w:kern w:val="0"/>
                <w:szCs w:val="22"/>
              </w:rPr>
              <w:t>$2,935</w:t>
            </w:r>
          </w:p>
        </w:tc>
      </w:tr>
      <w:tr w14:paraId="601CBA77" w14:textId="77777777" w:rsidTr="00886011">
        <w:tblPrEx>
          <w:tblW w:w="13388" w:type="dxa"/>
          <w:jc w:val="center"/>
          <w:tblLook w:val="04A0"/>
        </w:tblPrEx>
        <w:trPr>
          <w:trHeight w:val="300"/>
          <w:jc w:val="center"/>
        </w:trPr>
        <w:tc>
          <w:tcPr>
            <w:tcW w:w="1241" w:type="dxa"/>
            <w:tcBorders>
              <w:top w:val="single" w:sz="4" w:space="0" w:color="auto"/>
              <w:left w:val="single" w:sz="4" w:space="0" w:color="auto"/>
              <w:bottom w:val="single" w:sz="4" w:space="0" w:color="auto"/>
              <w:right w:val="nil"/>
            </w:tcBorders>
            <w:shd w:val="clear" w:color="auto" w:fill="auto"/>
            <w:noWrap/>
            <w:vAlign w:val="bottom"/>
            <w:hideMark/>
          </w:tcPr>
          <w:p w:rsidR="006F7AD6" w:rsidRPr="00A032ED" w:rsidP="00886011" w14:paraId="07794A56" w14:textId="77777777">
            <w:pPr>
              <w:widowControl/>
              <w:jc w:val="center"/>
              <w:rPr>
                <w:rFonts w:ascii="Calibri" w:hAnsi="Calibri" w:cs="Calibri"/>
                <w:snapToGrid/>
                <w:kern w:val="0"/>
                <w:szCs w:val="22"/>
              </w:rPr>
            </w:pPr>
            <w:r w:rsidRPr="00A032ED">
              <w:rPr>
                <w:rFonts w:ascii="Calibri" w:hAnsi="Calibri" w:cs="Calibri"/>
                <w:snapToGrid/>
                <w:kern w:val="0"/>
                <w:szCs w:val="22"/>
              </w:rPr>
              <w:t>WWUP-TV</w:t>
            </w:r>
          </w:p>
        </w:tc>
        <w:tc>
          <w:tcPr>
            <w:tcW w:w="1488"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53256A1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116,638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D6475B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$843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20584A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8BF3FA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$2,646 </w:t>
            </w:r>
          </w:p>
        </w:tc>
        <w:tc>
          <w:tcPr>
            <w:tcW w:w="266" w:type="dxa"/>
            <w:tcBorders>
              <w:top w:val="nil"/>
              <w:left w:val="nil"/>
              <w:bottom w:val="nil"/>
              <w:right w:val="single" w:sz="4" w:space="0" w:color="auto"/>
            </w:tcBorders>
            <w:shd w:val="clear" w:color="auto" w:fill="auto"/>
            <w:noWrap/>
            <w:vAlign w:val="bottom"/>
            <w:hideMark/>
          </w:tcPr>
          <w:p w:rsidR="006F7AD6" w:rsidRPr="00A032ED" w:rsidP="00886011" w14:paraId="3BF9D80A" w14:textId="77777777">
            <w:pPr>
              <w:widowControl/>
              <w:jc w:val="center"/>
              <w:rPr>
                <w:rFonts w:ascii="Calibri" w:hAnsi="Calibri" w:cs="Calibri"/>
                <w:snapToGrid/>
                <w:kern w:val="0"/>
                <w:szCs w:val="22"/>
              </w:rPr>
            </w:pPr>
          </w:p>
        </w:tc>
        <w:tc>
          <w:tcPr>
            <w:tcW w:w="1041" w:type="dxa"/>
            <w:tcBorders>
              <w:top w:val="single" w:sz="4" w:space="0" w:color="auto"/>
              <w:left w:val="single" w:sz="4" w:space="0" w:color="auto"/>
              <w:bottom w:val="single" w:sz="4" w:space="0" w:color="auto"/>
              <w:right w:val="nil"/>
            </w:tcBorders>
            <w:shd w:val="clear" w:color="auto" w:fill="auto"/>
            <w:noWrap/>
            <w:vAlign w:val="bottom"/>
            <w:hideMark/>
          </w:tcPr>
          <w:p w:rsidR="006F7AD6" w:rsidRPr="00A032ED" w:rsidP="00886011" w14:paraId="7AE1C076" w14:textId="77777777">
            <w:pPr>
              <w:widowControl/>
              <w:jc w:val="center"/>
              <w:rPr>
                <w:rFonts w:ascii="Calibri" w:hAnsi="Calibri" w:cs="Calibri"/>
                <w:snapToGrid/>
                <w:kern w:val="0"/>
                <w:szCs w:val="22"/>
              </w:rPr>
            </w:pPr>
            <w:r w:rsidRPr="00A032ED">
              <w:rPr>
                <w:rFonts w:ascii="Calibri" w:hAnsi="Calibri" w:cs="Calibri"/>
                <w:snapToGrid/>
                <w:kern w:val="0"/>
                <w:szCs w:val="22"/>
              </w:rPr>
              <w:t>WWTV</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41A15DFC" w14:textId="77777777">
            <w:pPr>
              <w:widowControl/>
              <w:jc w:val="center"/>
              <w:rPr>
                <w:rFonts w:ascii="Calibri" w:hAnsi="Calibri" w:cs="Calibri"/>
                <w:snapToGrid/>
                <w:kern w:val="0"/>
                <w:szCs w:val="22"/>
              </w:rPr>
            </w:pPr>
            <w:r w:rsidRPr="00A032ED">
              <w:rPr>
                <w:rFonts w:ascii="Calibri" w:hAnsi="Calibri" w:cs="Calibri"/>
                <w:snapToGrid/>
                <w:kern w:val="0"/>
                <w:szCs w:val="22"/>
              </w:rPr>
              <w:t>1,034,174</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6F7AD6" w:rsidRPr="00A032ED" w:rsidP="00886011" w14:paraId="669F74C5" w14:textId="77777777">
            <w:pPr>
              <w:widowControl/>
              <w:jc w:val="center"/>
              <w:rPr>
                <w:rFonts w:ascii="Calibri" w:hAnsi="Calibri" w:cs="Calibri"/>
                <w:snapToGrid/>
                <w:kern w:val="0"/>
                <w:szCs w:val="22"/>
              </w:rPr>
            </w:pPr>
            <w:r w:rsidRPr="00A032ED">
              <w:rPr>
                <w:rFonts w:ascii="Calibri" w:hAnsi="Calibri" w:cs="Calibri"/>
                <w:snapToGrid/>
                <w:kern w:val="0"/>
                <w:szCs w:val="22"/>
              </w:rPr>
              <w:t>$7,471</w:t>
            </w:r>
          </w:p>
        </w:tc>
        <w:tc>
          <w:tcPr>
            <w:tcW w:w="1396" w:type="dxa"/>
            <w:tcBorders>
              <w:top w:val="single" w:sz="4" w:space="0" w:color="auto"/>
              <w:left w:val="nil"/>
              <w:bottom w:val="single" w:sz="4" w:space="0" w:color="auto"/>
              <w:right w:val="single" w:sz="4" w:space="0" w:color="auto"/>
            </w:tcBorders>
            <w:shd w:val="clear" w:color="auto" w:fill="auto"/>
            <w:noWrap/>
            <w:vAlign w:val="bottom"/>
            <w:hideMark/>
          </w:tcPr>
          <w:p w:rsidR="006F7AD6" w:rsidRPr="00A032ED" w:rsidP="00886011" w14:paraId="0E4F9CCF" w14:textId="77777777">
            <w:pPr>
              <w:widowControl/>
              <w:jc w:val="center"/>
              <w:rPr>
                <w:rFonts w:ascii="Calibri" w:hAnsi="Calibri" w:cs="Calibri"/>
                <w:snapToGrid/>
                <w:kern w:val="0"/>
                <w:szCs w:val="22"/>
              </w:rPr>
            </w:pPr>
            <w:r w:rsidRPr="00A032ED">
              <w:rPr>
                <w:rFonts w:ascii="Calibri" w:hAnsi="Calibri" w:cs="Calibri"/>
                <w:snapToGrid/>
                <w:kern w:val="0"/>
                <w:szCs w:val="22"/>
              </w:rPr>
              <w:t>$4,450</w:t>
            </w:r>
          </w:p>
        </w:tc>
        <w:tc>
          <w:tcPr>
            <w:tcW w:w="1603" w:type="dxa"/>
            <w:tcBorders>
              <w:top w:val="single" w:sz="4" w:space="0" w:color="auto"/>
              <w:left w:val="nil"/>
              <w:bottom w:val="single" w:sz="4" w:space="0" w:color="auto"/>
              <w:right w:val="single" w:sz="4" w:space="0" w:color="auto"/>
            </w:tcBorders>
            <w:shd w:val="clear" w:color="auto" w:fill="auto"/>
            <w:noWrap/>
            <w:vAlign w:val="bottom"/>
            <w:hideMark/>
          </w:tcPr>
          <w:p w:rsidR="006F7AD6" w:rsidRPr="00A032ED" w:rsidP="00886011" w14:paraId="1F3F729D" w14:textId="77777777">
            <w:pPr>
              <w:widowControl/>
              <w:jc w:val="center"/>
              <w:rPr>
                <w:rFonts w:ascii="Calibri" w:hAnsi="Calibri" w:cs="Calibri"/>
                <w:snapToGrid/>
                <w:kern w:val="0"/>
                <w:szCs w:val="22"/>
              </w:rPr>
            </w:pPr>
            <w:r w:rsidRPr="00A032ED">
              <w:rPr>
                <w:rFonts w:ascii="Calibri" w:hAnsi="Calibri" w:cs="Calibri"/>
                <w:snapToGrid/>
                <w:kern w:val="0"/>
                <w:szCs w:val="22"/>
              </w:rPr>
              <w:t>$5,961</w:t>
            </w:r>
          </w:p>
        </w:tc>
      </w:tr>
      <w:tr w14:paraId="1864C30F" w14:textId="77777777" w:rsidTr="00886011">
        <w:tblPrEx>
          <w:tblW w:w="13388" w:type="dxa"/>
          <w:jc w:val="center"/>
          <w:tblLook w:val="04A0"/>
        </w:tblPrEx>
        <w:trPr>
          <w:trHeight w:val="300"/>
          <w:jc w:val="center"/>
        </w:trPr>
        <w:tc>
          <w:tcPr>
            <w:tcW w:w="1241" w:type="dxa"/>
            <w:tcBorders>
              <w:top w:val="single" w:sz="4" w:space="0" w:color="auto"/>
              <w:left w:val="single" w:sz="4" w:space="0" w:color="auto"/>
              <w:bottom w:val="single" w:sz="4" w:space="0" w:color="auto"/>
              <w:right w:val="nil"/>
            </w:tcBorders>
            <w:shd w:val="clear" w:color="auto" w:fill="auto"/>
            <w:noWrap/>
            <w:vAlign w:val="bottom"/>
            <w:hideMark/>
          </w:tcPr>
          <w:p w:rsidR="006F7AD6" w:rsidRPr="00A032ED" w:rsidP="00886011" w14:paraId="492A415E" w14:textId="77777777">
            <w:pPr>
              <w:widowControl/>
              <w:jc w:val="center"/>
              <w:rPr>
                <w:rFonts w:ascii="Calibri" w:hAnsi="Calibri" w:cs="Calibri"/>
                <w:snapToGrid/>
                <w:kern w:val="0"/>
                <w:szCs w:val="22"/>
              </w:rPr>
            </w:pPr>
            <w:r w:rsidRPr="00A032ED">
              <w:rPr>
                <w:rFonts w:ascii="Calibri" w:hAnsi="Calibri" w:cs="Calibri"/>
                <w:snapToGrid/>
                <w:kern w:val="0"/>
                <w:szCs w:val="22"/>
              </w:rPr>
              <w:t>WXII-TV</w:t>
            </w:r>
          </w:p>
        </w:tc>
        <w:tc>
          <w:tcPr>
            <w:tcW w:w="1488"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51AA0B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3,434,637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993959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$24,813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DDDD1D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1C7E9B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$25,982 </w:t>
            </w:r>
          </w:p>
        </w:tc>
        <w:tc>
          <w:tcPr>
            <w:tcW w:w="266" w:type="dxa"/>
            <w:tcBorders>
              <w:top w:val="nil"/>
              <w:left w:val="nil"/>
              <w:bottom w:val="nil"/>
              <w:right w:val="single" w:sz="4" w:space="0" w:color="auto"/>
            </w:tcBorders>
            <w:shd w:val="clear" w:color="auto" w:fill="auto"/>
            <w:noWrap/>
            <w:vAlign w:val="bottom"/>
            <w:hideMark/>
          </w:tcPr>
          <w:p w:rsidR="006F7AD6" w:rsidRPr="00A032ED" w:rsidP="00886011" w14:paraId="7D5EE02F" w14:textId="77777777">
            <w:pPr>
              <w:widowControl/>
              <w:jc w:val="center"/>
              <w:rPr>
                <w:rFonts w:ascii="Calibri" w:hAnsi="Calibri" w:cs="Calibri"/>
                <w:snapToGrid/>
                <w:kern w:val="0"/>
                <w:szCs w:val="22"/>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3BCB53D3" w14:textId="77777777">
            <w:pPr>
              <w:widowControl/>
              <w:jc w:val="center"/>
              <w:rPr>
                <w:snapToGrid/>
                <w:kern w:val="0"/>
                <w:sz w:val="20"/>
              </w:rPr>
            </w:pPr>
            <w:r w:rsidRPr="00A032ED">
              <w:rPr>
                <w:rFonts w:ascii="Calibri" w:hAnsi="Calibri" w:cs="Calibri"/>
                <w:snapToGrid/>
                <w:kern w:val="0"/>
                <w:szCs w:val="22"/>
              </w:rPr>
              <w:t>WXCW</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025B9D19" w14:textId="77777777">
            <w:pPr>
              <w:widowControl/>
              <w:jc w:val="center"/>
              <w:rPr>
                <w:snapToGrid/>
                <w:kern w:val="0"/>
                <w:sz w:val="20"/>
              </w:rPr>
            </w:pPr>
            <w:r w:rsidRPr="00A032ED">
              <w:rPr>
                <w:rFonts w:ascii="Calibri" w:hAnsi="Calibri" w:cs="Calibri"/>
                <w:snapToGrid/>
                <w:kern w:val="0"/>
                <w:szCs w:val="22"/>
              </w:rPr>
              <w:t>1,749,847</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0FA67A96" w14:textId="77777777">
            <w:pPr>
              <w:widowControl/>
              <w:jc w:val="center"/>
              <w:rPr>
                <w:snapToGrid/>
                <w:kern w:val="0"/>
                <w:sz w:val="20"/>
              </w:rPr>
            </w:pPr>
            <w:r w:rsidRPr="00A032ED">
              <w:rPr>
                <w:rFonts w:ascii="Calibri" w:hAnsi="Calibri" w:cs="Calibri"/>
                <w:snapToGrid/>
                <w:kern w:val="0"/>
                <w:szCs w:val="22"/>
              </w:rPr>
              <w:t>$12,642</w:t>
            </w: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00B9904F" w14:textId="77777777">
            <w:pPr>
              <w:widowControl/>
              <w:jc w:val="center"/>
              <w:rPr>
                <w:snapToGrid/>
                <w:kern w:val="0"/>
                <w:sz w:val="20"/>
              </w:rPr>
            </w:pPr>
            <w:r w:rsidRPr="00A032ED">
              <w:rPr>
                <w:rFonts w:ascii="Calibri" w:hAnsi="Calibri" w:cs="Calibri"/>
                <w:snapToGrid/>
                <w:kern w:val="0"/>
                <w:szCs w:val="22"/>
              </w:rPr>
              <w:t>$13,550</w:t>
            </w:r>
          </w:p>
        </w:tc>
        <w:tc>
          <w:tcPr>
            <w:tcW w:w="1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69E1D993" w14:textId="77777777">
            <w:pPr>
              <w:widowControl/>
              <w:jc w:val="center"/>
              <w:rPr>
                <w:snapToGrid/>
                <w:kern w:val="0"/>
                <w:sz w:val="20"/>
              </w:rPr>
            </w:pPr>
            <w:r w:rsidRPr="00A032ED">
              <w:rPr>
                <w:rFonts w:ascii="Calibri" w:hAnsi="Calibri" w:cs="Calibri"/>
                <w:snapToGrid/>
                <w:kern w:val="0"/>
                <w:szCs w:val="22"/>
              </w:rPr>
              <w:t>$13,096</w:t>
            </w:r>
          </w:p>
        </w:tc>
      </w:tr>
      <w:tr w14:paraId="398D003F" w14:textId="77777777" w:rsidTr="00886011">
        <w:tblPrEx>
          <w:tblW w:w="13388" w:type="dxa"/>
          <w:jc w:val="center"/>
          <w:tblLook w:val="04A0"/>
        </w:tblPrEx>
        <w:trPr>
          <w:trHeight w:val="300"/>
          <w:jc w:val="center"/>
        </w:trPr>
        <w:tc>
          <w:tcPr>
            <w:tcW w:w="1241" w:type="dxa"/>
            <w:tcBorders>
              <w:top w:val="single" w:sz="4" w:space="0" w:color="auto"/>
              <w:left w:val="single" w:sz="4" w:space="0" w:color="auto"/>
              <w:bottom w:val="single" w:sz="4" w:space="0" w:color="auto"/>
              <w:right w:val="nil"/>
            </w:tcBorders>
            <w:shd w:val="clear" w:color="auto" w:fill="auto"/>
            <w:noWrap/>
            <w:vAlign w:val="bottom"/>
            <w:hideMark/>
          </w:tcPr>
          <w:p w:rsidR="006F7AD6" w:rsidRPr="00A032ED" w:rsidP="00886011" w14:paraId="6C9BCF8B" w14:textId="77777777">
            <w:pPr>
              <w:widowControl/>
              <w:jc w:val="center"/>
              <w:rPr>
                <w:rFonts w:ascii="Calibri" w:hAnsi="Calibri" w:cs="Calibri"/>
                <w:snapToGrid/>
                <w:kern w:val="0"/>
                <w:szCs w:val="22"/>
              </w:rPr>
            </w:pPr>
            <w:r w:rsidRPr="00A032ED">
              <w:rPr>
                <w:rFonts w:ascii="Calibri" w:hAnsi="Calibri" w:cs="Calibri"/>
                <w:snapToGrid/>
                <w:kern w:val="0"/>
                <w:szCs w:val="22"/>
              </w:rPr>
              <w:t>WXIN</w:t>
            </w:r>
          </w:p>
        </w:tc>
        <w:tc>
          <w:tcPr>
            <w:tcW w:w="1488"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075F11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2,721,639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7AE16D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$19,662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CAEB44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54806C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$23,406 </w:t>
            </w:r>
          </w:p>
        </w:tc>
        <w:tc>
          <w:tcPr>
            <w:tcW w:w="266" w:type="dxa"/>
            <w:tcBorders>
              <w:top w:val="nil"/>
              <w:left w:val="nil"/>
              <w:bottom w:val="nil"/>
              <w:right w:val="single" w:sz="4" w:space="0" w:color="auto"/>
            </w:tcBorders>
            <w:shd w:val="clear" w:color="auto" w:fill="auto"/>
            <w:noWrap/>
            <w:vAlign w:val="bottom"/>
            <w:hideMark/>
          </w:tcPr>
          <w:p w:rsidR="006F7AD6" w:rsidRPr="00A032ED" w:rsidP="00886011" w14:paraId="7737DB99" w14:textId="77777777">
            <w:pPr>
              <w:widowControl/>
              <w:jc w:val="center"/>
              <w:rPr>
                <w:rFonts w:ascii="Calibri" w:hAnsi="Calibri" w:cs="Calibri"/>
                <w:snapToGrid/>
                <w:kern w:val="0"/>
                <w:szCs w:val="22"/>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34F07358" w14:textId="77777777">
            <w:pPr>
              <w:widowControl/>
              <w:jc w:val="center"/>
              <w:rPr>
                <w:snapToGrid/>
                <w:kern w:val="0"/>
                <w:sz w:val="20"/>
              </w:rPr>
            </w:pPr>
            <w:r w:rsidRPr="00A032ED">
              <w:rPr>
                <w:rFonts w:ascii="Calibri" w:hAnsi="Calibri" w:cs="Calibri"/>
                <w:snapToGrid/>
                <w:kern w:val="0"/>
                <w:szCs w:val="22"/>
              </w:rPr>
              <w:t>WXIA-TV</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0785CD11" w14:textId="77777777">
            <w:pPr>
              <w:widowControl/>
              <w:jc w:val="center"/>
              <w:rPr>
                <w:snapToGrid/>
                <w:kern w:val="0"/>
                <w:sz w:val="20"/>
              </w:rPr>
            </w:pPr>
            <w:r w:rsidRPr="00A032ED">
              <w:rPr>
                <w:rFonts w:ascii="Calibri" w:hAnsi="Calibri" w:cs="Calibri"/>
                <w:snapToGrid/>
                <w:kern w:val="0"/>
                <w:szCs w:val="22"/>
              </w:rPr>
              <w:t>6,179,680</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3318AD57" w14:textId="77777777">
            <w:pPr>
              <w:widowControl/>
              <w:jc w:val="center"/>
              <w:rPr>
                <w:snapToGrid/>
                <w:kern w:val="0"/>
                <w:sz w:val="20"/>
              </w:rPr>
            </w:pPr>
            <w:r w:rsidRPr="00A032ED">
              <w:rPr>
                <w:rFonts w:ascii="Calibri" w:hAnsi="Calibri" w:cs="Calibri"/>
                <w:snapToGrid/>
                <w:kern w:val="0"/>
                <w:szCs w:val="22"/>
              </w:rPr>
              <w:t>$44,644</w:t>
            </w: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54BEA3DE" w14:textId="77777777">
            <w:pPr>
              <w:widowControl/>
              <w:jc w:val="center"/>
              <w:rPr>
                <w:snapToGrid/>
                <w:kern w:val="0"/>
                <w:sz w:val="20"/>
              </w:rPr>
            </w:pPr>
            <w:r w:rsidRPr="00A032ED">
              <w:rPr>
                <w:rFonts w:ascii="Calibri" w:hAnsi="Calibri" w:cs="Calibri"/>
                <w:snapToGrid/>
                <w:kern w:val="0"/>
                <w:szCs w:val="22"/>
              </w:rPr>
              <w:t>$54,000</w:t>
            </w:r>
          </w:p>
        </w:tc>
        <w:tc>
          <w:tcPr>
            <w:tcW w:w="1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30A15D82" w14:textId="77777777">
            <w:pPr>
              <w:widowControl/>
              <w:jc w:val="center"/>
              <w:rPr>
                <w:snapToGrid/>
                <w:kern w:val="0"/>
                <w:sz w:val="20"/>
              </w:rPr>
            </w:pPr>
            <w:r w:rsidRPr="00A032ED">
              <w:rPr>
                <w:rFonts w:ascii="Calibri" w:hAnsi="Calibri" w:cs="Calibri"/>
                <w:snapToGrid/>
                <w:kern w:val="0"/>
                <w:szCs w:val="22"/>
              </w:rPr>
              <w:t>$49,322</w:t>
            </w:r>
          </w:p>
        </w:tc>
      </w:tr>
      <w:tr w14:paraId="09EE3591" w14:textId="77777777" w:rsidTr="00886011">
        <w:tblPrEx>
          <w:tblW w:w="13388" w:type="dxa"/>
          <w:jc w:val="center"/>
          <w:tblLook w:val="04A0"/>
        </w:tblPrEx>
        <w:trPr>
          <w:trHeight w:val="300"/>
          <w:jc w:val="center"/>
        </w:trPr>
        <w:tc>
          <w:tcPr>
            <w:tcW w:w="1241" w:type="dxa"/>
            <w:tcBorders>
              <w:top w:val="single" w:sz="4" w:space="0" w:color="auto"/>
              <w:left w:val="single" w:sz="4" w:space="0" w:color="auto"/>
              <w:bottom w:val="single" w:sz="4" w:space="0" w:color="auto"/>
              <w:right w:val="nil"/>
            </w:tcBorders>
            <w:shd w:val="clear" w:color="auto" w:fill="auto"/>
            <w:noWrap/>
            <w:vAlign w:val="bottom"/>
            <w:hideMark/>
          </w:tcPr>
          <w:p w:rsidR="006F7AD6" w:rsidRPr="00A032ED" w:rsidP="00886011" w14:paraId="714F3751" w14:textId="77777777">
            <w:pPr>
              <w:widowControl/>
              <w:jc w:val="center"/>
              <w:rPr>
                <w:rFonts w:ascii="Calibri" w:hAnsi="Calibri" w:cs="Calibri"/>
                <w:snapToGrid/>
                <w:kern w:val="0"/>
                <w:szCs w:val="22"/>
              </w:rPr>
            </w:pPr>
            <w:r w:rsidRPr="00A032ED">
              <w:rPr>
                <w:rFonts w:ascii="Calibri" w:hAnsi="Calibri" w:cs="Calibri"/>
                <w:snapToGrid/>
                <w:kern w:val="0"/>
                <w:szCs w:val="22"/>
              </w:rPr>
              <w:t>WXIX-TV</w:t>
            </w:r>
          </w:p>
        </w:tc>
        <w:tc>
          <w:tcPr>
            <w:tcW w:w="1488"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70A14B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2,825,570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8CA694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$20,413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836BC9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6EDABD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$23,781 </w:t>
            </w:r>
          </w:p>
        </w:tc>
        <w:tc>
          <w:tcPr>
            <w:tcW w:w="266" w:type="dxa"/>
            <w:tcBorders>
              <w:top w:val="nil"/>
              <w:left w:val="nil"/>
              <w:bottom w:val="nil"/>
              <w:right w:val="single" w:sz="4" w:space="0" w:color="auto"/>
            </w:tcBorders>
            <w:shd w:val="clear" w:color="auto" w:fill="auto"/>
            <w:noWrap/>
            <w:vAlign w:val="bottom"/>
            <w:hideMark/>
          </w:tcPr>
          <w:p w:rsidR="006F7AD6" w:rsidRPr="00A032ED" w:rsidP="00886011" w14:paraId="46E75AB6" w14:textId="77777777">
            <w:pPr>
              <w:widowControl/>
              <w:jc w:val="center"/>
              <w:rPr>
                <w:rFonts w:ascii="Calibri" w:hAnsi="Calibri" w:cs="Calibri"/>
                <w:snapToGrid/>
                <w:kern w:val="0"/>
                <w:szCs w:val="22"/>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348FC3A5" w14:textId="77777777">
            <w:pPr>
              <w:widowControl/>
              <w:jc w:val="center"/>
              <w:rPr>
                <w:snapToGrid/>
                <w:kern w:val="0"/>
                <w:sz w:val="20"/>
              </w:rPr>
            </w:pPr>
            <w:r w:rsidRPr="00A032ED">
              <w:rPr>
                <w:rFonts w:ascii="Calibri" w:hAnsi="Calibri" w:cs="Calibri"/>
                <w:snapToGrid/>
                <w:kern w:val="0"/>
                <w:szCs w:val="22"/>
              </w:rPr>
              <w:t>WYOU</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0A516E61" w14:textId="77777777">
            <w:pPr>
              <w:widowControl/>
              <w:jc w:val="center"/>
              <w:rPr>
                <w:snapToGrid/>
                <w:kern w:val="0"/>
                <w:sz w:val="20"/>
              </w:rPr>
            </w:pPr>
            <w:r w:rsidRPr="00A032ED">
              <w:rPr>
                <w:rFonts w:ascii="Calibri" w:hAnsi="Calibri" w:cs="Calibri"/>
                <w:snapToGrid/>
                <w:kern w:val="0"/>
                <w:szCs w:val="22"/>
              </w:rPr>
              <w:t>3,553,761</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7104461E" w14:textId="77777777">
            <w:pPr>
              <w:widowControl/>
              <w:jc w:val="center"/>
              <w:rPr>
                <w:snapToGrid/>
                <w:kern w:val="0"/>
                <w:sz w:val="20"/>
              </w:rPr>
            </w:pPr>
            <w:r w:rsidRPr="00A032ED">
              <w:rPr>
                <w:rFonts w:ascii="Calibri" w:hAnsi="Calibri" w:cs="Calibri"/>
                <w:snapToGrid/>
                <w:kern w:val="0"/>
                <w:szCs w:val="22"/>
              </w:rPr>
              <w:t>$25,674</w:t>
            </w: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4C02E6A8" w14:textId="77777777">
            <w:pPr>
              <w:widowControl/>
              <w:jc w:val="center"/>
              <w:rPr>
                <w:snapToGrid/>
                <w:kern w:val="0"/>
                <w:sz w:val="20"/>
              </w:rPr>
            </w:pPr>
            <w:r w:rsidRPr="00A032ED">
              <w:rPr>
                <w:rFonts w:ascii="Calibri" w:hAnsi="Calibri" w:cs="Calibri"/>
                <w:snapToGrid/>
                <w:kern w:val="0"/>
                <w:szCs w:val="22"/>
              </w:rPr>
              <w:t>$13,550</w:t>
            </w:r>
          </w:p>
        </w:tc>
        <w:tc>
          <w:tcPr>
            <w:tcW w:w="1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26579B51" w14:textId="77777777">
            <w:pPr>
              <w:widowControl/>
              <w:jc w:val="center"/>
              <w:rPr>
                <w:snapToGrid/>
                <w:kern w:val="0"/>
                <w:sz w:val="20"/>
              </w:rPr>
            </w:pPr>
            <w:r w:rsidRPr="00A032ED">
              <w:rPr>
                <w:rFonts w:ascii="Calibri" w:hAnsi="Calibri" w:cs="Calibri"/>
                <w:snapToGrid/>
                <w:kern w:val="0"/>
                <w:szCs w:val="22"/>
              </w:rPr>
              <w:t>$19,612</w:t>
            </w:r>
          </w:p>
        </w:tc>
      </w:tr>
      <w:tr w14:paraId="3F907631" w14:textId="77777777" w:rsidTr="00886011">
        <w:tblPrEx>
          <w:tblW w:w="13388" w:type="dxa"/>
          <w:jc w:val="center"/>
          <w:tblLook w:val="04A0"/>
        </w:tblPrEx>
        <w:trPr>
          <w:trHeight w:val="300"/>
          <w:jc w:val="center"/>
        </w:trPr>
        <w:tc>
          <w:tcPr>
            <w:tcW w:w="1241" w:type="dxa"/>
            <w:tcBorders>
              <w:top w:val="single" w:sz="4" w:space="0" w:color="auto"/>
              <w:left w:val="single" w:sz="4" w:space="0" w:color="auto"/>
              <w:bottom w:val="single" w:sz="4" w:space="0" w:color="auto"/>
              <w:right w:val="nil"/>
            </w:tcBorders>
            <w:shd w:val="clear" w:color="auto" w:fill="auto"/>
            <w:noWrap/>
            <w:vAlign w:val="bottom"/>
            <w:hideMark/>
          </w:tcPr>
          <w:p w:rsidR="006F7AD6" w:rsidRPr="00A032ED" w:rsidP="00886011" w14:paraId="1289A590" w14:textId="77777777">
            <w:pPr>
              <w:widowControl/>
              <w:jc w:val="center"/>
              <w:rPr>
                <w:rFonts w:ascii="Calibri" w:hAnsi="Calibri" w:cs="Calibri"/>
                <w:snapToGrid/>
                <w:kern w:val="0"/>
                <w:szCs w:val="22"/>
              </w:rPr>
            </w:pPr>
            <w:r w:rsidRPr="00A032ED">
              <w:rPr>
                <w:rFonts w:ascii="Calibri" w:hAnsi="Calibri" w:cs="Calibri"/>
                <w:snapToGrid/>
                <w:kern w:val="0"/>
                <w:szCs w:val="22"/>
              </w:rPr>
              <w:t>WXLV-TV</w:t>
            </w:r>
          </w:p>
        </w:tc>
        <w:tc>
          <w:tcPr>
            <w:tcW w:w="1488"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5A14D65"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4,362,761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822EB7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$31,518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EB1056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8294F4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$29,334 </w:t>
            </w:r>
          </w:p>
        </w:tc>
        <w:tc>
          <w:tcPr>
            <w:tcW w:w="266" w:type="dxa"/>
            <w:tcBorders>
              <w:top w:val="nil"/>
              <w:left w:val="nil"/>
              <w:bottom w:val="nil"/>
              <w:right w:val="single" w:sz="4" w:space="0" w:color="auto"/>
            </w:tcBorders>
            <w:shd w:val="clear" w:color="auto" w:fill="auto"/>
            <w:noWrap/>
            <w:vAlign w:val="bottom"/>
            <w:hideMark/>
          </w:tcPr>
          <w:p w:rsidR="006F7AD6" w:rsidRPr="00A032ED" w:rsidP="00886011" w14:paraId="63D44C15" w14:textId="77777777">
            <w:pPr>
              <w:widowControl/>
              <w:jc w:val="center"/>
              <w:rPr>
                <w:rFonts w:ascii="Calibri" w:hAnsi="Calibri" w:cs="Calibri"/>
                <w:snapToGrid/>
                <w:kern w:val="0"/>
                <w:szCs w:val="22"/>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6277BF6F" w14:textId="77777777">
            <w:pPr>
              <w:widowControl/>
              <w:jc w:val="center"/>
              <w:rPr>
                <w:snapToGrid/>
                <w:kern w:val="0"/>
                <w:sz w:val="20"/>
              </w:rPr>
            </w:pPr>
            <w:r w:rsidRPr="00A032ED">
              <w:rPr>
                <w:rFonts w:ascii="Calibri" w:hAnsi="Calibri" w:cs="Calibri"/>
                <w:snapToGrid/>
                <w:kern w:val="0"/>
                <w:szCs w:val="22"/>
              </w:rPr>
              <w:t>WYOW</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26F7DE31" w14:textId="77777777">
            <w:pPr>
              <w:widowControl/>
              <w:jc w:val="center"/>
              <w:rPr>
                <w:snapToGrid/>
                <w:kern w:val="0"/>
                <w:sz w:val="20"/>
              </w:rPr>
            </w:pPr>
            <w:r w:rsidRPr="00A032ED">
              <w:rPr>
                <w:rFonts w:ascii="Calibri" w:hAnsi="Calibri" w:cs="Calibri"/>
                <w:snapToGrid/>
                <w:kern w:val="0"/>
                <w:szCs w:val="22"/>
              </w:rPr>
              <w:t>91,233</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0E13C19D" w14:textId="77777777">
            <w:pPr>
              <w:widowControl/>
              <w:jc w:val="center"/>
              <w:rPr>
                <w:snapToGrid/>
                <w:kern w:val="0"/>
                <w:sz w:val="20"/>
              </w:rPr>
            </w:pPr>
            <w:r w:rsidRPr="00A032ED">
              <w:rPr>
                <w:rFonts w:ascii="Calibri" w:hAnsi="Calibri" w:cs="Calibri"/>
                <w:snapToGrid/>
                <w:kern w:val="0"/>
                <w:szCs w:val="22"/>
              </w:rPr>
              <w:t>$659</w:t>
            </w: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26F76646" w14:textId="77777777">
            <w:pPr>
              <w:widowControl/>
              <w:jc w:val="center"/>
              <w:rPr>
                <w:snapToGrid/>
                <w:kern w:val="0"/>
                <w:sz w:val="20"/>
              </w:rPr>
            </w:pPr>
            <w:r w:rsidRPr="00A032ED">
              <w:rPr>
                <w:rFonts w:ascii="Calibri" w:hAnsi="Calibri" w:cs="Calibri"/>
                <w:snapToGrid/>
                <w:kern w:val="0"/>
                <w:szCs w:val="22"/>
              </w:rPr>
              <w:t>$4,450</w:t>
            </w:r>
          </w:p>
        </w:tc>
        <w:tc>
          <w:tcPr>
            <w:tcW w:w="1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7C1B54C8" w14:textId="77777777">
            <w:pPr>
              <w:widowControl/>
              <w:jc w:val="center"/>
              <w:rPr>
                <w:snapToGrid/>
                <w:kern w:val="0"/>
                <w:sz w:val="20"/>
              </w:rPr>
            </w:pPr>
            <w:r w:rsidRPr="00A032ED">
              <w:rPr>
                <w:rFonts w:ascii="Calibri" w:hAnsi="Calibri" w:cs="Calibri"/>
                <w:snapToGrid/>
                <w:kern w:val="0"/>
                <w:szCs w:val="22"/>
              </w:rPr>
              <w:t>$2,555</w:t>
            </w:r>
          </w:p>
        </w:tc>
      </w:tr>
      <w:tr w14:paraId="0058F4D9" w14:textId="77777777" w:rsidTr="00886011">
        <w:tblPrEx>
          <w:tblW w:w="13388" w:type="dxa"/>
          <w:jc w:val="center"/>
          <w:tblLook w:val="04A0"/>
        </w:tblPrEx>
        <w:trPr>
          <w:trHeight w:val="300"/>
          <w:jc w:val="center"/>
        </w:trPr>
        <w:tc>
          <w:tcPr>
            <w:tcW w:w="1241" w:type="dxa"/>
            <w:tcBorders>
              <w:top w:val="single" w:sz="4" w:space="0" w:color="auto"/>
              <w:left w:val="single" w:sz="4" w:space="0" w:color="auto"/>
              <w:bottom w:val="single" w:sz="4" w:space="0" w:color="auto"/>
              <w:right w:val="nil"/>
            </w:tcBorders>
            <w:shd w:val="clear" w:color="auto" w:fill="auto"/>
            <w:noWrap/>
            <w:vAlign w:val="bottom"/>
            <w:hideMark/>
          </w:tcPr>
          <w:p w:rsidR="006F7AD6" w:rsidRPr="00A032ED" w:rsidP="00886011" w14:paraId="24130141" w14:textId="77777777">
            <w:pPr>
              <w:widowControl/>
              <w:jc w:val="center"/>
              <w:rPr>
                <w:rFonts w:ascii="Calibri" w:hAnsi="Calibri" w:cs="Calibri"/>
                <w:snapToGrid/>
                <w:kern w:val="0"/>
                <w:szCs w:val="22"/>
              </w:rPr>
            </w:pPr>
            <w:r w:rsidRPr="00A032ED">
              <w:rPr>
                <w:rFonts w:ascii="Calibri" w:hAnsi="Calibri" w:cs="Calibri"/>
                <w:snapToGrid/>
                <w:kern w:val="0"/>
                <w:szCs w:val="22"/>
              </w:rPr>
              <w:t>WXMI</w:t>
            </w:r>
          </w:p>
        </w:tc>
        <w:tc>
          <w:tcPr>
            <w:tcW w:w="1488"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823F11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191,107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5E47DA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$1,381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9B482E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D0D88B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$14,265 </w:t>
            </w:r>
          </w:p>
        </w:tc>
        <w:tc>
          <w:tcPr>
            <w:tcW w:w="266" w:type="dxa"/>
            <w:tcBorders>
              <w:top w:val="nil"/>
              <w:left w:val="nil"/>
              <w:bottom w:val="nil"/>
              <w:right w:val="single" w:sz="4" w:space="0" w:color="auto"/>
            </w:tcBorders>
            <w:shd w:val="clear" w:color="auto" w:fill="auto"/>
            <w:noWrap/>
            <w:vAlign w:val="bottom"/>
            <w:hideMark/>
          </w:tcPr>
          <w:p w:rsidR="006F7AD6" w:rsidRPr="00A032ED" w:rsidP="00886011" w14:paraId="3B43B1CC" w14:textId="77777777">
            <w:pPr>
              <w:widowControl/>
              <w:jc w:val="center"/>
              <w:rPr>
                <w:rFonts w:ascii="Calibri" w:hAnsi="Calibri" w:cs="Calibri"/>
                <w:snapToGrid/>
                <w:kern w:val="0"/>
                <w:szCs w:val="22"/>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2F08B1C2" w14:textId="77777777">
            <w:pPr>
              <w:widowControl/>
              <w:jc w:val="center"/>
              <w:rPr>
                <w:snapToGrid/>
                <w:kern w:val="0"/>
                <w:sz w:val="20"/>
              </w:rPr>
            </w:pPr>
            <w:r w:rsidRPr="00A032ED">
              <w:rPr>
                <w:rFonts w:ascii="Calibri" w:hAnsi="Calibri" w:cs="Calibri"/>
                <w:snapToGrid/>
                <w:kern w:val="0"/>
                <w:szCs w:val="22"/>
              </w:rPr>
              <w:t>WYPX-TV</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7B98205C" w14:textId="77777777">
            <w:pPr>
              <w:widowControl/>
              <w:jc w:val="center"/>
              <w:rPr>
                <w:snapToGrid/>
                <w:kern w:val="0"/>
                <w:sz w:val="20"/>
              </w:rPr>
            </w:pPr>
            <w:r w:rsidRPr="00A032ED">
              <w:rPr>
                <w:rFonts w:ascii="Calibri" w:hAnsi="Calibri" w:cs="Calibri"/>
                <w:snapToGrid/>
                <w:kern w:val="0"/>
                <w:szCs w:val="22"/>
              </w:rPr>
              <w:t>1,167,975</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161E752B" w14:textId="77777777">
            <w:pPr>
              <w:widowControl/>
              <w:jc w:val="center"/>
              <w:rPr>
                <w:snapToGrid/>
                <w:kern w:val="0"/>
                <w:sz w:val="20"/>
              </w:rPr>
            </w:pPr>
            <w:r w:rsidRPr="00A032ED">
              <w:rPr>
                <w:rFonts w:ascii="Calibri" w:hAnsi="Calibri" w:cs="Calibri"/>
                <w:snapToGrid/>
                <w:kern w:val="0"/>
                <w:szCs w:val="22"/>
              </w:rPr>
              <w:t>$8,438</w:t>
            </w: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29819CF5" w14:textId="77777777">
            <w:pPr>
              <w:widowControl/>
              <w:jc w:val="center"/>
              <w:rPr>
                <w:snapToGrid/>
                <w:kern w:val="0"/>
                <w:sz w:val="20"/>
              </w:rPr>
            </w:pPr>
            <w:r w:rsidRPr="00A032ED">
              <w:rPr>
                <w:rFonts w:ascii="Calibri" w:hAnsi="Calibri" w:cs="Calibri"/>
                <w:snapToGrid/>
                <w:kern w:val="0"/>
                <w:szCs w:val="22"/>
              </w:rPr>
              <w:t>$13,550</w:t>
            </w:r>
          </w:p>
        </w:tc>
        <w:tc>
          <w:tcPr>
            <w:tcW w:w="1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6C6F2E87" w14:textId="77777777">
            <w:pPr>
              <w:widowControl/>
              <w:jc w:val="center"/>
              <w:rPr>
                <w:snapToGrid/>
                <w:kern w:val="0"/>
                <w:sz w:val="20"/>
              </w:rPr>
            </w:pPr>
            <w:r w:rsidRPr="00A032ED">
              <w:rPr>
                <w:rFonts w:ascii="Calibri" w:hAnsi="Calibri" w:cs="Calibri"/>
                <w:snapToGrid/>
                <w:kern w:val="0"/>
                <w:szCs w:val="22"/>
              </w:rPr>
              <w:t>$10,994</w:t>
            </w:r>
          </w:p>
        </w:tc>
      </w:tr>
      <w:tr w14:paraId="6A04E72B" w14:textId="77777777" w:rsidTr="00886011">
        <w:tblPrEx>
          <w:tblW w:w="13388" w:type="dxa"/>
          <w:jc w:val="center"/>
          <w:tblLook w:val="04A0"/>
        </w:tblPrEx>
        <w:trPr>
          <w:trHeight w:val="300"/>
          <w:jc w:val="center"/>
        </w:trPr>
        <w:tc>
          <w:tcPr>
            <w:tcW w:w="1241" w:type="dxa"/>
            <w:tcBorders>
              <w:top w:val="single" w:sz="4" w:space="0" w:color="auto"/>
              <w:left w:val="single" w:sz="4" w:space="0" w:color="auto"/>
              <w:bottom w:val="single" w:sz="4" w:space="0" w:color="auto"/>
              <w:right w:val="nil"/>
            </w:tcBorders>
            <w:shd w:val="clear" w:color="auto" w:fill="auto"/>
            <w:noWrap/>
            <w:vAlign w:val="bottom"/>
            <w:hideMark/>
          </w:tcPr>
          <w:p w:rsidR="006F7AD6" w:rsidRPr="00A032ED" w:rsidP="00886011" w14:paraId="6FB5C96C" w14:textId="77777777">
            <w:pPr>
              <w:widowControl/>
              <w:jc w:val="center"/>
              <w:rPr>
                <w:rFonts w:ascii="Calibri" w:hAnsi="Calibri" w:cs="Calibri"/>
                <w:snapToGrid/>
                <w:kern w:val="0"/>
                <w:szCs w:val="22"/>
              </w:rPr>
            </w:pPr>
            <w:r w:rsidRPr="00A032ED">
              <w:rPr>
                <w:rFonts w:ascii="Calibri" w:hAnsi="Calibri" w:cs="Calibri"/>
                <w:snapToGrid/>
                <w:kern w:val="0"/>
                <w:szCs w:val="22"/>
              </w:rPr>
              <w:t>WXOW</w:t>
            </w:r>
          </w:p>
        </w:tc>
        <w:tc>
          <w:tcPr>
            <w:tcW w:w="1488"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BFD34F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425,378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BE5ABD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$3,073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4FE353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74C5E3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$3,762 </w:t>
            </w:r>
          </w:p>
        </w:tc>
        <w:tc>
          <w:tcPr>
            <w:tcW w:w="266" w:type="dxa"/>
            <w:tcBorders>
              <w:top w:val="nil"/>
              <w:left w:val="nil"/>
              <w:bottom w:val="nil"/>
              <w:right w:val="single" w:sz="4" w:space="0" w:color="auto"/>
            </w:tcBorders>
            <w:shd w:val="clear" w:color="auto" w:fill="auto"/>
            <w:noWrap/>
            <w:vAlign w:val="bottom"/>
            <w:hideMark/>
          </w:tcPr>
          <w:p w:rsidR="006F7AD6" w:rsidRPr="00A032ED" w:rsidP="00886011" w14:paraId="57C738A6" w14:textId="77777777">
            <w:pPr>
              <w:widowControl/>
              <w:jc w:val="center"/>
              <w:rPr>
                <w:rFonts w:ascii="Calibri" w:hAnsi="Calibri" w:cs="Calibri"/>
                <w:snapToGrid/>
                <w:kern w:val="0"/>
                <w:szCs w:val="22"/>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10D51BE3" w14:textId="77777777">
            <w:pPr>
              <w:widowControl/>
              <w:jc w:val="center"/>
              <w:rPr>
                <w:snapToGrid/>
                <w:kern w:val="0"/>
                <w:sz w:val="20"/>
              </w:rPr>
            </w:pPr>
            <w:r w:rsidRPr="00A032ED">
              <w:rPr>
                <w:rFonts w:ascii="Calibri" w:hAnsi="Calibri" w:cs="Calibri"/>
                <w:snapToGrid/>
                <w:kern w:val="0"/>
                <w:szCs w:val="22"/>
              </w:rPr>
              <w:t>WYTV</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5A9B964D" w14:textId="77777777">
            <w:pPr>
              <w:widowControl/>
              <w:jc w:val="center"/>
              <w:rPr>
                <w:snapToGrid/>
                <w:kern w:val="0"/>
                <w:sz w:val="20"/>
              </w:rPr>
            </w:pPr>
            <w:r w:rsidRPr="00A032ED">
              <w:rPr>
                <w:rFonts w:ascii="Calibri" w:hAnsi="Calibri" w:cs="Calibri"/>
                <w:snapToGrid/>
                <w:kern w:val="0"/>
                <w:szCs w:val="22"/>
              </w:rPr>
              <w:t>2,068,935</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1DE1E2B7" w14:textId="77777777">
            <w:pPr>
              <w:widowControl/>
              <w:jc w:val="center"/>
              <w:rPr>
                <w:snapToGrid/>
                <w:kern w:val="0"/>
                <w:sz w:val="20"/>
              </w:rPr>
            </w:pPr>
            <w:r w:rsidRPr="00A032ED">
              <w:rPr>
                <w:rFonts w:ascii="Calibri" w:hAnsi="Calibri" w:cs="Calibri"/>
                <w:snapToGrid/>
                <w:kern w:val="0"/>
                <w:szCs w:val="22"/>
              </w:rPr>
              <w:t>$14,947</w:t>
            </w: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7DC338AE" w14:textId="77777777">
            <w:pPr>
              <w:widowControl/>
              <w:jc w:val="center"/>
              <w:rPr>
                <w:snapToGrid/>
                <w:kern w:val="0"/>
                <w:sz w:val="20"/>
              </w:rPr>
            </w:pPr>
            <w:r w:rsidRPr="00A032ED">
              <w:rPr>
                <w:rFonts w:ascii="Calibri" w:hAnsi="Calibri" w:cs="Calibri"/>
                <w:snapToGrid/>
                <w:kern w:val="0"/>
                <w:szCs w:val="22"/>
              </w:rPr>
              <w:t>$4,450</w:t>
            </w:r>
          </w:p>
        </w:tc>
        <w:tc>
          <w:tcPr>
            <w:tcW w:w="1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45625FE0" w14:textId="77777777">
            <w:pPr>
              <w:widowControl/>
              <w:jc w:val="center"/>
              <w:rPr>
                <w:snapToGrid/>
                <w:kern w:val="0"/>
                <w:sz w:val="20"/>
              </w:rPr>
            </w:pPr>
            <w:r w:rsidRPr="00A032ED">
              <w:rPr>
                <w:rFonts w:ascii="Calibri" w:hAnsi="Calibri" w:cs="Calibri"/>
                <w:snapToGrid/>
                <w:kern w:val="0"/>
                <w:szCs w:val="22"/>
              </w:rPr>
              <w:t>$9,698</w:t>
            </w:r>
          </w:p>
        </w:tc>
      </w:tr>
      <w:tr w14:paraId="6D23C97F" w14:textId="77777777" w:rsidTr="00886011">
        <w:tblPrEx>
          <w:tblW w:w="13388" w:type="dxa"/>
          <w:jc w:val="center"/>
          <w:tblLook w:val="04A0"/>
        </w:tblPrEx>
        <w:trPr>
          <w:trHeight w:val="300"/>
          <w:jc w:val="center"/>
        </w:trPr>
        <w:tc>
          <w:tcPr>
            <w:tcW w:w="1241" w:type="dxa"/>
            <w:tcBorders>
              <w:top w:val="single" w:sz="4" w:space="0" w:color="auto"/>
              <w:left w:val="single" w:sz="4" w:space="0" w:color="auto"/>
              <w:bottom w:val="single" w:sz="4" w:space="0" w:color="auto"/>
              <w:right w:val="nil"/>
            </w:tcBorders>
            <w:shd w:val="clear" w:color="auto" w:fill="auto"/>
            <w:noWrap/>
            <w:vAlign w:val="bottom"/>
            <w:hideMark/>
          </w:tcPr>
          <w:p w:rsidR="006F7AD6" w:rsidRPr="00A032ED" w:rsidP="00886011" w14:paraId="592551CF" w14:textId="77777777">
            <w:pPr>
              <w:widowControl/>
              <w:jc w:val="center"/>
              <w:rPr>
                <w:rFonts w:ascii="Calibri" w:hAnsi="Calibri" w:cs="Calibri"/>
                <w:snapToGrid/>
                <w:kern w:val="0"/>
                <w:szCs w:val="22"/>
              </w:rPr>
            </w:pPr>
            <w:r w:rsidRPr="00A032ED">
              <w:rPr>
                <w:rFonts w:ascii="Calibri" w:hAnsi="Calibri" w:cs="Calibri"/>
                <w:snapToGrid/>
                <w:kern w:val="0"/>
                <w:szCs w:val="22"/>
              </w:rPr>
              <w:t>WXPX-TV</w:t>
            </w:r>
          </w:p>
        </w:tc>
        <w:tc>
          <w:tcPr>
            <w:tcW w:w="1488"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7C04F57"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4,566,037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7B0679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$32,987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583D5E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DB250C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$36,831 </w:t>
            </w:r>
          </w:p>
        </w:tc>
        <w:tc>
          <w:tcPr>
            <w:tcW w:w="266" w:type="dxa"/>
            <w:tcBorders>
              <w:top w:val="nil"/>
              <w:left w:val="nil"/>
              <w:bottom w:val="nil"/>
              <w:right w:val="single" w:sz="4" w:space="0" w:color="auto"/>
            </w:tcBorders>
            <w:shd w:val="clear" w:color="auto" w:fill="auto"/>
            <w:noWrap/>
            <w:vAlign w:val="bottom"/>
            <w:hideMark/>
          </w:tcPr>
          <w:p w:rsidR="006F7AD6" w:rsidRPr="00A032ED" w:rsidP="00886011" w14:paraId="6CD24CF7" w14:textId="77777777">
            <w:pPr>
              <w:widowControl/>
              <w:jc w:val="center"/>
              <w:rPr>
                <w:rFonts w:ascii="Calibri" w:hAnsi="Calibri" w:cs="Calibri"/>
                <w:snapToGrid/>
                <w:kern w:val="0"/>
                <w:szCs w:val="22"/>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5ADF9C09" w14:textId="77777777">
            <w:pPr>
              <w:widowControl/>
              <w:jc w:val="center"/>
              <w:rPr>
                <w:snapToGrid/>
                <w:kern w:val="0"/>
                <w:sz w:val="20"/>
              </w:rPr>
            </w:pPr>
            <w:r w:rsidRPr="00A032ED">
              <w:rPr>
                <w:rFonts w:ascii="Calibri" w:hAnsi="Calibri" w:cs="Calibri"/>
                <w:snapToGrid/>
                <w:kern w:val="0"/>
                <w:szCs w:val="22"/>
              </w:rPr>
              <w:t>WYZZ-TV</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4F71EC4C" w14:textId="77777777">
            <w:pPr>
              <w:widowControl/>
              <w:jc w:val="center"/>
              <w:rPr>
                <w:snapToGrid/>
                <w:kern w:val="0"/>
                <w:sz w:val="20"/>
              </w:rPr>
            </w:pPr>
            <w:r w:rsidRPr="00A032ED">
              <w:rPr>
                <w:rFonts w:ascii="Calibri" w:hAnsi="Calibri" w:cs="Calibri"/>
                <w:snapToGrid/>
                <w:kern w:val="0"/>
                <w:szCs w:val="22"/>
              </w:rPr>
              <w:t>1,042,140</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6082F015" w14:textId="77777777">
            <w:pPr>
              <w:widowControl/>
              <w:jc w:val="center"/>
              <w:rPr>
                <w:snapToGrid/>
                <w:kern w:val="0"/>
                <w:sz w:val="20"/>
              </w:rPr>
            </w:pPr>
            <w:r w:rsidRPr="00A032ED">
              <w:rPr>
                <w:rFonts w:ascii="Calibri" w:hAnsi="Calibri" w:cs="Calibri"/>
                <w:snapToGrid/>
                <w:kern w:val="0"/>
                <w:szCs w:val="22"/>
              </w:rPr>
              <w:t>$7,529</w:t>
            </w: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1A41329E" w14:textId="77777777">
            <w:pPr>
              <w:widowControl/>
              <w:jc w:val="center"/>
              <w:rPr>
                <w:snapToGrid/>
                <w:kern w:val="0"/>
                <w:sz w:val="20"/>
              </w:rPr>
            </w:pPr>
            <w:r w:rsidRPr="00A032ED">
              <w:rPr>
                <w:rFonts w:ascii="Calibri" w:hAnsi="Calibri" w:cs="Calibri"/>
                <w:snapToGrid/>
                <w:kern w:val="0"/>
                <w:szCs w:val="22"/>
              </w:rPr>
              <w:t>$4,450</w:t>
            </w:r>
          </w:p>
        </w:tc>
        <w:tc>
          <w:tcPr>
            <w:tcW w:w="1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523F9AD5" w14:textId="77777777">
            <w:pPr>
              <w:widowControl/>
              <w:jc w:val="center"/>
              <w:rPr>
                <w:snapToGrid/>
                <w:kern w:val="0"/>
                <w:sz w:val="20"/>
              </w:rPr>
            </w:pPr>
            <w:r w:rsidRPr="00A032ED">
              <w:rPr>
                <w:rFonts w:ascii="Calibri" w:hAnsi="Calibri" w:cs="Calibri"/>
                <w:snapToGrid/>
                <w:kern w:val="0"/>
                <w:szCs w:val="22"/>
              </w:rPr>
              <w:t>$5,989</w:t>
            </w:r>
          </w:p>
        </w:tc>
      </w:tr>
      <w:tr w14:paraId="4622ACD2" w14:textId="77777777" w:rsidTr="00886011">
        <w:tblPrEx>
          <w:tblW w:w="13388" w:type="dxa"/>
          <w:jc w:val="center"/>
          <w:tblLook w:val="04A0"/>
        </w:tblPrEx>
        <w:trPr>
          <w:trHeight w:val="300"/>
          <w:jc w:val="center"/>
        </w:trPr>
        <w:tc>
          <w:tcPr>
            <w:tcW w:w="1241" w:type="dxa"/>
            <w:tcBorders>
              <w:top w:val="single" w:sz="4" w:space="0" w:color="auto"/>
              <w:left w:val="single" w:sz="4" w:space="0" w:color="auto"/>
              <w:bottom w:val="single" w:sz="4" w:space="0" w:color="auto"/>
              <w:right w:val="nil"/>
            </w:tcBorders>
            <w:shd w:val="clear" w:color="auto" w:fill="auto"/>
            <w:noWrap/>
            <w:vAlign w:val="bottom"/>
            <w:hideMark/>
          </w:tcPr>
          <w:p w:rsidR="006F7AD6" w:rsidRPr="00A032ED" w:rsidP="00886011" w14:paraId="10F61177" w14:textId="77777777">
            <w:pPr>
              <w:widowControl/>
              <w:jc w:val="center"/>
              <w:rPr>
                <w:rFonts w:ascii="Calibri" w:hAnsi="Calibri" w:cs="Calibri"/>
                <w:snapToGrid/>
                <w:kern w:val="0"/>
                <w:szCs w:val="22"/>
              </w:rPr>
            </w:pPr>
            <w:r w:rsidRPr="00A032ED">
              <w:rPr>
                <w:rFonts w:ascii="Calibri" w:hAnsi="Calibri" w:cs="Calibri"/>
                <w:snapToGrid/>
                <w:kern w:val="0"/>
                <w:szCs w:val="22"/>
              </w:rPr>
              <w:t>WXTX</w:t>
            </w:r>
          </w:p>
        </w:tc>
        <w:tc>
          <w:tcPr>
            <w:tcW w:w="1488"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B08AD5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700,123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6EDC0E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$5,058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A0E853D"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A1A196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$4,754 </w:t>
            </w:r>
          </w:p>
        </w:tc>
        <w:tc>
          <w:tcPr>
            <w:tcW w:w="266" w:type="dxa"/>
            <w:tcBorders>
              <w:top w:val="nil"/>
              <w:left w:val="nil"/>
              <w:bottom w:val="nil"/>
              <w:right w:val="single" w:sz="4" w:space="0" w:color="auto"/>
            </w:tcBorders>
            <w:shd w:val="clear" w:color="auto" w:fill="auto"/>
            <w:noWrap/>
            <w:vAlign w:val="bottom"/>
            <w:hideMark/>
          </w:tcPr>
          <w:p w:rsidR="006F7AD6" w:rsidRPr="00A032ED" w:rsidP="00886011" w14:paraId="064E4125" w14:textId="77777777">
            <w:pPr>
              <w:widowControl/>
              <w:jc w:val="center"/>
              <w:rPr>
                <w:rFonts w:ascii="Calibri" w:hAnsi="Calibri" w:cs="Calibri"/>
                <w:snapToGrid/>
                <w:kern w:val="0"/>
                <w:szCs w:val="22"/>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0325D40E" w14:textId="77777777">
            <w:pPr>
              <w:widowControl/>
              <w:jc w:val="center"/>
              <w:rPr>
                <w:snapToGrid/>
                <w:kern w:val="0"/>
                <w:sz w:val="20"/>
              </w:rPr>
            </w:pPr>
            <w:r w:rsidRPr="00A032ED">
              <w:rPr>
                <w:rFonts w:ascii="Calibri" w:hAnsi="Calibri" w:cs="Calibri"/>
                <w:snapToGrid/>
                <w:kern w:val="0"/>
                <w:szCs w:val="22"/>
              </w:rPr>
              <w:t>WZBJ</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5D44C59F" w14:textId="77777777">
            <w:pPr>
              <w:widowControl/>
              <w:jc w:val="center"/>
              <w:rPr>
                <w:snapToGrid/>
                <w:kern w:val="0"/>
                <w:sz w:val="20"/>
              </w:rPr>
            </w:pPr>
            <w:r w:rsidRPr="00A032ED">
              <w:rPr>
                <w:rFonts w:ascii="Calibri" w:hAnsi="Calibri" w:cs="Calibri"/>
                <w:snapToGrid/>
                <w:kern w:val="0"/>
                <w:szCs w:val="22"/>
              </w:rPr>
              <w:t>1,606,844</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325E48DF" w14:textId="77777777">
            <w:pPr>
              <w:widowControl/>
              <w:jc w:val="center"/>
              <w:rPr>
                <w:snapToGrid/>
                <w:kern w:val="0"/>
                <w:sz w:val="20"/>
              </w:rPr>
            </w:pPr>
            <w:r w:rsidRPr="00A032ED">
              <w:rPr>
                <w:rFonts w:ascii="Calibri" w:hAnsi="Calibri" w:cs="Calibri"/>
                <w:snapToGrid/>
                <w:kern w:val="0"/>
                <w:szCs w:val="22"/>
              </w:rPr>
              <w:t>$11,608</w:t>
            </w: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661E50E7" w14:textId="77777777">
            <w:pPr>
              <w:widowControl/>
              <w:jc w:val="center"/>
              <w:rPr>
                <w:snapToGrid/>
                <w:kern w:val="0"/>
                <w:sz w:val="20"/>
              </w:rPr>
            </w:pPr>
            <w:r w:rsidRPr="00A032ED">
              <w:rPr>
                <w:rFonts w:ascii="Calibri" w:hAnsi="Calibri" w:cs="Calibri"/>
                <w:snapToGrid/>
                <w:kern w:val="0"/>
                <w:szCs w:val="22"/>
              </w:rPr>
              <w:t>$13,550</w:t>
            </w:r>
          </w:p>
        </w:tc>
        <w:tc>
          <w:tcPr>
            <w:tcW w:w="1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3412891B" w14:textId="77777777">
            <w:pPr>
              <w:widowControl/>
              <w:jc w:val="center"/>
              <w:rPr>
                <w:snapToGrid/>
                <w:kern w:val="0"/>
                <w:sz w:val="20"/>
              </w:rPr>
            </w:pPr>
            <w:r w:rsidRPr="00A032ED">
              <w:rPr>
                <w:rFonts w:ascii="Calibri" w:hAnsi="Calibri" w:cs="Calibri"/>
                <w:snapToGrid/>
                <w:kern w:val="0"/>
                <w:szCs w:val="22"/>
              </w:rPr>
              <w:t>$12,579</w:t>
            </w:r>
          </w:p>
        </w:tc>
      </w:tr>
      <w:tr w14:paraId="0773500C" w14:textId="77777777" w:rsidTr="00886011">
        <w:tblPrEx>
          <w:tblW w:w="13388" w:type="dxa"/>
          <w:jc w:val="center"/>
          <w:tblLook w:val="04A0"/>
        </w:tblPrEx>
        <w:trPr>
          <w:trHeight w:val="300"/>
          <w:jc w:val="center"/>
        </w:trPr>
        <w:tc>
          <w:tcPr>
            <w:tcW w:w="1241" w:type="dxa"/>
            <w:tcBorders>
              <w:top w:val="single" w:sz="4" w:space="0" w:color="auto"/>
              <w:left w:val="single" w:sz="4" w:space="0" w:color="auto"/>
              <w:bottom w:val="single" w:sz="4" w:space="0" w:color="auto"/>
              <w:right w:val="nil"/>
            </w:tcBorders>
            <w:shd w:val="clear" w:color="auto" w:fill="auto"/>
            <w:noWrap/>
            <w:vAlign w:val="bottom"/>
            <w:hideMark/>
          </w:tcPr>
          <w:p w:rsidR="006F7AD6" w:rsidRPr="00A032ED" w:rsidP="00886011" w14:paraId="3B4CD03A" w14:textId="77777777">
            <w:pPr>
              <w:widowControl/>
              <w:jc w:val="center"/>
              <w:rPr>
                <w:rFonts w:ascii="Calibri" w:hAnsi="Calibri" w:cs="Calibri"/>
                <w:snapToGrid/>
                <w:kern w:val="0"/>
                <w:szCs w:val="22"/>
              </w:rPr>
            </w:pPr>
            <w:r w:rsidRPr="00A032ED">
              <w:rPr>
                <w:rFonts w:ascii="Calibri" w:hAnsi="Calibri" w:cs="Calibri"/>
                <w:snapToGrid/>
                <w:kern w:val="0"/>
                <w:szCs w:val="22"/>
              </w:rPr>
              <w:t>WXXA-TV</w:t>
            </w:r>
          </w:p>
        </w:tc>
        <w:tc>
          <w:tcPr>
            <w:tcW w:w="1488"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CDD160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1,775,667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8A356B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$12,828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D42CFE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72F6CF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$13,189 </w:t>
            </w:r>
          </w:p>
        </w:tc>
        <w:tc>
          <w:tcPr>
            <w:tcW w:w="266" w:type="dxa"/>
            <w:tcBorders>
              <w:top w:val="nil"/>
              <w:left w:val="nil"/>
              <w:bottom w:val="nil"/>
              <w:right w:val="single" w:sz="4" w:space="0" w:color="auto"/>
            </w:tcBorders>
            <w:shd w:val="clear" w:color="auto" w:fill="auto"/>
            <w:noWrap/>
            <w:vAlign w:val="bottom"/>
            <w:hideMark/>
          </w:tcPr>
          <w:p w:rsidR="006F7AD6" w:rsidRPr="00A032ED" w:rsidP="00886011" w14:paraId="117456F0" w14:textId="77777777">
            <w:pPr>
              <w:widowControl/>
              <w:jc w:val="center"/>
              <w:rPr>
                <w:rFonts w:ascii="Calibri" w:hAnsi="Calibri" w:cs="Calibri"/>
                <w:snapToGrid/>
                <w:kern w:val="0"/>
                <w:szCs w:val="22"/>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3737FDCB" w14:textId="77777777">
            <w:pPr>
              <w:widowControl/>
              <w:jc w:val="center"/>
              <w:rPr>
                <w:snapToGrid/>
                <w:kern w:val="0"/>
                <w:sz w:val="20"/>
              </w:rPr>
            </w:pPr>
            <w:r w:rsidRPr="00A032ED">
              <w:rPr>
                <w:rFonts w:ascii="Calibri" w:hAnsi="Calibri" w:cs="Calibri"/>
                <w:snapToGrid/>
                <w:kern w:val="0"/>
                <w:szCs w:val="22"/>
              </w:rPr>
              <w:t>WZDX</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7A102EF5" w14:textId="77777777">
            <w:pPr>
              <w:widowControl/>
              <w:jc w:val="center"/>
              <w:rPr>
                <w:snapToGrid/>
                <w:kern w:val="0"/>
                <w:sz w:val="20"/>
              </w:rPr>
            </w:pPr>
            <w:r w:rsidRPr="00A032ED">
              <w:rPr>
                <w:rFonts w:ascii="Calibri" w:hAnsi="Calibri" w:cs="Calibri"/>
                <w:snapToGrid/>
                <w:kern w:val="0"/>
                <w:szCs w:val="22"/>
              </w:rPr>
              <w:t>1,557,490</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59E66184" w14:textId="77777777">
            <w:pPr>
              <w:widowControl/>
              <w:jc w:val="center"/>
              <w:rPr>
                <w:snapToGrid/>
                <w:kern w:val="0"/>
                <w:sz w:val="20"/>
              </w:rPr>
            </w:pPr>
            <w:r w:rsidRPr="00A032ED">
              <w:rPr>
                <w:rFonts w:ascii="Calibri" w:hAnsi="Calibri" w:cs="Calibri"/>
                <w:snapToGrid/>
                <w:kern w:val="0"/>
                <w:szCs w:val="22"/>
              </w:rPr>
              <w:t>$11,252</w:t>
            </w: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7637F02C" w14:textId="77777777">
            <w:pPr>
              <w:widowControl/>
              <w:jc w:val="center"/>
              <w:rPr>
                <w:snapToGrid/>
                <w:kern w:val="0"/>
                <w:sz w:val="20"/>
              </w:rPr>
            </w:pPr>
            <w:r w:rsidRPr="00A032ED">
              <w:rPr>
                <w:rFonts w:ascii="Calibri" w:hAnsi="Calibri" w:cs="Calibri"/>
                <w:snapToGrid/>
                <w:kern w:val="0"/>
                <w:szCs w:val="22"/>
              </w:rPr>
              <w:t>$13,550</w:t>
            </w:r>
          </w:p>
        </w:tc>
        <w:tc>
          <w:tcPr>
            <w:tcW w:w="1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5B05C56A" w14:textId="77777777">
            <w:pPr>
              <w:widowControl/>
              <w:jc w:val="center"/>
              <w:rPr>
                <w:snapToGrid/>
                <w:kern w:val="0"/>
                <w:sz w:val="20"/>
              </w:rPr>
            </w:pPr>
            <w:r w:rsidRPr="00A032ED">
              <w:rPr>
                <w:rFonts w:ascii="Calibri" w:hAnsi="Calibri" w:cs="Calibri"/>
                <w:snapToGrid/>
                <w:kern w:val="0"/>
                <w:szCs w:val="22"/>
              </w:rPr>
              <w:t>$12,401</w:t>
            </w:r>
          </w:p>
        </w:tc>
      </w:tr>
      <w:tr w14:paraId="4A51C5DC" w14:textId="77777777" w:rsidTr="00886011">
        <w:tblPrEx>
          <w:tblW w:w="13388" w:type="dxa"/>
          <w:jc w:val="center"/>
          <w:tblLook w:val="04A0"/>
        </w:tblPrEx>
        <w:trPr>
          <w:trHeight w:val="300"/>
          <w:jc w:val="center"/>
        </w:trPr>
        <w:tc>
          <w:tcPr>
            <w:tcW w:w="1241" w:type="dxa"/>
            <w:tcBorders>
              <w:top w:val="single" w:sz="4" w:space="0" w:color="auto"/>
              <w:left w:val="single" w:sz="4" w:space="0" w:color="auto"/>
              <w:bottom w:val="single" w:sz="4" w:space="0" w:color="auto"/>
              <w:right w:val="nil"/>
            </w:tcBorders>
            <w:shd w:val="clear" w:color="auto" w:fill="auto"/>
            <w:noWrap/>
            <w:vAlign w:val="bottom"/>
            <w:hideMark/>
          </w:tcPr>
          <w:p w:rsidR="006F7AD6" w:rsidRPr="00A032ED" w:rsidP="00886011" w14:paraId="6DD29C58" w14:textId="77777777">
            <w:pPr>
              <w:widowControl/>
              <w:jc w:val="center"/>
              <w:rPr>
                <w:rFonts w:ascii="Calibri" w:hAnsi="Calibri" w:cs="Calibri"/>
                <w:snapToGrid/>
                <w:kern w:val="0"/>
                <w:szCs w:val="22"/>
              </w:rPr>
            </w:pPr>
            <w:r w:rsidRPr="00A032ED">
              <w:rPr>
                <w:rFonts w:ascii="Calibri" w:hAnsi="Calibri" w:cs="Calibri"/>
                <w:snapToGrid/>
                <w:kern w:val="0"/>
                <w:szCs w:val="22"/>
              </w:rPr>
              <w:t>WXXV-TV</w:t>
            </w:r>
          </w:p>
        </w:tc>
        <w:tc>
          <w:tcPr>
            <w:tcW w:w="1488"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43C4E0D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1,178,251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2F18DB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$8,512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7D66C83"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80DBEEC"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$6,481 </w:t>
            </w:r>
          </w:p>
        </w:tc>
        <w:tc>
          <w:tcPr>
            <w:tcW w:w="266" w:type="dxa"/>
            <w:tcBorders>
              <w:top w:val="nil"/>
              <w:left w:val="nil"/>
              <w:bottom w:val="nil"/>
              <w:right w:val="single" w:sz="4" w:space="0" w:color="auto"/>
            </w:tcBorders>
            <w:shd w:val="clear" w:color="auto" w:fill="auto"/>
            <w:noWrap/>
            <w:vAlign w:val="bottom"/>
            <w:hideMark/>
          </w:tcPr>
          <w:p w:rsidR="006F7AD6" w:rsidRPr="00A032ED" w:rsidP="00886011" w14:paraId="02623BB4" w14:textId="77777777">
            <w:pPr>
              <w:widowControl/>
              <w:jc w:val="center"/>
              <w:rPr>
                <w:rFonts w:ascii="Calibri" w:hAnsi="Calibri" w:cs="Calibri"/>
                <w:snapToGrid/>
                <w:kern w:val="0"/>
                <w:szCs w:val="22"/>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0D992550" w14:textId="77777777">
            <w:pPr>
              <w:widowControl/>
              <w:jc w:val="center"/>
              <w:rPr>
                <w:snapToGrid/>
                <w:kern w:val="0"/>
                <w:sz w:val="20"/>
              </w:rPr>
            </w:pPr>
            <w:r w:rsidRPr="00A032ED">
              <w:rPr>
                <w:rFonts w:ascii="Calibri" w:hAnsi="Calibri" w:cs="Calibri"/>
                <w:snapToGrid/>
                <w:kern w:val="0"/>
                <w:szCs w:val="22"/>
              </w:rPr>
              <w:t>WZMQ</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47391507" w14:textId="77777777">
            <w:pPr>
              <w:widowControl/>
              <w:jc w:val="center"/>
              <w:rPr>
                <w:snapToGrid/>
                <w:kern w:val="0"/>
                <w:sz w:val="20"/>
              </w:rPr>
            </w:pPr>
            <w:r w:rsidRPr="00A032ED">
              <w:rPr>
                <w:rFonts w:ascii="Calibri" w:hAnsi="Calibri" w:cs="Calibri"/>
                <w:snapToGrid/>
                <w:kern w:val="0"/>
                <w:szCs w:val="22"/>
              </w:rPr>
              <w:t>73,423</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73E88967" w14:textId="77777777">
            <w:pPr>
              <w:widowControl/>
              <w:jc w:val="center"/>
              <w:rPr>
                <w:snapToGrid/>
                <w:kern w:val="0"/>
                <w:sz w:val="20"/>
              </w:rPr>
            </w:pPr>
            <w:r w:rsidRPr="00A032ED">
              <w:rPr>
                <w:rFonts w:ascii="Calibri" w:hAnsi="Calibri" w:cs="Calibri"/>
                <w:snapToGrid/>
                <w:kern w:val="0"/>
                <w:szCs w:val="22"/>
              </w:rPr>
              <w:t>$530</w:t>
            </w: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3AEC28C8" w14:textId="77777777">
            <w:pPr>
              <w:widowControl/>
              <w:jc w:val="center"/>
              <w:rPr>
                <w:snapToGrid/>
                <w:kern w:val="0"/>
                <w:sz w:val="20"/>
              </w:rPr>
            </w:pPr>
            <w:r w:rsidRPr="00A032ED">
              <w:rPr>
                <w:rFonts w:ascii="Calibri" w:hAnsi="Calibri" w:cs="Calibri"/>
                <w:snapToGrid/>
                <w:kern w:val="0"/>
                <w:szCs w:val="22"/>
              </w:rPr>
              <w:t>$4,450</w:t>
            </w:r>
          </w:p>
        </w:tc>
        <w:tc>
          <w:tcPr>
            <w:tcW w:w="1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10E55DF2" w14:textId="77777777">
            <w:pPr>
              <w:widowControl/>
              <w:jc w:val="center"/>
              <w:rPr>
                <w:snapToGrid/>
                <w:kern w:val="0"/>
                <w:sz w:val="20"/>
              </w:rPr>
            </w:pPr>
            <w:r w:rsidRPr="00A032ED">
              <w:rPr>
                <w:rFonts w:ascii="Calibri" w:hAnsi="Calibri" w:cs="Calibri"/>
                <w:snapToGrid/>
                <w:kern w:val="0"/>
                <w:szCs w:val="22"/>
              </w:rPr>
              <w:t>$2,490</w:t>
            </w:r>
          </w:p>
        </w:tc>
      </w:tr>
      <w:tr w14:paraId="5818D6B0" w14:textId="77777777" w:rsidTr="00886011">
        <w:tblPrEx>
          <w:tblW w:w="13388" w:type="dxa"/>
          <w:jc w:val="center"/>
          <w:tblLook w:val="04A0"/>
        </w:tblPrEx>
        <w:trPr>
          <w:trHeight w:val="300"/>
          <w:jc w:val="center"/>
        </w:trPr>
        <w:tc>
          <w:tcPr>
            <w:tcW w:w="1241" w:type="dxa"/>
            <w:tcBorders>
              <w:top w:val="single" w:sz="4" w:space="0" w:color="auto"/>
              <w:left w:val="single" w:sz="4" w:space="0" w:color="auto"/>
              <w:bottom w:val="single" w:sz="4" w:space="0" w:color="auto"/>
              <w:right w:val="nil"/>
            </w:tcBorders>
            <w:shd w:val="clear" w:color="auto" w:fill="auto"/>
            <w:noWrap/>
            <w:vAlign w:val="bottom"/>
            <w:hideMark/>
          </w:tcPr>
          <w:p w:rsidR="006F7AD6" w:rsidRPr="00A032ED" w:rsidP="00886011" w14:paraId="3E20648F" w14:textId="77777777">
            <w:pPr>
              <w:widowControl/>
              <w:jc w:val="center"/>
              <w:rPr>
                <w:rFonts w:ascii="Calibri" w:hAnsi="Calibri" w:cs="Calibri"/>
                <w:snapToGrid/>
                <w:kern w:val="0"/>
                <w:szCs w:val="22"/>
              </w:rPr>
            </w:pPr>
            <w:r w:rsidRPr="00A032ED">
              <w:rPr>
                <w:rFonts w:ascii="Calibri" w:hAnsi="Calibri" w:cs="Calibri"/>
                <w:snapToGrid/>
                <w:kern w:val="0"/>
                <w:szCs w:val="22"/>
              </w:rPr>
              <w:t>WXYZ-TV</w:t>
            </w:r>
          </w:p>
        </w:tc>
        <w:tc>
          <w:tcPr>
            <w:tcW w:w="1488"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BBEA16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5,591,434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B42FC5B"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$40,395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3D8065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$40,675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17875A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$40,535 </w:t>
            </w:r>
          </w:p>
        </w:tc>
        <w:tc>
          <w:tcPr>
            <w:tcW w:w="266" w:type="dxa"/>
            <w:tcBorders>
              <w:top w:val="nil"/>
              <w:left w:val="nil"/>
              <w:bottom w:val="nil"/>
              <w:right w:val="single" w:sz="4" w:space="0" w:color="auto"/>
            </w:tcBorders>
            <w:shd w:val="clear" w:color="auto" w:fill="auto"/>
            <w:noWrap/>
            <w:vAlign w:val="bottom"/>
            <w:hideMark/>
          </w:tcPr>
          <w:p w:rsidR="006F7AD6" w:rsidRPr="00A032ED" w:rsidP="00886011" w14:paraId="0545472E" w14:textId="77777777">
            <w:pPr>
              <w:widowControl/>
              <w:jc w:val="center"/>
              <w:rPr>
                <w:rFonts w:ascii="Calibri" w:hAnsi="Calibri" w:cs="Calibri"/>
                <w:snapToGrid/>
                <w:kern w:val="0"/>
                <w:szCs w:val="22"/>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4DC87133" w14:textId="77777777">
            <w:pPr>
              <w:widowControl/>
              <w:jc w:val="center"/>
              <w:rPr>
                <w:snapToGrid/>
                <w:kern w:val="0"/>
                <w:sz w:val="20"/>
              </w:rPr>
            </w:pPr>
            <w:r w:rsidRPr="00A032ED">
              <w:rPr>
                <w:rFonts w:ascii="Calibri" w:hAnsi="Calibri" w:cs="Calibri"/>
                <w:snapToGrid/>
                <w:kern w:val="0"/>
                <w:szCs w:val="22"/>
              </w:rPr>
              <w:t>WZPX-TV</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1DAB8D6D" w14:textId="77777777">
            <w:pPr>
              <w:widowControl/>
              <w:jc w:val="center"/>
              <w:rPr>
                <w:snapToGrid/>
                <w:kern w:val="0"/>
                <w:sz w:val="20"/>
              </w:rPr>
            </w:pPr>
            <w:r w:rsidRPr="00A032ED">
              <w:rPr>
                <w:rFonts w:ascii="Calibri" w:hAnsi="Calibri" w:cs="Calibri"/>
                <w:snapToGrid/>
                <w:kern w:val="0"/>
                <w:szCs w:val="22"/>
              </w:rPr>
              <w:t>2,094,029</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595D454B" w14:textId="77777777">
            <w:pPr>
              <w:widowControl/>
              <w:jc w:val="center"/>
              <w:rPr>
                <w:snapToGrid/>
                <w:kern w:val="0"/>
                <w:sz w:val="20"/>
              </w:rPr>
            </w:pPr>
            <w:r w:rsidRPr="00A032ED">
              <w:rPr>
                <w:rFonts w:ascii="Calibri" w:hAnsi="Calibri" w:cs="Calibri"/>
                <w:snapToGrid/>
                <w:kern w:val="0"/>
                <w:szCs w:val="22"/>
              </w:rPr>
              <w:t>$15,128</w:t>
            </w: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6A383F03" w14:textId="77777777">
            <w:pPr>
              <w:widowControl/>
              <w:jc w:val="center"/>
              <w:rPr>
                <w:snapToGrid/>
                <w:kern w:val="0"/>
                <w:sz w:val="20"/>
              </w:rPr>
            </w:pPr>
            <w:r w:rsidRPr="00A032ED">
              <w:rPr>
                <w:rFonts w:ascii="Calibri" w:hAnsi="Calibri" w:cs="Calibri"/>
                <w:snapToGrid/>
                <w:kern w:val="0"/>
                <w:szCs w:val="22"/>
              </w:rPr>
              <w:t>$27,150</w:t>
            </w:r>
          </w:p>
        </w:tc>
        <w:tc>
          <w:tcPr>
            <w:tcW w:w="1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0AD63E18" w14:textId="77777777">
            <w:pPr>
              <w:widowControl/>
              <w:jc w:val="center"/>
              <w:rPr>
                <w:snapToGrid/>
                <w:kern w:val="0"/>
                <w:sz w:val="20"/>
              </w:rPr>
            </w:pPr>
            <w:r w:rsidRPr="00A032ED">
              <w:rPr>
                <w:rFonts w:ascii="Calibri" w:hAnsi="Calibri" w:cs="Calibri"/>
                <w:snapToGrid/>
                <w:kern w:val="0"/>
                <w:szCs w:val="22"/>
              </w:rPr>
              <w:t>$21,139</w:t>
            </w:r>
          </w:p>
        </w:tc>
      </w:tr>
      <w:tr w14:paraId="35AA86AD" w14:textId="77777777" w:rsidTr="00886011">
        <w:tblPrEx>
          <w:tblW w:w="13388" w:type="dxa"/>
          <w:jc w:val="center"/>
          <w:tblLook w:val="04A0"/>
        </w:tblPrEx>
        <w:trPr>
          <w:trHeight w:val="300"/>
          <w:jc w:val="center"/>
        </w:trPr>
        <w:tc>
          <w:tcPr>
            <w:tcW w:w="1241" w:type="dxa"/>
            <w:tcBorders>
              <w:top w:val="single" w:sz="4" w:space="0" w:color="auto"/>
              <w:left w:val="single" w:sz="4" w:space="0" w:color="auto"/>
              <w:bottom w:val="single" w:sz="4" w:space="0" w:color="auto"/>
              <w:right w:val="nil"/>
            </w:tcBorders>
            <w:shd w:val="clear" w:color="auto" w:fill="auto"/>
            <w:noWrap/>
            <w:vAlign w:val="bottom"/>
            <w:hideMark/>
          </w:tcPr>
          <w:p w:rsidR="006F7AD6" w:rsidRPr="00A032ED" w:rsidP="00886011" w14:paraId="4BF11213" w14:textId="77777777">
            <w:pPr>
              <w:widowControl/>
              <w:jc w:val="center"/>
              <w:rPr>
                <w:rFonts w:ascii="Calibri" w:hAnsi="Calibri" w:cs="Calibri"/>
                <w:snapToGrid/>
                <w:kern w:val="0"/>
                <w:szCs w:val="22"/>
              </w:rPr>
            </w:pPr>
            <w:r w:rsidRPr="00A032ED">
              <w:rPr>
                <w:rFonts w:ascii="Calibri" w:hAnsi="Calibri" w:cs="Calibri"/>
                <w:snapToGrid/>
                <w:kern w:val="0"/>
                <w:szCs w:val="22"/>
              </w:rPr>
              <w:t>WYDC</w:t>
            </w:r>
          </w:p>
        </w:tc>
        <w:tc>
          <w:tcPr>
            <w:tcW w:w="1488"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7A4F5191"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393,843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FF932B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$2,845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61C81A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$4,450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EA6F3A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$3,648 </w:t>
            </w:r>
          </w:p>
        </w:tc>
        <w:tc>
          <w:tcPr>
            <w:tcW w:w="266" w:type="dxa"/>
            <w:tcBorders>
              <w:top w:val="nil"/>
              <w:left w:val="nil"/>
              <w:bottom w:val="nil"/>
              <w:right w:val="single" w:sz="4" w:space="0" w:color="auto"/>
            </w:tcBorders>
            <w:shd w:val="clear" w:color="auto" w:fill="auto"/>
            <w:noWrap/>
            <w:vAlign w:val="bottom"/>
            <w:hideMark/>
          </w:tcPr>
          <w:p w:rsidR="006F7AD6" w:rsidRPr="00A032ED" w:rsidP="00886011" w14:paraId="55DF3865" w14:textId="77777777">
            <w:pPr>
              <w:widowControl/>
              <w:jc w:val="center"/>
              <w:rPr>
                <w:rFonts w:ascii="Calibri" w:hAnsi="Calibri" w:cs="Calibri"/>
                <w:snapToGrid/>
                <w:kern w:val="0"/>
                <w:szCs w:val="22"/>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6F8360E4" w14:textId="77777777">
            <w:pPr>
              <w:widowControl/>
              <w:jc w:val="center"/>
              <w:rPr>
                <w:snapToGrid/>
                <w:kern w:val="0"/>
                <w:sz w:val="20"/>
              </w:rPr>
            </w:pPr>
            <w:r w:rsidRPr="00A032ED">
              <w:rPr>
                <w:rFonts w:ascii="Calibri" w:hAnsi="Calibri" w:cs="Calibri"/>
                <w:snapToGrid/>
                <w:kern w:val="0"/>
                <w:szCs w:val="22"/>
              </w:rPr>
              <w:t>WZRB</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1E2901BE" w14:textId="77777777">
            <w:pPr>
              <w:widowControl/>
              <w:jc w:val="center"/>
              <w:rPr>
                <w:snapToGrid/>
                <w:kern w:val="0"/>
                <w:sz w:val="20"/>
              </w:rPr>
            </w:pPr>
            <w:r w:rsidRPr="00A032ED">
              <w:rPr>
                <w:rFonts w:ascii="Calibri" w:hAnsi="Calibri" w:cs="Calibri"/>
                <w:snapToGrid/>
                <w:kern w:val="0"/>
                <w:szCs w:val="22"/>
              </w:rPr>
              <w:t>952,279</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263493B1" w14:textId="77777777">
            <w:pPr>
              <w:widowControl/>
              <w:jc w:val="center"/>
              <w:rPr>
                <w:snapToGrid/>
                <w:kern w:val="0"/>
                <w:sz w:val="20"/>
              </w:rPr>
            </w:pPr>
            <w:r w:rsidRPr="00A032ED">
              <w:rPr>
                <w:rFonts w:ascii="Calibri" w:hAnsi="Calibri" w:cs="Calibri"/>
                <w:snapToGrid/>
                <w:kern w:val="0"/>
                <w:szCs w:val="22"/>
              </w:rPr>
              <w:t>$6,880</w:t>
            </w: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4A12B395" w14:textId="77777777">
            <w:pPr>
              <w:widowControl/>
              <w:jc w:val="center"/>
              <w:rPr>
                <w:snapToGrid/>
                <w:kern w:val="0"/>
                <w:sz w:val="20"/>
              </w:rPr>
            </w:pPr>
            <w:r w:rsidRPr="00A032ED">
              <w:rPr>
                <w:rFonts w:ascii="Calibri" w:hAnsi="Calibri" w:cs="Calibri"/>
                <w:snapToGrid/>
                <w:kern w:val="0"/>
                <w:szCs w:val="22"/>
              </w:rPr>
              <w:t>$13,550</w:t>
            </w:r>
          </w:p>
        </w:tc>
        <w:tc>
          <w:tcPr>
            <w:tcW w:w="1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4A804381" w14:textId="77777777">
            <w:pPr>
              <w:widowControl/>
              <w:jc w:val="center"/>
              <w:rPr>
                <w:snapToGrid/>
                <w:kern w:val="0"/>
                <w:sz w:val="20"/>
              </w:rPr>
            </w:pPr>
            <w:r w:rsidRPr="00A032ED">
              <w:rPr>
                <w:rFonts w:ascii="Calibri" w:hAnsi="Calibri" w:cs="Calibri"/>
                <w:snapToGrid/>
                <w:kern w:val="0"/>
                <w:szCs w:val="22"/>
              </w:rPr>
              <w:t>$10,215</w:t>
            </w:r>
          </w:p>
        </w:tc>
      </w:tr>
      <w:tr w14:paraId="1DA1E4E7" w14:textId="77777777" w:rsidTr="00886011">
        <w:tblPrEx>
          <w:tblW w:w="13388" w:type="dxa"/>
          <w:jc w:val="center"/>
          <w:tblLook w:val="04A0"/>
        </w:tblPrEx>
        <w:trPr>
          <w:trHeight w:val="300"/>
          <w:jc w:val="center"/>
        </w:trPr>
        <w:tc>
          <w:tcPr>
            <w:tcW w:w="1241" w:type="dxa"/>
            <w:tcBorders>
              <w:top w:val="single" w:sz="4" w:space="0" w:color="auto"/>
              <w:left w:val="single" w:sz="4" w:space="0" w:color="auto"/>
              <w:bottom w:val="single" w:sz="4" w:space="0" w:color="auto"/>
              <w:right w:val="nil"/>
            </w:tcBorders>
            <w:shd w:val="clear" w:color="auto" w:fill="auto"/>
            <w:noWrap/>
            <w:vAlign w:val="bottom"/>
            <w:hideMark/>
          </w:tcPr>
          <w:p w:rsidR="006F7AD6" w:rsidRPr="00A032ED" w:rsidP="00886011" w14:paraId="69FD7A61" w14:textId="77777777">
            <w:pPr>
              <w:widowControl/>
              <w:jc w:val="center"/>
              <w:rPr>
                <w:rFonts w:ascii="Calibri" w:hAnsi="Calibri" w:cs="Calibri"/>
                <w:snapToGrid/>
                <w:kern w:val="0"/>
                <w:szCs w:val="22"/>
              </w:rPr>
            </w:pPr>
            <w:r w:rsidRPr="00A032ED">
              <w:rPr>
                <w:rFonts w:ascii="Calibri" w:hAnsi="Calibri" w:cs="Calibri"/>
                <w:snapToGrid/>
                <w:kern w:val="0"/>
                <w:szCs w:val="22"/>
              </w:rPr>
              <w:t>WYDO</w:t>
            </w:r>
          </w:p>
        </w:tc>
        <w:tc>
          <w:tcPr>
            <w:tcW w:w="1488"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3C4CCBC8"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1,097,745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9328AC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$7,931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301D272"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07F3526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$10,740 </w:t>
            </w:r>
          </w:p>
        </w:tc>
        <w:tc>
          <w:tcPr>
            <w:tcW w:w="266" w:type="dxa"/>
            <w:tcBorders>
              <w:top w:val="nil"/>
              <w:left w:val="nil"/>
              <w:bottom w:val="nil"/>
              <w:right w:val="single" w:sz="4" w:space="0" w:color="auto"/>
            </w:tcBorders>
            <w:shd w:val="clear" w:color="auto" w:fill="auto"/>
            <w:noWrap/>
            <w:vAlign w:val="bottom"/>
            <w:hideMark/>
          </w:tcPr>
          <w:p w:rsidR="006F7AD6" w:rsidRPr="00A032ED" w:rsidP="00886011" w14:paraId="1CAE18D6" w14:textId="77777777">
            <w:pPr>
              <w:widowControl/>
              <w:jc w:val="center"/>
              <w:rPr>
                <w:rFonts w:ascii="Calibri" w:hAnsi="Calibri" w:cs="Calibri"/>
                <w:snapToGrid/>
                <w:kern w:val="0"/>
                <w:szCs w:val="22"/>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5DFB792C" w14:textId="77777777">
            <w:pPr>
              <w:widowControl/>
              <w:jc w:val="center"/>
              <w:rPr>
                <w:snapToGrid/>
                <w:kern w:val="0"/>
                <w:sz w:val="20"/>
              </w:rPr>
            </w:pPr>
            <w:r w:rsidRPr="00A032ED">
              <w:rPr>
                <w:rFonts w:ascii="Calibri" w:hAnsi="Calibri" w:cs="Calibri"/>
                <w:snapToGrid/>
                <w:kern w:val="0"/>
                <w:szCs w:val="22"/>
              </w:rPr>
              <w:t>WZTV</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13646601" w14:textId="77777777">
            <w:pPr>
              <w:widowControl/>
              <w:jc w:val="center"/>
              <w:rPr>
                <w:snapToGrid/>
                <w:kern w:val="0"/>
                <w:sz w:val="20"/>
              </w:rPr>
            </w:pPr>
            <w:r w:rsidRPr="00A032ED">
              <w:rPr>
                <w:rFonts w:ascii="Calibri" w:hAnsi="Calibri" w:cs="Calibri"/>
                <w:snapToGrid/>
                <w:kern w:val="0"/>
                <w:szCs w:val="22"/>
              </w:rPr>
              <w:t>2,311,143</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0DA9DFC0" w14:textId="77777777">
            <w:pPr>
              <w:widowControl/>
              <w:jc w:val="center"/>
              <w:rPr>
                <w:snapToGrid/>
                <w:kern w:val="0"/>
                <w:sz w:val="20"/>
              </w:rPr>
            </w:pPr>
            <w:r w:rsidRPr="00A032ED">
              <w:rPr>
                <w:rFonts w:ascii="Calibri" w:hAnsi="Calibri" w:cs="Calibri"/>
                <w:snapToGrid/>
                <w:kern w:val="0"/>
                <w:szCs w:val="22"/>
              </w:rPr>
              <w:t>$16,697</w:t>
            </w: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48F982BF" w14:textId="77777777">
            <w:pPr>
              <w:widowControl/>
              <w:jc w:val="center"/>
              <w:rPr>
                <w:snapToGrid/>
                <w:kern w:val="0"/>
                <w:sz w:val="20"/>
              </w:rPr>
            </w:pPr>
            <w:r w:rsidRPr="00A032ED">
              <w:rPr>
                <w:rFonts w:ascii="Calibri" w:hAnsi="Calibri" w:cs="Calibri"/>
                <w:snapToGrid/>
                <w:kern w:val="0"/>
                <w:szCs w:val="22"/>
              </w:rPr>
              <w:t>$27,150</w:t>
            </w:r>
          </w:p>
        </w:tc>
        <w:tc>
          <w:tcPr>
            <w:tcW w:w="1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2719A37E" w14:textId="77777777">
            <w:pPr>
              <w:widowControl/>
              <w:jc w:val="center"/>
              <w:rPr>
                <w:snapToGrid/>
                <w:kern w:val="0"/>
                <w:sz w:val="20"/>
              </w:rPr>
            </w:pPr>
            <w:r w:rsidRPr="00A032ED">
              <w:rPr>
                <w:rFonts w:ascii="Calibri" w:hAnsi="Calibri" w:cs="Calibri"/>
                <w:snapToGrid/>
                <w:kern w:val="0"/>
                <w:szCs w:val="22"/>
              </w:rPr>
              <w:t>$21,923</w:t>
            </w:r>
          </w:p>
        </w:tc>
      </w:tr>
      <w:tr w14:paraId="32945ADC" w14:textId="77777777" w:rsidTr="00886011">
        <w:tblPrEx>
          <w:tblW w:w="13388" w:type="dxa"/>
          <w:jc w:val="center"/>
          <w:tblLook w:val="04A0"/>
        </w:tblPrEx>
        <w:trPr>
          <w:trHeight w:val="300"/>
          <w:jc w:val="center"/>
        </w:trPr>
        <w:tc>
          <w:tcPr>
            <w:tcW w:w="1241" w:type="dxa"/>
            <w:tcBorders>
              <w:top w:val="single" w:sz="4" w:space="0" w:color="auto"/>
              <w:left w:val="single" w:sz="4" w:space="0" w:color="auto"/>
              <w:bottom w:val="single" w:sz="4" w:space="0" w:color="auto"/>
              <w:right w:val="nil"/>
            </w:tcBorders>
            <w:shd w:val="clear" w:color="auto" w:fill="auto"/>
            <w:noWrap/>
            <w:vAlign w:val="bottom"/>
            <w:hideMark/>
          </w:tcPr>
          <w:p w:rsidR="006F7AD6" w:rsidRPr="00A032ED" w:rsidP="00886011" w14:paraId="66D73A5F" w14:textId="77777777">
            <w:pPr>
              <w:widowControl/>
              <w:jc w:val="center"/>
              <w:rPr>
                <w:rFonts w:ascii="Calibri" w:hAnsi="Calibri" w:cs="Calibri"/>
                <w:snapToGrid/>
                <w:kern w:val="0"/>
                <w:szCs w:val="22"/>
              </w:rPr>
            </w:pPr>
            <w:r w:rsidRPr="00A032ED">
              <w:rPr>
                <w:rFonts w:ascii="Calibri" w:hAnsi="Calibri" w:cs="Calibri"/>
                <w:snapToGrid/>
                <w:kern w:val="0"/>
                <w:szCs w:val="22"/>
              </w:rPr>
              <w:t>WYFF</w:t>
            </w:r>
          </w:p>
        </w:tc>
        <w:tc>
          <w:tcPr>
            <w:tcW w:w="1488"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69E74126"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2,586,888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67BB4B8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$18,689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74E975A"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$27,150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3D11087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$22,919 </w:t>
            </w:r>
          </w:p>
        </w:tc>
        <w:tc>
          <w:tcPr>
            <w:tcW w:w="266" w:type="dxa"/>
            <w:tcBorders>
              <w:top w:val="nil"/>
              <w:left w:val="nil"/>
              <w:bottom w:val="nil"/>
              <w:right w:val="single" w:sz="4" w:space="0" w:color="auto"/>
            </w:tcBorders>
            <w:shd w:val="clear" w:color="auto" w:fill="auto"/>
            <w:noWrap/>
            <w:vAlign w:val="bottom"/>
            <w:hideMark/>
          </w:tcPr>
          <w:p w:rsidR="006F7AD6" w:rsidRPr="00A032ED" w:rsidP="00886011" w14:paraId="517EED50" w14:textId="77777777">
            <w:pPr>
              <w:widowControl/>
              <w:jc w:val="center"/>
              <w:rPr>
                <w:rFonts w:ascii="Calibri" w:hAnsi="Calibri" w:cs="Calibri"/>
                <w:snapToGrid/>
                <w:kern w:val="0"/>
                <w:szCs w:val="22"/>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0D62EA5C" w14:textId="77777777">
            <w:pPr>
              <w:widowControl/>
              <w:jc w:val="center"/>
              <w:rPr>
                <w:snapToGrid/>
                <w:kern w:val="0"/>
                <w:sz w:val="20"/>
              </w:rPr>
            </w:pPr>
            <w:r w:rsidRPr="00A032ED">
              <w:rPr>
                <w:rFonts w:ascii="Calibri" w:hAnsi="Calibri" w:cs="Calibri"/>
                <w:snapToGrid/>
                <w:kern w:val="0"/>
                <w:szCs w:val="22"/>
              </w:rPr>
              <w:t>WZVI</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26C58C29" w14:textId="77777777">
            <w:pPr>
              <w:widowControl/>
              <w:jc w:val="center"/>
              <w:rPr>
                <w:snapToGrid/>
                <w:kern w:val="0"/>
                <w:sz w:val="20"/>
              </w:rPr>
            </w:pPr>
            <w:r w:rsidRPr="00A032ED">
              <w:rPr>
                <w:rFonts w:ascii="Calibri" w:hAnsi="Calibri" w:cs="Calibri"/>
                <w:snapToGrid/>
                <w:kern w:val="0"/>
                <w:szCs w:val="22"/>
              </w:rPr>
              <w:t>55,804</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039ED857" w14:textId="77777777">
            <w:pPr>
              <w:widowControl/>
              <w:jc w:val="center"/>
              <w:rPr>
                <w:snapToGrid/>
                <w:kern w:val="0"/>
                <w:sz w:val="20"/>
              </w:rPr>
            </w:pPr>
            <w:r w:rsidRPr="00A032ED">
              <w:rPr>
                <w:rFonts w:ascii="Calibri" w:hAnsi="Calibri" w:cs="Calibri"/>
                <w:snapToGrid/>
                <w:kern w:val="0"/>
                <w:szCs w:val="22"/>
              </w:rPr>
              <w:t>$403</w:t>
            </w: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7FDE341B" w14:textId="77777777">
            <w:pPr>
              <w:widowControl/>
              <w:jc w:val="center"/>
              <w:rPr>
                <w:snapToGrid/>
                <w:kern w:val="0"/>
                <w:sz w:val="20"/>
              </w:rPr>
            </w:pPr>
            <w:r w:rsidRPr="00A032ED">
              <w:rPr>
                <w:rFonts w:ascii="Calibri" w:hAnsi="Calibri" w:cs="Calibri"/>
                <w:snapToGrid/>
                <w:kern w:val="0"/>
                <w:szCs w:val="22"/>
              </w:rPr>
              <w:t>$4,450</w:t>
            </w:r>
          </w:p>
        </w:tc>
        <w:tc>
          <w:tcPr>
            <w:tcW w:w="1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0A81D9FC" w14:textId="77777777">
            <w:pPr>
              <w:widowControl/>
              <w:jc w:val="center"/>
              <w:rPr>
                <w:snapToGrid/>
                <w:kern w:val="0"/>
                <w:sz w:val="20"/>
              </w:rPr>
            </w:pPr>
            <w:r w:rsidRPr="00A032ED">
              <w:rPr>
                <w:rFonts w:ascii="Calibri" w:hAnsi="Calibri" w:cs="Calibri"/>
                <w:snapToGrid/>
                <w:kern w:val="0"/>
                <w:szCs w:val="22"/>
              </w:rPr>
              <w:t>$2,427</w:t>
            </w:r>
          </w:p>
        </w:tc>
      </w:tr>
      <w:tr w14:paraId="76D37A21" w14:textId="77777777" w:rsidTr="00886011">
        <w:tblPrEx>
          <w:tblW w:w="13388" w:type="dxa"/>
          <w:jc w:val="center"/>
          <w:tblLook w:val="04A0"/>
        </w:tblPrEx>
        <w:trPr>
          <w:trHeight w:val="300"/>
          <w:jc w:val="center"/>
        </w:trPr>
        <w:tc>
          <w:tcPr>
            <w:tcW w:w="1241" w:type="dxa"/>
            <w:tcBorders>
              <w:top w:val="single" w:sz="4" w:space="0" w:color="auto"/>
              <w:left w:val="single" w:sz="4" w:space="0" w:color="auto"/>
              <w:bottom w:val="single" w:sz="4" w:space="0" w:color="auto"/>
              <w:right w:val="nil"/>
            </w:tcBorders>
            <w:shd w:val="clear" w:color="auto" w:fill="auto"/>
            <w:noWrap/>
            <w:vAlign w:val="bottom"/>
            <w:hideMark/>
          </w:tcPr>
          <w:p w:rsidR="006F7AD6" w:rsidRPr="00A032ED" w:rsidP="00886011" w14:paraId="006E7A40" w14:textId="77777777">
            <w:pPr>
              <w:widowControl/>
              <w:jc w:val="center"/>
              <w:rPr>
                <w:rFonts w:ascii="Calibri" w:hAnsi="Calibri" w:cs="Calibri"/>
                <w:snapToGrid/>
                <w:kern w:val="0"/>
                <w:szCs w:val="22"/>
              </w:rPr>
            </w:pPr>
            <w:r w:rsidRPr="00A032ED">
              <w:rPr>
                <w:rFonts w:ascii="Calibri" w:hAnsi="Calibri" w:cs="Calibri"/>
                <w:snapToGrid/>
                <w:kern w:val="0"/>
                <w:szCs w:val="22"/>
              </w:rPr>
              <w:t>WYMT-TV</w:t>
            </w:r>
          </w:p>
        </w:tc>
        <w:tc>
          <w:tcPr>
            <w:tcW w:w="1488"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295491F0"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           1,180,276 </w:t>
            </w: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2C6F6FDE"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$8,527 </w:t>
            </w: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A236829"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$13,550 </w:t>
            </w: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4B5FBA2F" w14:textId="77777777">
            <w:pPr>
              <w:widowControl/>
              <w:jc w:val="center"/>
              <w:rPr>
                <w:rFonts w:ascii="Calibri" w:hAnsi="Calibri" w:cs="Calibri"/>
                <w:snapToGrid/>
                <w:kern w:val="0"/>
                <w:szCs w:val="22"/>
              </w:rPr>
            </w:pPr>
            <w:r w:rsidRPr="00A032ED">
              <w:rPr>
                <w:rFonts w:ascii="Calibri" w:hAnsi="Calibri" w:cs="Calibri"/>
                <w:snapToGrid/>
                <w:kern w:val="0"/>
                <w:szCs w:val="22"/>
              </w:rPr>
              <w:t xml:space="preserve">$11,038 </w:t>
            </w:r>
          </w:p>
        </w:tc>
        <w:tc>
          <w:tcPr>
            <w:tcW w:w="266" w:type="dxa"/>
            <w:tcBorders>
              <w:top w:val="nil"/>
              <w:left w:val="nil"/>
              <w:bottom w:val="nil"/>
              <w:right w:val="single" w:sz="4" w:space="0" w:color="auto"/>
            </w:tcBorders>
            <w:shd w:val="clear" w:color="auto" w:fill="auto"/>
            <w:noWrap/>
            <w:vAlign w:val="bottom"/>
            <w:hideMark/>
          </w:tcPr>
          <w:p w:rsidR="006F7AD6" w:rsidRPr="00A032ED" w:rsidP="00886011" w14:paraId="32767198" w14:textId="77777777">
            <w:pPr>
              <w:widowControl/>
              <w:jc w:val="center"/>
              <w:rPr>
                <w:rFonts w:ascii="Calibri" w:hAnsi="Calibri" w:cs="Calibri"/>
                <w:snapToGrid/>
                <w:kern w:val="0"/>
                <w:szCs w:val="22"/>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04F0A9DE" w14:textId="77777777">
            <w:pPr>
              <w:widowControl/>
              <w:jc w:val="center"/>
              <w:rPr>
                <w:snapToGrid/>
                <w:kern w:val="0"/>
                <w:sz w:val="20"/>
              </w:rPr>
            </w:pPr>
            <w:r w:rsidRPr="00A032ED">
              <w:rPr>
                <w:rFonts w:ascii="Calibri" w:hAnsi="Calibri" w:cs="Calibri"/>
                <w:snapToGrid/>
                <w:kern w:val="0"/>
                <w:szCs w:val="22"/>
              </w:rPr>
              <w:t>WZVN-TV</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1FB14E5E" w14:textId="77777777">
            <w:pPr>
              <w:widowControl/>
              <w:jc w:val="center"/>
              <w:rPr>
                <w:snapToGrid/>
                <w:kern w:val="0"/>
                <w:sz w:val="20"/>
              </w:rPr>
            </w:pPr>
            <w:r w:rsidRPr="00A032ED">
              <w:rPr>
                <w:rFonts w:ascii="Calibri" w:hAnsi="Calibri" w:cs="Calibri"/>
                <w:snapToGrid/>
                <w:kern w:val="0"/>
                <w:szCs w:val="22"/>
              </w:rPr>
              <w:t>1,916,098</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70181FC5" w14:textId="77777777">
            <w:pPr>
              <w:widowControl/>
              <w:jc w:val="center"/>
              <w:rPr>
                <w:snapToGrid/>
                <w:kern w:val="0"/>
                <w:sz w:val="20"/>
              </w:rPr>
            </w:pPr>
            <w:r w:rsidRPr="00A032ED">
              <w:rPr>
                <w:rFonts w:ascii="Calibri" w:hAnsi="Calibri" w:cs="Calibri"/>
                <w:snapToGrid/>
                <w:kern w:val="0"/>
                <w:szCs w:val="22"/>
              </w:rPr>
              <w:t>$13,843</w:t>
            </w: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6887CE89" w14:textId="77777777">
            <w:pPr>
              <w:widowControl/>
              <w:jc w:val="center"/>
              <w:rPr>
                <w:snapToGrid/>
                <w:kern w:val="0"/>
                <w:sz w:val="20"/>
              </w:rPr>
            </w:pPr>
            <w:r w:rsidRPr="00A032ED">
              <w:rPr>
                <w:rFonts w:ascii="Calibri" w:hAnsi="Calibri" w:cs="Calibri"/>
                <w:snapToGrid/>
                <w:kern w:val="0"/>
                <w:szCs w:val="22"/>
              </w:rPr>
              <w:t>$13,550</w:t>
            </w:r>
          </w:p>
        </w:tc>
        <w:tc>
          <w:tcPr>
            <w:tcW w:w="1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3D0B5548" w14:textId="77777777">
            <w:pPr>
              <w:widowControl/>
              <w:jc w:val="center"/>
              <w:rPr>
                <w:snapToGrid/>
                <w:kern w:val="0"/>
                <w:sz w:val="20"/>
              </w:rPr>
            </w:pPr>
            <w:r w:rsidRPr="00A032ED">
              <w:rPr>
                <w:rFonts w:ascii="Calibri" w:hAnsi="Calibri" w:cs="Calibri"/>
                <w:snapToGrid/>
                <w:kern w:val="0"/>
                <w:szCs w:val="22"/>
              </w:rPr>
              <w:t>$13,696</w:t>
            </w:r>
          </w:p>
        </w:tc>
      </w:tr>
      <w:tr w14:paraId="5A1F577B" w14:textId="77777777" w:rsidTr="00886011">
        <w:tblPrEx>
          <w:tblW w:w="13388" w:type="dxa"/>
          <w:jc w:val="center"/>
          <w:tblLook w:val="04A0"/>
        </w:tblPrEx>
        <w:trPr>
          <w:trHeight w:val="300"/>
          <w:jc w:val="center"/>
        </w:trPr>
        <w:tc>
          <w:tcPr>
            <w:tcW w:w="1241" w:type="dxa"/>
            <w:tcBorders>
              <w:top w:val="single" w:sz="4" w:space="0" w:color="auto"/>
              <w:left w:val="single" w:sz="4" w:space="0" w:color="auto"/>
              <w:bottom w:val="single" w:sz="4" w:space="0" w:color="auto"/>
              <w:right w:val="nil"/>
            </w:tcBorders>
            <w:shd w:val="clear" w:color="auto" w:fill="auto"/>
            <w:noWrap/>
            <w:vAlign w:val="bottom"/>
            <w:hideMark/>
          </w:tcPr>
          <w:p w:rsidR="006F7AD6" w:rsidRPr="00A032ED" w:rsidP="00886011" w14:paraId="2A012F10" w14:textId="77777777">
            <w:pPr>
              <w:widowControl/>
              <w:jc w:val="center"/>
              <w:rPr>
                <w:rFonts w:ascii="Calibri" w:hAnsi="Calibri" w:cs="Calibri"/>
                <w:snapToGrid/>
                <w:kern w:val="0"/>
                <w:szCs w:val="22"/>
              </w:rPr>
            </w:pPr>
          </w:p>
        </w:tc>
        <w:tc>
          <w:tcPr>
            <w:tcW w:w="1488" w:type="dxa"/>
            <w:tcBorders>
              <w:top w:val="nil"/>
              <w:left w:val="single" w:sz="4" w:space="0" w:color="auto"/>
              <w:bottom w:val="single" w:sz="4" w:space="0" w:color="auto"/>
              <w:right w:val="single" w:sz="4" w:space="0" w:color="auto"/>
            </w:tcBorders>
            <w:shd w:val="clear" w:color="auto" w:fill="auto"/>
            <w:noWrap/>
            <w:vAlign w:val="bottom"/>
            <w:hideMark/>
          </w:tcPr>
          <w:p w:rsidR="006F7AD6" w:rsidRPr="00A032ED" w:rsidP="00886011" w14:paraId="0A774205" w14:textId="77777777">
            <w:pPr>
              <w:widowControl/>
              <w:jc w:val="center"/>
              <w:rPr>
                <w:rFonts w:ascii="Calibri" w:hAnsi="Calibri" w:cs="Calibri"/>
                <w:snapToGrid/>
                <w:kern w:val="0"/>
                <w:szCs w:val="22"/>
              </w:rPr>
            </w:pPr>
          </w:p>
        </w:tc>
        <w:tc>
          <w:tcPr>
            <w:tcW w:w="1217"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1C2C7F0D" w14:textId="77777777">
            <w:pPr>
              <w:widowControl/>
              <w:jc w:val="center"/>
              <w:rPr>
                <w:rFonts w:ascii="Calibri" w:hAnsi="Calibri" w:cs="Calibri"/>
                <w:snapToGrid/>
                <w:kern w:val="0"/>
                <w:szCs w:val="22"/>
              </w:rPr>
            </w:pPr>
          </w:p>
        </w:tc>
        <w:tc>
          <w:tcPr>
            <w:tcW w:w="1340"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7212E944" w14:textId="77777777">
            <w:pPr>
              <w:widowControl/>
              <w:jc w:val="center"/>
              <w:rPr>
                <w:rFonts w:ascii="Calibri" w:hAnsi="Calibri" w:cs="Calibri"/>
                <w:snapToGrid/>
                <w:kern w:val="0"/>
                <w:szCs w:val="22"/>
              </w:rPr>
            </w:pPr>
          </w:p>
        </w:tc>
        <w:tc>
          <w:tcPr>
            <w:tcW w:w="1279" w:type="dxa"/>
            <w:tcBorders>
              <w:top w:val="nil"/>
              <w:left w:val="nil"/>
              <w:bottom w:val="single" w:sz="4" w:space="0" w:color="auto"/>
              <w:right w:val="single" w:sz="4" w:space="0" w:color="auto"/>
            </w:tcBorders>
            <w:shd w:val="clear" w:color="auto" w:fill="auto"/>
            <w:noWrap/>
            <w:vAlign w:val="bottom"/>
            <w:hideMark/>
          </w:tcPr>
          <w:p w:rsidR="006F7AD6" w:rsidRPr="00A032ED" w:rsidP="00886011" w14:paraId="5A8BC3D9" w14:textId="77777777">
            <w:pPr>
              <w:widowControl/>
              <w:jc w:val="center"/>
              <w:rPr>
                <w:rFonts w:ascii="Calibri" w:hAnsi="Calibri" w:cs="Calibri"/>
                <w:snapToGrid/>
                <w:kern w:val="0"/>
                <w:szCs w:val="22"/>
              </w:rPr>
            </w:pPr>
          </w:p>
        </w:tc>
        <w:tc>
          <w:tcPr>
            <w:tcW w:w="266" w:type="dxa"/>
            <w:tcBorders>
              <w:top w:val="nil"/>
              <w:left w:val="nil"/>
              <w:bottom w:val="nil"/>
              <w:right w:val="single" w:sz="4" w:space="0" w:color="auto"/>
            </w:tcBorders>
            <w:shd w:val="clear" w:color="auto" w:fill="auto"/>
            <w:noWrap/>
            <w:vAlign w:val="bottom"/>
            <w:hideMark/>
          </w:tcPr>
          <w:p w:rsidR="006F7AD6" w:rsidRPr="00A032ED" w:rsidP="00886011" w14:paraId="3EE53645" w14:textId="77777777">
            <w:pPr>
              <w:widowControl/>
              <w:jc w:val="center"/>
              <w:rPr>
                <w:rFonts w:ascii="Calibri" w:hAnsi="Calibri" w:cs="Calibri"/>
                <w:snapToGrid/>
                <w:kern w:val="0"/>
                <w:szCs w:val="22"/>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7A5FD81E" w14:textId="77777777">
            <w:pPr>
              <w:widowControl/>
              <w:jc w:val="center"/>
              <w:rPr>
                <w:snapToGrid/>
                <w:kern w:val="0"/>
                <w:sz w:val="20"/>
              </w:rPr>
            </w:pPr>
            <w:r w:rsidRPr="00A032ED">
              <w:rPr>
                <w:rFonts w:ascii="Calibri" w:hAnsi="Calibri" w:cs="Calibri"/>
                <w:snapToGrid/>
                <w:kern w:val="0"/>
                <w:szCs w:val="22"/>
              </w:rPr>
              <w:t>WZZM</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49F2FC0C" w14:textId="77777777">
            <w:pPr>
              <w:widowControl/>
              <w:jc w:val="center"/>
              <w:rPr>
                <w:snapToGrid/>
                <w:kern w:val="0"/>
                <w:sz w:val="20"/>
              </w:rPr>
            </w:pPr>
            <w:r w:rsidRPr="00A032ED">
              <w:rPr>
                <w:rFonts w:ascii="Calibri" w:hAnsi="Calibri" w:cs="Calibri"/>
                <w:snapToGrid/>
                <w:kern w:val="0"/>
                <w:szCs w:val="22"/>
              </w:rPr>
              <w:t>1,574,546</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09BC29A9" w14:textId="77777777">
            <w:pPr>
              <w:widowControl/>
              <w:jc w:val="center"/>
              <w:rPr>
                <w:snapToGrid/>
                <w:kern w:val="0"/>
                <w:sz w:val="20"/>
              </w:rPr>
            </w:pPr>
            <w:r w:rsidRPr="00A032ED">
              <w:rPr>
                <w:rFonts w:ascii="Calibri" w:hAnsi="Calibri" w:cs="Calibri"/>
                <w:snapToGrid/>
                <w:kern w:val="0"/>
                <w:szCs w:val="22"/>
              </w:rPr>
              <w:t>$11,375</w:t>
            </w: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1296EEF2" w14:textId="77777777">
            <w:pPr>
              <w:widowControl/>
              <w:jc w:val="center"/>
              <w:rPr>
                <w:snapToGrid/>
                <w:kern w:val="0"/>
                <w:sz w:val="20"/>
              </w:rPr>
            </w:pPr>
            <w:r w:rsidRPr="00A032ED">
              <w:rPr>
                <w:rFonts w:ascii="Calibri" w:hAnsi="Calibri" w:cs="Calibri"/>
                <w:snapToGrid/>
                <w:kern w:val="0"/>
                <w:szCs w:val="22"/>
              </w:rPr>
              <w:t>$27,150</w:t>
            </w:r>
          </w:p>
        </w:tc>
        <w:tc>
          <w:tcPr>
            <w:tcW w:w="1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43597662" w14:textId="77777777">
            <w:pPr>
              <w:widowControl/>
              <w:jc w:val="center"/>
              <w:rPr>
                <w:snapToGrid/>
                <w:kern w:val="0"/>
                <w:sz w:val="20"/>
              </w:rPr>
            </w:pPr>
            <w:r w:rsidRPr="00A032ED">
              <w:rPr>
                <w:rFonts w:ascii="Calibri" w:hAnsi="Calibri" w:cs="Calibri"/>
                <w:snapToGrid/>
                <w:kern w:val="0"/>
                <w:szCs w:val="22"/>
              </w:rPr>
              <w:t>$19,263</w:t>
            </w:r>
          </w:p>
        </w:tc>
      </w:tr>
      <w:tr w14:paraId="0006CFA5" w14:textId="77777777" w:rsidTr="00886011">
        <w:tblPrEx>
          <w:tblW w:w="13388" w:type="dxa"/>
          <w:jc w:val="center"/>
          <w:tblLook w:val="04A0"/>
        </w:tblPrEx>
        <w:trPr>
          <w:trHeight w:val="300"/>
          <w:jc w:val="center"/>
        </w:trPr>
        <w:tc>
          <w:tcPr>
            <w:tcW w:w="1241" w:type="dxa"/>
            <w:tcBorders>
              <w:top w:val="single" w:sz="4" w:space="0" w:color="auto"/>
              <w:left w:val="single" w:sz="4" w:space="0" w:color="auto"/>
              <w:bottom w:val="single" w:sz="4" w:space="0" w:color="auto"/>
              <w:right w:val="nil"/>
            </w:tcBorders>
            <w:shd w:val="clear" w:color="auto" w:fill="auto"/>
            <w:noWrap/>
            <w:vAlign w:val="bottom"/>
          </w:tcPr>
          <w:p w:rsidR="006F7AD6" w:rsidRPr="00A032ED" w:rsidP="00886011" w14:paraId="7F6BE744" w14:textId="77777777">
            <w:pPr>
              <w:widowControl/>
              <w:jc w:val="center"/>
              <w:rPr>
                <w:rFonts w:ascii="Calibri" w:hAnsi="Calibri" w:cs="Calibri"/>
                <w:snapToGrid/>
                <w:kern w:val="0"/>
                <w:szCs w:val="22"/>
              </w:rPr>
            </w:pPr>
          </w:p>
        </w:tc>
        <w:tc>
          <w:tcPr>
            <w:tcW w:w="1488" w:type="dxa"/>
            <w:tcBorders>
              <w:top w:val="nil"/>
              <w:left w:val="single" w:sz="4" w:space="0" w:color="auto"/>
              <w:bottom w:val="single" w:sz="4" w:space="0" w:color="auto"/>
              <w:right w:val="single" w:sz="4" w:space="0" w:color="auto"/>
            </w:tcBorders>
            <w:shd w:val="clear" w:color="auto" w:fill="auto"/>
            <w:noWrap/>
            <w:vAlign w:val="bottom"/>
          </w:tcPr>
          <w:p w:rsidR="006F7AD6" w:rsidRPr="00A032ED" w:rsidP="00886011" w14:paraId="699416E2" w14:textId="77777777">
            <w:pPr>
              <w:widowControl/>
              <w:jc w:val="center"/>
              <w:rPr>
                <w:rFonts w:ascii="Calibri" w:hAnsi="Calibri" w:cs="Calibri"/>
                <w:snapToGrid/>
                <w:kern w:val="0"/>
                <w:szCs w:val="22"/>
              </w:rPr>
            </w:pPr>
          </w:p>
        </w:tc>
        <w:tc>
          <w:tcPr>
            <w:tcW w:w="1217" w:type="dxa"/>
            <w:tcBorders>
              <w:top w:val="nil"/>
              <w:left w:val="nil"/>
              <w:bottom w:val="single" w:sz="4" w:space="0" w:color="auto"/>
              <w:right w:val="single" w:sz="4" w:space="0" w:color="auto"/>
            </w:tcBorders>
            <w:shd w:val="clear" w:color="auto" w:fill="auto"/>
            <w:noWrap/>
            <w:vAlign w:val="bottom"/>
          </w:tcPr>
          <w:p w:rsidR="006F7AD6" w:rsidRPr="00A032ED" w:rsidP="00886011" w14:paraId="713ECD9E" w14:textId="77777777">
            <w:pPr>
              <w:widowControl/>
              <w:jc w:val="center"/>
              <w:rPr>
                <w:rFonts w:ascii="Calibri" w:hAnsi="Calibri" w:cs="Calibri"/>
                <w:snapToGrid/>
                <w:kern w:val="0"/>
                <w:szCs w:val="22"/>
              </w:rPr>
            </w:pPr>
          </w:p>
        </w:tc>
        <w:tc>
          <w:tcPr>
            <w:tcW w:w="1340" w:type="dxa"/>
            <w:tcBorders>
              <w:top w:val="nil"/>
              <w:left w:val="nil"/>
              <w:bottom w:val="single" w:sz="4" w:space="0" w:color="auto"/>
              <w:right w:val="single" w:sz="4" w:space="0" w:color="auto"/>
            </w:tcBorders>
            <w:shd w:val="clear" w:color="auto" w:fill="auto"/>
            <w:noWrap/>
            <w:vAlign w:val="bottom"/>
          </w:tcPr>
          <w:p w:rsidR="006F7AD6" w:rsidRPr="00A032ED" w:rsidP="00886011" w14:paraId="1163075C" w14:textId="77777777">
            <w:pPr>
              <w:widowControl/>
              <w:jc w:val="center"/>
              <w:rPr>
                <w:rFonts w:ascii="Calibri" w:hAnsi="Calibri" w:cs="Calibri"/>
                <w:snapToGrid/>
                <w:kern w:val="0"/>
                <w:szCs w:val="22"/>
              </w:rPr>
            </w:pPr>
          </w:p>
        </w:tc>
        <w:tc>
          <w:tcPr>
            <w:tcW w:w="1279" w:type="dxa"/>
            <w:tcBorders>
              <w:top w:val="nil"/>
              <w:left w:val="nil"/>
              <w:bottom w:val="single" w:sz="4" w:space="0" w:color="auto"/>
              <w:right w:val="single" w:sz="4" w:space="0" w:color="auto"/>
            </w:tcBorders>
            <w:shd w:val="clear" w:color="auto" w:fill="auto"/>
            <w:noWrap/>
            <w:vAlign w:val="bottom"/>
          </w:tcPr>
          <w:p w:rsidR="006F7AD6" w:rsidRPr="00A032ED" w:rsidP="00886011" w14:paraId="1F1E09B3" w14:textId="77777777">
            <w:pPr>
              <w:widowControl/>
              <w:jc w:val="center"/>
              <w:rPr>
                <w:rFonts w:ascii="Calibri" w:hAnsi="Calibri" w:cs="Calibri"/>
                <w:snapToGrid/>
                <w:kern w:val="0"/>
                <w:szCs w:val="22"/>
              </w:rPr>
            </w:pPr>
          </w:p>
        </w:tc>
        <w:tc>
          <w:tcPr>
            <w:tcW w:w="266" w:type="dxa"/>
            <w:tcBorders>
              <w:top w:val="nil"/>
              <w:left w:val="nil"/>
              <w:bottom w:val="nil"/>
              <w:right w:val="single" w:sz="4" w:space="0" w:color="auto"/>
            </w:tcBorders>
            <w:shd w:val="clear" w:color="auto" w:fill="auto"/>
            <w:noWrap/>
            <w:vAlign w:val="bottom"/>
            <w:hideMark/>
          </w:tcPr>
          <w:p w:rsidR="006F7AD6" w:rsidRPr="00A032ED" w:rsidP="00886011" w14:paraId="5E66D11F" w14:textId="77777777">
            <w:pPr>
              <w:widowControl/>
              <w:jc w:val="center"/>
              <w:rPr>
                <w:rFonts w:ascii="Calibri" w:hAnsi="Calibri" w:cs="Calibri"/>
                <w:snapToGrid/>
                <w:kern w:val="0"/>
                <w:szCs w:val="22"/>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29717BD6" w14:textId="77777777">
            <w:pPr>
              <w:widowControl/>
              <w:rPr>
                <w:snapToGrid/>
                <w:kern w:val="0"/>
                <w:sz w:val="20"/>
              </w:rPr>
            </w:pP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01A897F6" w14:textId="77777777">
            <w:pPr>
              <w:widowControl/>
              <w:rPr>
                <w:snapToGrid/>
                <w:kern w:val="0"/>
                <w:sz w:val="20"/>
              </w:rPr>
            </w:pP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3BDA7C54" w14:textId="77777777">
            <w:pPr>
              <w:widowControl/>
              <w:rPr>
                <w:snapToGrid/>
                <w:kern w:val="0"/>
                <w:sz w:val="20"/>
              </w:rPr>
            </w:pP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47E072B1" w14:textId="77777777">
            <w:pPr>
              <w:widowControl/>
              <w:rPr>
                <w:snapToGrid/>
                <w:kern w:val="0"/>
                <w:sz w:val="20"/>
              </w:rPr>
            </w:pPr>
          </w:p>
        </w:tc>
        <w:tc>
          <w:tcPr>
            <w:tcW w:w="1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6" w:rsidRPr="00A032ED" w:rsidP="00886011" w14:paraId="089CBCE2" w14:textId="77777777">
            <w:pPr>
              <w:widowControl/>
              <w:rPr>
                <w:snapToGrid/>
                <w:kern w:val="0"/>
                <w:sz w:val="20"/>
              </w:rPr>
            </w:pPr>
          </w:p>
        </w:tc>
      </w:tr>
    </w:tbl>
    <w:p w:rsidR="006F7AD6" w:rsidP="006F7AD6" w14:paraId="2058A07F" w14:textId="77777777">
      <w:pPr>
        <w:widowControl/>
        <w:rPr>
          <w:b/>
          <w:szCs w:val="22"/>
        </w:rPr>
      </w:pPr>
    </w:p>
    <w:p w:rsidR="006F7AD6" w:rsidP="006F7AD6" w14:paraId="0311DA6B" w14:textId="77777777">
      <w:pPr>
        <w:widowControl/>
        <w:jc w:val="center"/>
        <w:rPr>
          <w:b/>
          <w:szCs w:val="22"/>
        </w:rPr>
      </w:pPr>
    </w:p>
    <w:tbl>
      <w:tblPr>
        <w:tblW w:w="12100" w:type="dxa"/>
        <w:tblLook w:val="04A0"/>
      </w:tblPr>
      <w:tblGrid>
        <w:gridCol w:w="1440"/>
        <w:gridCol w:w="1240"/>
        <w:gridCol w:w="1831"/>
        <w:gridCol w:w="1407"/>
        <w:gridCol w:w="1271"/>
        <w:gridCol w:w="1631"/>
        <w:gridCol w:w="3280"/>
      </w:tblGrid>
      <w:tr w14:paraId="0AAC83E2" w14:textId="77777777" w:rsidTr="00F64ABC">
        <w:tblPrEx>
          <w:tblW w:w="12100" w:type="dxa"/>
          <w:tblLook w:val="04A0"/>
        </w:tblPrEx>
        <w:trPr>
          <w:trHeight w:val="300"/>
        </w:trPr>
        <w:tc>
          <w:tcPr>
            <w:tcW w:w="1440" w:type="dxa"/>
            <w:tcBorders>
              <w:top w:val="nil"/>
              <w:left w:val="nil"/>
              <w:bottom w:val="nil"/>
              <w:right w:val="nil"/>
            </w:tcBorders>
            <w:shd w:val="clear" w:color="auto" w:fill="auto"/>
            <w:noWrap/>
            <w:vAlign w:val="bottom"/>
            <w:hideMark/>
          </w:tcPr>
          <w:p w:rsidR="009C0565" w:rsidRPr="009C0565" w:rsidP="009C0565" w14:paraId="7FBC9592" w14:textId="77777777">
            <w:pPr>
              <w:widowControl/>
              <w:rPr>
                <w:snapToGrid/>
                <w:kern w:val="0"/>
                <w:sz w:val="20"/>
                <w:szCs w:val="24"/>
              </w:rPr>
            </w:pPr>
          </w:p>
        </w:tc>
        <w:tc>
          <w:tcPr>
            <w:tcW w:w="1240" w:type="dxa"/>
            <w:tcBorders>
              <w:top w:val="nil"/>
              <w:left w:val="nil"/>
              <w:bottom w:val="nil"/>
              <w:right w:val="nil"/>
            </w:tcBorders>
            <w:shd w:val="clear" w:color="auto" w:fill="auto"/>
            <w:noWrap/>
            <w:vAlign w:val="bottom"/>
            <w:hideMark/>
          </w:tcPr>
          <w:p w:rsidR="009C0565" w:rsidRPr="009C0565" w:rsidP="009C0565" w14:paraId="00C2FCED" w14:textId="77777777">
            <w:pPr>
              <w:widowControl/>
              <w:jc w:val="center"/>
              <w:rPr>
                <w:snapToGrid/>
                <w:kern w:val="0"/>
                <w:sz w:val="20"/>
              </w:rPr>
            </w:pPr>
          </w:p>
        </w:tc>
        <w:tc>
          <w:tcPr>
            <w:tcW w:w="6140" w:type="dxa"/>
            <w:gridSpan w:val="4"/>
            <w:tcBorders>
              <w:top w:val="nil"/>
              <w:left w:val="nil"/>
              <w:bottom w:val="nil"/>
              <w:right w:val="nil"/>
            </w:tcBorders>
            <w:shd w:val="clear" w:color="auto" w:fill="auto"/>
            <w:noWrap/>
            <w:vAlign w:val="bottom"/>
            <w:hideMark/>
          </w:tcPr>
          <w:p w:rsidR="00F64ABC" w:rsidP="00F64ABC" w14:paraId="4A47BBAE" w14:textId="77777777">
            <w:pPr>
              <w:widowControl/>
              <w:jc w:val="center"/>
              <w:rPr>
                <w:rFonts w:ascii="Calibri" w:hAnsi="Calibri" w:cs="Calibri"/>
                <w:b/>
                <w:bCs/>
                <w:snapToGrid/>
                <w:color w:val="000000"/>
                <w:kern w:val="0"/>
                <w:szCs w:val="22"/>
                <w:u w:val="single"/>
              </w:rPr>
            </w:pPr>
            <w:r w:rsidRPr="009C0565">
              <w:rPr>
                <w:rFonts w:ascii="Calibri" w:hAnsi="Calibri" w:cs="Calibri"/>
                <w:b/>
                <w:bCs/>
                <w:snapToGrid/>
                <w:color w:val="000000"/>
                <w:kern w:val="0"/>
                <w:szCs w:val="22"/>
                <w:u w:val="single"/>
              </w:rPr>
              <w:t>ADDITIONAL CALL SIGNS NOT PREVIOUSLY LISTED</w:t>
            </w:r>
          </w:p>
          <w:p w:rsidR="009C0565" w:rsidRPr="009C0565" w:rsidP="00F64ABC" w14:paraId="536DBF60" w14:textId="457687F0">
            <w:pPr>
              <w:widowControl/>
              <w:jc w:val="center"/>
              <w:rPr>
                <w:rFonts w:ascii="Calibri" w:hAnsi="Calibri" w:cs="Calibri"/>
                <w:b/>
                <w:bCs/>
                <w:snapToGrid/>
                <w:color w:val="000000"/>
                <w:kern w:val="0"/>
                <w:szCs w:val="22"/>
                <w:u w:val="single"/>
              </w:rPr>
            </w:pPr>
            <w:r w:rsidRPr="009C0565">
              <w:rPr>
                <w:rFonts w:ascii="Calibri" w:hAnsi="Calibri" w:cs="Calibri"/>
                <w:b/>
                <w:bCs/>
                <w:snapToGrid/>
                <w:color w:val="000000"/>
                <w:kern w:val="0"/>
                <w:szCs w:val="22"/>
                <w:u w:val="single"/>
              </w:rPr>
              <w:t>IN APPENDIX</w:t>
            </w:r>
            <w:r w:rsidR="00F64ABC">
              <w:rPr>
                <w:rFonts w:ascii="Calibri" w:hAnsi="Calibri" w:cs="Calibri"/>
                <w:b/>
                <w:bCs/>
                <w:snapToGrid/>
                <w:color w:val="000000"/>
                <w:kern w:val="0"/>
                <w:szCs w:val="22"/>
                <w:u w:val="single"/>
              </w:rPr>
              <w:t xml:space="preserve"> C </w:t>
            </w:r>
          </w:p>
        </w:tc>
        <w:tc>
          <w:tcPr>
            <w:tcW w:w="3280" w:type="dxa"/>
            <w:tcBorders>
              <w:top w:val="nil"/>
              <w:left w:val="nil"/>
              <w:bottom w:val="nil"/>
              <w:right w:val="nil"/>
            </w:tcBorders>
            <w:shd w:val="clear" w:color="auto" w:fill="auto"/>
            <w:noWrap/>
            <w:vAlign w:val="bottom"/>
            <w:hideMark/>
          </w:tcPr>
          <w:p w:rsidR="009C0565" w:rsidRPr="009C0565" w:rsidP="009C0565" w14:paraId="3453B752" w14:textId="77777777">
            <w:pPr>
              <w:widowControl/>
              <w:rPr>
                <w:rFonts w:ascii="Calibri" w:hAnsi="Calibri" w:cs="Calibri"/>
                <w:b/>
                <w:bCs/>
                <w:snapToGrid/>
                <w:color w:val="000000"/>
                <w:kern w:val="0"/>
                <w:szCs w:val="22"/>
                <w:u w:val="single"/>
              </w:rPr>
            </w:pPr>
          </w:p>
        </w:tc>
      </w:tr>
      <w:tr w14:paraId="75DEE9DA" w14:textId="77777777" w:rsidTr="00F64ABC">
        <w:tblPrEx>
          <w:tblW w:w="12100" w:type="dxa"/>
          <w:tblLook w:val="04A0"/>
        </w:tblPrEx>
        <w:trPr>
          <w:trHeight w:val="300"/>
        </w:trPr>
        <w:tc>
          <w:tcPr>
            <w:tcW w:w="1440" w:type="dxa"/>
            <w:tcBorders>
              <w:top w:val="nil"/>
              <w:left w:val="nil"/>
              <w:bottom w:val="nil"/>
              <w:right w:val="nil"/>
            </w:tcBorders>
            <w:shd w:val="clear" w:color="auto" w:fill="auto"/>
            <w:noWrap/>
            <w:vAlign w:val="bottom"/>
            <w:hideMark/>
          </w:tcPr>
          <w:p w:rsidR="009C0565" w:rsidRPr="009C0565" w:rsidP="009C0565" w14:paraId="174C2655" w14:textId="77777777">
            <w:pPr>
              <w:widowControl/>
              <w:rPr>
                <w:snapToGrid/>
                <w:kern w:val="0"/>
                <w:sz w:val="20"/>
              </w:rPr>
            </w:pPr>
          </w:p>
        </w:tc>
        <w:tc>
          <w:tcPr>
            <w:tcW w:w="1240" w:type="dxa"/>
            <w:tcBorders>
              <w:top w:val="nil"/>
              <w:left w:val="nil"/>
              <w:bottom w:val="nil"/>
              <w:right w:val="nil"/>
            </w:tcBorders>
            <w:shd w:val="clear" w:color="auto" w:fill="auto"/>
            <w:noWrap/>
            <w:vAlign w:val="bottom"/>
            <w:hideMark/>
          </w:tcPr>
          <w:p w:rsidR="009C0565" w:rsidRPr="009C0565" w:rsidP="009C0565" w14:paraId="5F674B51" w14:textId="77777777">
            <w:pPr>
              <w:widowControl/>
              <w:jc w:val="center"/>
              <w:rPr>
                <w:snapToGrid/>
                <w:kern w:val="0"/>
                <w:sz w:val="20"/>
              </w:rPr>
            </w:pPr>
          </w:p>
        </w:tc>
        <w:tc>
          <w:tcPr>
            <w:tcW w:w="1831" w:type="dxa"/>
            <w:tcBorders>
              <w:top w:val="nil"/>
              <w:left w:val="nil"/>
              <w:bottom w:val="nil"/>
              <w:right w:val="nil"/>
            </w:tcBorders>
            <w:shd w:val="clear" w:color="auto" w:fill="auto"/>
            <w:noWrap/>
            <w:vAlign w:val="bottom"/>
            <w:hideMark/>
          </w:tcPr>
          <w:p w:rsidR="009C0565" w:rsidRPr="009C0565" w:rsidP="009C0565" w14:paraId="18C1445C" w14:textId="77777777">
            <w:pPr>
              <w:widowControl/>
              <w:jc w:val="center"/>
              <w:rPr>
                <w:snapToGrid/>
                <w:kern w:val="0"/>
                <w:sz w:val="20"/>
              </w:rPr>
            </w:pPr>
          </w:p>
        </w:tc>
        <w:tc>
          <w:tcPr>
            <w:tcW w:w="1407" w:type="dxa"/>
            <w:tcBorders>
              <w:top w:val="nil"/>
              <w:left w:val="nil"/>
              <w:bottom w:val="nil"/>
              <w:right w:val="nil"/>
            </w:tcBorders>
            <w:shd w:val="clear" w:color="auto" w:fill="auto"/>
            <w:noWrap/>
            <w:vAlign w:val="bottom"/>
            <w:hideMark/>
          </w:tcPr>
          <w:p w:rsidR="009C0565" w:rsidRPr="009C0565" w:rsidP="009C0565" w14:paraId="49684068" w14:textId="77777777">
            <w:pPr>
              <w:widowControl/>
              <w:rPr>
                <w:snapToGrid/>
                <w:kern w:val="0"/>
                <w:sz w:val="20"/>
              </w:rPr>
            </w:pPr>
          </w:p>
        </w:tc>
        <w:tc>
          <w:tcPr>
            <w:tcW w:w="1271" w:type="dxa"/>
            <w:tcBorders>
              <w:top w:val="nil"/>
              <w:left w:val="nil"/>
              <w:bottom w:val="nil"/>
              <w:right w:val="nil"/>
            </w:tcBorders>
            <w:shd w:val="clear" w:color="auto" w:fill="auto"/>
            <w:noWrap/>
            <w:vAlign w:val="bottom"/>
            <w:hideMark/>
          </w:tcPr>
          <w:p w:rsidR="009C0565" w:rsidRPr="009C0565" w:rsidP="009C0565" w14:paraId="3F7BBE75" w14:textId="77777777">
            <w:pPr>
              <w:widowControl/>
              <w:rPr>
                <w:snapToGrid/>
                <w:kern w:val="0"/>
                <w:sz w:val="20"/>
              </w:rPr>
            </w:pPr>
          </w:p>
        </w:tc>
        <w:tc>
          <w:tcPr>
            <w:tcW w:w="1631" w:type="dxa"/>
            <w:tcBorders>
              <w:top w:val="nil"/>
              <w:left w:val="nil"/>
              <w:bottom w:val="nil"/>
              <w:right w:val="nil"/>
            </w:tcBorders>
            <w:shd w:val="clear" w:color="auto" w:fill="auto"/>
            <w:noWrap/>
            <w:vAlign w:val="bottom"/>
            <w:hideMark/>
          </w:tcPr>
          <w:p w:rsidR="009C0565" w:rsidRPr="009C0565" w:rsidP="009C0565" w14:paraId="09465ED5" w14:textId="77777777">
            <w:pPr>
              <w:widowControl/>
              <w:rPr>
                <w:snapToGrid/>
                <w:kern w:val="0"/>
                <w:sz w:val="20"/>
              </w:rPr>
            </w:pPr>
          </w:p>
        </w:tc>
        <w:tc>
          <w:tcPr>
            <w:tcW w:w="3280" w:type="dxa"/>
            <w:tcBorders>
              <w:top w:val="nil"/>
              <w:left w:val="nil"/>
              <w:bottom w:val="nil"/>
              <w:right w:val="nil"/>
            </w:tcBorders>
            <w:shd w:val="clear" w:color="auto" w:fill="auto"/>
            <w:noWrap/>
            <w:vAlign w:val="bottom"/>
            <w:hideMark/>
          </w:tcPr>
          <w:p w:rsidR="009C0565" w:rsidRPr="009C0565" w:rsidP="009C0565" w14:paraId="6BB0BA10" w14:textId="77777777">
            <w:pPr>
              <w:widowControl/>
              <w:rPr>
                <w:snapToGrid/>
                <w:kern w:val="0"/>
                <w:sz w:val="20"/>
              </w:rPr>
            </w:pPr>
          </w:p>
        </w:tc>
      </w:tr>
      <w:tr w14:paraId="7A8D7105" w14:textId="77777777" w:rsidTr="00F64ABC">
        <w:tblPrEx>
          <w:tblW w:w="12100" w:type="dxa"/>
          <w:tblLook w:val="04A0"/>
        </w:tblPrEx>
        <w:trPr>
          <w:trHeight w:val="30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565" w:rsidRPr="009C0565" w:rsidP="009C0565" w14:paraId="03BE3BB9" w14:textId="77777777">
            <w:pPr>
              <w:widowControl/>
              <w:jc w:val="center"/>
              <w:rPr>
                <w:rFonts w:ascii="Calibri" w:hAnsi="Calibri" w:cs="Calibri"/>
                <w:snapToGrid/>
                <w:color w:val="000000"/>
                <w:kern w:val="0"/>
                <w:szCs w:val="22"/>
              </w:rPr>
            </w:pPr>
            <w:r w:rsidRPr="009C0565">
              <w:rPr>
                <w:rFonts w:ascii="Calibri" w:hAnsi="Calibri" w:cs="Calibri"/>
                <w:snapToGrid/>
                <w:color w:val="000000"/>
                <w:kern w:val="0"/>
                <w:szCs w:val="22"/>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9C0565" w:rsidRPr="009C0565" w:rsidP="009C0565" w14:paraId="3405CE7F" w14:textId="77777777">
            <w:pPr>
              <w:widowControl/>
              <w:jc w:val="center"/>
              <w:rPr>
                <w:rFonts w:ascii="Calibri" w:hAnsi="Calibri" w:cs="Calibri"/>
                <w:snapToGrid/>
                <w:color w:val="000000"/>
                <w:kern w:val="0"/>
                <w:szCs w:val="22"/>
              </w:rPr>
            </w:pPr>
            <w:r w:rsidRPr="009C0565">
              <w:rPr>
                <w:rFonts w:ascii="Calibri" w:hAnsi="Calibri" w:cs="Calibri"/>
                <w:snapToGrid/>
                <w:color w:val="000000"/>
                <w:kern w:val="0"/>
                <w:szCs w:val="22"/>
              </w:rPr>
              <w:t> </w:t>
            </w:r>
          </w:p>
        </w:tc>
        <w:tc>
          <w:tcPr>
            <w:tcW w:w="1831" w:type="dxa"/>
            <w:tcBorders>
              <w:top w:val="single" w:sz="4" w:space="0" w:color="auto"/>
              <w:left w:val="nil"/>
              <w:bottom w:val="single" w:sz="4" w:space="0" w:color="auto"/>
              <w:right w:val="single" w:sz="4" w:space="0" w:color="auto"/>
            </w:tcBorders>
            <w:shd w:val="clear" w:color="auto" w:fill="auto"/>
            <w:noWrap/>
            <w:vAlign w:val="bottom"/>
            <w:hideMark/>
          </w:tcPr>
          <w:p w:rsidR="009C0565" w:rsidRPr="009C0565" w:rsidP="009C0565" w14:paraId="5DCFB102" w14:textId="77777777">
            <w:pPr>
              <w:widowControl/>
              <w:rPr>
                <w:rFonts w:ascii="Calibri" w:hAnsi="Calibri" w:cs="Calibri"/>
                <w:snapToGrid/>
                <w:color w:val="000000"/>
                <w:kern w:val="0"/>
                <w:szCs w:val="22"/>
              </w:rPr>
            </w:pPr>
            <w:r w:rsidRPr="009C0565">
              <w:rPr>
                <w:rFonts w:ascii="Calibri" w:hAnsi="Calibri" w:cs="Calibri"/>
                <w:snapToGrid/>
                <w:color w:val="000000"/>
                <w:kern w:val="0"/>
                <w:szCs w:val="22"/>
              </w:rPr>
              <w:t> </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9C0565" w:rsidRPr="009C0565" w:rsidP="009C0565" w14:paraId="03C66F86" w14:textId="77777777">
            <w:pPr>
              <w:widowControl/>
              <w:rPr>
                <w:rFonts w:ascii="Calibri" w:hAnsi="Calibri" w:cs="Calibri"/>
                <w:snapToGrid/>
                <w:color w:val="000000"/>
                <w:kern w:val="0"/>
                <w:szCs w:val="22"/>
              </w:rPr>
            </w:pPr>
            <w:r w:rsidRPr="009C0565">
              <w:rPr>
                <w:rFonts w:ascii="Calibri" w:hAnsi="Calibri" w:cs="Calibri"/>
                <w:snapToGrid/>
                <w:color w:val="000000"/>
                <w:kern w:val="0"/>
                <w:szCs w:val="22"/>
              </w:rPr>
              <w:t> </w:t>
            </w:r>
          </w:p>
        </w:tc>
        <w:tc>
          <w:tcPr>
            <w:tcW w:w="1271" w:type="dxa"/>
            <w:tcBorders>
              <w:top w:val="single" w:sz="4" w:space="0" w:color="auto"/>
              <w:left w:val="nil"/>
              <w:bottom w:val="single" w:sz="4" w:space="0" w:color="auto"/>
              <w:right w:val="single" w:sz="4" w:space="0" w:color="auto"/>
            </w:tcBorders>
            <w:shd w:val="clear" w:color="auto" w:fill="auto"/>
            <w:noWrap/>
            <w:vAlign w:val="bottom"/>
            <w:hideMark/>
          </w:tcPr>
          <w:p w:rsidR="009C0565" w:rsidRPr="009C0565" w:rsidP="009C0565" w14:paraId="6EB11A54" w14:textId="77777777">
            <w:pPr>
              <w:widowControl/>
              <w:rPr>
                <w:rFonts w:ascii="Calibri" w:hAnsi="Calibri" w:cs="Calibri"/>
                <w:snapToGrid/>
                <w:color w:val="000000"/>
                <w:kern w:val="0"/>
                <w:szCs w:val="22"/>
              </w:rPr>
            </w:pPr>
            <w:r w:rsidRPr="009C0565">
              <w:rPr>
                <w:rFonts w:ascii="Calibri" w:hAnsi="Calibri" w:cs="Calibri"/>
                <w:snapToGrid/>
                <w:color w:val="000000"/>
                <w:kern w:val="0"/>
                <w:szCs w:val="22"/>
              </w:rPr>
              <w:t> </w:t>
            </w:r>
          </w:p>
        </w:tc>
        <w:tc>
          <w:tcPr>
            <w:tcW w:w="1631" w:type="dxa"/>
            <w:tcBorders>
              <w:top w:val="single" w:sz="4" w:space="0" w:color="auto"/>
              <w:left w:val="nil"/>
              <w:bottom w:val="single" w:sz="4" w:space="0" w:color="auto"/>
              <w:right w:val="single" w:sz="4" w:space="0" w:color="auto"/>
            </w:tcBorders>
            <w:shd w:val="clear" w:color="auto" w:fill="auto"/>
            <w:noWrap/>
            <w:vAlign w:val="bottom"/>
            <w:hideMark/>
          </w:tcPr>
          <w:p w:rsidR="009C0565" w:rsidRPr="009C0565" w:rsidP="009C0565" w14:paraId="1B4C00A1" w14:textId="77777777">
            <w:pPr>
              <w:widowControl/>
              <w:jc w:val="center"/>
              <w:rPr>
                <w:b/>
                <w:bCs/>
                <w:snapToGrid/>
                <w:color w:val="000000"/>
                <w:kern w:val="0"/>
                <w:szCs w:val="22"/>
              </w:rPr>
            </w:pPr>
            <w:r w:rsidRPr="009C0565">
              <w:rPr>
                <w:b/>
                <w:bCs/>
                <w:snapToGrid/>
                <w:color w:val="000000"/>
                <w:kern w:val="0"/>
                <w:szCs w:val="22"/>
              </w:rPr>
              <w:t>Blended</w:t>
            </w:r>
          </w:p>
        </w:tc>
        <w:tc>
          <w:tcPr>
            <w:tcW w:w="3280" w:type="dxa"/>
            <w:tcBorders>
              <w:top w:val="single" w:sz="4" w:space="0" w:color="auto"/>
              <w:left w:val="nil"/>
              <w:bottom w:val="single" w:sz="4" w:space="0" w:color="auto"/>
              <w:right w:val="single" w:sz="4" w:space="0" w:color="auto"/>
            </w:tcBorders>
            <w:shd w:val="clear" w:color="auto" w:fill="auto"/>
            <w:noWrap/>
            <w:vAlign w:val="bottom"/>
            <w:hideMark/>
          </w:tcPr>
          <w:p w:rsidR="009C0565" w:rsidRPr="009C0565" w:rsidP="009C0565" w14:paraId="4DC0DA8F" w14:textId="77777777">
            <w:pPr>
              <w:widowControl/>
              <w:rPr>
                <w:rFonts w:ascii="Calibri" w:hAnsi="Calibri" w:cs="Calibri"/>
                <w:snapToGrid/>
                <w:color w:val="000000"/>
                <w:kern w:val="0"/>
                <w:szCs w:val="22"/>
              </w:rPr>
            </w:pPr>
            <w:r w:rsidRPr="009C0565">
              <w:rPr>
                <w:rFonts w:ascii="Calibri" w:hAnsi="Calibri" w:cs="Calibri"/>
                <w:snapToGrid/>
                <w:color w:val="000000"/>
                <w:kern w:val="0"/>
                <w:szCs w:val="22"/>
              </w:rPr>
              <w:t> </w:t>
            </w:r>
          </w:p>
        </w:tc>
      </w:tr>
      <w:tr w14:paraId="05A08647" w14:textId="77777777" w:rsidTr="00F64ABC">
        <w:tblPrEx>
          <w:tblW w:w="12100" w:type="dxa"/>
          <w:tblLook w:val="04A0"/>
        </w:tblPrEx>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C0565" w:rsidRPr="009C0565" w:rsidP="009C0565" w14:paraId="1F35BB30" w14:textId="77777777">
            <w:pPr>
              <w:widowControl/>
              <w:jc w:val="center"/>
              <w:rPr>
                <w:rFonts w:ascii="Calibri" w:hAnsi="Calibri" w:cs="Calibri"/>
                <w:b/>
                <w:bCs/>
                <w:snapToGrid/>
                <w:color w:val="000000"/>
                <w:kern w:val="0"/>
                <w:szCs w:val="22"/>
              </w:rPr>
            </w:pPr>
            <w:r w:rsidRPr="009C0565">
              <w:rPr>
                <w:rFonts w:ascii="Calibri" w:hAnsi="Calibri" w:cs="Calibri"/>
                <w:b/>
                <w:bCs/>
                <w:snapToGrid/>
                <w:color w:val="000000"/>
                <w:kern w:val="0"/>
                <w:szCs w:val="22"/>
              </w:rPr>
              <w:t>Facility</w:t>
            </w:r>
          </w:p>
        </w:tc>
        <w:tc>
          <w:tcPr>
            <w:tcW w:w="1240"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6B5AE957" w14:textId="77777777">
            <w:pPr>
              <w:widowControl/>
              <w:jc w:val="center"/>
              <w:rPr>
                <w:rFonts w:ascii="Calibri" w:hAnsi="Calibri" w:cs="Calibri"/>
                <w:snapToGrid/>
                <w:color w:val="000000"/>
                <w:kern w:val="0"/>
                <w:szCs w:val="22"/>
              </w:rPr>
            </w:pPr>
            <w:r w:rsidRPr="009C0565">
              <w:rPr>
                <w:rFonts w:ascii="Calibri" w:hAnsi="Calibri" w:cs="Calibri"/>
                <w:snapToGrid/>
                <w:color w:val="000000"/>
                <w:kern w:val="0"/>
                <w:szCs w:val="22"/>
              </w:rPr>
              <w:t> </w:t>
            </w:r>
          </w:p>
        </w:tc>
        <w:tc>
          <w:tcPr>
            <w:tcW w:w="183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19B6A4B2" w14:textId="77777777">
            <w:pPr>
              <w:widowControl/>
              <w:rPr>
                <w:rFonts w:ascii="Calibri" w:hAnsi="Calibri" w:cs="Calibri"/>
                <w:snapToGrid/>
                <w:color w:val="000000"/>
                <w:kern w:val="0"/>
                <w:szCs w:val="22"/>
              </w:rPr>
            </w:pPr>
            <w:r w:rsidRPr="009C0565">
              <w:rPr>
                <w:rFonts w:ascii="Calibri" w:hAnsi="Calibri" w:cs="Calibri"/>
                <w:snapToGrid/>
                <w:color w:val="000000"/>
                <w:kern w:val="0"/>
                <w:szCs w:val="22"/>
              </w:rPr>
              <w:t> </w:t>
            </w:r>
          </w:p>
        </w:tc>
        <w:tc>
          <w:tcPr>
            <w:tcW w:w="1407"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0ED8FE55" w14:textId="77777777">
            <w:pPr>
              <w:widowControl/>
              <w:jc w:val="center"/>
              <w:rPr>
                <w:rFonts w:ascii="Calibri" w:hAnsi="Calibri" w:cs="Calibri"/>
                <w:b/>
                <w:bCs/>
                <w:snapToGrid/>
                <w:color w:val="000000"/>
                <w:kern w:val="0"/>
                <w:szCs w:val="22"/>
              </w:rPr>
            </w:pPr>
            <w:r w:rsidRPr="009C0565">
              <w:rPr>
                <w:rFonts w:ascii="Calibri" w:hAnsi="Calibri" w:cs="Calibri"/>
                <w:b/>
                <w:bCs/>
                <w:snapToGrid/>
                <w:color w:val="000000"/>
                <w:kern w:val="0"/>
                <w:szCs w:val="22"/>
              </w:rPr>
              <w:t>Population</w:t>
            </w:r>
          </w:p>
        </w:tc>
        <w:tc>
          <w:tcPr>
            <w:tcW w:w="127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35A1C92A" w14:textId="77777777">
            <w:pPr>
              <w:widowControl/>
              <w:jc w:val="center"/>
              <w:rPr>
                <w:rFonts w:ascii="Calibri" w:hAnsi="Calibri" w:cs="Calibri"/>
                <w:b/>
                <w:bCs/>
                <w:snapToGrid/>
                <w:color w:val="000000"/>
                <w:kern w:val="0"/>
                <w:szCs w:val="22"/>
              </w:rPr>
            </w:pPr>
            <w:r w:rsidRPr="009C0565">
              <w:rPr>
                <w:rFonts w:ascii="Calibri" w:hAnsi="Calibri" w:cs="Calibri"/>
                <w:b/>
                <w:bCs/>
                <w:snapToGrid/>
                <w:color w:val="000000"/>
                <w:kern w:val="0"/>
                <w:szCs w:val="22"/>
              </w:rPr>
              <w:t>DMA</w:t>
            </w:r>
          </w:p>
        </w:tc>
        <w:tc>
          <w:tcPr>
            <w:tcW w:w="163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1AAF1246" w14:textId="77777777">
            <w:pPr>
              <w:widowControl/>
              <w:jc w:val="center"/>
              <w:rPr>
                <w:b/>
                <w:bCs/>
                <w:snapToGrid/>
                <w:color w:val="000000"/>
                <w:kern w:val="0"/>
                <w:szCs w:val="22"/>
              </w:rPr>
            </w:pPr>
            <w:r w:rsidRPr="009C0565">
              <w:rPr>
                <w:b/>
                <w:bCs/>
                <w:snapToGrid/>
                <w:color w:val="000000"/>
                <w:kern w:val="0"/>
                <w:szCs w:val="22"/>
              </w:rPr>
              <w:t>1/2 Pop. Fee</w:t>
            </w:r>
          </w:p>
        </w:tc>
        <w:tc>
          <w:tcPr>
            <w:tcW w:w="3280"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495CBBE1" w14:textId="77777777">
            <w:pPr>
              <w:widowControl/>
              <w:rPr>
                <w:rFonts w:ascii="Calibri" w:hAnsi="Calibri" w:cs="Calibri"/>
                <w:snapToGrid/>
                <w:color w:val="000000"/>
                <w:kern w:val="0"/>
                <w:szCs w:val="22"/>
              </w:rPr>
            </w:pPr>
            <w:r w:rsidRPr="009C0565">
              <w:rPr>
                <w:rFonts w:ascii="Calibri" w:hAnsi="Calibri" w:cs="Calibri"/>
                <w:snapToGrid/>
                <w:color w:val="000000"/>
                <w:kern w:val="0"/>
                <w:szCs w:val="22"/>
              </w:rPr>
              <w:t> </w:t>
            </w:r>
          </w:p>
        </w:tc>
      </w:tr>
      <w:tr w14:paraId="0A0EE44B" w14:textId="77777777" w:rsidTr="00F64ABC">
        <w:tblPrEx>
          <w:tblW w:w="12100" w:type="dxa"/>
          <w:tblLook w:val="04A0"/>
        </w:tblPrEx>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C0565" w:rsidRPr="009C0565" w:rsidP="009C0565" w14:paraId="7A4BF59B" w14:textId="77777777">
            <w:pPr>
              <w:widowControl/>
              <w:jc w:val="center"/>
              <w:rPr>
                <w:rFonts w:ascii="Calibri" w:hAnsi="Calibri" w:cs="Calibri"/>
                <w:b/>
                <w:bCs/>
                <w:snapToGrid/>
                <w:color w:val="000000"/>
                <w:kern w:val="0"/>
                <w:szCs w:val="22"/>
                <w:u w:val="single"/>
              </w:rPr>
            </w:pPr>
            <w:r w:rsidRPr="009C0565">
              <w:rPr>
                <w:rFonts w:ascii="Calibri" w:hAnsi="Calibri" w:cs="Calibri"/>
                <w:b/>
                <w:bCs/>
                <w:snapToGrid/>
                <w:color w:val="000000"/>
                <w:kern w:val="0"/>
                <w:szCs w:val="22"/>
                <w:u w:val="single"/>
              </w:rPr>
              <w:t>Id. #</w:t>
            </w:r>
          </w:p>
        </w:tc>
        <w:tc>
          <w:tcPr>
            <w:tcW w:w="1240"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4F1A34C4" w14:textId="77777777">
            <w:pPr>
              <w:widowControl/>
              <w:jc w:val="center"/>
              <w:rPr>
                <w:rFonts w:ascii="Calibri" w:hAnsi="Calibri" w:cs="Calibri"/>
                <w:b/>
                <w:bCs/>
                <w:snapToGrid/>
                <w:color w:val="000000"/>
                <w:kern w:val="0"/>
                <w:szCs w:val="22"/>
                <w:u w:val="single"/>
              </w:rPr>
            </w:pPr>
            <w:r w:rsidRPr="009C0565">
              <w:rPr>
                <w:rFonts w:ascii="Calibri" w:hAnsi="Calibri" w:cs="Calibri"/>
                <w:b/>
                <w:bCs/>
                <w:snapToGrid/>
                <w:color w:val="000000"/>
                <w:kern w:val="0"/>
                <w:szCs w:val="22"/>
                <w:u w:val="single"/>
              </w:rPr>
              <w:t>Call Sign</w:t>
            </w:r>
          </w:p>
        </w:tc>
        <w:tc>
          <w:tcPr>
            <w:tcW w:w="183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3B672DFA" w14:textId="77777777">
            <w:pPr>
              <w:widowControl/>
              <w:jc w:val="center"/>
              <w:rPr>
                <w:rFonts w:ascii="Calibri" w:hAnsi="Calibri" w:cs="Calibri"/>
                <w:b/>
                <w:bCs/>
                <w:snapToGrid/>
                <w:color w:val="000000"/>
                <w:kern w:val="0"/>
                <w:szCs w:val="22"/>
                <w:u w:val="single"/>
              </w:rPr>
            </w:pPr>
            <w:r w:rsidRPr="009C0565">
              <w:rPr>
                <w:rFonts w:ascii="Calibri" w:hAnsi="Calibri" w:cs="Calibri"/>
                <w:b/>
                <w:bCs/>
                <w:snapToGrid/>
                <w:color w:val="000000"/>
                <w:kern w:val="0"/>
                <w:szCs w:val="22"/>
                <w:u w:val="single"/>
              </w:rPr>
              <w:t>Population</w:t>
            </w:r>
          </w:p>
        </w:tc>
        <w:tc>
          <w:tcPr>
            <w:tcW w:w="1407"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005BA372" w14:textId="77777777">
            <w:pPr>
              <w:widowControl/>
              <w:jc w:val="center"/>
              <w:rPr>
                <w:rFonts w:ascii="Calibri" w:hAnsi="Calibri" w:cs="Calibri"/>
                <w:b/>
                <w:bCs/>
                <w:snapToGrid/>
                <w:color w:val="000000"/>
                <w:kern w:val="0"/>
                <w:szCs w:val="22"/>
                <w:u w:val="single"/>
              </w:rPr>
            </w:pPr>
            <w:r w:rsidRPr="009C0565">
              <w:rPr>
                <w:rFonts w:ascii="Calibri" w:hAnsi="Calibri" w:cs="Calibri"/>
                <w:b/>
                <w:bCs/>
                <w:snapToGrid/>
                <w:color w:val="000000"/>
                <w:kern w:val="0"/>
                <w:szCs w:val="22"/>
                <w:u w:val="single"/>
              </w:rPr>
              <w:t>Based Fee</w:t>
            </w:r>
          </w:p>
        </w:tc>
        <w:tc>
          <w:tcPr>
            <w:tcW w:w="127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5699F4CD" w14:textId="77777777">
            <w:pPr>
              <w:widowControl/>
              <w:jc w:val="center"/>
              <w:rPr>
                <w:rFonts w:ascii="Calibri" w:hAnsi="Calibri" w:cs="Calibri"/>
                <w:b/>
                <w:bCs/>
                <w:snapToGrid/>
                <w:color w:val="000000"/>
                <w:kern w:val="0"/>
                <w:szCs w:val="22"/>
                <w:u w:val="single"/>
              </w:rPr>
            </w:pPr>
            <w:r w:rsidRPr="009C0565">
              <w:rPr>
                <w:rFonts w:ascii="Calibri" w:hAnsi="Calibri" w:cs="Calibri"/>
                <w:b/>
                <w:bCs/>
                <w:snapToGrid/>
                <w:color w:val="000000"/>
                <w:kern w:val="0"/>
                <w:szCs w:val="22"/>
                <w:u w:val="single"/>
              </w:rPr>
              <w:t>Based Fee</w:t>
            </w:r>
          </w:p>
        </w:tc>
        <w:tc>
          <w:tcPr>
            <w:tcW w:w="163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6B5132A4" w14:textId="77777777">
            <w:pPr>
              <w:widowControl/>
              <w:jc w:val="center"/>
              <w:rPr>
                <w:b/>
                <w:bCs/>
                <w:snapToGrid/>
                <w:color w:val="000000"/>
                <w:kern w:val="0"/>
                <w:szCs w:val="22"/>
                <w:u w:val="single"/>
              </w:rPr>
            </w:pPr>
            <w:r w:rsidRPr="009C0565">
              <w:rPr>
                <w:b/>
                <w:bCs/>
                <w:snapToGrid/>
                <w:color w:val="000000"/>
                <w:kern w:val="0"/>
                <w:szCs w:val="22"/>
                <w:u w:val="single"/>
              </w:rPr>
              <w:t>1/2 DMA Fee</w:t>
            </w:r>
          </w:p>
        </w:tc>
        <w:tc>
          <w:tcPr>
            <w:tcW w:w="3280"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2510A176" w14:textId="77777777">
            <w:pPr>
              <w:widowControl/>
              <w:jc w:val="center"/>
              <w:rPr>
                <w:rFonts w:ascii="Calibri" w:hAnsi="Calibri" w:cs="Calibri"/>
                <w:b/>
                <w:bCs/>
                <w:snapToGrid/>
                <w:color w:val="000000"/>
                <w:kern w:val="0"/>
                <w:szCs w:val="22"/>
              </w:rPr>
            </w:pPr>
            <w:r w:rsidRPr="009C0565">
              <w:rPr>
                <w:rFonts w:ascii="Calibri" w:hAnsi="Calibri" w:cs="Calibri"/>
                <w:b/>
                <w:bCs/>
                <w:snapToGrid/>
                <w:color w:val="000000"/>
                <w:kern w:val="0"/>
                <w:szCs w:val="22"/>
              </w:rPr>
              <w:t>DMA</w:t>
            </w:r>
          </w:p>
        </w:tc>
      </w:tr>
      <w:tr w14:paraId="3269D3B4" w14:textId="77777777" w:rsidTr="00F64ABC">
        <w:tblPrEx>
          <w:tblW w:w="12100" w:type="dxa"/>
          <w:tblLook w:val="04A0"/>
        </w:tblPrEx>
        <w:trPr>
          <w:trHeight w:val="300"/>
        </w:trPr>
        <w:tc>
          <w:tcPr>
            <w:tcW w:w="1440" w:type="dxa"/>
            <w:tcBorders>
              <w:top w:val="nil"/>
              <w:left w:val="single" w:sz="4" w:space="0" w:color="auto"/>
              <w:bottom w:val="single" w:sz="4" w:space="0" w:color="auto"/>
              <w:right w:val="single" w:sz="4" w:space="0" w:color="auto"/>
            </w:tcBorders>
            <w:shd w:val="clear" w:color="FFFFFF" w:fill="FFFFFF"/>
            <w:noWrap/>
            <w:vAlign w:val="bottom"/>
            <w:hideMark/>
          </w:tcPr>
          <w:p w:rsidR="009C0565" w:rsidRPr="009C0565" w:rsidP="009C0565" w14:paraId="7858BC1A" w14:textId="77777777">
            <w:pPr>
              <w:widowControl/>
              <w:jc w:val="right"/>
              <w:rPr>
                <w:rFonts w:ascii="Calibri" w:hAnsi="Calibri" w:cs="Calibri"/>
                <w:snapToGrid/>
                <w:color w:val="333333"/>
                <w:kern w:val="0"/>
                <w:szCs w:val="22"/>
              </w:rPr>
            </w:pPr>
            <w:r w:rsidRPr="009C0565">
              <w:rPr>
                <w:rFonts w:ascii="Calibri" w:hAnsi="Calibri" w:cs="Calibri"/>
                <w:snapToGrid/>
                <w:color w:val="333333"/>
                <w:kern w:val="0"/>
                <w:szCs w:val="22"/>
              </w:rPr>
              <w:t>29234</w:t>
            </w:r>
          </w:p>
        </w:tc>
        <w:tc>
          <w:tcPr>
            <w:tcW w:w="1240" w:type="dxa"/>
            <w:tcBorders>
              <w:top w:val="nil"/>
              <w:left w:val="nil"/>
              <w:bottom w:val="single" w:sz="4" w:space="0" w:color="auto"/>
              <w:right w:val="single" w:sz="4" w:space="0" w:color="auto"/>
            </w:tcBorders>
            <w:shd w:val="clear" w:color="FFFFFF" w:fill="FFFFFF"/>
            <w:noWrap/>
            <w:vAlign w:val="bottom"/>
            <w:hideMark/>
          </w:tcPr>
          <w:p w:rsidR="009C0565" w:rsidRPr="009C0565" w:rsidP="009C0565" w14:paraId="7F352DBF" w14:textId="77777777">
            <w:pPr>
              <w:widowControl/>
              <w:jc w:val="center"/>
              <w:rPr>
                <w:rFonts w:ascii="Calibri" w:hAnsi="Calibri" w:cs="Calibri"/>
                <w:snapToGrid/>
                <w:color w:val="333333"/>
                <w:kern w:val="0"/>
                <w:szCs w:val="22"/>
              </w:rPr>
            </w:pPr>
            <w:r w:rsidRPr="009C0565">
              <w:rPr>
                <w:rFonts w:ascii="Calibri" w:hAnsi="Calibri" w:cs="Calibri"/>
                <w:snapToGrid/>
                <w:color w:val="333333"/>
                <w:kern w:val="0"/>
                <w:szCs w:val="22"/>
              </w:rPr>
              <w:t>KAZA-TV</w:t>
            </w:r>
          </w:p>
        </w:tc>
        <w:tc>
          <w:tcPr>
            <w:tcW w:w="183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362905C7" w14:textId="77777777">
            <w:pPr>
              <w:widowControl/>
              <w:jc w:val="right"/>
              <w:rPr>
                <w:rFonts w:ascii="Calibri" w:hAnsi="Calibri" w:cs="Calibri"/>
                <w:snapToGrid/>
                <w:kern w:val="0"/>
                <w:szCs w:val="22"/>
              </w:rPr>
            </w:pPr>
            <w:r w:rsidRPr="009C0565">
              <w:rPr>
                <w:rFonts w:ascii="Calibri" w:hAnsi="Calibri" w:cs="Calibri"/>
                <w:snapToGrid/>
                <w:kern w:val="0"/>
                <w:szCs w:val="22"/>
              </w:rPr>
              <w:t xml:space="preserve">        11,151,141 </w:t>
            </w:r>
          </w:p>
        </w:tc>
        <w:tc>
          <w:tcPr>
            <w:tcW w:w="1407"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5ECF73D7" w14:textId="77777777">
            <w:pPr>
              <w:widowControl/>
              <w:jc w:val="right"/>
              <w:rPr>
                <w:rFonts w:ascii="Calibri" w:hAnsi="Calibri" w:cs="Calibri"/>
                <w:snapToGrid/>
                <w:kern w:val="0"/>
                <w:szCs w:val="22"/>
              </w:rPr>
            </w:pPr>
            <w:r w:rsidRPr="009C0565">
              <w:rPr>
                <w:rFonts w:ascii="Calibri" w:hAnsi="Calibri" w:cs="Calibri"/>
                <w:snapToGrid/>
                <w:kern w:val="0"/>
                <w:szCs w:val="22"/>
              </w:rPr>
              <w:t>$80,559.96</w:t>
            </w:r>
          </w:p>
        </w:tc>
        <w:tc>
          <w:tcPr>
            <w:tcW w:w="127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579BE30F" w14:textId="77777777">
            <w:pPr>
              <w:widowControl/>
              <w:jc w:val="right"/>
              <w:rPr>
                <w:rFonts w:ascii="Calibri" w:hAnsi="Calibri" w:cs="Calibri"/>
                <w:snapToGrid/>
                <w:color w:val="000000"/>
                <w:kern w:val="0"/>
                <w:szCs w:val="22"/>
              </w:rPr>
            </w:pPr>
            <w:r w:rsidRPr="009C0565">
              <w:rPr>
                <w:rFonts w:ascii="Calibri" w:hAnsi="Calibri" w:cs="Calibri"/>
                <w:snapToGrid/>
                <w:color w:val="000000"/>
                <w:kern w:val="0"/>
                <w:szCs w:val="22"/>
              </w:rPr>
              <w:t>$54,000.00</w:t>
            </w:r>
          </w:p>
        </w:tc>
        <w:tc>
          <w:tcPr>
            <w:tcW w:w="163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12629C21" w14:textId="77777777">
            <w:pPr>
              <w:widowControl/>
              <w:jc w:val="right"/>
              <w:rPr>
                <w:rFonts w:ascii="Calibri" w:hAnsi="Calibri" w:cs="Calibri"/>
                <w:snapToGrid/>
                <w:color w:val="000000"/>
                <w:kern w:val="0"/>
                <w:szCs w:val="22"/>
              </w:rPr>
            </w:pPr>
            <w:r w:rsidRPr="009C0565">
              <w:rPr>
                <w:rFonts w:ascii="Calibri" w:hAnsi="Calibri" w:cs="Calibri"/>
                <w:snapToGrid/>
                <w:color w:val="000000"/>
                <w:kern w:val="0"/>
                <w:szCs w:val="22"/>
              </w:rPr>
              <w:t>$67,279.98</w:t>
            </w:r>
          </w:p>
        </w:tc>
        <w:tc>
          <w:tcPr>
            <w:tcW w:w="3280" w:type="dxa"/>
            <w:tcBorders>
              <w:top w:val="nil"/>
              <w:left w:val="nil"/>
              <w:bottom w:val="single" w:sz="4" w:space="0" w:color="auto"/>
              <w:right w:val="single" w:sz="4" w:space="0" w:color="auto"/>
            </w:tcBorders>
            <w:shd w:val="clear" w:color="FFFFFF" w:fill="FFFFFF"/>
            <w:noWrap/>
            <w:vAlign w:val="bottom"/>
            <w:hideMark/>
          </w:tcPr>
          <w:p w:rsidR="009C0565" w:rsidRPr="009C0565" w:rsidP="009C0565" w14:paraId="6C0C641E" w14:textId="77777777">
            <w:pPr>
              <w:widowControl/>
              <w:rPr>
                <w:rFonts w:ascii="Calibri" w:hAnsi="Calibri" w:cs="Calibri"/>
                <w:b/>
                <w:bCs/>
                <w:snapToGrid/>
                <w:kern w:val="0"/>
                <w:szCs w:val="22"/>
              </w:rPr>
            </w:pPr>
            <w:r w:rsidRPr="009C0565">
              <w:rPr>
                <w:rFonts w:ascii="Calibri" w:hAnsi="Calibri" w:cs="Calibri"/>
                <w:b/>
                <w:bCs/>
                <w:snapToGrid/>
                <w:kern w:val="0"/>
                <w:szCs w:val="22"/>
              </w:rPr>
              <w:t>Los Angeles</w:t>
            </w:r>
          </w:p>
        </w:tc>
      </w:tr>
      <w:tr w14:paraId="6C39E3E7" w14:textId="77777777" w:rsidTr="00F64ABC">
        <w:tblPrEx>
          <w:tblW w:w="12100" w:type="dxa"/>
          <w:tblLook w:val="04A0"/>
        </w:tblPrEx>
        <w:trPr>
          <w:trHeight w:val="300"/>
        </w:trPr>
        <w:tc>
          <w:tcPr>
            <w:tcW w:w="1440" w:type="dxa"/>
            <w:tcBorders>
              <w:top w:val="nil"/>
              <w:left w:val="single" w:sz="4" w:space="0" w:color="auto"/>
              <w:bottom w:val="single" w:sz="4" w:space="0" w:color="auto"/>
              <w:right w:val="single" w:sz="4" w:space="0" w:color="auto"/>
            </w:tcBorders>
            <w:shd w:val="clear" w:color="FFFFFF" w:fill="F8FBFC"/>
            <w:noWrap/>
            <w:vAlign w:val="bottom"/>
            <w:hideMark/>
          </w:tcPr>
          <w:p w:rsidR="009C0565" w:rsidRPr="009C0565" w:rsidP="009C0565" w14:paraId="20EB5D29" w14:textId="77777777">
            <w:pPr>
              <w:widowControl/>
              <w:jc w:val="right"/>
              <w:rPr>
                <w:rFonts w:ascii="Calibri" w:hAnsi="Calibri" w:cs="Calibri"/>
                <w:snapToGrid/>
                <w:color w:val="333333"/>
                <w:kern w:val="0"/>
                <w:szCs w:val="22"/>
              </w:rPr>
            </w:pPr>
            <w:r w:rsidRPr="009C0565">
              <w:rPr>
                <w:rFonts w:ascii="Calibri" w:hAnsi="Calibri" w:cs="Calibri"/>
                <w:snapToGrid/>
                <w:color w:val="333333"/>
                <w:kern w:val="0"/>
                <w:szCs w:val="22"/>
              </w:rPr>
              <w:t>56384</w:t>
            </w:r>
          </w:p>
        </w:tc>
        <w:tc>
          <w:tcPr>
            <w:tcW w:w="1240" w:type="dxa"/>
            <w:tcBorders>
              <w:top w:val="nil"/>
              <w:left w:val="nil"/>
              <w:bottom w:val="single" w:sz="4" w:space="0" w:color="auto"/>
              <w:right w:val="single" w:sz="4" w:space="0" w:color="auto"/>
            </w:tcBorders>
            <w:shd w:val="clear" w:color="FFFFFF" w:fill="F8FBFC"/>
            <w:noWrap/>
            <w:vAlign w:val="bottom"/>
            <w:hideMark/>
          </w:tcPr>
          <w:p w:rsidR="009C0565" w:rsidRPr="009C0565" w:rsidP="009C0565" w14:paraId="0061AD4A" w14:textId="77777777">
            <w:pPr>
              <w:widowControl/>
              <w:jc w:val="center"/>
              <w:rPr>
                <w:rFonts w:ascii="Calibri" w:hAnsi="Calibri" w:cs="Calibri"/>
                <w:snapToGrid/>
                <w:color w:val="333333"/>
                <w:kern w:val="0"/>
                <w:szCs w:val="22"/>
              </w:rPr>
            </w:pPr>
            <w:r w:rsidRPr="009C0565">
              <w:rPr>
                <w:rFonts w:ascii="Calibri" w:hAnsi="Calibri" w:cs="Calibri"/>
                <w:snapToGrid/>
                <w:color w:val="333333"/>
                <w:kern w:val="0"/>
                <w:szCs w:val="22"/>
              </w:rPr>
              <w:t>KBEH</w:t>
            </w:r>
          </w:p>
        </w:tc>
        <w:tc>
          <w:tcPr>
            <w:tcW w:w="183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3E41969F" w14:textId="77777777">
            <w:pPr>
              <w:widowControl/>
              <w:jc w:val="right"/>
              <w:rPr>
                <w:rFonts w:ascii="Calibri" w:hAnsi="Calibri" w:cs="Calibri"/>
                <w:snapToGrid/>
                <w:kern w:val="0"/>
                <w:szCs w:val="22"/>
              </w:rPr>
            </w:pPr>
            <w:r w:rsidRPr="009C0565">
              <w:rPr>
                <w:rFonts w:ascii="Calibri" w:hAnsi="Calibri" w:cs="Calibri"/>
                <w:snapToGrid/>
                <w:kern w:val="0"/>
                <w:szCs w:val="22"/>
              </w:rPr>
              <w:t xml:space="preserve">        17,343,236 </w:t>
            </w:r>
          </w:p>
        </w:tc>
        <w:tc>
          <w:tcPr>
            <w:tcW w:w="1407"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753C2814" w14:textId="77777777">
            <w:pPr>
              <w:widowControl/>
              <w:jc w:val="right"/>
              <w:rPr>
                <w:rFonts w:ascii="Calibri" w:hAnsi="Calibri" w:cs="Calibri"/>
                <w:snapToGrid/>
                <w:kern w:val="0"/>
                <w:szCs w:val="22"/>
              </w:rPr>
            </w:pPr>
            <w:r w:rsidRPr="009C0565">
              <w:rPr>
                <w:rFonts w:ascii="Calibri" w:hAnsi="Calibri" w:cs="Calibri"/>
                <w:snapToGrid/>
                <w:kern w:val="0"/>
                <w:szCs w:val="22"/>
              </w:rPr>
              <w:t>$125,293.94</w:t>
            </w:r>
          </w:p>
        </w:tc>
        <w:tc>
          <w:tcPr>
            <w:tcW w:w="127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1FDA7916" w14:textId="77777777">
            <w:pPr>
              <w:widowControl/>
              <w:jc w:val="right"/>
              <w:rPr>
                <w:rFonts w:ascii="Calibri" w:hAnsi="Calibri" w:cs="Calibri"/>
                <w:snapToGrid/>
                <w:color w:val="000000"/>
                <w:kern w:val="0"/>
                <w:szCs w:val="22"/>
              </w:rPr>
            </w:pPr>
            <w:r w:rsidRPr="009C0565">
              <w:rPr>
                <w:rFonts w:ascii="Calibri" w:hAnsi="Calibri" w:cs="Calibri"/>
                <w:snapToGrid/>
                <w:color w:val="000000"/>
                <w:kern w:val="0"/>
                <w:szCs w:val="22"/>
              </w:rPr>
              <w:t>$54,000.00</w:t>
            </w:r>
          </w:p>
        </w:tc>
        <w:tc>
          <w:tcPr>
            <w:tcW w:w="163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1B63F12C" w14:textId="77777777">
            <w:pPr>
              <w:widowControl/>
              <w:jc w:val="right"/>
              <w:rPr>
                <w:rFonts w:ascii="Calibri" w:hAnsi="Calibri" w:cs="Calibri"/>
                <w:snapToGrid/>
                <w:color w:val="000000"/>
                <w:kern w:val="0"/>
                <w:szCs w:val="22"/>
              </w:rPr>
            </w:pPr>
            <w:r w:rsidRPr="009C0565">
              <w:rPr>
                <w:rFonts w:ascii="Calibri" w:hAnsi="Calibri" w:cs="Calibri"/>
                <w:snapToGrid/>
                <w:color w:val="000000"/>
                <w:kern w:val="0"/>
                <w:szCs w:val="22"/>
              </w:rPr>
              <w:t>$89,646.97</w:t>
            </w:r>
          </w:p>
        </w:tc>
        <w:tc>
          <w:tcPr>
            <w:tcW w:w="3280" w:type="dxa"/>
            <w:tcBorders>
              <w:top w:val="nil"/>
              <w:left w:val="nil"/>
              <w:bottom w:val="single" w:sz="4" w:space="0" w:color="auto"/>
              <w:right w:val="single" w:sz="4" w:space="0" w:color="auto"/>
            </w:tcBorders>
            <w:shd w:val="clear" w:color="FFFFFF" w:fill="FFFFFF"/>
            <w:noWrap/>
            <w:vAlign w:val="bottom"/>
            <w:hideMark/>
          </w:tcPr>
          <w:p w:rsidR="009C0565" w:rsidRPr="009C0565" w:rsidP="009C0565" w14:paraId="6427F6F4" w14:textId="77777777">
            <w:pPr>
              <w:widowControl/>
              <w:rPr>
                <w:rFonts w:ascii="Calibri" w:hAnsi="Calibri" w:cs="Calibri"/>
                <w:b/>
                <w:bCs/>
                <w:snapToGrid/>
                <w:kern w:val="0"/>
                <w:szCs w:val="22"/>
              </w:rPr>
            </w:pPr>
            <w:r w:rsidRPr="009C0565">
              <w:rPr>
                <w:rFonts w:ascii="Calibri" w:hAnsi="Calibri" w:cs="Calibri"/>
                <w:b/>
                <w:bCs/>
                <w:snapToGrid/>
                <w:kern w:val="0"/>
                <w:szCs w:val="22"/>
              </w:rPr>
              <w:t>Los Angeles</w:t>
            </w:r>
          </w:p>
        </w:tc>
      </w:tr>
      <w:tr w14:paraId="2C200BA8" w14:textId="77777777" w:rsidTr="00F64ABC">
        <w:tblPrEx>
          <w:tblW w:w="12100" w:type="dxa"/>
          <w:tblLook w:val="04A0"/>
        </w:tblPrEx>
        <w:trPr>
          <w:trHeight w:val="300"/>
        </w:trPr>
        <w:tc>
          <w:tcPr>
            <w:tcW w:w="1440" w:type="dxa"/>
            <w:tcBorders>
              <w:top w:val="nil"/>
              <w:left w:val="single" w:sz="4" w:space="0" w:color="auto"/>
              <w:bottom w:val="single" w:sz="4" w:space="0" w:color="auto"/>
              <w:right w:val="single" w:sz="4" w:space="0" w:color="auto"/>
            </w:tcBorders>
            <w:shd w:val="clear" w:color="FFFFFF" w:fill="F8FBFC"/>
            <w:noWrap/>
            <w:vAlign w:val="bottom"/>
            <w:hideMark/>
          </w:tcPr>
          <w:p w:rsidR="009C0565" w:rsidRPr="009C0565" w:rsidP="009C0565" w14:paraId="03E8F907" w14:textId="77777777">
            <w:pPr>
              <w:widowControl/>
              <w:jc w:val="right"/>
              <w:rPr>
                <w:rFonts w:ascii="Calibri" w:hAnsi="Calibri" w:cs="Calibri"/>
                <w:snapToGrid/>
                <w:color w:val="333333"/>
                <w:kern w:val="0"/>
                <w:szCs w:val="22"/>
              </w:rPr>
            </w:pPr>
            <w:r w:rsidRPr="009C0565">
              <w:rPr>
                <w:rFonts w:ascii="Calibri" w:hAnsi="Calibri" w:cs="Calibri"/>
                <w:snapToGrid/>
                <w:color w:val="333333"/>
                <w:kern w:val="0"/>
                <w:szCs w:val="22"/>
              </w:rPr>
              <w:t>34440</w:t>
            </w:r>
          </w:p>
        </w:tc>
        <w:tc>
          <w:tcPr>
            <w:tcW w:w="1240" w:type="dxa"/>
            <w:tcBorders>
              <w:top w:val="nil"/>
              <w:left w:val="nil"/>
              <w:bottom w:val="single" w:sz="4" w:space="0" w:color="auto"/>
              <w:right w:val="single" w:sz="4" w:space="0" w:color="auto"/>
            </w:tcBorders>
            <w:shd w:val="clear" w:color="FFFFFF" w:fill="FFFFFF"/>
            <w:noWrap/>
            <w:vAlign w:val="bottom"/>
            <w:hideMark/>
          </w:tcPr>
          <w:p w:rsidR="009C0565" w:rsidRPr="009C0565" w:rsidP="009C0565" w14:paraId="1BA6286F" w14:textId="77777777">
            <w:pPr>
              <w:widowControl/>
              <w:jc w:val="center"/>
              <w:rPr>
                <w:rFonts w:ascii="Calibri" w:hAnsi="Calibri" w:cs="Calibri"/>
                <w:snapToGrid/>
                <w:color w:val="333333"/>
                <w:kern w:val="0"/>
                <w:szCs w:val="22"/>
              </w:rPr>
            </w:pPr>
            <w:r w:rsidRPr="009C0565">
              <w:rPr>
                <w:rFonts w:ascii="Calibri" w:hAnsi="Calibri" w:cs="Calibri"/>
                <w:snapToGrid/>
                <w:color w:val="333333"/>
                <w:kern w:val="0"/>
                <w:szCs w:val="22"/>
              </w:rPr>
              <w:t>KEMO-TV</w:t>
            </w:r>
          </w:p>
        </w:tc>
        <w:tc>
          <w:tcPr>
            <w:tcW w:w="183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5069E837" w14:textId="77777777">
            <w:pPr>
              <w:widowControl/>
              <w:jc w:val="right"/>
              <w:rPr>
                <w:rFonts w:ascii="Calibri" w:hAnsi="Calibri" w:cs="Calibri"/>
                <w:snapToGrid/>
                <w:kern w:val="0"/>
                <w:szCs w:val="22"/>
              </w:rPr>
            </w:pPr>
            <w:r w:rsidRPr="009C0565">
              <w:rPr>
                <w:rFonts w:ascii="Calibri" w:hAnsi="Calibri" w:cs="Calibri"/>
                <w:snapToGrid/>
                <w:kern w:val="0"/>
                <w:szCs w:val="22"/>
              </w:rPr>
              <w:t xml:space="preserve">           5,097,701 </w:t>
            </w:r>
          </w:p>
        </w:tc>
        <w:tc>
          <w:tcPr>
            <w:tcW w:w="1407"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09FE612C" w14:textId="77777777">
            <w:pPr>
              <w:widowControl/>
              <w:jc w:val="right"/>
              <w:rPr>
                <w:rFonts w:ascii="Calibri" w:hAnsi="Calibri" w:cs="Calibri"/>
                <w:snapToGrid/>
                <w:kern w:val="0"/>
                <w:szCs w:val="22"/>
              </w:rPr>
            </w:pPr>
            <w:r w:rsidRPr="009C0565">
              <w:rPr>
                <w:rFonts w:ascii="Calibri" w:hAnsi="Calibri" w:cs="Calibri"/>
                <w:snapToGrid/>
                <w:kern w:val="0"/>
                <w:szCs w:val="22"/>
              </w:rPr>
              <w:t>$36,827.67</w:t>
            </w:r>
          </w:p>
        </w:tc>
        <w:tc>
          <w:tcPr>
            <w:tcW w:w="127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7EE28AA1" w14:textId="77777777">
            <w:pPr>
              <w:widowControl/>
              <w:jc w:val="right"/>
              <w:rPr>
                <w:rFonts w:ascii="Calibri" w:hAnsi="Calibri" w:cs="Calibri"/>
                <w:snapToGrid/>
                <w:color w:val="000000"/>
                <w:kern w:val="0"/>
                <w:szCs w:val="22"/>
              </w:rPr>
            </w:pPr>
            <w:r w:rsidRPr="009C0565">
              <w:rPr>
                <w:rFonts w:ascii="Calibri" w:hAnsi="Calibri" w:cs="Calibri"/>
                <w:snapToGrid/>
                <w:color w:val="000000"/>
                <w:kern w:val="0"/>
                <w:szCs w:val="22"/>
              </w:rPr>
              <w:t>$54,000.00</w:t>
            </w:r>
          </w:p>
        </w:tc>
        <w:tc>
          <w:tcPr>
            <w:tcW w:w="163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53ED44CA" w14:textId="77777777">
            <w:pPr>
              <w:widowControl/>
              <w:jc w:val="right"/>
              <w:rPr>
                <w:rFonts w:ascii="Calibri" w:hAnsi="Calibri" w:cs="Calibri"/>
                <w:snapToGrid/>
                <w:color w:val="000000"/>
                <w:kern w:val="0"/>
                <w:szCs w:val="22"/>
              </w:rPr>
            </w:pPr>
            <w:r w:rsidRPr="009C0565">
              <w:rPr>
                <w:rFonts w:ascii="Calibri" w:hAnsi="Calibri" w:cs="Calibri"/>
                <w:snapToGrid/>
                <w:color w:val="000000"/>
                <w:kern w:val="0"/>
                <w:szCs w:val="22"/>
              </w:rPr>
              <w:t>$45,413.84</w:t>
            </w:r>
          </w:p>
        </w:tc>
        <w:tc>
          <w:tcPr>
            <w:tcW w:w="3280" w:type="dxa"/>
            <w:tcBorders>
              <w:top w:val="nil"/>
              <w:left w:val="nil"/>
              <w:bottom w:val="single" w:sz="4" w:space="0" w:color="auto"/>
              <w:right w:val="single" w:sz="4" w:space="0" w:color="auto"/>
            </w:tcBorders>
            <w:shd w:val="clear" w:color="FFFFFF" w:fill="FFFFFF"/>
            <w:noWrap/>
            <w:vAlign w:val="bottom"/>
            <w:hideMark/>
          </w:tcPr>
          <w:p w:rsidR="009C0565" w:rsidRPr="009C0565" w:rsidP="009C0565" w14:paraId="5074CE6D" w14:textId="77777777">
            <w:pPr>
              <w:widowControl/>
              <w:rPr>
                <w:rFonts w:ascii="Calibri" w:hAnsi="Calibri" w:cs="Calibri"/>
                <w:b/>
                <w:bCs/>
                <w:snapToGrid/>
                <w:kern w:val="0"/>
                <w:szCs w:val="22"/>
              </w:rPr>
            </w:pPr>
            <w:r w:rsidRPr="009C0565">
              <w:rPr>
                <w:rFonts w:ascii="Calibri" w:hAnsi="Calibri" w:cs="Calibri"/>
                <w:b/>
                <w:bCs/>
                <w:snapToGrid/>
                <w:kern w:val="0"/>
                <w:szCs w:val="22"/>
              </w:rPr>
              <w:t>San Francisco-Oak-San Jose</w:t>
            </w:r>
          </w:p>
        </w:tc>
      </w:tr>
      <w:tr w14:paraId="0CD33129" w14:textId="77777777" w:rsidTr="00F64ABC">
        <w:tblPrEx>
          <w:tblW w:w="12100" w:type="dxa"/>
          <w:tblLook w:val="04A0"/>
        </w:tblPrEx>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C0565" w:rsidRPr="009C0565" w:rsidP="009C0565" w14:paraId="646C00A0" w14:textId="77777777">
            <w:pPr>
              <w:widowControl/>
              <w:jc w:val="right"/>
              <w:rPr>
                <w:rFonts w:ascii="Calibri" w:hAnsi="Calibri" w:cs="Calibri"/>
                <w:snapToGrid/>
                <w:kern w:val="0"/>
                <w:szCs w:val="22"/>
              </w:rPr>
            </w:pPr>
            <w:r w:rsidRPr="009C0565">
              <w:rPr>
                <w:rFonts w:ascii="Calibri" w:hAnsi="Calibri" w:cs="Calibri"/>
                <w:snapToGrid/>
                <w:kern w:val="0"/>
                <w:szCs w:val="22"/>
              </w:rPr>
              <w:t>24508</w:t>
            </w:r>
          </w:p>
        </w:tc>
        <w:tc>
          <w:tcPr>
            <w:tcW w:w="1240" w:type="dxa"/>
            <w:tcBorders>
              <w:top w:val="nil"/>
              <w:left w:val="nil"/>
              <w:bottom w:val="single" w:sz="4" w:space="0" w:color="auto"/>
              <w:right w:val="single" w:sz="4" w:space="0" w:color="auto"/>
            </w:tcBorders>
            <w:shd w:val="clear" w:color="FFFFFF" w:fill="FFFFFF"/>
            <w:noWrap/>
            <w:vAlign w:val="bottom"/>
            <w:hideMark/>
          </w:tcPr>
          <w:p w:rsidR="009C0565" w:rsidRPr="009C0565" w:rsidP="009C0565" w14:paraId="1E60D6BD" w14:textId="77777777">
            <w:pPr>
              <w:widowControl/>
              <w:jc w:val="center"/>
              <w:rPr>
                <w:rFonts w:ascii="Calibri" w:hAnsi="Calibri" w:cs="Calibri"/>
                <w:snapToGrid/>
                <w:color w:val="333333"/>
                <w:kern w:val="0"/>
                <w:szCs w:val="22"/>
              </w:rPr>
            </w:pPr>
            <w:r w:rsidRPr="009C0565">
              <w:rPr>
                <w:rFonts w:ascii="Calibri" w:hAnsi="Calibri" w:cs="Calibri"/>
                <w:snapToGrid/>
                <w:color w:val="333333"/>
                <w:kern w:val="0"/>
                <w:szCs w:val="22"/>
              </w:rPr>
              <w:t>KHSL-TV</w:t>
            </w:r>
          </w:p>
        </w:tc>
        <w:tc>
          <w:tcPr>
            <w:tcW w:w="1831" w:type="dxa"/>
            <w:tcBorders>
              <w:top w:val="nil"/>
              <w:left w:val="nil"/>
              <w:bottom w:val="single" w:sz="4" w:space="0" w:color="auto"/>
              <w:right w:val="single" w:sz="4" w:space="0" w:color="auto"/>
            </w:tcBorders>
            <w:shd w:val="clear" w:color="000000" w:fill="FFFFFF"/>
            <w:noWrap/>
            <w:vAlign w:val="bottom"/>
            <w:hideMark/>
          </w:tcPr>
          <w:p w:rsidR="009C0565" w:rsidRPr="009C0565" w:rsidP="009C0565" w14:paraId="041AD79F" w14:textId="77777777">
            <w:pPr>
              <w:widowControl/>
              <w:jc w:val="right"/>
              <w:rPr>
                <w:rFonts w:ascii="Calibri" w:hAnsi="Calibri" w:cs="Calibri"/>
                <w:snapToGrid/>
                <w:kern w:val="0"/>
                <w:szCs w:val="22"/>
              </w:rPr>
            </w:pPr>
            <w:r w:rsidRPr="009C0565">
              <w:rPr>
                <w:rFonts w:ascii="Calibri" w:hAnsi="Calibri" w:cs="Calibri"/>
                <w:snapToGrid/>
                <w:kern w:val="0"/>
                <w:szCs w:val="22"/>
              </w:rPr>
              <w:t xml:space="preserve">              627,256 </w:t>
            </w:r>
          </w:p>
        </w:tc>
        <w:tc>
          <w:tcPr>
            <w:tcW w:w="1407"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14CEA2C4" w14:textId="77777777">
            <w:pPr>
              <w:widowControl/>
              <w:jc w:val="right"/>
              <w:rPr>
                <w:rFonts w:ascii="Calibri" w:hAnsi="Calibri" w:cs="Calibri"/>
                <w:snapToGrid/>
                <w:kern w:val="0"/>
                <w:szCs w:val="22"/>
              </w:rPr>
            </w:pPr>
            <w:r w:rsidRPr="009C0565">
              <w:rPr>
                <w:rFonts w:ascii="Calibri" w:hAnsi="Calibri" w:cs="Calibri"/>
                <w:snapToGrid/>
                <w:kern w:val="0"/>
                <w:szCs w:val="22"/>
              </w:rPr>
              <w:t>$4,531.53</w:t>
            </w:r>
          </w:p>
        </w:tc>
        <w:tc>
          <w:tcPr>
            <w:tcW w:w="127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5646EEED" w14:textId="77777777">
            <w:pPr>
              <w:widowControl/>
              <w:jc w:val="right"/>
              <w:rPr>
                <w:rFonts w:ascii="Calibri" w:hAnsi="Calibri" w:cs="Calibri"/>
                <w:snapToGrid/>
                <w:color w:val="000000"/>
                <w:kern w:val="0"/>
                <w:szCs w:val="22"/>
              </w:rPr>
            </w:pPr>
            <w:r w:rsidRPr="009C0565">
              <w:rPr>
                <w:rFonts w:ascii="Calibri" w:hAnsi="Calibri" w:cs="Calibri"/>
                <w:snapToGrid/>
                <w:color w:val="000000"/>
                <w:kern w:val="0"/>
                <w:szCs w:val="22"/>
              </w:rPr>
              <w:t>$4,450.00</w:t>
            </w:r>
          </w:p>
        </w:tc>
        <w:tc>
          <w:tcPr>
            <w:tcW w:w="163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7A48DD00" w14:textId="77777777">
            <w:pPr>
              <w:widowControl/>
              <w:jc w:val="right"/>
              <w:rPr>
                <w:rFonts w:ascii="Calibri" w:hAnsi="Calibri" w:cs="Calibri"/>
                <w:snapToGrid/>
                <w:color w:val="000000"/>
                <w:kern w:val="0"/>
                <w:szCs w:val="22"/>
              </w:rPr>
            </w:pPr>
            <w:r w:rsidRPr="009C0565">
              <w:rPr>
                <w:rFonts w:ascii="Calibri" w:hAnsi="Calibri" w:cs="Calibri"/>
                <w:snapToGrid/>
                <w:color w:val="000000"/>
                <w:kern w:val="0"/>
                <w:szCs w:val="22"/>
              </w:rPr>
              <w:t>$4,490.76</w:t>
            </w:r>
          </w:p>
        </w:tc>
        <w:tc>
          <w:tcPr>
            <w:tcW w:w="3280" w:type="dxa"/>
            <w:tcBorders>
              <w:top w:val="nil"/>
              <w:left w:val="nil"/>
              <w:bottom w:val="single" w:sz="4" w:space="0" w:color="auto"/>
              <w:right w:val="single" w:sz="4" w:space="0" w:color="auto"/>
            </w:tcBorders>
            <w:shd w:val="clear" w:color="FFFFFF" w:fill="FFFFFF"/>
            <w:noWrap/>
            <w:vAlign w:val="bottom"/>
            <w:hideMark/>
          </w:tcPr>
          <w:p w:rsidR="009C0565" w:rsidRPr="009C0565" w:rsidP="009C0565" w14:paraId="58534036" w14:textId="77777777">
            <w:pPr>
              <w:widowControl/>
              <w:rPr>
                <w:rFonts w:ascii="Calibri" w:hAnsi="Calibri" w:cs="Calibri"/>
                <w:b/>
                <w:bCs/>
                <w:snapToGrid/>
                <w:kern w:val="0"/>
                <w:szCs w:val="22"/>
              </w:rPr>
            </w:pPr>
            <w:r w:rsidRPr="009C0565">
              <w:rPr>
                <w:rFonts w:ascii="Calibri" w:hAnsi="Calibri" w:cs="Calibri"/>
                <w:b/>
                <w:bCs/>
                <w:snapToGrid/>
                <w:kern w:val="0"/>
                <w:szCs w:val="22"/>
              </w:rPr>
              <w:t>Chico-Redding</w:t>
            </w:r>
          </w:p>
        </w:tc>
      </w:tr>
      <w:tr w14:paraId="2BD0FFD1" w14:textId="77777777" w:rsidTr="00F64ABC">
        <w:tblPrEx>
          <w:tblW w:w="12100" w:type="dxa"/>
          <w:tblLook w:val="04A0"/>
        </w:tblPrEx>
        <w:trPr>
          <w:trHeight w:val="300"/>
        </w:trPr>
        <w:tc>
          <w:tcPr>
            <w:tcW w:w="1440" w:type="dxa"/>
            <w:tcBorders>
              <w:top w:val="nil"/>
              <w:left w:val="single" w:sz="4" w:space="0" w:color="auto"/>
              <w:bottom w:val="single" w:sz="4" w:space="0" w:color="auto"/>
              <w:right w:val="single" w:sz="4" w:space="0" w:color="auto"/>
            </w:tcBorders>
            <w:shd w:val="clear" w:color="FFFFFF" w:fill="FFFFFF"/>
            <w:noWrap/>
            <w:vAlign w:val="bottom"/>
            <w:hideMark/>
          </w:tcPr>
          <w:p w:rsidR="009C0565" w:rsidRPr="009C0565" w:rsidP="009C0565" w14:paraId="1D11A7B2" w14:textId="77777777">
            <w:pPr>
              <w:widowControl/>
              <w:jc w:val="right"/>
              <w:rPr>
                <w:rFonts w:ascii="Calibri" w:hAnsi="Calibri" w:cs="Calibri"/>
                <w:snapToGrid/>
                <w:color w:val="333333"/>
                <w:kern w:val="0"/>
                <w:szCs w:val="22"/>
              </w:rPr>
            </w:pPr>
            <w:r w:rsidRPr="009C0565">
              <w:rPr>
                <w:rFonts w:ascii="Calibri" w:hAnsi="Calibri" w:cs="Calibri"/>
                <w:snapToGrid/>
                <w:color w:val="333333"/>
                <w:kern w:val="0"/>
                <w:szCs w:val="22"/>
              </w:rPr>
              <w:t>51189</w:t>
            </w:r>
          </w:p>
        </w:tc>
        <w:tc>
          <w:tcPr>
            <w:tcW w:w="1240" w:type="dxa"/>
            <w:tcBorders>
              <w:top w:val="nil"/>
              <w:left w:val="nil"/>
              <w:bottom w:val="single" w:sz="4" w:space="0" w:color="auto"/>
              <w:right w:val="single" w:sz="4" w:space="0" w:color="auto"/>
            </w:tcBorders>
            <w:shd w:val="clear" w:color="FFFFFF" w:fill="FFFFFF"/>
            <w:noWrap/>
            <w:vAlign w:val="bottom"/>
            <w:hideMark/>
          </w:tcPr>
          <w:p w:rsidR="009C0565" w:rsidRPr="009C0565" w:rsidP="009C0565" w14:paraId="495B1B2D" w14:textId="77777777">
            <w:pPr>
              <w:widowControl/>
              <w:jc w:val="center"/>
              <w:rPr>
                <w:rFonts w:ascii="Calibri" w:hAnsi="Calibri" w:cs="Calibri"/>
                <w:snapToGrid/>
                <w:color w:val="333333"/>
                <w:kern w:val="0"/>
                <w:szCs w:val="22"/>
              </w:rPr>
            </w:pPr>
            <w:r w:rsidRPr="009C0565">
              <w:rPr>
                <w:rFonts w:ascii="Calibri" w:hAnsi="Calibri" w:cs="Calibri"/>
                <w:snapToGrid/>
                <w:color w:val="333333"/>
                <w:kern w:val="0"/>
                <w:szCs w:val="22"/>
              </w:rPr>
              <w:t>KOFY-TV</w:t>
            </w:r>
          </w:p>
        </w:tc>
        <w:tc>
          <w:tcPr>
            <w:tcW w:w="183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472E5A13" w14:textId="77777777">
            <w:pPr>
              <w:widowControl/>
              <w:jc w:val="right"/>
              <w:rPr>
                <w:rFonts w:ascii="Calibri" w:hAnsi="Calibri" w:cs="Calibri"/>
                <w:snapToGrid/>
                <w:kern w:val="0"/>
                <w:szCs w:val="22"/>
              </w:rPr>
            </w:pPr>
            <w:r w:rsidRPr="009C0565">
              <w:rPr>
                <w:rFonts w:ascii="Calibri" w:hAnsi="Calibri" w:cs="Calibri"/>
                <w:snapToGrid/>
                <w:kern w:val="0"/>
                <w:szCs w:val="22"/>
              </w:rPr>
              <w:t xml:space="preserve">           5,097,701 </w:t>
            </w:r>
          </w:p>
        </w:tc>
        <w:tc>
          <w:tcPr>
            <w:tcW w:w="1407"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584264BD" w14:textId="77777777">
            <w:pPr>
              <w:widowControl/>
              <w:jc w:val="right"/>
              <w:rPr>
                <w:rFonts w:ascii="Calibri" w:hAnsi="Calibri" w:cs="Calibri"/>
                <w:snapToGrid/>
                <w:kern w:val="0"/>
                <w:szCs w:val="22"/>
              </w:rPr>
            </w:pPr>
            <w:r w:rsidRPr="009C0565">
              <w:rPr>
                <w:rFonts w:ascii="Calibri" w:hAnsi="Calibri" w:cs="Calibri"/>
                <w:snapToGrid/>
                <w:kern w:val="0"/>
                <w:szCs w:val="22"/>
              </w:rPr>
              <w:t>$36,827.67</w:t>
            </w:r>
          </w:p>
        </w:tc>
        <w:tc>
          <w:tcPr>
            <w:tcW w:w="127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061F9EB3" w14:textId="77777777">
            <w:pPr>
              <w:widowControl/>
              <w:jc w:val="right"/>
              <w:rPr>
                <w:rFonts w:ascii="Calibri" w:hAnsi="Calibri" w:cs="Calibri"/>
                <w:snapToGrid/>
                <w:color w:val="000000"/>
                <w:kern w:val="0"/>
                <w:szCs w:val="22"/>
              </w:rPr>
            </w:pPr>
            <w:r w:rsidRPr="009C0565">
              <w:rPr>
                <w:rFonts w:ascii="Calibri" w:hAnsi="Calibri" w:cs="Calibri"/>
                <w:snapToGrid/>
                <w:color w:val="000000"/>
                <w:kern w:val="0"/>
                <w:szCs w:val="22"/>
              </w:rPr>
              <w:t>$54,000.00</w:t>
            </w:r>
          </w:p>
        </w:tc>
        <w:tc>
          <w:tcPr>
            <w:tcW w:w="163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0617EC0F" w14:textId="77777777">
            <w:pPr>
              <w:widowControl/>
              <w:jc w:val="right"/>
              <w:rPr>
                <w:rFonts w:ascii="Calibri" w:hAnsi="Calibri" w:cs="Calibri"/>
                <w:snapToGrid/>
                <w:color w:val="000000"/>
                <w:kern w:val="0"/>
                <w:szCs w:val="22"/>
              </w:rPr>
            </w:pPr>
            <w:r w:rsidRPr="009C0565">
              <w:rPr>
                <w:rFonts w:ascii="Calibri" w:hAnsi="Calibri" w:cs="Calibri"/>
                <w:snapToGrid/>
                <w:color w:val="000000"/>
                <w:kern w:val="0"/>
                <w:szCs w:val="22"/>
              </w:rPr>
              <w:t>$45,413.84</w:t>
            </w:r>
          </w:p>
        </w:tc>
        <w:tc>
          <w:tcPr>
            <w:tcW w:w="3280" w:type="dxa"/>
            <w:tcBorders>
              <w:top w:val="nil"/>
              <w:left w:val="nil"/>
              <w:bottom w:val="single" w:sz="4" w:space="0" w:color="auto"/>
              <w:right w:val="single" w:sz="4" w:space="0" w:color="auto"/>
            </w:tcBorders>
            <w:shd w:val="clear" w:color="FFFFFF" w:fill="F8FBFC"/>
            <w:noWrap/>
            <w:vAlign w:val="bottom"/>
            <w:hideMark/>
          </w:tcPr>
          <w:p w:rsidR="009C0565" w:rsidRPr="009C0565" w:rsidP="009C0565" w14:paraId="5EC7A34F" w14:textId="77777777">
            <w:pPr>
              <w:widowControl/>
              <w:rPr>
                <w:rFonts w:ascii="Calibri" w:hAnsi="Calibri" w:cs="Calibri"/>
                <w:b/>
                <w:bCs/>
                <w:snapToGrid/>
                <w:kern w:val="0"/>
                <w:szCs w:val="22"/>
              </w:rPr>
            </w:pPr>
            <w:r w:rsidRPr="009C0565">
              <w:rPr>
                <w:rFonts w:ascii="Calibri" w:hAnsi="Calibri" w:cs="Calibri"/>
                <w:b/>
                <w:bCs/>
                <w:snapToGrid/>
                <w:kern w:val="0"/>
                <w:szCs w:val="22"/>
              </w:rPr>
              <w:t>San Francisco-Oak-San Jose</w:t>
            </w:r>
          </w:p>
        </w:tc>
      </w:tr>
      <w:tr w14:paraId="26E27C7E" w14:textId="77777777" w:rsidTr="00F64ABC">
        <w:tblPrEx>
          <w:tblW w:w="12100" w:type="dxa"/>
          <w:tblLook w:val="04A0"/>
        </w:tblPrEx>
        <w:trPr>
          <w:trHeight w:val="300"/>
        </w:trPr>
        <w:tc>
          <w:tcPr>
            <w:tcW w:w="1440" w:type="dxa"/>
            <w:tcBorders>
              <w:top w:val="nil"/>
              <w:left w:val="single" w:sz="4" w:space="0" w:color="auto"/>
              <w:bottom w:val="single" w:sz="4" w:space="0" w:color="auto"/>
              <w:right w:val="single" w:sz="4" w:space="0" w:color="auto"/>
            </w:tcBorders>
            <w:shd w:val="clear" w:color="FFFFFF" w:fill="F8FBFC"/>
            <w:noWrap/>
            <w:vAlign w:val="bottom"/>
            <w:hideMark/>
          </w:tcPr>
          <w:p w:rsidR="009C0565" w:rsidRPr="009C0565" w:rsidP="009C0565" w14:paraId="0BF2C0E8" w14:textId="77777777">
            <w:pPr>
              <w:widowControl/>
              <w:jc w:val="right"/>
              <w:rPr>
                <w:rFonts w:ascii="Calibri" w:hAnsi="Calibri" w:cs="Calibri"/>
                <w:snapToGrid/>
                <w:color w:val="333333"/>
                <w:kern w:val="0"/>
                <w:szCs w:val="22"/>
              </w:rPr>
            </w:pPr>
            <w:r w:rsidRPr="009C0565">
              <w:rPr>
                <w:rFonts w:ascii="Calibri" w:hAnsi="Calibri" w:cs="Calibri"/>
                <w:snapToGrid/>
                <w:color w:val="333333"/>
                <w:kern w:val="0"/>
                <w:szCs w:val="22"/>
              </w:rPr>
              <w:t>35486</w:t>
            </w:r>
          </w:p>
        </w:tc>
        <w:tc>
          <w:tcPr>
            <w:tcW w:w="1240" w:type="dxa"/>
            <w:tcBorders>
              <w:top w:val="nil"/>
              <w:left w:val="nil"/>
              <w:bottom w:val="single" w:sz="4" w:space="0" w:color="auto"/>
              <w:right w:val="single" w:sz="4" w:space="0" w:color="auto"/>
            </w:tcBorders>
            <w:shd w:val="clear" w:color="FFFFFF" w:fill="F8FBFC"/>
            <w:noWrap/>
            <w:vAlign w:val="bottom"/>
            <w:hideMark/>
          </w:tcPr>
          <w:p w:rsidR="009C0565" w:rsidRPr="009C0565" w:rsidP="009C0565" w14:paraId="7ADF3ECC" w14:textId="77777777">
            <w:pPr>
              <w:widowControl/>
              <w:jc w:val="center"/>
              <w:rPr>
                <w:rFonts w:ascii="Calibri" w:hAnsi="Calibri" w:cs="Calibri"/>
                <w:snapToGrid/>
                <w:color w:val="333333"/>
                <w:kern w:val="0"/>
                <w:szCs w:val="22"/>
              </w:rPr>
            </w:pPr>
            <w:r w:rsidRPr="009C0565">
              <w:rPr>
                <w:rFonts w:ascii="Calibri" w:hAnsi="Calibri" w:cs="Calibri"/>
                <w:snapToGrid/>
                <w:color w:val="333333"/>
                <w:kern w:val="0"/>
                <w:szCs w:val="22"/>
              </w:rPr>
              <w:t>KPNX</w:t>
            </w:r>
          </w:p>
        </w:tc>
        <w:tc>
          <w:tcPr>
            <w:tcW w:w="1831" w:type="dxa"/>
            <w:tcBorders>
              <w:top w:val="nil"/>
              <w:left w:val="nil"/>
              <w:bottom w:val="single" w:sz="4" w:space="0" w:color="auto"/>
              <w:right w:val="single" w:sz="4" w:space="0" w:color="auto"/>
            </w:tcBorders>
            <w:shd w:val="clear" w:color="000000" w:fill="FFFFFF"/>
            <w:noWrap/>
            <w:vAlign w:val="bottom"/>
            <w:hideMark/>
          </w:tcPr>
          <w:p w:rsidR="009C0565" w:rsidRPr="009C0565" w:rsidP="009C0565" w14:paraId="617912FD" w14:textId="77777777">
            <w:pPr>
              <w:widowControl/>
              <w:jc w:val="right"/>
              <w:rPr>
                <w:rFonts w:ascii="Calibri" w:hAnsi="Calibri" w:cs="Calibri"/>
                <w:snapToGrid/>
                <w:kern w:val="0"/>
                <w:szCs w:val="22"/>
              </w:rPr>
            </w:pPr>
            <w:r w:rsidRPr="009C0565">
              <w:rPr>
                <w:rFonts w:ascii="Calibri" w:hAnsi="Calibri" w:cs="Calibri"/>
                <w:snapToGrid/>
                <w:kern w:val="0"/>
                <w:szCs w:val="22"/>
              </w:rPr>
              <w:t xml:space="preserve">           4,216,950 </w:t>
            </w:r>
          </w:p>
        </w:tc>
        <w:tc>
          <w:tcPr>
            <w:tcW w:w="1407"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7CDA6FEA" w14:textId="77777777">
            <w:pPr>
              <w:widowControl/>
              <w:jc w:val="right"/>
              <w:rPr>
                <w:rFonts w:ascii="Calibri" w:hAnsi="Calibri" w:cs="Calibri"/>
                <w:snapToGrid/>
                <w:kern w:val="0"/>
                <w:szCs w:val="22"/>
              </w:rPr>
            </w:pPr>
            <w:r w:rsidRPr="009C0565">
              <w:rPr>
                <w:rFonts w:ascii="Calibri" w:hAnsi="Calibri" w:cs="Calibri"/>
                <w:snapToGrid/>
                <w:kern w:val="0"/>
                <w:szCs w:val="22"/>
              </w:rPr>
              <w:t>$30,464.80</w:t>
            </w:r>
          </w:p>
        </w:tc>
        <w:tc>
          <w:tcPr>
            <w:tcW w:w="127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63045573" w14:textId="77777777">
            <w:pPr>
              <w:widowControl/>
              <w:jc w:val="right"/>
              <w:rPr>
                <w:rFonts w:ascii="Calibri" w:hAnsi="Calibri" w:cs="Calibri"/>
                <w:snapToGrid/>
                <w:color w:val="000000"/>
                <w:kern w:val="0"/>
                <w:szCs w:val="22"/>
              </w:rPr>
            </w:pPr>
            <w:r w:rsidRPr="009C0565">
              <w:rPr>
                <w:rFonts w:ascii="Calibri" w:hAnsi="Calibri" w:cs="Calibri"/>
                <w:snapToGrid/>
                <w:color w:val="000000"/>
                <w:kern w:val="0"/>
                <w:szCs w:val="22"/>
              </w:rPr>
              <w:t>$40,675.00</w:t>
            </w:r>
          </w:p>
        </w:tc>
        <w:tc>
          <w:tcPr>
            <w:tcW w:w="163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384EF6EB" w14:textId="77777777">
            <w:pPr>
              <w:widowControl/>
              <w:jc w:val="right"/>
              <w:rPr>
                <w:rFonts w:ascii="Calibri" w:hAnsi="Calibri" w:cs="Calibri"/>
                <w:snapToGrid/>
                <w:color w:val="000000"/>
                <w:kern w:val="0"/>
                <w:szCs w:val="22"/>
              </w:rPr>
            </w:pPr>
            <w:r w:rsidRPr="009C0565">
              <w:rPr>
                <w:rFonts w:ascii="Calibri" w:hAnsi="Calibri" w:cs="Calibri"/>
                <w:snapToGrid/>
                <w:color w:val="000000"/>
                <w:kern w:val="0"/>
                <w:szCs w:val="22"/>
              </w:rPr>
              <w:t>$35,569.90</w:t>
            </w:r>
          </w:p>
        </w:tc>
        <w:tc>
          <w:tcPr>
            <w:tcW w:w="3280" w:type="dxa"/>
            <w:tcBorders>
              <w:top w:val="nil"/>
              <w:left w:val="nil"/>
              <w:bottom w:val="single" w:sz="4" w:space="0" w:color="auto"/>
              <w:right w:val="single" w:sz="4" w:space="0" w:color="auto"/>
            </w:tcBorders>
            <w:shd w:val="clear" w:color="FFFFFF" w:fill="FFFFFF"/>
            <w:noWrap/>
            <w:vAlign w:val="bottom"/>
            <w:hideMark/>
          </w:tcPr>
          <w:p w:rsidR="009C0565" w:rsidRPr="009C0565" w:rsidP="009C0565" w14:paraId="48635C8E" w14:textId="77777777">
            <w:pPr>
              <w:widowControl/>
              <w:rPr>
                <w:rFonts w:ascii="Calibri" w:hAnsi="Calibri" w:cs="Calibri"/>
                <w:b/>
                <w:bCs/>
                <w:snapToGrid/>
                <w:kern w:val="0"/>
                <w:szCs w:val="22"/>
              </w:rPr>
            </w:pPr>
            <w:r w:rsidRPr="009C0565">
              <w:rPr>
                <w:rFonts w:ascii="Calibri" w:hAnsi="Calibri" w:cs="Calibri"/>
                <w:b/>
                <w:bCs/>
                <w:snapToGrid/>
                <w:kern w:val="0"/>
                <w:szCs w:val="22"/>
              </w:rPr>
              <w:t>Phoenix (Prescott)</w:t>
            </w:r>
          </w:p>
        </w:tc>
      </w:tr>
      <w:tr w14:paraId="72FD7E67" w14:textId="77777777" w:rsidTr="00F64ABC">
        <w:tblPrEx>
          <w:tblW w:w="12100" w:type="dxa"/>
          <w:tblLook w:val="04A0"/>
        </w:tblPrEx>
        <w:trPr>
          <w:trHeight w:val="300"/>
        </w:trPr>
        <w:tc>
          <w:tcPr>
            <w:tcW w:w="1440" w:type="dxa"/>
            <w:tcBorders>
              <w:top w:val="nil"/>
              <w:left w:val="single" w:sz="4" w:space="0" w:color="auto"/>
              <w:bottom w:val="single" w:sz="4" w:space="0" w:color="auto"/>
              <w:right w:val="single" w:sz="4" w:space="0" w:color="auto"/>
            </w:tcBorders>
            <w:shd w:val="clear" w:color="FFFFFF" w:fill="F8FBFC"/>
            <w:noWrap/>
            <w:vAlign w:val="bottom"/>
            <w:hideMark/>
          </w:tcPr>
          <w:p w:rsidR="009C0565" w:rsidRPr="009C0565" w:rsidP="009C0565" w14:paraId="59CEBD7F" w14:textId="77777777">
            <w:pPr>
              <w:widowControl/>
              <w:jc w:val="right"/>
              <w:rPr>
                <w:rFonts w:ascii="Calibri" w:hAnsi="Calibri" w:cs="Calibri"/>
                <w:snapToGrid/>
                <w:color w:val="333333"/>
                <w:kern w:val="0"/>
                <w:szCs w:val="22"/>
              </w:rPr>
            </w:pPr>
            <w:r w:rsidRPr="009C0565">
              <w:rPr>
                <w:rFonts w:ascii="Calibri" w:hAnsi="Calibri" w:cs="Calibri"/>
                <w:snapToGrid/>
                <w:color w:val="333333"/>
                <w:kern w:val="0"/>
                <w:szCs w:val="22"/>
              </w:rPr>
              <w:t>35611</w:t>
            </w:r>
          </w:p>
        </w:tc>
        <w:tc>
          <w:tcPr>
            <w:tcW w:w="1240" w:type="dxa"/>
            <w:tcBorders>
              <w:top w:val="nil"/>
              <w:left w:val="nil"/>
              <w:bottom w:val="single" w:sz="4" w:space="0" w:color="auto"/>
              <w:right w:val="single" w:sz="4" w:space="0" w:color="auto"/>
            </w:tcBorders>
            <w:shd w:val="clear" w:color="FFFFFF" w:fill="F8FBFC"/>
            <w:noWrap/>
            <w:vAlign w:val="bottom"/>
            <w:hideMark/>
          </w:tcPr>
          <w:p w:rsidR="009C0565" w:rsidRPr="009C0565" w:rsidP="009C0565" w14:paraId="6B48952A" w14:textId="77777777">
            <w:pPr>
              <w:widowControl/>
              <w:jc w:val="center"/>
              <w:rPr>
                <w:rFonts w:ascii="Calibri" w:hAnsi="Calibri" w:cs="Calibri"/>
                <w:snapToGrid/>
                <w:color w:val="333333"/>
                <w:kern w:val="0"/>
                <w:szCs w:val="22"/>
              </w:rPr>
            </w:pPr>
            <w:r w:rsidRPr="009C0565">
              <w:rPr>
                <w:rFonts w:ascii="Calibri" w:hAnsi="Calibri" w:cs="Calibri"/>
                <w:snapToGrid/>
                <w:color w:val="333333"/>
                <w:kern w:val="0"/>
                <w:szCs w:val="22"/>
              </w:rPr>
              <w:t>KSMS-TV</w:t>
            </w:r>
          </w:p>
        </w:tc>
        <w:tc>
          <w:tcPr>
            <w:tcW w:w="183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5A8F58E7" w14:textId="77777777">
            <w:pPr>
              <w:widowControl/>
              <w:jc w:val="right"/>
              <w:rPr>
                <w:rFonts w:ascii="Calibri" w:hAnsi="Calibri" w:cs="Calibri"/>
                <w:snapToGrid/>
                <w:kern w:val="0"/>
                <w:szCs w:val="22"/>
              </w:rPr>
            </w:pPr>
            <w:r w:rsidRPr="009C0565">
              <w:rPr>
                <w:rFonts w:ascii="Calibri" w:hAnsi="Calibri" w:cs="Calibri"/>
                <w:snapToGrid/>
                <w:kern w:val="0"/>
                <w:szCs w:val="22"/>
              </w:rPr>
              <w:t xml:space="preserve">           1,251,045 </w:t>
            </w:r>
          </w:p>
        </w:tc>
        <w:tc>
          <w:tcPr>
            <w:tcW w:w="1407"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48527E71" w14:textId="77777777">
            <w:pPr>
              <w:widowControl/>
              <w:jc w:val="right"/>
              <w:rPr>
                <w:rFonts w:ascii="Calibri" w:hAnsi="Calibri" w:cs="Calibri"/>
                <w:snapToGrid/>
                <w:kern w:val="0"/>
                <w:szCs w:val="22"/>
              </w:rPr>
            </w:pPr>
            <w:r w:rsidRPr="009C0565">
              <w:rPr>
                <w:rFonts w:ascii="Calibri" w:hAnsi="Calibri" w:cs="Calibri"/>
                <w:snapToGrid/>
                <w:kern w:val="0"/>
                <w:szCs w:val="22"/>
              </w:rPr>
              <w:t>$9,038.01</w:t>
            </w:r>
          </w:p>
        </w:tc>
        <w:tc>
          <w:tcPr>
            <w:tcW w:w="127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1FC99DCE" w14:textId="77777777">
            <w:pPr>
              <w:widowControl/>
              <w:jc w:val="right"/>
              <w:rPr>
                <w:rFonts w:ascii="Calibri" w:hAnsi="Calibri" w:cs="Calibri"/>
                <w:snapToGrid/>
                <w:color w:val="000000"/>
                <w:kern w:val="0"/>
                <w:szCs w:val="22"/>
              </w:rPr>
            </w:pPr>
            <w:r w:rsidRPr="009C0565">
              <w:rPr>
                <w:rFonts w:ascii="Calibri" w:hAnsi="Calibri" w:cs="Calibri"/>
                <w:snapToGrid/>
                <w:color w:val="000000"/>
                <w:kern w:val="0"/>
                <w:szCs w:val="22"/>
              </w:rPr>
              <w:t>$4,450.00</w:t>
            </w:r>
          </w:p>
        </w:tc>
        <w:tc>
          <w:tcPr>
            <w:tcW w:w="163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14B798C4" w14:textId="77777777">
            <w:pPr>
              <w:widowControl/>
              <w:jc w:val="right"/>
              <w:rPr>
                <w:rFonts w:ascii="Calibri" w:hAnsi="Calibri" w:cs="Calibri"/>
                <w:snapToGrid/>
                <w:color w:val="000000"/>
                <w:kern w:val="0"/>
                <w:szCs w:val="22"/>
              </w:rPr>
            </w:pPr>
            <w:r w:rsidRPr="009C0565">
              <w:rPr>
                <w:rFonts w:ascii="Calibri" w:hAnsi="Calibri" w:cs="Calibri"/>
                <w:snapToGrid/>
                <w:color w:val="000000"/>
                <w:kern w:val="0"/>
                <w:szCs w:val="22"/>
              </w:rPr>
              <w:t>$6,744.01</w:t>
            </w:r>
          </w:p>
        </w:tc>
        <w:tc>
          <w:tcPr>
            <w:tcW w:w="3280" w:type="dxa"/>
            <w:tcBorders>
              <w:top w:val="nil"/>
              <w:left w:val="nil"/>
              <w:bottom w:val="single" w:sz="4" w:space="0" w:color="auto"/>
              <w:right w:val="single" w:sz="4" w:space="0" w:color="auto"/>
            </w:tcBorders>
            <w:shd w:val="clear" w:color="FFFFFF" w:fill="F8FBFC"/>
            <w:noWrap/>
            <w:vAlign w:val="bottom"/>
            <w:hideMark/>
          </w:tcPr>
          <w:p w:rsidR="009C0565" w:rsidRPr="009C0565" w:rsidP="009C0565" w14:paraId="626C6221" w14:textId="77777777">
            <w:pPr>
              <w:widowControl/>
              <w:rPr>
                <w:rFonts w:ascii="Calibri" w:hAnsi="Calibri" w:cs="Calibri"/>
                <w:b/>
                <w:bCs/>
                <w:snapToGrid/>
                <w:kern w:val="0"/>
                <w:szCs w:val="22"/>
              </w:rPr>
            </w:pPr>
            <w:r w:rsidRPr="009C0565">
              <w:rPr>
                <w:rFonts w:ascii="Calibri" w:hAnsi="Calibri" w:cs="Calibri"/>
                <w:b/>
                <w:bCs/>
                <w:snapToGrid/>
                <w:kern w:val="0"/>
                <w:szCs w:val="22"/>
              </w:rPr>
              <w:t>Monterey-Salinas</w:t>
            </w:r>
          </w:p>
        </w:tc>
      </w:tr>
      <w:tr w14:paraId="4018E308" w14:textId="77777777" w:rsidTr="00F64ABC">
        <w:tblPrEx>
          <w:tblW w:w="12100" w:type="dxa"/>
          <w:tblLook w:val="04A0"/>
        </w:tblPrEx>
        <w:trPr>
          <w:trHeight w:val="300"/>
        </w:trPr>
        <w:tc>
          <w:tcPr>
            <w:tcW w:w="1440" w:type="dxa"/>
            <w:tcBorders>
              <w:top w:val="nil"/>
              <w:left w:val="single" w:sz="4" w:space="0" w:color="auto"/>
              <w:bottom w:val="single" w:sz="4" w:space="0" w:color="auto"/>
              <w:right w:val="single" w:sz="4" w:space="0" w:color="auto"/>
            </w:tcBorders>
            <w:shd w:val="clear" w:color="FFFFFF" w:fill="F8FBFC"/>
            <w:noWrap/>
            <w:vAlign w:val="bottom"/>
            <w:hideMark/>
          </w:tcPr>
          <w:p w:rsidR="009C0565" w:rsidRPr="009C0565" w:rsidP="009C0565" w14:paraId="01E71D46" w14:textId="77777777">
            <w:pPr>
              <w:widowControl/>
              <w:jc w:val="right"/>
              <w:rPr>
                <w:rFonts w:ascii="Calibri" w:hAnsi="Calibri" w:cs="Calibri"/>
                <w:snapToGrid/>
                <w:color w:val="333333"/>
                <w:kern w:val="0"/>
                <w:szCs w:val="22"/>
              </w:rPr>
            </w:pPr>
            <w:r w:rsidRPr="009C0565">
              <w:rPr>
                <w:rFonts w:ascii="Calibri" w:hAnsi="Calibri" w:cs="Calibri"/>
                <w:snapToGrid/>
                <w:color w:val="333333"/>
                <w:kern w:val="0"/>
                <w:szCs w:val="22"/>
              </w:rPr>
              <w:t>49153</w:t>
            </w:r>
          </w:p>
        </w:tc>
        <w:tc>
          <w:tcPr>
            <w:tcW w:w="1240" w:type="dxa"/>
            <w:tcBorders>
              <w:top w:val="nil"/>
              <w:left w:val="nil"/>
              <w:bottom w:val="single" w:sz="4" w:space="0" w:color="auto"/>
              <w:right w:val="single" w:sz="4" w:space="0" w:color="auto"/>
            </w:tcBorders>
            <w:shd w:val="clear" w:color="FFFFFF" w:fill="FFFFFF"/>
            <w:noWrap/>
            <w:vAlign w:val="bottom"/>
            <w:hideMark/>
          </w:tcPr>
          <w:p w:rsidR="009C0565" w:rsidRPr="009C0565" w:rsidP="009C0565" w14:paraId="1A5AB09E" w14:textId="77777777">
            <w:pPr>
              <w:widowControl/>
              <w:jc w:val="center"/>
              <w:rPr>
                <w:rFonts w:ascii="Calibri" w:hAnsi="Calibri" w:cs="Calibri"/>
                <w:snapToGrid/>
                <w:color w:val="333333"/>
                <w:kern w:val="0"/>
                <w:szCs w:val="22"/>
              </w:rPr>
            </w:pPr>
            <w:r w:rsidRPr="009C0565">
              <w:rPr>
                <w:rFonts w:ascii="Calibri" w:hAnsi="Calibri" w:cs="Calibri"/>
                <w:snapToGrid/>
                <w:color w:val="333333"/>
                <w:kern w:val="0"/>
                <w:szCs w:val="22"/>
              </w:rPr>
              <w:t>KTLN-TV</w:t>
            </w:r>
          </w:p>
        </w:tc>
        <w:tc>
          <w:tcPr>
            <w:tcW w:w="183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24365AFE" w14:textId="77777777">
            <w:pPr>
              <w:widowControl/>
              <w:jc w:val="right"/>
              <w:rPr>
                <w:rFonts w:ascii="Calibri" w:hAnsi="Calibri" w:cs="Calibri"/>
                <w:snapToGrid/>
                <w:kern w:val="0"/>
                <w:szCs w:val="22"/>
              </w:rPr>
            </w:pPr>
            <w:r w:rsidRPr="009C0565">
              <w:rPr>
                <w:rFonts w:ascii="Calibri" w:hAnsi="Calibri" w:cs="Calibri"/>
                <w:snapToGrid/>
                <w:kern w:val="0"/>
                <w:szCs w:val="22"/>
              </w:rPr>
              <w:t xml:space="preserve">           5,209,087 </w:t>
            </w:r>
          </w:p>
        </w:tc>
        <w:tc>
          <w:tcPr>
            <w:tcW w:w="1407"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544D9897" w14:textId="77777777">
            <w:pPr>
              <w:widowControl/>
              <w:jc w:val="right"/>
              <w:rPr>
                <w:rFonts w:ascii="Calibri" w:hAnsi="Calibri" w:cs="Calibri"/>
                <w:snapToGrid/>
                <w:kern w:val="0"/>
                <w:szCs w:val="22"/>
              </w:rPr>
            </w:pPr>
            <w:r w:rsidRPr="009C0565">
              <w:rPr>
                <w:rFonts w:ascii="Calibri" w:hAnsi="Calibri" w:cs="Calibri"/>
                <w:snapToGrid/>
                <w:kern w:val="0"/>
                <w:szCs w:val="22"/>
              </w:rPr>
              <w:t>$37,632.37</w:t>
            </w:r>
          </w:p>
        </w:tc>
        <w:tc>
          <w:tcPr>
            <w:tcW w:w="127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3FE3BC49" w14:textId="77777777">
            <w:pPr>
              <w:widowControl/>
              <w:jc w:val="right"/>
              <w:rPr>
                <w:rFonts w:ascii="Calibri" w:hAnsi="Calibri" w:cs="Calibri"/>
                <w:snapToGrid/>
                <w:color w:val="000000"/>
                <w:kern w:val="0"/>
                <w:szCs w:val="22"/>
              </w:rPr>
            </w:pPr>
            <w:r w:rsidRPr="009C0565">
              <w:rPr>
                <w:rFonts w:ascii="Calibri" w:hAnsi="Calibri" w:cs="Calibri"/>
                <w:snapToGrid/>
                <w:color w:val="000000"/>
                <w:kern w:val="0"/>
                <w:szCs w:val="22"/>
              </w:rPr>
              <w:t>$54,000.00</w:t>
            </w:r>
          </w:p>
        </w:tc>
        <w:tc>
          <w:tcPr>
            <w:tcW w:w="163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1EBB17C9" w14:textId="77777777">
            <w:pPr>
              <w:widowControl/>
              <w:jc w:val="right"/>
              <w:rPr>
                <w:rFonts w:ascii="Calibri" w:hAnsi="Calibri" w:cs="Calibri"/>
                <w:snapToGrid/>
                <w:color w:val="000000"/>
                <w:kern w:val="0"/>
                <w:szCs w:val="22"/>
              </w:rPr>
            </w:pPr>
            <w:r w:rsidRPr="009C0565">
              <w:rPr>
                <w:rFonts w:ascii="Calibri" w:hAnsi="Calibri" w:cs="Calibri"/>
                <w:snapToGrid/>
                <w:color w:val="000000"/>
                <w:kern w:val="0"/>
                <w:szCs w:val="22"/>
              </w:rPr>
              <w:t>$45,816.18</w:t>
            </w:r>
          </w:p>
        </w:tc>
        <w:tc>
          <w:tcPr>
            <w:tcW w:w="3280" w:type="dxa"/>
            <w:tcBorders>
              <w:top w:val="nil"/>
              <w:left w:val="nil"/>
              <w:bottom w:val="single" w:sz="4" w:space="0" w:color="auto"/>
              <w:right w:val="single" w:sz="4" w:space="0" w:color="auto"/>
            </w:tcBorders>
            <w:shd w:val="clear" w:color="FFFFFF" w:fill="FFFFFF"/>
            <w:noWrap/>
            <w:vAlign w:val="bottom"/>
            <w:hideMark/>
          </w:tcPr>
          <w:p w:rsidR="009C0565" w:rsidRPr="009C0565" w:rsidP="009C0565" w14:paraId="0A8C36A4" w14:textId="77777777">
            <w:pPr>
              <w:widowControl/>
              <w:rPr>
                <w:rFonts w:ascii="Calibri" w:hAnsi="Calibri" w:cs="Calibri"/>
                <w:b/>
                <w:bCs/>
                <w:snapToGrid/>
                <w:kern w:val="0"/>
                <w:szCs w:val="22"/>
              </w:rPr>
            </w:pPr>
            <w:r w:rsidRPr="009C0565">
              <w:rPr>
                <w:rFonts w:ascii="Calibri" w:hAnsi="Calibri" w:cs="Calibri"/>
                <w:b/>
                <w:bCs/>
                <w:snapToGrid/>
                <w:kern w:val="0"/>
                <w:szCs w:val="22"/>
              </w:rPr>
              <w:t>San Francisco-Oak-San Jose</w:t>
            </w:r>
          </w:p>
        </w:tc>
      </w:tr>
      <w:tr w14:paraId="010865B1" w14:textId="77777777" w:rsidTr="00F64ABC">
        <w:tblPrEx>
          <w:tblW w:w="12100" w:type="dxa"/>
          <w:tblLook w:val="04A0"/>
        </w:tblPrEx>
        <w:trPr>
          <w:trHeight w:val="300"/>
        </w:trPr>
        <w:tc>
          <w:tcPr>
            <w:tcW w:w="1440" w:type="dxa"/>
            <w:tcBorders>
              <w:top w:val="nil"/>
              <w:left w:val="single" w:sz="4" w:space="0" w:color="auto"/>
              <w:bottom w:val="single" w:sz="4" w:space="0" w:color="auto"/>
              <w:right w:val="single" w:sz="4" w:space="0" w:color="auto"/>
            </w:tcBorders>
            <w:shd w:val="clear" w:color="FFFFFF" w:fill="FFFFFF"/>
            <w:noWrap/>
            <w:vAlign w:val="bottom"/>
            <w:hideMark/>
          </w:tcPr>
          <w:p w:rsidR="009C0565" w:rsidRPr="009C0565" w:rsidP="009C0565" w14:paraId="15CA7F41" w14:textId="77777777">
            <w:pPr>
              <w:widowControl/>
              <w:jc w:val="right"/>
              <w:rPr>
                <w:rFonts w:ascii="Calibri" w:hAnsi="Calibri" w:cs="Calibri"/>
                <w:snapToGrid/>
                <w:color w:val="333333"/>
                <w:kern w:val="0"/>
                <w:szCs w:val="22"/>
              </w:rPr>
            </w:pPr>
            <w:r w:rsidRPr="009C0565">
              <w:rPr>
                <w:rFonts w:ascii="Calibri" w:hAnsi="Calibri" w:cs="Calibri"/>
                <w:snapToGrid/>
                <w:color w:val="333333"/>
                <w:kern w:val="0"/>
                <w:szCs w:val="22"/>
              </w:rPr>
              <w:t>21533</w:t>
            </w:r>
          </w:p>
        </w:tc>
        <w:tc>
          <w:tcPr>
            <w:tcW w:w="1240" w:type="dxa"/>
            <w:tcBorders>
              <w:top w:val="nil"/>
              <w:left w:val="nil"/>
              <w:bottom w:val="single" w:sz="4" w:space="0" w:color="auto"/>
              <w:right w:val="single" w:sz="4" w:space="0" w:color="auto"/>
            </w:tcBorders>
            <w:shd w:val="clear" w:color="FFFFFF" w:fill="F8FBFC"/>
            <w:noWrap/>
            <w:vAlign w:val="bottom"/>
            <w:hideMark/>
          </w:tcPr>
          <w:p w:rsidR="009C0565" w:rsidRPr="009C0565" w:rsidP="009C0565" w14:paraId="14808FD2" w14:textId="77777777">
            <w:pPr>
              <w:widowControl/>
              <w:jc w:val="center"/>
              <w:rPr>
                <w:rFonts w:ascii="Calibri" w:hAnsi="Calibri" w:cs="Calibri"/>
                <w:snapToGrid/>
                <w:color w:val="333333"/>
                <w:kern w:val="0"/>
                <w:szCs w:val="22"/>
              </w:rPr>
            </w:pPr>
            <w:r w:rsidRPr="009C0565">
              <w:rPr>
                <w:rFonts w:ascii="Calibri" w:hAnsi="Calibri" w:cs="Calibri"/>
                <w:snapToGrid/>
                <w:color w:val="333333"/>
                <w:kern w:val="0"/>
                <w:szCs w:val="22"/>
              </w:rPr>
              <w:t>KTNC-TV</w:t>
            </w:r>
          </w:p>
        </w:tc>
        <w:tc>
          <w:tcPr>
            <w:tcW w:w="183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231A2F67" w14:textId="77777777">
            <w:pPr>
              <w:widowControl/>
              <w:jc w:val="right"/>
              <w:rPr>
                <w:rFonts w:ascii="Calibri" w:hAnsi="Calibri" w:cs="Calibri"/>
                <w:snapToGrid/>
                <w:kern w:val="0"/>
                <w:szCs w:val="22"/>
              </w:rPr>
            </w:pPr>
            <w:r w:rsidRPr="009C0565">
              <w:rPr>
                <w:rFonts w:ascii="Calibri" w:hAnsi="Calibri" w:cs="Calibri"/>
                <w:snapToGrid/>
                <w:kern w:val="0"/>
                <w:szCs w:val="22"/>
              </w:rPr>
              <w:t xml:space="preserve">           8,048,427 </w:t>
            </w:r>
          </w:p>
        </w:tc>
        <w:tc>
          <w:tcPr>
            <w:tcW w:w="1407"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3E993A2A" w14:textId="77777777">
            <w:pPr>
              <w:widowControl/>
              <w:jc w:val="right"/>
              <w:rPr>
                <w:rFonts w:ascii="Calibri" w:hAnsi="Calibri" w:cs="Calibri"/>
                <w:snapToGrid/>
                <w:kern w:val="0"/>
                <w:szCs w:val="22"/>
              </w:rPr>
            </w:pPr>
            <w:r w:rsidRPr="009C0565">
              <w:rPr>
                <w:rFonts w:ascii="Calibri" w:hAnsi="Calibri" w:cs="Calibri"/>
                <w:snapToGrid/>
                <w:kern w:val="0"/>
                <w:szCs w:val="22"/>
              </w:rPr>
              <w:t>$58,144.81</w:t>
            </w:r>
          </w:p>
        </w:tc>
        <w:tc>
          <w:tcPr>
            <w:tcW w:w="127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17593C7F" w14:textId="77777777">
            <w:pPr>
              <w:widowControl/>
              <w:jc w:val="right"/>
              <w:rPr>
                <w:rFonts w:ascii="Calibri" w:hAnsi="Calibri" w:cs="Calibri"/>
                <w:snapToGrid/>
                <w:color w:val="000000"/>
                <w:kern w:val="0"/>
                <w:szCs w:val="22"/>
              </w:rPr>
            </w:pPr>
            <w:r w:rsidRPr="009C0565">
              <w:rPr>
                <w:rFonts w:ascii="Calibri" w:hAnsi="Calibri" w:cs="Calibri"/>
                <w:snapToGrid/>
                <w:color w:val="000000"/>
                <w:kern w:val="0"/>
                <w:szCs w:val="22"/>
              </w:rPr>
              <w:t>$54,000.00</w:t>
            </w:r>
          </w:p>
        </w:tc>
        <w:tc>
          <w:tcPr>
            <w:tcW w:w="163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55728271" w14:textId="77777777">
            <w:pPr>
              <w:widowControl/>
              <w:jc w:val="right"/>
              <w:rPr>
                <w:rFonts w:ascii="Calibri" w:hAnsi="Calibri" w:cs="Calibri"/>
                <w:snapToGrid/>
                <w:color w:val="000000"/>
                <w:kern w:val="0"/>
                <w:szCs w:val="22"/>
              </w:rPr>
            </w:pPr>
            <w:r w:rsidRPr="009C0565">
              <w:rPr>
                <w:rFonts w:ascii="Calibri" w:hAnsi="Calibri" w:cs="Calibri"/>
                <w:snapToGrid/>
                <w:color w:val="000000"/>
                <w:kern w:val="0"/>
                <w:szCs w:val="22"/>
              </w:rPr>
              <w:t>$56,072.40</w:t>
            </w:r>
          </w:p>
        </w:tc>
        <w:tc>
          <w:tcPr>
            <w:tcW w:w="3280" w:type="dxa"/>
            <w:tcBorders>
              <w:top w:val="nil"/>
              <w:left w:val="nil"/>
              <w:bottom w:val="single" w:sz="4" w:space="0" w:color="auto"/>
              <w:right w:val="single" w:sz="4" w:space="0" w:color="auto"/>
            </w:tcBorders>
            <w:shd w:val="clear" w:color="FFFFFF" w:fill="FFFFFF"/>
            <w:noWrap/>
            <w:vAlign w:val="bottom"/>
            <w:hideMark/>
          </w:tcPr>
          <w:p w:rsidR="009C0565" w:rsidRPr="009C0565" w:rsidP="009C0565" w14:paraId="25030CA2" w14:textId="77777777">
            <w:pPr>
              <w:widowControl/>
              <w:rPr>
                <w:rFonts w:ascii="Calibri" w:hAnsi="Calibri" w:cs="Calibri"/>
                <w:b/>
                <w:bCs/>
                <w:snapToGrid/>
                <w:kern w:val="0"/>
                <w:szCs w:val="22"/>
              </w:rPr>
            </w:pPr>
            <w:r w:rsidRPr="009C0565">
              <w:rPr>
                <w:rFonts w:ascii="Calibri" w:hAnsi="Calibri" w:cs="Calibri"/>
                <w:b/>
                <w:bCs/>
                <w:snapToGrid/>
                <w:kern w:val="0"/>
                <w:szCs w:val="22"/>
              </w:rPr>
              <w:t>San Francisco-Oak-San Jose</w:t>
            </w:r>
          </w:p>
        </w:tc>
      </w:tr>
      <w:tr w14:paraId="13D5F07F" w14:textId="77777777" w:rsidTr="00F64ABC">
        <w:tblPrEx>
          <w:tblW w:w="12100" w:type="dxa"/>
          <w:tblLook w:val="04A0"/>
        </w:tblPrEx>
        <w:trPr>
          <w:trHeight w:val="300"/>
        </w:trPr>
        <w:tc>
          <w:tcPr>
            <w:tcW w:w="1440" w:type="dxa"/>
            <w:tcBorders>
              <w:top w:val="nil"/>
              <w:left w:val="single" w:sz="4" w:space="0" w:color="auto"/>
              <w:bottom w:val="single" w:sz="4" w:space="0" w:color="auto"/>
              <w:right w:val="single" w:sz="4" w:space="0" w:color="auto"/>
            </w:tcBorders>
            <w:shd w:val="clear" w:color="FFFFFF" w:fill="F8FBFC"/>
            <w:noWrap/>
            <w:vAlign w:val="bottom"/>
            <w:hideMark/>
          </w:tcPr>
          <w:p w:rsidR="009C0565" w:rsidRPr="009C0565" w:rsidP="009C0565" w14:paraId="3A31EBAD" w14:textId="77777777">
            <w:pPr>
              <w:widowControl/>
              <w:jc w:val="right"/>
              <w:rPr>
                <w:rFonts w:ascii="Calibri" w:hAnsi="Calibri" w:cs="Calibri"/>
                <w:snapToGrid/>
                <w:color w:val="333333"/>
                <w:kern w:val="0"/>
                <w:szCs w:val="22"/>
              </w:rPr>
            </w:pPr>
            <w:r w:rsidRPr="009C0565">
              <w:rPr>
                <w:rFonts w:ascii="Calibri" w:hAnsi="Calibri" w:cs="Calibri"/>
                <w:snapToGrid/>
                <w:color w:val="333333"/>
                <w:kern w:val="0"/>
                <w:szCs w:val="22"/>
              </w:rPr>
              <w:t>53847</w:t>
            </w:r>
          </w:p>
        </w:tc>
        <w:tc>
          <w:tcPr>
            <w:tcW w:w="1240" w:type="dxa"/>
            <w:tcBorders>
              <w:top w:val="nil"/>
              <w:left w:val="nil"/>
              <w:bottom w:val="single" w:sz="4" w:space="0" w:color="auto"/>
              <w:right w:val="single" w:sz="4" w:space="0" w:color="auto"/>
            </w:tcBorders>
            <w:shd w:val="clear" w:color="FFFFFF" w:fill="F8FBFC"/>
            <w:noWrap/>
            <w:vAlign w:val="bottom"/>
            <w:hideMark/>
          </w:tcPr>
          <w:p w:rsidR="009C0565" w:rsidRPr="009C0565" w:rsidP="009C0565" w14:paraId="282B246A" w14:textId="77777777">
            <w:pPr>
              <w:widowControl/>
              <w:jc w:val="center"/>
              <w:rPr>
                <w:rFonts w:ascii="Calibri" w:hAnsi="Calibri" w:cs="Calibri"/>
                <w:snapToGrid/>
                <w:color w:val="333333"/>
                <w:kern w:val="0"/>
                <w:szCs w:val="22"/>
              </w:rPr>
            </w:pPr>
            <w:r w:rsidRPr="009C0565">
              <w:rPr>
                <w:rFonts w:ascii="Calibri" w:hAnsi="Calibri" w:cs="Calibri"/>
                <w:snapToGrid/>
                <w:color w:val="333333"/>
                <w:kern w:val="0"/>
                <w:szCs w:val="22"/>
              </w:rPr>
              <w:t>KXLN-DT</w:t>
            </w:r>
          </w:p>
        </w:tc>
        <w:tc>
          <w:tcPr>
            <w:tcW w:w="1831" w:type="dxa"/>
            <w:tcBorders>
              <w:top w:val="nil"/>
              <w:left w:val="nil"/>
              <w:bottom w:val="single" w:sz="4" w:space="0" w:color="auto"/>
              <w:right w:val="single" w:sz="4" w:space="0" w:color="auto"/>
            </w:tcBorders>
            <w:shd w:val="clear" w:color="000000" w:fill="FFFFFF"/>
            <w:noWrap/>
            <w:vAlign w:val="bottom"/>
            <w:hideMark/>
          </w:tcPr>
          <w:p w:rsidR="009C0565" w:rsidRPr="009C0565" w:rsidP="009C0565" w14:paraId="1A20D046" w14:textId="77777777">
            <w:pPr>
              <w:widowControl/>
              <w:jc w:val="right"/>
              <w:rPr>
                <w:rFonts w:ascii="Calibri" w:hAnsi="Calibri" w:cs="Calibri"/>
                <w:snapToGrid/>
                <w:kern w:val="0"/>
                <w:szCs w:val="22"/>
              </w:rPr>
            </w:pPr>
            <w:r w:rsidRPr="009C0565">
              <w:rPr>
                <w:rFonts w:ascii="Calibri" w:hAnsi="Calibri" w:cs="Calibri"/>
                <w:snapToGrid/>
                <w:kern w:val="0"/>
                <w:szCs w:val="22"/>
              </w:rPr>
              <w:t xml:space="preserve">           6,078,071 </w:t>
            </w:r>
          </w:p>
        </w:tc>
        <w:tc>
          <w:tcPr>
            <w:tcW w:w="1407"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77E2D821" w14:textId="77777777">
            <w:pPr>
              <w:widowControl/>
              <w:jc w:val="right"/>
              <w:rPr>
                <w:rFonts w:ascii="Calibri" w:hAnsi="Calibri" w:cs="Calibri"/>
                <w:snapToGrid/>
                <w:kern w:val="0"/>
                <w:szCs w:val="22"/>
              </w:rPr>
            </w:pPr>
            <w:r w:rsidRPr="009C0565">
              <w:rPr>
                <w:rFonts w:ascii="Calibri" w:hAnsi="Calibri" w:cs="Calibri"/>
                <w:snapToGrid/>
                <w:kern w:val="0"/>
                <w:szCs w:val="22"/>
              </w:rPr>
              <w:t>$43,910.23</w:t>
            </w:r>
          </w:p>
        </w:tc>
        <w:tc>
          <w:tcPr>
            <w:tcW w:w="127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548A6DDC" w14:textId="77777777">
            <w:pPr>
              <w:widowControl/>
              <w:jc w:val="right"/>
              <w:rPr>
                <w:rFonts w:ascii="Calibri" w:hAnsi="Calibri" w:cs="Calibri"/>
                <w:snapToGrid/>
                <w:color w:val="000000"/>
                <w:kern w:val="0"/>
                <w:szCs w:val="22"/>
              </w:rPr>
            </w:pPr>
            <w:r w:rsidRPr="009C0565">
              <w:rPr>
                <w:rFonts w:ascii="Calibri" w:hAnsi="Calibri" w:cs="Calibri"/>
                <w:snapToGrid/>
                <w:color w:val="000000"/>
                <w:kern w:val="0"/>
                <w:szCs w:val="22"/>
              </w:rPr>
              <w:t>$54,000.00</w:t>
            </w:r>
          </w:p>
        </w:tc>
        <w:tc>
          <w:tcPr>
            <w:tcW w:w="163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5DA58522" w14:textId="77777777">
            <w:pPr>
              <w:widowControl/>
              <w:jc w:val="right"/>
              <w:rPr>
                <w:rFonts w:ascii="Calibri" w:hAnsi="Calibri" w:cs="Calibri"/>
                <w:snapToGrid/>
                <w:color w:val="000000"/>
                <w:kern w:val="0"/>
                <w:szCs w:val="22"/>
              </w:rPr>
            </w:pPr>
            <w:r w:rsidRPr="009C0565">
              <w:rPr>
                <w:rFonts w:ascii="Calibri" w:hAnsi="Calibri" w:cs="Calibri"/>
                <w:snapToGrid/>
                <w:color w:val="000000"/>
                <w:kern w:val="0"/>
                <w:szCs w:val="22"/>
              </w:rPr>
              <w:t>$48,955.11</w:t>
            </w:r>
          </w:p>
        </w:tc>
        <w:tc>
          <w:tcPr>
            <w:tcW w:w="3280" w:type="dxa"/>
            <w:tcBorders>
              <w:top w:val="nil"/>
              <w:left w:val="nil"/>
              <w:bottom w:val="single" w:sz="4" w:space="0" w:color="auto"/>
              <w:right w:val="single" w:sz="4" w:space="0" w:color="auto"/>
            </w:tcBorders>
            <w:shd w:val="clear" w:color="FFFFFF" w:fill="FFFFFF"/>
            <w:noWrap/>
            <w:vAlign w:val="bottom"/>
            <w:hideMark/>
          </w:tcPr>
          <w:p w:rsidR="009C0565" w:rsidRPr="009C0565" w:rsidP="009C0565" w14:paraId="31F15EFD" w14:textId="77777777">
            <w:pPr>
              <w:widowControl/>
              <w:rPr>
                <w:rFonts w:ascii="Calibri" w:hAnsi="Calibri" w:cs="Calibri"/>
                <w:b/>
                <w:bCs/>
                <w:snapToGrid/>
                <w:kern w:val="0"/>
                <w:szCs w:val="22"/>
              </w:rPr>
            </w:pPr>
            <w:r w:rsidRPr="009C0565">
              <w:rPr>
                <w:rFonts w:ascii="Calibri" w:hAnsi="Calibri" w:cs="Calibri"/>
                <w:b/>
                <w:bCs/>
                <w:snapToGrid/>
                <w:kern w:val="0"/>
                <w:szCs w:val="22"/>
              </w:rPr>
              <w:t>Houston</w:t>
            </w:r>
          </w:p>
        </w:tc>
      </w:tr>
      <w:tr w14:paraId="79358FFA" w14:textId="77777777" w:rsidTr="00F64ABC">
        <w:tblPrEx>
          <w:tblW w:w="12100" w:type="dxa"/>
          <w:tblLook w:val="04A0"/>
        </w:tblPrEx>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C0565" w:rsidRPr="009C0565" w:rsidP="009C0565" w14:paraId="1177F0C9" w14:textId="77777777">
            <w:pPr>
              <w:widowControl/>
              <w:jc w:val="right"/>
              <w:rPr>
                <w:rFonts w:ascii="Calibri" w:hAnsi="Calibri" w:cs="Calibri"/>
                <w:snapToGrid/>
                <w:kern w:val="0"/>
                <w:szCs w:val="22"/>
              </w:rPr>
            </w:pPr>
            <w:r w:rsidRPr="009C0565">
              <w:rPr>
                <w:rFonts w:ascii="Calibri" w:hAnsi="Calibri" w:cs="Calibri"/>
                <w:snapToGrid/>
                <w:kern w:val="0"/>
                <w:szCs w:val="22"/>
              </w:rPr>
              <w:t>68427</w:t>
            </w:r>
          </w:p>
        </w:tc>
        <w:tc>
          <w:tcPr>
            <w:tcW w:w="1240"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415D0EC9" w14:textId="77777777">
            <w:pPr>
              <w:widowControl/>
              <w:jc w:val="center"/>
              <w:rPr>
                <w:rFonts w:ascii="Calibri" w:hAnsi="Calibri" w:cs="Calibri"/>
                <w:snapToGrid/>
                <w:kern w:val="0"/>
                <w:szCs w:val="22"/>
              </w:rPr>
            </w:pPr>
            <w:r w:rsidRPr="009C0565">
              <w:rPr>
                <w:rFonts w:ascii="Calibri" w:hAnsi="Calibri" w:cs="Calibri"/>
                <w:snapToGrid/>
                <w:kern w:val="0"/>
                <w:szCs w:val="22"/>
              </w:rPr>
              <w:t>WBMM</w:t>
            </w:r>
          </w:p>
        </w:tc>
        <w:tc>
          <w:tcPr>
            <w:tcW w:w="183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2A0CFE9A" w14:textId="77777777">
            <w:pPr>
              <w:widowControl/>
              <w:jc w:val="right"/>
              <w:rPr>
                <w:rFonts w:ascii="Calibri" w:hAnsi="Calibri" w:cs="Calibri"/>
                <w:snapToGrid/>
                <w:kern w:val="0"/>
                <w:szCs w:val="22"/>
              </w:rPr>
            </w:pPr>
            <w:r w:rsidRPr="009C0565">
              <w:rPr>
                <w:rFonts w:ascii="Calibri" w:hAnsi="Calibri" w:cs="Calibri"/>
                <w:snapToGrid/>
                <w:kern w:val="0"/>
                <w:szCs w:val="22"/>
              </w:rPr>
              <w:t xml:space="preserve">              577,653 </w:t>
            </w:r>
          </w:p>
        </w:tc>
        <w:tc>
          <w:tcPr>
            <w:tcW w:w="1407"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4F901BA8" w14:textId="77777777">
            <w:pPr>
              <w:widowControl/>
              <w:jc w:val="right"/>
              <w:rPr>
                <w:rFonts w:ascii="Calibri" w:hAnsi="Calibri" w:cs="Calibri"/>
                <w:snapToGrid/>
                <w:kern w:val="0"/>
                <w:szCs w:val="22"/>
              </w:rPr>
            </w:pPr>
            <w:r w:rsidRPr="009C0565">
              <w:rPr>
                <w:rFonts w:ascii="Calibri" w:hAnsi="Calibri" w:cs="Calibri"/>
                <w:snapToGrid/>
                <w:kern w:val="0"/>
                <w:szCs w:val="22"/>
              </w:rPr>
              <w:t>$4,173.18</w:t>
            </w:r>
          </w:p>
        </w:tc>
        <w:tc>
          <w:tcPr>
            <w:tcW w:w="127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6681E155" w14:textId="77777777">
            <w:pPr>
              <w:widowControl/>
              <w:jc w:val="right"/>
              <w:rPr>
                <w:rFonts w:ascii="Calibri" w:hAnsi="Calibri" w:cs="Calibri"/>
                <w:snapToGrid/>
                <w:color w:val="000000"/>
                <w:kern w:val="0"/>
                <w:szCs w:val="22"/>
              </w:rPr>
            </w:pPr>
            <w:r w:rsidRPr="009C0565">
              <w:rPr>
                <w:rFonts w:ascii="Calibri" w:hAnsi="Calibri" w:cs="Calibri"/>
                <w:snapToGrid/>
                <w:color w:val="000000"/>
                <w:kern w:val="0"/>
                <w:szCs w:val="22"/>
              </w:rPr>
              <w:t>$4,450.00</w:t>
            </w:r>
          </w:p>
        </w:tc>
        <w:tc>
          <w:tcPr>
            <w:tcW w:w="163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1FAE69E6" w14:textId="77777777">
            <w:pPr>
              <w:widowControl/>
              <w:jc w:val="right"/>
              <w:rPr>
                <w:rFonts w:ascii="Calibri" w:hAnsi="Calibri" w:cs="Calibri"/>
                <w:snapToGrid/>
                <w:color w:val="000000"/>
                <w:kern w:val="0"/>
                <w:szCs w:val="22"/>
              </w:rPr>
            </w:pPr>
            <w:r w:rsidRPr="009C0565">
              <w:rPr>
                <w:rFonts w:ascii="Calibri" w:hAnsi="Calibri" w:cs="Calibri"/>
                <w:snapToGrid/>
                <w:color w:val="000000"/>
                <w:kern w:val="0"/>
                <w:szCs w:val="22"/>
              </w:rPr>
              <w:t>$4,311.59</w:t>
            </w:r>
          </w:p>
        </w:tc>
        <w:tc>
          <w:tcPr>
            <w:tcW w:w="3280" w:type="dxa"/>
            <w:tcBorders>
              <w:top w:val="nil"/>
              <w:left w:val="nil"/>
              <w:bottom w:val="single" w:sz="4" w:space="0" w:color="auto"/>
              <w:right w:val="single" w:sz="4" w:space="0" w:color="auto"/>
            </w:tcBorders>
            <w:shd w:val="clear" w:color="FFFFFF" w:fill="FFFFFF"/>
            <w:noWrap/>
            <w:vAlign w:val="bottom"/>
            <w:hideMark/>
          </w:tcPr>
          <w:p w:rsidR="009C0565" w:rsidRPr="009C0565" w:rsidP="009C0565" w14:paraId="0121653D" w14:textId="77777777">
            <w:pPr>
              <w:widowControl/>
              <w:rPr>
                <w:rFonts w:ascii="Calibri" w:hAnsi="Calibri" w:cs="Calibri"/>
                <w:b/>
                <w:bCs/>
                <w:snapToGrid/>
                <w:kern w:val="0"/>
                <w:szCs w:val="22"/>
              </w:rPr>
            </w:pPr>
            <w:r w:rsidRPr="009C0565">
              <w:rPr>
                <w:rFonts w:ascii="Calibri" w:hAnsi="Calibri" w:cs="Calibri"/>
                <w:b/>
                <w:bCs/>
                <w:snapToGrid/>
                <w:kern w:val="0"/>
                <w:szCs w:val="22"/>
              </w:rPr>
              <w:t>Montgomery-Selma</w:t>
            </w:r>
          </w:p>
        </w:tc>
      </w:tr>
      <w:tr w14:paraId="6FB5CAE8" w14:textId="77777777" w:rsidTr="00F64ABC">
        <w:tblPrEx>
          <w:tblW w:w="12100" w:type="dxa"/>
          <w:tblLook w:val="04A0"/>
        </w:tblPrEx>
        <w:trPr>
          <w:trHeight w:val="300"/>
        </w:trPr>
        <w:tc>
          <w:tcPr>
            <w:tcW w:w="1440" w:type="dxa"/>
            <w:tcBorders>
              <w:top w:val="nil"/>
              <w:left w:val="single" w:sz="4" w:space="0" w:color="auto"/>
              <w:bottom w:val="single" w:sz="4" w:space="0" w:color="auto"/>
              <w:right w:val="single" w:sz="4" w:space="0" w:color="auto"/>
            </w:tcBorders>
            <w:shd w:val="clear" w:color="FFFFFF" w:fill="F8FBFC"/>
            <w:noWrap/>
            <w:vAlign w:val="bottom"/>
            <w:hideMark/>
          </w:tcPr>
          <w:p w:rsidR="009C0565" w:rsidRPr="009C0565" w:rsidP="009C0565" w14:paraId="16E15A37" w14:textId="77777777">
            <w:pPr>
              <w:widowControl/>
              <w:jc w:val="right"/>
              <w:rPr>
                <w:rFonts w:ascii="Calibri" w:hAnsi="Calibri" w:cs="Calibri"/>
                <w:snapToGrid/>
                <w:color w:val="333333"/>
                <w:kern w:val="0"/>
                <w:szCs w:val="22"/>
              </w:rPr>
            </w:pPr>
            <w:r w:rsidRPr="009C0565">
              <w:rPr>
                <w:rFonts w:ascii="Calibri" w:hAnsi="Calibri" w:cs="Calibri"/>
                <w:snapToGrid/>
                <w:color w:val="333333"/>
                <w:kern w:val="0"/>
                <w:szCs w:val="22"/>
              </w:rPr>
              <w:t>35385</w:t>
            </w:r>
          </w:p>
        </w:tc>
        <w:tc>
          <w:tcPr>
            <w:tcW w:w="1240" w:type="dxa"/>
            <w:tcBorders>
              <w:top w:val="nil"/>
              <w:left w:val="nil"/>
              <w:bottom w:val="single" w:sz="4" w:space="0" w:color="auto"/>
              <w:right w:val="single" w:sz="4" w:space="0" w:color="auto"/>
            </w:tcBorders>
            <w:shd w:val="clear" w:color="FFFFFF" w:fill="F8FBFC"/>
            <w:noWrap/>
            <w:vAlign w:val="bottom"/>
            <w:hideMark/>
          </w:tcPr>
          <w:p w:rsidR="009C0565" w:rsidRPr="009C0565" w:rsidP="009C0565" w14:paraId="5E4EC0AD" w14:textId="77777777">
            <w:pPr>
              <w:widowControl/>
              <w:jc w:val="center"/>
              <w:rPr>
                <w:rFonts w:ascii="Calibri" w:hAnsi="Calibri" w:cs="Calibri"/>
                <w:snapToGrid/>
                <w:color w:val="333333"/>
                <w:kern w:val="0"/>
                <w:szCs w:val="22"/>
              </w:rPr>
            </w:pPr>
            <w:r w:rsidRPr="009C0565">
              <w:rPr>
                <w:rFonts w:ascii="Calibri" w:hAnsi="Calibri" w:cs="Calibri"/>
                <w:snapToGrid/>
                <w:color w:val="333333"/>
                <w:kern w:val="0"/>
                <w:szCs w:val="22"/>
              </w:rPr>
              <w:t>WCWG</w:t>
            </w:r>
          </w:p>
        </w:tc>
        <w:tc>
          <w:tcPr>
            <w:tcW w:w="183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0E429EBE" w14:textId="77777777">
            <w:pPr>
              <w:widowControl/>
              <w:jc w:val="right"/>
              <w:rPr>
                <w:rFonts w:ascii="Calibri" w:hAnsi="Calibri" w:cs="Calibri"/>
                <w:snapToGrid/>
                <w:kern w:val="0"/>
                <w:szCs w:val="22"/>
              </w:rPr>
            </w:pPr>
            <w:r w:rsidRPr="009C0565">
              <w:rPr>
                <w:rFonts w:ascii="Calibri" w:hAnsi="Calibri" w:cs="Calibri"/>
                <w:snapToGrid/>
                <w:kern w:val="0"/>
                <w:szCs w:val="22"/>
              </w:rPr>
              <w:t xml:space="preserve">           3,434,637 </w:t>
            </w:r>
          </w:p>
        </w:tc>
        <w:tc>
          <w:tcPr>
            <w:tcW w:w="1407"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2CD09619" w14:textId="77777777">
            <w:pPr>
              <w:widowControl/>
              <w:jc w:val="right"/>
              <w:rPr>
                <w:rFonts w:ascii="Calibri" w:hAnsi="Calibri" w:cs="Calibri"/>
                <w:snapToGrid/>
                <w:kern w:val="0"/>
                <w:szCs w:val="22"/>
              </w:rPr>
            </w:pPr>
            <w:r w:rsidRPr="009C0565">
              <w:rPr>
                <w:rFonts w:ascii="Calibri" w:hAnsi="Calibri" w:cs="Calibri"/>
                <w:snapToGrid/>
                <w:kern w:val="0"/>
                <w:szCs w:val="22"/>
              </w:rPr>
              <w:t>$24,813.09</w:t>
            </w:r>
          </w:p>
        </w:tc>
        <w:tc>
          <w:tcPr>
            <w:tcW w:w="127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591B03F7" w14:textId="77777777">
            <w:pPr>
              <w:widowControl/>
              <w:jc w:val="right"/>
              <w:rPr>
                <w:rFonts w:ascii="Calibri" w:hAnsi="Calibri" w:cs="Calibri"/>
                <w:snapToGrid/>
                <w:color w:val="000000"/>
                <w:kern w:val="0"/>
                <w:szCs w:val="22"/>
              </w:rPr>
            </w:pPr>
            <w:r w:rsidRPr="009C0565">
              <w:rPr>
                <w:rFonts w:ascii="Calibri" w:hAnsi="Calibri" w:cs="Calibri"/>
                <w:snapToGrid/>
                <w:color w:val="000000"/>
                <w:kern w:val="0"/>
                <w:szCs w:val="22"/>
              </w:rPr>
              <w:t>$27,150.00</w:t>
            </w:r>
          </w:p>
        </w:tc>
        <w:tc>
          <w:tcPr>
            <w:tcW w:w="163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7C73EE1F" w14:textId="77777777">
            <w:pPr>
              <w:widowControl/>
              <w:jc w:val="right"/>
              <w:rPr>
                <w:rFonts w:ascii="Calibri" w:hAnsi="Calibri" w:cs="Calibri"/>
                <w:snapToGrid/>
                <w:color w:val="000000"/>
                <w:kern w:val="0"/>
                <w:szCs w:val="22"/>
              </w:rPr>
            </w:pPr>
            <w:r w:rsidRPr="009C0565">
              <w:rPr>
                <w:rFonts w:ascii="Calibri" w:hAnsi="Calibri" w:cs="Calibri"/>
                <w:snapToGrid/>
                <w:color w:val="000000"/>
                <w:kern w:val="0"/>
                <w:szCs w:val="22"/>
              </w:rPr>
              <w:t>$25,981.54</w:t>
            </w:r>
          </w:p>
        </w:tc>
        <w:tc>
          <w:tcPr>
            <w:tcW w:w="3280" w:type="dxa"/>
            <w:tcBorders>
              <w:top w:val="nil"/>
              <w:left w:val="nil"/>
              <w:bottom w:val="single" w:sz="4" w:space="0" w:color="auto"/>
              <w:right w:val="single" w:sz="4" w:space="0" w:color="auto"/>
            </w:tcBorders>
            <w:shd w:val="clear" w:color="FFFFFF" w:fill="F8FBFC"/>
            <w:noWrap/>
            <w:vAlign w:val="bottom"/>
            <w:hideMark/>
          </w:tcPr>
          <w:p w:rsidR="009C0565" w:rsidRPr="009C0565" w:rsidP="009C0565" w14:paraId="068321D6" w14:textId="77777777">
            <w:pPr>
              <w:widowControl/>
              <w:rPr>
                <w:rFonts w:ascii="Calibri" w:hAnsi="Calibri" w:cs="Calibri"/>
                <w:b/>
                <w:bCs/>
                <w:snapToGrid/>
                <w:kern w:val="0"/>
                <w:szCs w:val="22"/>
              </w:rPr>
            </w:pPr>
            <w:r w:rsidRPr="009C0565">
              <w:rPr>
                <w:rFonts w:ascii="Calibri" w:hAnsi="Calibri" w:cs="Calibri"/>
                <w:b/>
                <w:bCs/>
                <w:snapToGrid/>
                <w:kern w:val="0"/>
                <w:szCs w:val="22"/>
              </w:rPr>
              <w:t>Greensboro-H.Point-W.Salem</w:t>
            </w:r>
          </w:p>
        </w:tc>
      </w:tr>
      <w:tr w14:paraId="58F2CA80" w14:textId="77777777" w:rsidTr="00F64ABC">
        <w:tblPrEx>
          <w:tblW w:w="12100" w:type="dxa"/>
          <w:tblLook w:val="04A0"/>
        </w:tblPrEx>
        <w:trPr>
          <w:trHeight w:val="300"/>
        </w:trPr>
        <w:tc>
          <w:tcPr>
            <w:tcW w:w="1440" w:type="dxa"/>
            <w:tcBorders>
              <w:top w:val="nil"/>
              <w:left w:val="single" w:sz="4" w:space="0" w:color="auto"/>
              <w:bottom w:val="single" w:sz="4" w:space="0" w:color="auto"/>
              <w:right w:val="single" w:sz="4" w:space="0" w:color="auto"/>
            </w:tcBorders>
            <w:shd w:val="clear" w:color="FFFFFF" w:fill="FFFFFF"/>
            <w:noWrap/>
            <w:vAlign w:val="bottom"/>
            <w:hideMark/>
          </w:tcPr>
          <w:p w:rsidR="009C0565" w:rsidRPr="009C0565" w:rsidP="009C0565" w14:paraId="2C362104" w14:textId="77777777">
            <w:pPr>
              <w:widowControl/>
              <w:jc w:val="right"/>
              <w:rPr>
                <w:rFonts w:ascii="Calibri" w:hAnsi="Calibri" w:cs="Calibri"/>
                <w:snapToGrid/>
                <w:color w:val="333333"/>
                <w:kern w:val="0"/>
                <w:szCs w:val="22"/>
              </w:rPr>
            </w:pPr>
            <w:r w:rsidRPr="009C0565">
              <w:rPr>
                <w:rFonts w:ascii="Calibri" w:hAnsi="Calibri" w:cs="Calibri"/>
                <w:snapToGrid/>
                <w:color w:val="333333"/>
                <w:kern w:val="0"/>
                <w:szCs w:val="22"/>
              </w:rPr>
              <w:t>30576</w:t>
            </w:r>
          </w:p>
        </w:tc>
        <w:tc>
          <w:tcPr>
            <w:tcW w:w="1240" w:type="dxa"/>
            <w:tcBorders>
              <w:top w:val="nil"/>
              <w:left w:val="nil"/>
              <w:bottom w:val="single" w:sz="4" w:space="0" w:color="auto"/>
              <w:right w:val="single" w:sz="4" w:space="0" w:color="auto"/>
            </w:tcBorders>
            <w:shd w:val="clear" w:color="FFFFFF" w:fill="F8FBFC"/>
            <w:noWrap/>
            <w:vAlign w:val="bottom"/>
            <w:hideMark/>
          </w:tcPr>
          <w:p w:rsidR="009C0565" w:rsidRPr="009C0565" w:rsidP="009C0565" w14:paraId="339D5E4F" w14:textId="77777777">
            <w:pPr>
              <w:widowControl/>
              <w:jc w:val="center"/>
              <w:rPr>
                <w:rFonts w:ascii="Calibri" w:hAnsi="Calibri" w:cs="Calibri"/>
                <w:snapToGrid/>
                <w:color w:val="333333"/>
                <w:kern w:val="0"/>
                <w:szCs w:val="22"/>
              </w:rPr>
            </w:pPr>
            <w:r w:rsidRPr="009C0565">
              <w:rPr>
                <w:rFonts w:ascii="Calibri" w:hAnsi="Calibri" w:cs="Calibri"/>
                <w:snapToGrid/>
                <w:color w:val="333333"/>
                <w:kern w:val="0"/>
                <w:szCs w:val="22"/>
              </w:rPr>
              <w:t>WDCW</w:t>
            </w:r>
          </w:p>
        </w:tc>
        <w:tc>
          <w:tcPr>
            <w:tcW w:w="183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3737DDF5" w14:textId="77777777">
            <w:pPr>
              <w:widowControl/>
              <w:jc w:val="right"/>
              <w:rPr>
                <w:rFonts w:ascii="Calibri" w:hAnsi="Calibri" w:cs="Calibri"/>
                <w:snapToGrid/>
                <w:kern w:val="0"/>
                <w:szCs w:val="22"/>
              </w:rPr>
            </w:pPr>
            <w:r w:rsidRPr="009C0565">
              <w:rPr>
                <w:rFonts w:ascii="Calibri" w:hAnsi="Calibri" w:cs="Calibri"/>
                <w:snapToGrid/>
                <w:kern w:val="0"/>
                <w:szCs w:val="22"/>
              </w:rPr>
              <w:t xml:space="preserve">           8,155,998 </w:t>
            </w:r>
          </w:p>
        </w:tc>
        <w:tc>
          <w:tcPr>
            <w:tcW w:w="1407"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754AD100" w14:textId="77777777">
            <w:pPr>
              <w:widowControl/>
              <w:jc w:val="right"/>
              <w:rPr>
                <w:rFonts w:ascii="Calibri" w:hAnsi="Calibri" w:cs="Calibri"/>
                <w:snapToGrid/>
                <w:kern w:val="0"/>
                <w:szCs w:val="22"/>
              </w:rPr>
            </w:pPr>
            <w:r w:rsidRPr="009C0565">
              <w:rPr>
                <w:rFonts w:ascii="Calibri" w:hAnsi="Calibri" w:cs="Calibri"/>
                <w:snapToGrid/>
                <w:kern w:val="0"/>
                <w:szCs w:val="22"/>
              </w:rPr>
              <w:t>$58,921.94</w:t>
            </w:r>
          </w:p>
        </w:tc>
        <w:tc>
          <w:tcPr>
            <w:tcW w:w="127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5240D466" w14:textId="77777777">
            <w:pPr>
              <w:widowControl/>
              <w:jc w:val="right"/>
              <w:rPr>
                <w:rFonts w:ascii="Calibri" w:hAnsi="Calibri" w:cs="Calibri"/>
                <w:snapToGrid/>
                <w:color w:val="000000"/>
                <w:kern w:val="0"/>
                <w:szCs w:val="22"/>
              </w:rPr>
            </w:pPr>
            <w:r w:rsidRPr="009C0565">
              <w:rPr>
                <w:rFonts w:ascii="Calibri" w:hAnsi="Calibri" w:cs="Calibri"/>
                <w:snapToGrid/>
                <w:color w:val="000000"/>
                <w:kern w:val="0"/>
                <w:szCs w:val="22"/>
              </w:rPr>
              <w:t>$54,000.00</w:t>
            </w:r>
          </w:p>
        </w:tc>
        <w:tc>
          <w:tcPr>
            <w:tcW w:w="163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1C21405F" w14:textId="77777777">
            <w:pPr>
              <w:widowControl/>
              <w:jc w:val="right"/>
              <w:rPr>
                <w:rFonts w:ascii="Calibri" w:hAnsi="Calibri" w:cs="Calibri"/>
                <w:snapToGrid/>
                <w:color w:val="000000"/>
                <w:kern w:val="0"/>
                <w:szCs w:val="22"/>
              </w:rPr>
            </w:pPr>
            <w:r w:rsidRPr="009C0565">
              <w:rPr>
                <w:rFonts w:ascii="Calibri" w:hAnsi="Calibri" w:cs="Calibri"/>
                <w:snapToGrid/>
                <w:color w:val="000000"/>
                <w:kern w:val="0"/>
                <w:szCs w:val="22"/>
              </w:rPr>
              <w:t>$56,460.97</w:t>
            </w:r>
          </w:p>
        </w:tc>
        <w:tc>
          <w:tcPr>
            <w:tcW w:w="3280" w:type="dxa"/>
            <w:tcBorders>
              <w:top w:val="nil"/>
              <w:left w:val="nil"/>
              <w:bottom w:val="single" w:sz="4" w:space="0" w:color="auto"/>
              <w:right w:val="single" w:sz="4" w:space="0" w:color="auto"/>
            </w:tcBorders>
            <w:shd w:val="clear" w:color="FFFFFF" w:fill="F8FBFC"/>
            <w:noWrap/>
            <w:vAlign w:val="bottom"/>
            <w:hideMark/>
          </w:tcPr>
          <w:p w:rsidR="009C0565" w:rsidRPr="009C0565" w:rsidP="009C0565" w14:paraId="42AF44E5" w14:textId="77777777">
            <w:pPr>
              <w:widowControl/>
              <w:rPr>
                <w:rFonts w:ascii="Calibri" w:hAnsi="Calibri" w:cs="Calibri"/>
                <w:b/>
                <w:bCs/>
                <w:snapToGrid/>
                <w:kern w:val="0"/>
                <w:szCs w:val="22"/>
              </w:rPr>
            </w:pPr>
            <w:r w:rsidRPr="009C0565">
              <w:rPr>
                <w:rFonts w:ascii="Calibri" w:hAnsi="Calibri" w:cs="Calibri"/>
                <w:b/>
                <w:bCs/>
                <w:snapToGrid/>
                <w:kern w:val="0"/>
                <w:szCs w:val="22"/>
              </w:rPr>
              <w:t>Washington DC (Hagrstwn)</w:t>
            </w:r>
          </w:p>
        </w:tc>
      </w:tr>
      <w:tr w14:paraId="7CFB0D81" w14:textId="77777777" w:rsidTr="00F64ABC">
        <w:tblPrEx>
          <w:tblW w:w="12100" w:type="dxa"/>
          <w:tblLook w:val="04A0"/>
        </w:tblPrEx>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C0565" w:rsidRPr="009C0565" w:rsidP="009C0565" w14:paraId="754F6B03" w14:textId="77777777">
            <w:pPr>
              <w:widowControl/>
              <w:jc w:val="right"/>
              <w:rPr>
                <w:rFonts w:ascii="Calibri" w:hAnsi="Calibri" w:cs="Calibri"/>
                <w:snapToGrid/>
                <w:kern w:val="0"/>
                <w:szCs w:val="22"/>
              </w:rPr>
            </w:pPr>
            <w:r w:rsidRPr="009C0565">
              <w:rPr>
                <w:rFonts w:ascii="Calibri" w:hAnsi="Calibri" w:cs="Calibri"/>
                <w:snapToGrid/>
                <w:kern w:val="0"/>
                <w:szCs w:val="22"/>
              </w:rPr>
              <w:t>11027</w:t>
            </w:r>
          </w:p>
        </w:tc>
        <w:tc>
          <w:tcPr>
            <w:tcW w:w="1240"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02C93C1E" w14:textId="77777777">
            <w:pPr>
              <w:widowControl/>
              <w:jc w:val="center"/>
              <w:rPr>
                <w:rFonts w:ascii="Calibri" w:hAnsi="Calibri" w:cs="Calibri"/>
                <w:snapToGrid/>
                <w:kern w:val="0"/>
                <w:szCs w:val="22"/>
              </w:rPr>
            </w:pPr>
            <w:r w:rsidRPr="009C0565">
              <w:rPr>
                <w:rFonts w:ascii="Calibri" w:hAnsi="Calibri" w:cs="Calibri"/>
                <w:snapToGrid/>
                <w:kern w:val="0"/>
                <w:szCs w:val="22"/>
              </w:rPr>
              <w:t>WGGN-TV</w:t>
            </w:r>
          </w:p>
        </w:tc>
        <w:tc>
          <w:tcPr>
            <w:tcW w:w="183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7D13FF45" w14:textId="77777777">
            <w:pPr>
              <w:widowControl/>
              <w:jc w:val="right"/>
              <w:rPr>
                <w:rFonts w:ascii="Calibri" w:hAnsi="Calibri" w:cs="Calibri"/>
                <w:snapToGrid/>
                <w:kern w:val="0"/>
                <w:szCs w:val="22"/>
              </w:rPr>
            </w:pPr>
            <w:r w:rsidRPr="009C0565">
              <w:rPr>
                <w:rFonts w:ascii="Calibri" w:hAnsi="Calibri" w:cs="Calibri"/>
                <w:snapToGrid/>
                <w:kern w:val="0"/>
                <w:szCs w:val="22"/>
              </w:rPr>
              <w:t xml:space="preserve">           1,991,462 </w:t>
            </w:r>
          </w:p>
        </w:tc>
        <w:tc>
          <w:tcPr>
            <w:tcW w:w="1407"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0334F900" w14:textId="77777777">
            <w:pPr>
              <w:widowControl/>
              <w:jc w:val="right"/>
              <w:rPr>
                <w:rFonts w:ascii="Calibri" w:hAnsi="Calibri" w:cs="Calibri"/>
                <w:snapToGrid/>
                <w:kern w:val="0"/>
                <w:szCs w:val="22"/>
              </w:rPr>
            </w:pPr>
            <w:r w:rsidRPr="009C0565">
              <w:rPr>
                <w:rFonts w:ascii="Calibri" w:hAnsi="Calibri" w:cs="Calibri"/>
                <w:snapToGrid/>
                <w:kern w:val="0"/>
                <w:szCs w:val="22"/>
              </w:rPr>
              <w:t>$14,387.06</w:t>
            </w:r>
          </w:p>
        </w:tc>
        <w:tc>
          <w:tcPr>
            <w:tcW w:w="127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22413404" w14:textId="77777777">
            <w:pPr>
              <w:widowControl/>
              <w:jc w:val="right"/>
              <w:rPr>
                <w:rFonts w:ascii="Calibri" w:hAnsi="Calibri" w:cs="Calibri"/>
                <w:snapToGrid/>
                <w:color w:val="000000"/>
                <w:kern w:val="0"/>
                <w:szCs w:val="22"/>
              </w:rPr>
            </w:pPr>
            <w:r w:rsidRPr="009C0565">
              <w:rPr>
                <w:rFonts w:ascii="Calibri" w:hAnsi="Calibri" w:cs="Calibri"/>
                <w:snapToGrid/>
                <w:color w:val="000000"/>
                <w:kern w:val="0"/>
                <w:szCs w:val="22"/>
              </w:rPr>
              <w:t>$40,675.00</w:t>
            </w:r>
          </w:p>
        </w:tc>
        <w:tc>
          <w:tcPr>
            <w:tcW w:w="163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3A754E14" w14:textId="77777777">
            <w:pPr>
              <w:widowControl/>
              <w:jc w:val="right"/>
              <w:rPr>
                <w:rFonts w:ascii="Calibri" w:hAnsi="Calibri" w:cs="Calibri"/>
                <w:snapToGrid/>
                <w:color w:val="000000"/>
                <w:kern w:val="0"/>
                <w:szCs w:val="22"/>
              </w:rPr>
            </w:pPr>
            <w:r w:rsidRPr="009C0565">
              <w:rPr>
                <w:rFonts w:ascii="Calibri" w:hAnsi="Calibri" w:cs="Calibri"/>
                <w:snapToGrid/>
                <w:color w:val="000000"/>
                <w:kern w:val="0"/>
                <w:szCs w:val="22"/>
              </w:rPr>
              <w:t>$27,531.03</w:t>
            </w:r>
          </w:p>
        </w:tc>
        <w:tc>
          <w:tcPr>
            <w:tcW w:w="3280" w:type="dxa"/>
            <w:tcBorders>
              <w:top w:val="nil"/>
              <w:left w:val="nil"/>
              <w:bottom w:val="single" w:sz="4" w:space="0" w:color="auto"/>
              <w:right w:val="single" w:sz="4" w:space="0" w:color="auto"/>
            </w:tcBorders>
            <w:shd w:val="clear" w:color="FFFFFF" w:fill="F8FBFC"/>
            <w:noWrap/>
            <w:vAlign w:val="bottom"/>
            <w:hideMark/>
          </w:tcPr>
          <w:p w:rsidR="009C0565" w:rsidRPr="009C0565" w:rsidP="009C0565" w14:paraId="414130D4" w14:textId="77777777">
            <w:pPr>
              <w:widowControl/>
              <w:rPr>
                <w:rFonts w:ascii="Calibri" w:hAnsi="Calibri" w:cs="Calibri"/>
                <w:b/>
                <w:bCs/>
                <w:snapToGrid/>
                <w:kern w:val="0"/>
                <w:szCs w:val="22"/>
              </w:rPr>
            </w:pPr>
            <w:r w:rsidRPr="009C0565">
              <w:rPr>
                <w:rFonts w:ascii="Calibri" w:hAnsi="Calibri" w:cs="Calibri"/>
                <w:b/>
                <w:bCs/>
                <w:snapToGrid/>
                <w:kern w:val="0"/>
                <w:szCs w:val="22"/>
              </w:rPr>
              <w:t>Cleveland-Akron (Canton)</w:t>
            </w:r>
          </w:p>
        </w:tc>
      </w:tr>
      <w:tr w14:paraId="62546A88" w14:textId="77777777" w:rsidTr="00F64ABC">
        <w:tblPrEx>
          <w:tblW w:w="12100" w:type="dxa"/>
          <w:tblLook w:val="04A0"/>
        </w:tblPrEx>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C0565" w:rsidRPr="009C0565" w:rsidP="009C0565" w14:paraId="4641FB8F" w14:textId="77777777">
            <w:pPr>
              <w:widowControl/>
              <w:jc w:val="right"/>
              <w:rPr>
                <w:rFonts w:ascii="Calibri" w:hAnsi="Calibri" w:cs="Calibri"/>
                <w:snapToGrid/>
                <w:kern w:val="0"/>
                <w:szCs w:val="22"/>
              </w:rPr>
            </w:pPr>
            <w:r w:rsidRPr="009C0565">
              <w:rPr>
                <w:rFonts w:ascii="Calibri" w:hAnsi="Calibri" w:cs="Calibri"/>
                <w:snapToGrid/>
                <w:kern w:val="0"/>
                <w:szCs w:val="22"/>
              </w:rPr>
              <w:t>9064</w:t>
            </w:r>
          </w:p>
        </w:tc>
        <w:tc>
          <w:tcPr>
            <w:tcW w:w="1240"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6C5C73CA" w14:textId="77777777">
            <w:pPr>
              <w:widowControl/>
              <w:jc w:val="center"/>
              <w:rPr>
                <w:rFonts w:ascii="Calibri" w:hAnsi="Calibri" w:cs="Calibri"/>
                <w:snapToGrid/>
                <w:kern w:val="0"/>
                <w:szCs w:val="22"/>
              </w:rPr>
            </w:pPr>
            <w:r w:rsidRPr="009C0565">
              <w:rPr>
                <w:rFonts w:ascii="Calibri" w:hAnsi="Calibri" w:cs="Calibri"/>
                <w:snapToGrid/>
                <w:kern w:val="0"/>
                <w:szCs w:val="22"/>
              </w:rPr>
              <w:t>WGGS-TV</w:t>
            </w:r>
          </w:p>
        </w:tc>
        <w:tc>
          <w:tcPr>
            <w:tcW w:w="183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31D2FA3B" w14:textId="77777777">
            <w:pPr>
              <w:widowControl/>
              <w:jc w:val="right"/>
              <w:rPr>
                <w:rFonts w:ascii="Calibri" w:hAnsi="Calibri" w:cs="Calibri"/>
                <w:snapToGrid/>
                <w:kern w:val="0"/>
                <w:szCs w:val="22"/>
              </w:rPr>
            </w:pPr>
            <w:r w:rsidRPr="009C0565">
              <w:rPr>
                <w:rFonts w:ascii="Calibri" w:hAnsi="Calibri" w:cs="Calibri"/>
                <w:snapToGrid/>
                <w:kern w:val="0"/>
                <w:szCs w:val="22"/>
              </w:rPr>
              <w:t xml:space="preserve">           2,163,321 </w:t>
            </w:r>
          </w:p>
        </w:tc>
        <w:tc>
          <w:tcPr>
            <w:tcW w:w="1407"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05D66801" w14:textId="77777777">
            <w:pPr>
              <w:widowControl/>
              <w:jc w:val="right"/>
              <w:rPr>
                <w:rFonts w:ascii="Calibri" w:hAnsi="Calibri" w:cs="Calibri"/>
                <w:snapToGrid/>
                <w:kern w:val="0"/>
                <w:szCs w:val="22"/>
              </w:rPr>
            </w:pPr>
            <w:r w:rsidRPr="009C0565">
              <w:rPr>
                <w:rFonts w:ascii="Calibri" w:hAnsi="Calibri" w:cs="Calibri"/>
                <w:snapToGrid/>
                <w:kern w:val="0"/>
                <w:szCs w:val="22"/>
              </w:rPr>
              <w:t>$15,628.63</w:t>
            </w:r>
          </w:p>
        </w:tc>
        <w:tc>
          <w:tcPr>
            <w:tcW w:w="127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0D60952E" w14:textId="77777777">
            <w:pPr>
              <w:widowControl/>
              <w:jc w:val="right"/>
              <w:rPr>
                <w:rFonts w:ascii="Calibri" w:hAnsi="Calibri" w:cs="Calibri"/>
                <w:snapToGrid/>
                <w:color w:val="000000"/>
                <w:kern w:val="0"/>
                <w:szCs w:val="22"/>
              </w:rPr>
            </w:pPr>
            <w:r w:rsidRPr="009C0565">
              <w:rPr>
                <w:rFonts w:ascii="Calibri" w:hAnsi="Calibri" w:cs="Calibri"/>
                <w:snapToGrid/>
                <w:color w:val="000000"/>
                <w:kern w:val="0"/>
                <w:szCs w:val="22"/>
              </w:rPr>
              <w:t>$13,550.00</w:t>
            </w:r>
          </w:p>
        </w:tc>
        <w:tc>
          <w:tcPr>
            <w:tcW w:w="163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4D47BCA2" w14:textId="77777777">
            <w:pPr>
              <w:widowControl/>
              <w:jc w:val="right"/>
              <w:rPr>
                <w:rFonts w:ascii="Calibri" w:hAnsi="Calibri" w:cs="Calibri"/>
                <w:snapToGrid/>
                <w:color w:val="000000"/>
                <w:kern w:val="0"/>
                <w:szCs w:val="22"/>
              </w:rPr>
            </w:pPr>
            <w:r w:rsidRPr="009C0565">
              <w:rPr>
                <w:rFonts w:ascii="Calibri" w:hAnsi="Calibri" w:cs="Calibri"/>
                <w:snapToGrid/>
                <w:color w:val="000000"/>
                <w:kern w:val="0"/>
                <w:szCs w:val="22"/>
              </w:rPr>
              <w:t>$14,589.31</w:t>
            </w:r>
          </w:p>
        </w:tc>
        <w:tc>
          <w:tcPr>
            <w:tcW w:w="3280" w:type="dxa"/>
            <w:tcBorders>
              <w:top w:val="nil"/>
              <w:left w:val="nil"/>
              <w:bottom w:val="single" w:sz="4" w:space="0" w:color="auto"/>
              <w:right w:val="single" w:sz="4" w:space="0" w:color="auto"/>
            </w:tcBorders>
            <w:shd w:val="clear" w:color="FFFFFF" w:fill="F8FBFC"/>
            <w:noWrap/>
            <w:vAlign w:val="bottom"/>
            <w:hideMark/>
          </w:tcPr>
          <w:p w:rsidR="009C0565" w:rsidRPr="009C0565" w:rsidP="009C0565" w14:paraId="541C7229" w14:textId="77777777">
            <w:pPr>
              <w:widowControl/>
              <w:rPr>
                <w:rFonts w:ascii="Calibri" w:hAnsi="Calibri" w:cs="Calibri"/>
                <w:b/>
                <w:bCs/>
                <w:snapToGrid/>
                <w:kern w:val="0"/>
                <w:szCs w:val="22"/>
              </w:rPr>
            </w:pPr>
            <w:r w:rsidRPr="009C0565">
              <w:rPr>
                <w:rFonts w:ascii="Calibri" w:hAnsi="Calibri" w:cs="Calibri"/>
                <w:b/>
                <w:bCs/>
                <w:snapToGrid/>
                <w:kern w:val="0"/>
                <w:szCs w:val="22"/>
              </w:rPr>
              <w:t>Greenvll-Spart-Ashevll-And</w:t>
            </w:r>
          </w:p>
        </w:tc>
      </w:tr>
      <w:tr w14:paraId="6814FC0E" w14:textId="77777777" w:rsidTr="00F64ABC">
        <w:tblPrEx>
          <w:tblW w:w="12100" w:type="dxa"/>
          <w:tblLook w:val="04A0"/>
        </w:tblPrEx>
        <w:trPr>
          <w:trHeight w:val="300"/>
        </w:trPr>
        <w:tc>
          <w:tcPr>
            <w:tcW w:w="1440" w:type="dxa"/>
            <w:tcBorders>
              <w:top w:val="nil"/>
              <w:left w:val="single" w:sz="4" w:space="0" w:color="auto"/>
              <w:bottom w:val="single" w:sz="4" w:space="0" w:color="auto"/>
              <w:right w:val="single" w:sz="4" w:space="0" w:color="auto"/>
            </w:tcBorders>
            <w:shd w:val="clear" w:color="FFFFFF" w:fill="F8FBFC"/>
            <w:noWrap/>
            <w:vAlign w:val="bottom"/>
            <w:hideMark/>
          </w:tcPr>
          <w:p w:rsidR="009C0565" w:rsidRPr="009C0565" w:rsidP="009C0565" w14:paraId="5B87C2DD" w14:textId="77777777">
            <w:pPr>
              <w:widowControl/>
              <w:jc w:val="right"/>
              <w:rPr>
                <w:rFonts w:ascii="Calibri" w:hAnsi="Calibri" w:cs="Calibri"/>
                <w:snapToGrid/>
                <w:color w:val="333333"/>
                <w:kern w:val="0"/>
                <w:szCs w:val="22"/>
              </w:rPr>
            </w:pPr>
            <w:r w:rsidRPr="009C0565">
              <w:rPr>
                <w:rFonts w:ascii="Calibri" w:hAnsi="Calibri" w:cs="Calibri"/>
                <w:snapToGrid/>
                <w:color w:val="333333"/>
                <w:kern w:val="0"/>
                <w:szCs w:val="22"/>
              </w:rPr>
              <w:t>10259</w:t>
            </w:r>
          </w:p>
        </w:tc>
        <w:tc>
          <w:tcPr>
            <w:tcW w:w="1240" w:type="dxa"/>
            <w:tcBorders>
              <w:top w:val="nil"/>
              <w:left w:val="nil"/>
              <w:bottom w:val="single" w:sz="4" w:space="0" w:color="auto"/>
              <w:right w:val="single" w:sz="4" w:space="0" w:color="auto"/>
            </w:tcBorders>
            <w:shd w:val="clear" w:color="FFFFFF" w:fill="FFFFFF"/>
            <w:noWrap/>
            <w:vAlign w:val="bottom"/>
            <w:hideMark/>
          </w:tcPr>
          <w:p w:rsidR="009C0565" w:rsidRPr="009C0565" w:rsidP="009C0565" w14:paraId="024B81DD" w14:textId="77777777">
            <w:pPr>
              <w:widowControl/>
              <w:jc w:val="center"/>
              <w:rPr>
                <w:rFonts w:ascii="Calibri" w:hAnsi="Calibri" w:cs="Calibri"/>
                <w:snapToGrid/>
                <w:color w:val="333333"/>
                <w:kern w:val="0"/>
                <w:szCs w:val="22"/>
              </w:rPr>
            </w:pPr>
            <w:r w:rsidRPr="009C0565">
              <w:rPr>
                <w:rFonts w:ascii="Calibri" w:hAnsi="Calibri" w:cs="Calibri"/>
                <w:snapToGrid/>
                <w:color w:val="333333"/>
                <w:kern w:val="0"/>
                <w:szCs w:val="22"/>
              </w:rPr>
              <w:t>WJAL</w:t>
            </w:r>
          </w:p>
        </w:tc>
        <w:tc>
          <w:tcPr>
            <w:tcW w:w="183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25C1AC24" w14:textId="77777777">
            <w:pPr>
              <w:widowControl/>
              <w:jc w:val="right"/>
              <w:rPr>
                <w:rFonts w:ascii="Calibri" w:hAnsi="Calibri" w:cs="Calibri"/>
                <w:snapToGrid/>
                <w:kern w:val="0"/>
                <w:szCs w:val="22"/>
              </w:rPr>
            </w:pPr>
            <w:r w:rsidRPr="009C0565">
              <w:rPr>
                <w:rFonts w:ascii="Calibri" w:hAnsi="Calibri" w:cs="Calibri"/>
                <w:snapToGrid/>
                <w:kern w:val="0"/>
                <w:szCs w:val="22"/>
              </w:rPr>
              <w:t xml:space="preserve">           8,970,526 </w:t>
            </w:r>
          </w:p>
        </w:tc>
        <w:tc>
          <w:tcPr>
            <w:tcW w:w="1407"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11F5A50B" w14:textId="77777777">
            <w:pPr>
              <w:widowControl/>
              <w:jc w:val="right"/>
              <w:rPr>
                <w:rFonts w:ascii="Calibri" w:hAnsi="Calibri" w:cs="Calibri"/>
                <w:snapToGrid/>
                <w:kern w:val="0"/>
                <w:szCs w:val="22"/>
              </w:rPr>
            </w:pPr>
            <w:r w:rsidRPr="009C0565">
              <w:rPr>
                <w:rFonts w:ascii="Calibri" w:hAnsi="Calibri" w:cs="Calibri"/>
                <w:snapToGrid/>
                <w:kern w:val="0"/>
                <w:szCs w:val="22"/>
              </w:rPr>
              <w:t>$64,806.39</w:t>
            </w:r>
          </w:p>
        </w:tc>
        <w:tc>
          <w:tcPr>
            <w:tcW w:w="127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17C957D0" w14:textId="77777777">
            <w:pPr>
              <w:widowControl/>
              <w:jc w:val="right"/>
              <w:rPr>
                <w:rFonts w:ascii="Calibri" w:hAnsi="Calibri" w:cs="Calibri"/>
                <w:snapToGrid/>
                <w:color w:val="000000"/>
                <w:kern w:val="0"/>
                <w:szCs w:val="22"/>
              </w:rPr>
            </w:pPr>
            <w:r w:rsidRPr="009C0565">
              <w:rPr>
                <w:rFonts w:ascii="Calibri" w:hAnsi="Calibri" w:cs="Calibri"/>
                <w:snapToGrid/>
                <w:color w:val="000000"/>
                <w:kern w:val="0"/>
                <w:szCs w:val="22"/>
              </w:rPr>
              <w:t>$54,000.00</w:t>
            </w:r>
          </w:p>
        </w:tc>
        <w:tc>
          <w:tcPr>
            <w:tcW w:w="163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223A7E9C" w14:textId="77777777">
            <w:pPr>
              <w:widowControl/>
              <w:jc w:val="right"/>
              <w:rPr>
                <w:rFonts w:ascii="Calibri" w:hAnsi="Calibri" w:cs="Calibri"/>
                <w:snapToGrid/>
                <w:color w:val="000000"/>
                <w:kern w:val="0"/>
                <w:szCs w:val="22"/>
              </w:rPr>
            </w:pPr>
            <w:r w:rsidRPr="009C0565">
              <w:rPr>
                <w:rFonts w:ascii="Calibri" w:hAnsi="Calibri" w:cs="Calibri"/>
                <w:snapToGrid/>
                <w:color w:val="000000"/>
                <w:kern w:val="0"/>
                <w:szCs w:val="22"/>
              </w:rPr>
              <w:t>$59,403.19</w:t>
            </w:r>
          </w:p>
        </w:tc>
        <w:tc>
          <w:tcPr>
            <w:tcW w:w="3280" w:type="dxa"/>
            <w:tcBorders>
              <w:top w:val="nil"/>
              <w:left w:val="nil"/>
              <w:bottom w:val="single" w:sz="4" w:space="0" w:color="auto"/>
              <w:right w:val="single" w:sz="4" w:space="0" w:color="auto"/>
            </w:tcBorders>
            <w:shd w:val="clear" w:color="FFFFFF" w:fill="F8FBFC"/>
            <w:noWrap/>
            <w:vAlign w:val="bottom"/>
            <w:hideMark/>
          </w:tcPr>
          <w:p w:rsidR="009C0565" w:rsidRPr="009C0565" w:rsidP="009C0565" w14:paraId="3917FB6B" w14:textId="77777777">
            <w:pPr>
              <w:widowControl/>
              <w:rPr>
                <w:rFonts w:ascii="Calibri" w:hAnsi="Calibri" w:cs="Calibri"/>
                <w:b/>
                <w:bCs/>
                <w:snapToGrid/>
                <w:kern w:val="0"/>
                <w:szCs w:val="22"/>
              </w:rPr>
            </w:pPr>
            <w:r w:rsidRPr="009C0565">
              <w:rPr>
                <w:rFonts w:ascii="Calibri" w:hAnsi="Calibri" w:cs="Calibri"/>
                <w:b/>
                <w:bCs/>
                <w:snapToGrid/>
                <w:kern w:val="0"/>
                <w:szCs w:val="22"/>
              </w:rPr>
              <w:t>Washington DC (Hagrstwn)</w:t>
            </w:r>
          </w:p>
        </w:tc>
      </w:tr>
      <w:tr w14:paraId="5BA30C50" w14:textId="77777777" w:rsidTr="00F64ABC">
        <w:tblPrEx>
          <w:tblW w:w="12100" w:type="dxa"/>
          <w:tblLook w:val="04A0"/>
        </w:tblPrEx>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C0565" w:rsidRPr="009C0565" w:rsidP="009C0565" w14:paraId="08168A2B" w14:textId="77777777">
            <w:pPr>
              <w:widowControl/>
              <w:jc w:val="right"/>
              <w:rPr>
                <w:rFonts w:ascii="Calibri" w:hAnsi="Calibri" w:cs="Calibri"/>
                <w:snapToGrid/>
                <w:kern w:val="0"/>
                <w:szCs w:val="22"/>
              </w:rPr>
            </w:pPr>
            <w:r w:rsidRPr="009C0565">
              <w:rPr>
                <w:rFonts w:ascii="Calibri" w:hAnsi="Calibri" w:cs="Calibri"/>
                <w:snapToGrid/>
                <w:kern w:val="0"/>
                <w:szCs w:val="22"/>
              </w:rPr>
              <w:t>11033</w:t>
            </w:r>
          </w:p>
        </w:tc>
        <w:tc>
          <w:tcPr>
            <w:tcW w:w="1240"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63BF485E" w14:textId="77777777">
            <w:pPr>
              <w:widowControl/>
              <w:jc w:val="center"/>
              <w:rPr>
                <w:rFonts w:ascii="Calibri" w:hAnsi="Calibri" w:cs="Calibri"/>
                <w:snapToGrid/>
                <w:kern w:val="0"/>
                <w:szCs w:val="22"/>
              </w:rPr>
            </w:pPr>
            <w:r w:rsidRPr="009C0565">
              <w:rPr>
                <w:rFonts w:ascii="Calibri" w:hAnsi="Calibri" w:cs="Calibri"/>
                <w:snapToGrid/>
                <w:kern w:val="0"/>
                <w:szCs w:val="22"/>
              </w:rPr>
              <w:t>WLLA</w:t>
            </w:r>
          </w:p>
        </w:tc>
        <w:tc>
          <w:tcPr>
            <w:tcW w:w="183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3C48398E" w14:textId="77777777">
            <w:pPr>
              <w:widowControl/>
              <w:jc w:val="right"/>
              <w:rPr>
                <w:rFonts w:ascii="Calibri" w:hAnsi="Calibri" w:cs="Calibri"/>
                <w:snapToGrid/>
                <w:kern w:val="0"/>
                <w:szCs w:val="22"/>
              </w:rPr>
            </w:pPr>
            <w:r w:rsidRPr="009C0565">
              <w:rPr>
                <w:rFonts w:ascii="Calibri" w:hAnsi="Calibri" w:cs="Calibri"/>
                <w:snapToGrid/>
                <w:kern w:val="0"/>
                <w:szCs w:val="22"/>
              </w:rPr>
              <w:t xml:space="preserve">           2,041,934 </w:t>
            </w:r>
          </w:p>
        </w:tc>
        <w:tc>
          <w:tcPr>
            <w:tcW w:w="1407"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39D4DCA5" w14:textId="77777777">
            <w:pPr>
              <w:widowControl/>
              <w:jc w:val="right"/>
              <w:rPr>
                <w:rFonts w:ascii="Calibri" w:hAnsi="Calibri" w:cs="Calibri"/>
                <w:snapToGrid/>
                <w:kern w:val="0"/>
                <w:szCs w:val="22"/>
              </w:rPr>
            </w:pPr>
            <w:r w:rsidRPr="009C0565">
              <w:rPr>
                <w:rFonts w:ascii="Calibri" w:hAnsi="Calibri" w:cs="Calibri"/>
                <w:snapToGrid/>
                <w:kern w:val="0"/>
                <w:szCs w:val="22"/>
              </w:rPr>
              <w:t>$14,751.68</w:t>
            </w:r>
          </w:p>
        </w:tc>
        <w:tc>
          <w:tcPr>
            <w:tcW w:w="127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36217A89" w14:textId="77777777">
            <w:pPr>
              <w:widowControl/>
              <w:jc w:val="right"/>
              <w:rPr>
                <w:rFonts w:ascii="Calibri" w:hAnsi="Calibri" w:cs="Calibri"/>
                <w:snapToGrid/>
                <w:color w:val="000000"/>
                <w:kern w:val="0"/>
                <w:szCs w:val="22"/>
              </w:rPr>
            </w:pPr>
            <w:r w:rsidRPr="009C0565">
              <w:rPr>
                <w:rFonts w:ascii="Calibri" w:hAnsi="Calibri" w:cs="Calibri"/>
                <w:snapToGrid/>
                <w:color w:val="000000"/>
                <w:kern w:val="0"/>
                <w:szCs w:val="22"/>
              </w:rPr>
              <w:t>$27,150.00</w:t>
            </w:r>
          </w:p>
        </w:tc>
        <w:tc>
          <w:tcPr>
            <w:tcW w:w="163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3D66B662" w14:textId="77777777">
            <w:pPr>
              <w:widowControl/>
              <w:jc w:val="right"/>
              <w:rPr>
                <w:rFonts w:ascii="Calibri" w:hAnsi="Calibri" w:cs="Calibri"/>
                <w:snapToGrid/>
                <w:color w:val="000000"/>
                <w:kern w:val="0"/>
                <w:szCs w:val="22"/>
              </w:rPr>
            </w:pPr>
            <w:r w:rsidRPr="009C0565">
              <w:rPr>
                <w:rFonts w:ascii="Calibri" w:hAnsi="Calibri" w:cs="Calibri"/>
                <w:snapToGrid/>
                <w:color w:val="000000"/>
                <w:kern w:val="0"/>
                <w:szCs w:val="22"/>
              </w:rPr>
              <w:t>$20,950.84</w:t>
            </w:r>
          </w:p>
        </w:tc>
        <w:tc>
          <w:tcPr>
            <w:tcW w:w="3280" w:type="dxa"/>
            <w:tcBorders>
              <w:top w:val="nil"/>
              <w:left w:val="nil"/>
              <w:bottom w:val="single" w:sz="4" w:space="0" w:color="auto"/>
              <w:right w:val="single" w:sz="4" w:space="0" w:color="auto"/>
            </w:tcBorders>
            <w:shd w:val="clear" w:color="FFFFFF" w:fill="FFFFFF"/>
            <w:noWrap/>
            <w:vAlign w:val="bottom"/>
            <w:hideMark/>
          </w:tcPr>
          <w:p w:rsidR="009C0565" w:rsidRPr="009C0565" w:rsidP="009C0565" w14:paraId="286F948F" w14:textId="77777777">
            <w:pPr>
              <w:widowControl/>
              <w:rPr>
                <w:rFonts w:ascii="Calibri" w:hAnsi="Calibri" w:cs="Calibri"/>
                <w:b/>
                <w:bCs/>
                <w:snapToGrid/>
                <w:kern w:val="0"/>
                <w:szCs w:val="22"/>
              </w:rPr>
            </w:pPr>
            <w:r w:rsidRPr="009C0565">
              <w:rPr>
                <w:rFonts w:ascii="Calibri" w:hAnsi="Calibri" w:cs="Calibri"/>
                <w:b/>
                <w:bCs/>
                <w:snapToGrid/>
                <w:kern w:val="0"/>
                <w:szCs w:val="22"/>
              </w:rPr>
              <w:t>Grand Rapids-Kalmzoo-B.Crk</w:t>
            </w:r>
          </w:p>
        </w:tc>
      </w:tr>
      <w:tr w14:paraId="5B4BE70C" w14:textId="77777777" w:rsidTr="00F64ABC">
        <w:tblPrEx>
          <w:tblW w:w="12100" w:type="dxa"/>
          <w:tblLook w:val="04A0"/>
        </w:tblPrEx>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C0565" w:rsidRPr="009C0565" w:rsidP="009C0565" w14:paraId="191C3527" w14:textId="77777777">
            <w:pPr>
              <w:widowControl/>
              <w:jc w:val="right"/>
              <w:rPr>
                <w:rFonts w:ascii="Calibri" w:hAnsi="Calibri" w:cs="Calibri"/>
                <w:snapToGrid/>
                <w:kern w:val="0"/>
                <w:szCs w:val="22"/>
              </w:rPr>
            </w:pPr>
            <w:r w:rsidRPr="009C0565">
              <w:rPr>
                <w:rFonts w:ascii="Calibri" w:hAnsi="Calibri" w:cs="Calibri"/>
                <w:snapToGrid/>
                <w:kern w:val="0"/>
                <w:szCs w:val="22"/>
              </w:rPr>
              <w:t>84253</w:t>
            </w:r>
          </w:p>
        </w:tc>
        <w:tc>
          <w:tcPr>
            <w:tcW w:w="1240"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6A2FD5B5" w14:textId="77777777">
            <w:pPr>
              <w:widowControl/>
              <w:jc w:val="center"/>
              <w:rPr>
                <w:rFonts w:ascii="Calibri" w:hAnsi="Calibri" w:cs="Calibri"/>
                <w:snapToGrid/>
                <w:kern w:val="0"/>
                <w:szCs w:val="22"/>
              </w:rPr>
            </w:pPr>
            <w:r w:rsidRPr="009C0565">
              <w:rPr>
                <w:rFonts w:ascii="Calibri" w:hAnsi="Calibri" w:cs="Calibri"/>
                <w:snapToGrid/>
                <w:kern w:val="0"/>
                <w:szCs w:val="22"/>
              </w:rPr>
              <w:t>WLOO</w:t>
            </w:r>
          </w:p>
        </w:tc>
        <w:tc>
          <w:tcPr>
            <w:tcW w:w="183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482677F7" w14:textId="77777777">
            <w:pPr>
              <w:widowControl/>
              <w:jc w:val="right"/>
              <w:rPr>
                <w:rFonts w:ascii="Calibri" w:hAnsi="Calibri" w:cs="Calibri"/>
                <w:snapToGrid/>
                <w:kern w:val="0"/>
                <w:szCs w:val="22"/>
              </w:rPr>
            </w:pPr>
            <w:r w:rsidRPr="009C0565">
              <w:rPr>
                <w:rFonts w:ascii="Calibri" w:hAnsi="Calibri" w:cs="Calibri"/>
                <w:snapToGrid/>
                <w:kern w:val="0"/>
                <w:szCs w:val="22"/>
              </w:rPr>
              <w:t xml:space="preserve">              917,998 </w:t>
            </w:r>
          </w:p>
        </w:tc>
        <w:tc>
          <w:tcPr>
            <w:tcW w:w="1407"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06D51833" w14:textId="77777777">
            <w:pPr>
              <w:widowControl/>
              <w:jc w:val="right"/>
              <w:rPr>
                <w:rFonts w:ascii="Calibri" w:hAnsi="Calibri" w:cs="Calibri"/>
                <w:snapToGrid/>
                <w:kern w:val="0"/>
                <w:szCs w:val="22"/>
              </w:rPr>
            </w:pPr>
            <w:r w:rsidRPr="009C0565">
              <w:rPr>
                <w:rFonts w:ascii="Calibri" w:hAnsi="Calibri" w:cs="Calibri"/>
                <w:snapToGrid/>
                <w:kern w:val="0"/>
                <w:szCs w:val="22"/>
              </w:rPr>
              <w:t>$6,631.96</w:t>
            </w:r>
          </w:p>
        </w:tc>
        <w:tc>
          <w:tcPr>
            <w:tcW w:w="127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380E0B5C" w14:textId="77777777">
            <w:pPr>
              <w:widowControl/>
              <w:jc w:val="right"/>
              <w:rPr>
                <w:rFonts w:ascii="Calibri" w:hAnsi="Calibri" w:cs="Calibri"/>
                <w:snapToGrid/>
                <w:kern w:val="0"/>
                <w:szCs w:val="22"/>
              </w:rPr>
            </w:pPr>
            <w:r w:rsidRPr="009C0565">
              <w:rPr>
                <w:rFonts w:ascii="Calibri" w:hAnsi="Calibri" w:cs="Calibri"/>
                <w:snapToGrid/>
                <w:kern w:val="0"/>
                <w:szCs w:val="22"/>
              </w:rPr>
              <w:t>$13,550.00</w:t>
            </w:r>
          </w:p>
        </w:tc>
        <w:tc>
          <w:tcPr>
            <w:tcW w:w="163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0DD6900F" w14:textId="77777777">
            <w:pPr>
              <w:widowControl/>
              <w:jc w:val="right"/>
              <w:rPr>
                <w:rFonts w:ascii="Calibri" w:hAnsi="Calibri" w:cs="Calibri"/>
                <w:snapToGrid/>
                <w:kern w:val="0"/>
                <w:szCs w:val="22"/>
              </w:rPr>
            </w:pPr>
            <w:r w:rsidRPr="009C0565">
              <w:rPr>
                <w:rFonts w:ascii="Calibri" w:hAnsi="Calibri" w:cs="Calibri"/>
                <w:snapToGrid/>
                <w:kern w:val="0"/>
                <w:szCs w:val="22"/>
              </w:rPr>
              <w:t>$10,090.98</w:t>
            </w:r>
          </w:p>
        </w:tc>
        <w:tc>
          <w:tcPr>
            <w:tcW w:w="3280" w:type="dxa"/>
            <w:tcBorders>
              <w:top w:val="nil"/>
              <w:left w:val="nil"/>
              <w:bottom w:val="single" w:sz="4" w:space="0" w:color="auto"/>
              <w:right w:val="single" w:sz="4" w:space="0" w:color="auto"/>
            </w:tcBorders>
            <w:shd w:val="clear" w:color="FFFFFF" w:fill="F8FBFC"/>
            <w:noWrap/>
            <w:vAlign w:val="bottom"/>
            <w:hideMark/>
          </w:tcPr>
          <w:p w:rsidR="009C0565" w:rsidRPr="009C0565" w:rsidP="009C0565" w14:paraId="7B61356F" w14:textId="77777777">
            <w:pPr>
              <w:widowControl/>
              <w:rPr>
                <w:rFonts w:ascii="Calibri" w:hAnsi="Calibri" w:cs="Calibri"/>
                <w:b/>
                <w:bCs/>
                <w:snapToGrid/>
                <w:kern w:val="0"/>
                <w:szCs w:val="22"/>
              </w:rPr>
            </w:pPr>
            <w:r w:rsidRPr="009C0565">
              <w:rPr>
                <w:rFonts w:ascii="Calibri" w:hAnsi="Calibri" w:cs="Calibri"/>
                <w:b/>
                <w:bCs/>
                <w:snapToGrid/>
                <w:kern w:val="0"/>
                <w:szCs w:val="22"/>
              </w:rPr>
              <w:t>Jackson MS</w:t>
            </w:r>
          </w:p>
        </w:tc>
      </w:tr>
      <w:tr w14:paraId="62DB4EAB" w14:textId="77777777" w:rsidTr="00F64ABC">
        <w:tblPrEx>
          <w:tblW w:w="12100" w:type="dxa"/>
          <w:tblLook w:val="04A0"/>
        </w:tblPrEx>
        <w:trPr>
          <w:trHeight w:val="300"/>
        </w:trPr>
        <w:tc>
          <w:tcPr>
            <w:tcW w:w="1440" w:type="dxa"/>
            <w:tcBorders>
              <w:top w:val="nil"/>
              <w:left w:val="single" w:sz="4" w:space="0" w:color="auto"/>
              <w:bottom w:val="single" w:sz="4" w:space="0" w:color="auto"/>
              <w:right w:val="single" w:sz="4" w:space="0" w:color="auto"/>
            </w:tcBorders>
            <w:shd w:val="clear" w:color="FFFFFF" w:fill="F8FBFC"/>
            <w:noWrap/>
            <w:vAlign w:val="bottom"/>
            <w:hideMark/>
          </w:tcPr>
          <w:p w:rsidR="009C0565" w:rsidRPr="009C0565" w:rsidP="009C0565" w14:paraId="09EB9DCA" w14:textId="77777777">
            <w:pPr>
              <w:widowControl/>
              <w:jc w:val="right"/>
              <w:rPr>
                <w:rFonts w:ascii="Calibri" w:hAnsi="Calibri" w:cs="Calibri"/>
                <w:snapToGrid/>
                <w:color w:val="333333"/>
                <w:kern w:val="0"/>
                <w:szCs w:val="22"/>
              </w:rPr>
            </w:pPr>
            <w:r w:rsidRPr="009C0565">
              <w:rPr>
                <w:rFonts w:ascii="Calibri" w:hAnsi="Calibri" w:cs="Calibri"/>
                <w:snapToGrid/>
                <w:color w:val="333333"/>
                <w:kern w:val="0"/>
                <w:szCs w:val="22"/>
              </w:rPr>
              <w:t>73238</w:t>
            </w:r>
          </w:p>
        </w:tc>
        <w:tc>
          <w:tcPr>
            <w:tcW w:w="1240" w:type="dxa"/>
            <w:tcBorders>
              <w:top w:val="nil"/>
              <w:left w:val="nil"/>
              <w:bottom w:val="single" w:sz="4" w:space="0" w:color="auto"/>
              <w:right w:val="single" w:sz="4" w:space="0" w:color="auto"/>
            </w:tcBorders>
            <w:shd w:val="clear" w:color="FFFFFF" w:fill="FFFFFF"/>
            <w:noWrap/>
            <w:vAlign w:val="bottom"/>
            <w:hideMark/>
          </w:tcPr>
          <w:p w:rsidR="009C0565" w:rsidRPr="009C0565" w:rsidP="009C0565" w14:paraId="2F110D79" w14:textId="77777777">
            <w:pPr>
              <w:widowControl/>
              <w:jc w:val="center"/>
              <w:rPr>
                <w:rFonts w:ascii="Calibri" w:hAnsi="Calibri" w:cs="Calibri"/>
                <w:snapToGrid/>
                <w:color w:val="333333"/>
                <w:kern w:val="0"/>
                <w:szCs w:val="22"/>
              </w:rPr>
            </w:pPr>
            <w:r w:rsidRPr="009C0565">
              <w:rPr>
                <w:rFonts w:ascii="Calibri" w:hAnsi="Calibri" w:cs="Calibri"/>
                <w:snapToGrid/>
                <w:color w:val="333333"/>
                <w:kern w:val="0"/>
                <w:szCs w:val="22"/>
              </w:rPr>
              <w:t>WLVI</w:t>
            </w:r>
          </w:p>
        </w:tc>
        <w:tc>
          <w:tcPr>
            <w:tcW w:w="183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3C3EB28C" w14:textId="77777777">
            <w:pPr>
              <w:widowControl/>
              <w:jc w:val="right"/>
              <w:rPr>
                <w:rFonts w:ascii="Calibri" w:hAnsi="Calibri" w:cs="Calibri"/>
                <w:snapToGrid/>
                <w:kern w:val="0"/>
                <w:szCs w:val="22"/>
              </w:rPr>
            </w:pPr>
            <w:r w:rsidRPr="009C0565">
              <w:rPr>
                <w:rFonts w:ascii="Calibri" w:hAnsi="Calibri" w:cs="Calibri"/>
                <w:snapToGrid/>
                <w:kern w:val="0"/>
                <w:szCs w:val="22"/>
              </w:rPr>
              <w:t xml:space="preserve">           7,319,659 </w:t>
            </w:r>
          </w:p>
        </w:tc>
        <w:tc>
          <w:tcPr>
            <w:tcW w:w="1407"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4C548BA9" w14:textId="77777777">
            <w:pPr>
              <w:widowControl/>
              <w:jc w:val="right"/>
              <w:rPr>
                <w:rFonts w:ascii="Calibri" w:hAnsi="Calibri" w:cs="Calibri"/>
                <w:snapToGrid/>
                <w:kern w:val="0"/>
                <w:szCs w:val="22"/>
              </w:rPr>
            </w:pPr>
            <w:r w:rsidRPr="009C0565">
              <w:rPr>
                <w:rFonts w:ascii="Calibri" w:hAnsi="Calibri" w:cs="Calibri"/>
                <w:snapToGrid/>
                <w:kern w:val="0"/>
                <w:szCs w:val="22"/>
              </w:rPr>
              <w:t>$52,879.92</w:t>
            </w:r>
          </w:p>
        </w:tc>
        <w:tc>
          <w:tcPr>
            <w:tcW w:w="127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627EB453" w14:textId="77777777">
            <w:pPr>
              <w:widowControl/>
              <w:jc w:val="right"/>
              <w:rPr>
                <w:rFonts w:ascii="Calibri" w:hAnsi="Calibri" w:cs="Calibri"/>
                <w:snapToGrid/>
                <w:color w:val="000000"/>
                <w:kern w:val="0"/>
                <w:szCs w:val="22"/>
              </w:rPr>
            </w:pPr>
            <w:r w:rsidRPr="009C0565">
              <w:rPr>
                <w:rFonts w:ascii="Calibri" w:hAnsi="Calibri" w:cs="Calibri"/>
                <w:snapToGrid/>
                <w:color w:val="000000"/>
                <w:kern w:val="0"/>
                <w:szCs w:val="22"/>
              </w:rPr>
              <w:t>$54,000.00</w:t>
            </w:r>
          </w:p>
        </w:tc>
        <w:tc>
          <w:tcPr>
            <w:tcW w:w="163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31D8BD81" w14:textId="77777777">
            <w:pPr>
              <w:widowControl/>
              <w:jc w:val="right"/>
              <w:rPr>
                <w:rFonts w:ascii="Calibri" w:hAnsi="Calibri" w:cs="Calibri"/>
                <w:snapToGrid/>
                <w:color w:val="000000"/>
                <w:kern w:val="0"/>
                <w:szCs w:val="22"/>
              </w:rPr>
            </w:pPr>
            <w:r w:rsidRPr="009C0565">
              <w:rPr>
                <w:rFonts w:ascii="Calibri" w:hAnsi="Calibri" w:cs="Calibri"/>
                <w:snapToGrid/>
                <w:color w:val="000000"/>
                <w:kern w:val="0"/>
                <w:szCs w:val="22"/>
              </w:rPr>
              <w:t>$53,439.96</w:t>
            </w:r>
          </w:p>
        </w:tc>
        <w:tc>
          <w:tcPr>
            <w:tcW w:w="3280" w:type="dxa"/>
            <w:tcBorders>
              <w:top w:val="nil"/>
              <w:left w:val="nil"/>
              <w:bottom w:val="single" w:sz="4" w:space="0" w:color="auto"/>
              <w:right w:val="single" w:sz="4" w:space="0" w:color="auto"/>
            </w:tcBorders>
            <w:shd w:val="clear" w:color="FFFFFF" w:fill="FFFFFF"/>
            <w:noWrap/>
            <w:vAlign w:val="bottom"/>
            <w:hideMark/>
          </w:tcPr>
          <w:p w:rsidR="009C0565" w:rsidRPr="009C0565" w:rsidP="009C0565" w14:paraId="62EAC02C" w14:textId="77777777">
            <w:pPr>
              <w:widowControl/>
              <w:rPr>
                <w:rFonts w:ascii="Calibri" w:hAnsi="Calibri" w:cs="Calibri"/>
                <w:b/>
                <w:bCs/>
                <w:snapToGrid/>
                <w:kern w:val="0"/>
                <w:szCs w:val="22"/>
              </w:rPr>
            </w:pPr>
            <w:r w:rsidRPr="009C0565">
              <w:rPr>
                <w:rFonts w:ascii="Calibri" w:hAnsi="Calibri" w:cs="Calibri"/>
                <w:b/>
                <w:bCs/>
                <w:snapToGrid/>
                <w:kern w:val="0"/>
                <w:szCs w:val="22"/>
              </w:rPr>
              <w:t>Boston (Manchester)</w:t>
            </w:r>
          </w:p>
        </w:tc>
      </w:tr>
      <w:tr w14:paraId="18ECE1F0" w14:textId="77777777" w:rsidTr="00F64ABC">
        <w:tblPrEx>
          <w:tblW w:w="12100" w:type="dxa"/>
          <w:tblLook w:val="04A0"/>
        </w:tblPrEx>
        <w:trPr>
          <w:trHeight w:val="300"/>
        </w:trPr>
        <w:tc>
          <w:tcPr>
            <w:tcW w:w="1440" w:type="dxa"/>
            <w:tcBorders>
              <w:top w:val="nil"/>
              <w:left w:val="single" w:sz="4" w:space="0" w:color="auto"/>
              <w:bottom w:val="single" w:sz="4" w:space="0" w:color="auto"/>
              <w:right w:val="single" w:sz="4" w:space="0" w:color="auto"/>
            </w:tcBorders>
            <w:shd w:val="clear" w:color="FFFFFF" w:fill="F8FBFC"/>
            <w:noWrap/>
            <w:vAlign w:val="bottom"/>
            <w:hideMark/>
          </w:tcPr>
          <w:p w:rsidR="009C0565" w:rsidRPr="009C0565" w:rsidP="009C0565" w14:paraId="1265EB89" w14:textId="77777777">
            <w:pPr>
              <w:widowControl/>
              <w:jc w:val="right"/>
              <w:rPr>
                <w:rFonts w:ascii="Calibri" w:hAnsi="Calibri" w:cs="Calibri"/>
                <w:snapToGrid/>
                <w:color w:val="333333"/>
                <w:kern w:val="0"/>
                <w:szCs w:val="22"/>
              </w:rPr>
            </w:pPr>
            <w:r w:rsidRPr="009C0565">
              <w:rPr>
                <w:rFonts w:ascii="Calibri" w:hAnsi="Calibri" w:cs="Calibri"/>
                <w:snapToGrid/>
                <w:color w:val="333333"/>
                <w:kern w:val="0"/>
                <w:szCs w:val="22"/>
              </w:rPr>
              <w:t>3978</w:t>
            </w:r>
          </w:p>
        </w:tc>
        <w:tc>
          <w:tcPr>
            <w:tcW w:w="1240" w:type="dxa"/>
            <w:tcBorders>
              <w:top w:val="nil"/>
              <w:left w:val="nil"/>
              <w:bottom w:val="single" w:sz="4" w:space="0" w:color="auto"/>
              <w:right w:val="single" w:sz="4" w:space="0" w:color="auto"/>
            </w:tcBorders>
            <w:shd w:val="clear" w:color="FFFFFF" w:fill="F8FBFC"/>
            <w:noWrap/>
            <w:vAlign w:val="bottom"/>
            <w:hideMark/>
          </w:tcPr>
          <w:p w:rsidR="009C0565" w:rsidRPr="009C0565" w:rsidP="009C0565" w14:paraId="6B09B272" w14:textId="77777777">
            <w:pPr>
              <w:widowControl/>
              <w:jc w:val="center"/>
              <w:rPr>
                <w:rFonts w:ascii="Calibri" w:hAnsi="Calibri" w:cs="Calibri"/>
                <w:snapToGrid/>
                <w:color w:val="333333"/>
                <w:kern w:val="0"/>
                <w:szCs w:val="22"/>
              </w:rPr>
            </w:pPr>
            <w:r w:rsidRPr="009C0565">
              <w:rPr>
                <w:rFonts w:ascii="Calibri" w:hAnsi="Calibri" w:cs="Calibri"/>
                <w:snapToGrid/>
                <w:color w:val="333333"/>
                <w:kern w:val="0"/>
                <w:szCs w:val="22"/>
              </w:rPr>
              <w:t>WLWC</w:t>
            </w:r>
          </w:p>
        </w:tc>
        <w:tc>
          <w:tcPr>
            <w:tcW w:w="1831" w:type="dxa"/>
            <w:tcBorders>
              <w:top w:val="nil"/>
              <w:left w:val="nil"/>
              <w:bottom w:val="single" w:sz="4" w:space="0" w:color="auto"/>
              <w:right w:val="single" w:sz="4" w:space="0" w:color="auto"/>
            </w:tcBorders>
            <w:shd w:val="clear" w:color="FFFFFF" w:fill="F8FBFC"/>
            <w:noWrap/>
            <w:vAlign w:val="bottom"/>
            <w:hideMark/>
          </w:tcPr>
          <w:p w:rsidR="009C0565" w:rsidRPr="009C0565" w:rsidP="009C0565" w14:paraId="6E0FAAC9" w14:textId="77777777">
            <w:pPr>
              <w:widowControl/>
              <w:jc w:val="right"/>
              <w:rPr>
                <w:rFonts w:ascii="Calibri" w:hAnsi="Calibri" w:cs="Calibri"/>
                <w:snapToGrid/>
                <w:kern w:val="0"/>
                <w:szCs w:val="22"/>
              </w:rPr>
            </w:pPr>
            <w:r w:rsidRPr="009C0565">
              <w:rPr>
                <w:rFonts w:ascii="Calibri" w:hAnsi="Calibri" w:cs="Calibri"/>
                <w:snapToGrid/>
                <w:kern w:val="0"/>
                <w:szCs w:val="22"/>
              </w:rPr>
              <w:t xml:space="preserve">           3,281,532 </w:t>
            </w:r>
          </w:p>
        </w:tc>
        <w:tc>
          <w:tcPr>
            <w:tcW w:w="1407"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6A17C618" w14:textId="77777777">
            <w:pPr>
              <w:widowControl/>
              <w:jc w:val="right"/>
              <w:rPr>
                <w:rFonts w:ascii="Calibri" w:hAnsi="Calibri" w:cs="Calibri"/>
                <w:snapToGrid/>
                <w:kern w:val="0"/>
                <w:szCs w:val="22"/>
              </w:rPr>
            </w:pPr>
            <w:r w:rsidRPr="009C0565">
              <w:rPr>
                <w:rFonts w:ascii="Calibri" w:hAnsi="Calibri" w:cs="Calibri"/>
                <w:snapToGrid/>
                <w:kern w:val="0"/>
                <w:szCs w:val="22"/>
              </w:rPr>
              <w:t>$23,707.00</w:t>
            </w:r>
          </w:p>
        </w:tc>
        <w:tc>
          <w:tcPr>
            <w:tcW w:w="127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2D178845" w14:textId="77777777">
            <w:pPr>
              <w:widowControl/>
              <w:jc w:val="right"/>
              <w:rPr>
                <w:rFonts w:ascii="Calibri" w:hAnsi="Calibri" w:cs="Calibri"/>
                <w:snapToGrid/>
                <w:color w:val="000000"/>
                <w:kern w:val="0"/>
                <w:szCs w:val="22"/>
              </w:rPr>
            </w:pPr>
            <w:r w:rsidRPr="009C0565">
              <w:rPr>
                <w:rFonts w:ascii="Calibri" w:hAnsi="Calibri" w:cs="Calibri"/>
                <w:snapToGrid/>
                <w:color w:val="000000"/>
                <w:kern w:val="0"/>
                <w:szCs w:val="22"/>
              </w:rPr>
              <w:t>$13,550.00</w:t>
            </w:r>
          </w:p>
        </w:tc>
        <w:tc>
          <w:tcPr>
            <w:tcW w:w="163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7AD39B13" w14:textId="77777777">
            <w:pPr>
              <w:widowControl/>
              <w:jc w:val="right"/>
              <w:rPr>
                <w:rFonts w:ascii="Calibri" w:hAnsi="Calibri" w:cs="Calibri"/>
                <w:snapToGrid/>
                <w:color w:val="000000"/>
                <w:kern w:val="0"/>
                <w:szCs w:val="22"/>
              </w:rPr>
            </w:pPr>
            <w:r w:rsidRPr="009C0565">
              <w:rPr>
                <w:rFonts w:ascii="Calibri" w:hAnsi="Calibri" w:cs="Calibri"/>
                <w:snapToGrid/>
                <w:color w:val="000000"/>
                <w:kern w:val="0"/>
                <w:szCs w:val="22"/>
              </w:rPr>
              <w:t>$18,628.50</w:t>
            </w:r>
          </w:p>
        </w:tc>
        <w:tc>
          <w:tcPr>
            <w:tcW w:w="3280" w:type="dxa"/>
            <w:tcBorders>
              <w:top w:val="nil"/>
              <w:left w:val="nil"/>
              <w:bottom w:val="single" w:sz="4" w:space="0" w:color="auto"/>
              <w:right w:val="single" w:sz="4" w:space="0" w:color="auto"/>
            </w:tcBorders>
            <w:shd w:val="clear" w:color="FFFFFF" w:fill="F8FBFC"/>
            <w:noWrap/>
            <w:vAlign w:val="bottom"/>
            <w:hideMark/>
          </w:tcPr>
          <w:p w:rsidR="009C0565" w:rsidRPr="009C0565" w:rsidP="009C0565" w14:paraId="22F12A34" w14:textId="77777777">
            <w:pPr>
              <w:widowControl/>
              <w:rPr>
                <w:rFonts w:ascii="Calibri" w:hAnsi="Calibri" w:cs="Calibri"/>
                <w:b/>
                <w:bCs/>
                <w:snapToGrid/>
                <w:kern w:val="0"/>
                <w:szCs w:val="22"/>
              </w:rPr>
            </w:pPr>
            <w:r w:rsidRPr="009C0565">
              <w:rPr>
                <w:rFonts w:ascii="Calibri" w:hAnsi="Calibri" w:cs="Calibri"/>
                <w:b/>
                <w:bCs/>
                <w:snapToGrid/>
                <w:kern w:val="0"/>
                <w:szCs w:val="22"/>
              </w:rPr>
              <w:t>Providence-New Bedford</w:t>
            </w:r>
          </w:p>
        </w:tc>
      </w:tr>
      <w:tr w14:paraId="427F34F8" w14:textId="77777777" w:rsidTr="00F64ABC">
        <w:tblPrEx>
          <w:tblW w:w="12100" w:type="dxa"/>
          <w:tblLook w:val="04A0"/>
        </w:tblPrEx>
        <w:trPr>
          <w:trHeight w:val="300"/>
        </w:trPr>
        <w:tc>
          <w:tcPr>
            <w:tcW w:w="1440" w:type="dxa"/>
            <w:tcBorders>
              <w:top w:val="nil"/>
              <w:left w:val="single" w:sz="4" w:space="0" w:color="auto"/>
              <w:bottom w:val="single" w:sz="4" w:space="0" w:color="auto"/>
              <w:right w:val="single" w:sz="4" w:space="0" w:color="auto"/>
            </w:tcBorders>
            <w:shd w:val="clear" w:color="FFFFFF" w:fill="FFFFFF"/>
            <w:noWrap/>
            <w:vAlign w:val="bottom"/>
            <w:hideMark/>
          </w:tcPr>
          <w:p w:rsidR="009C0565" w:rsidRPr="009C0565" w:rsidP="009C0565" w14:paraId="52A46DE2" w14:textId="77777777">
            <w:pPr>
              <w:widowControl/>
              <w:jc w:val="right"/>
              <w:rPr>
                <w:rFonts w:ascii="Calibri" w:hAnsi="Calibri" w:cs="Calibri"/>
                <w:snapToGrid/>
                <w:color w:val="333333"/>
                <w:kern w:val="0"/>
                <w:szCs w:val="22"/>
              </w:rPr>
            </w:pPr>
            <w:r w:rsidRPr="009C0565">
              <w:rPr>
                <w:rFonts w:ascii="Calibri" w:hAnsi="Calibri" w:cs="Calibri"/>
                <w:snapToGrid/>
                <w:color w:val="333333"/>
                <w:kern w:val="0"/>
                <w:szCs w:val="22"/>
              </w:rPr>
              <w:t>68545</w:t>
            </w:r>
          </w:p>
        </w:tc>
        <w:tc>
          <w:tcPr>
            <w:tcW w:w="1240" w:type="dxa"/>
            <w:tcBorders>
              <w:top w:val="nil"/>
              <w:left w:val="nil"/>
              <w:bottom w:val="single" w:sz="4" w:space="0" w:color="auto"/>
              <w:right w:val="single" w:sz="4" w:space="0" w:color="auto"/>
            </w:tcBorders>
            <w:shd w:val="clear" w:color="FFFFFF" w:fill="FFFFFF"/>
            <w:noWrap/>
            <w:vAlign w:val="bottom"/>
            <w:hideMark/>
          </w:tcPr>
          <w:p w:rsidR="009C0565" w:rsidRPr="009C0565" w:rsidP="009C0565" w14:paraId="09184BB3" w14:textId="77777777">
            <w:pPr>
              <w:widowControl/>
              <w:jc w:val="center"/>
              <w:rPr>
                <w:rFonts w:ascii="Calibri" w:hAnsi="Calibri" w:cs="Calibri"/>
                <w:snapToGrid/>
                <w:color w:val="333333"/>
                <w:kern w:val="0"/>
                <w:szCs w:val="22"/>
              </w:rPr>
            </w:pPr>
            <w:r w:rsidRPr="009C0565">
              <w:rPr>
                <w:rFonts w:ascii="Calibri" w:hAnsi="Calibri" w:cs="Calibri"/>
                <w:snapToGrid/>
                <w:color w:val="333333"/>
                <w:kern w:val="0"/>
                <w:szCs w:val="22"/>
              </w:rPr>
              <w:t>WMLW-TV</w:t>
            </w:r>
          </w:p>
        </w:tc>
        <w:tc>
          <w:tcPr>
            <w:tcW w:w="183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041CC848" w14:textId="77777777">
            <w:pPr>
              <w:widowControl/>
              <w:jc w:val="right"/>
              <w:rPr>
                <w:rFonts w:ascii="Calibri" w:hAnsi="Calibri" w:cs="Calibri"/>
                <w:snapToGrid/>
                <w:kern w:val="0"/>
                <w:szCs w:val="22"/>
              </w:rPr>
            </w:pPr>
            <w:r w:rsidRPr="009C0565">
              <w:rPr>
                <w:rFonts w:ascii="Calibri" w:hAnsi="Calibri" w:cs="Calibri"/>
                <w:snapToGrid/>
                <w:kern w:val="0"/>
                <w:szCs w:val="22"/>
              </w:rPr>
              <w:t xml:space="preserve">           1,822,297 </w:t>
            </w:r>
          </w:p>
        </w:tc>
        <w:tc>
          <w:tcPr>
            <w:tcW w:w="1407"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5F3C12C0" w14:textId="77777777">
            <w:pPr>
              <w:widowControl/>
              <w:jc w:val="right"/>
              <w:rPr>
                <w:rFonts w:ascii="Calibri" w:hAnsi="Calibri" w:cs="Calibri"/>
                <w:snapToGrid/>
                <w:kern w:val="0"/>
                <w:szCs w:val="22"/>
              </w:rPr>
            </w:pPr>
            <w:r w:rsidRPr="009C0565">
              <w:rPr>
                <w:rFonts w:ascii="Calibri" w:hAnsi="Calibri" w:cs="Calibri"/>
                <w:snapToGrid/>
                <w:kern w:val="0"/>
                <w:szCs w:val="22"/>
              </w:rPr>
              <w:t>$13,164.95</w:t>
            </w:r>
          </w:p>
        </w:tc>
        <w:tc>
          <w:tcPr>
            <w:tcW w:w="127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1EA82A1E" w14:textId="77777777">
            <w:pPr>
              <w:widowControl/>
              <w:jc w:val="right"/>
              <w:rPr>
                <w:rFonts w:ascii="Calibri" w:hAnsi="Calibri" w:cs="Calibri"/>
                <w:snapToGrid/>
                <w:color w:val="000000"/>
                <w:kern w:val="0"/>
                <w:szCs w:val="22"/>
              </w:rPr>
            </w:pPr>
            <w:r w:rsidRPr="009C0565">
              <w:rPr>
                <w:rFonts w:ascii="Calibri" w:hAnsi="Calibri" w:cs="Calibri"/>
                <w:snapToGrid/>
                <w:color w:val="000000"/>
                <w:kern w:val="0"/>
                <w:szCs w:val="22"/>
              </w:rPr>
              <w:t>$27,150.00</w:t>
            </w:r>
          </w:p>
        </w:tc>
        <w:tc>
          <w:tcPr>
            <w:tcW w:w="163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346476A0" w14:textId="77777777">
            <w:pPr>
              <w:widowControl/>
              <w:jc w:val="right"/>
              <w:rPr>
                <w:rFonts w:ascii="Calibri" w:hAnsi="Calibri" w:cs="Calibri"/>
                <w:snapToGrid/>
                <w:color w:val="000000"/>
                <w:kern w:val="0"/>
                <w:szCs w:val="22"/>
              </w:rPr>
            </w:pPr>
            <w:r w:rsidRPr="009C0565">
              <w:rPr>
                <w:rFonts w:ascii="Calibri" w:hAnsi="Calibri" w:cs="Calibri"/>
                <w:snapToGrid/>
                <w:color w:val="000000"/>
                <w:kern w:val="0"/>
                <w:szCs w:val="22"/>
              </w:rPr>
              <w:t>$20,157.47</w:t>
            </w:r>
          </w:p>
        </w:tc>
        <w:tc>
          <w:tcPr>
            <w:tcW w:w="3280" w:type="dxa"/>
            <w:tcBorders>
              <w:top w:val="nil"/>
              <w:left w:val="nil"/>
              <w:bottom w:val="single" w:sz="4" w:space="0" w:color="auto"/>
              <w:right w:val="single" w:sz="4" w:space="0" w:color="auto"/>
            </w:tcBorders>
            <w:shd w:val="clear" w:color="FFFFFF" w:fill="FFFFFF"/>
            <w:noWrap/>
            <w:vAlign w:val="bottom"/>
            <w:hideMark/>
          </w:tcPr>
          <w:p w:rsidR="009C0565" w:rsidRPr="009C0565" w:rsidP="009C0565" w14:paraId="0D2794AC" w14:textId="77777777">
            <w:pPr>
              <w:widowControl/>
              <w:rPr>
                <w:rFonts w:ascii="Calibri" w:hAnsi="Calibri" w:cs="Calibri"/>
                <w:b/>
                <w:bCs/>
                <w:snapToGrid/>
                <w:kern w:val="0"/>
                <w:szCs w:val="22"/>
              </w:rPr>
            </w:pPr>
            <w:r w:rsidRPr="009C0565">
              <w:rPr>
                <w:rFonts w:ascii="Calibri" w:hAnsi="Calibri" w:cs="Calibri"/>
                <w:b/>
                <w:bCs/>
                <w:snapToGrid/>
                <w:kern w:val="0"/>
                <w:szCs w:val="22"/>
              </w:rPr>
              <w:t>Milwaukee</w:t>
            </w:r>
          </w:p>
        </w:tc>
      </w:tr>
      <w:tr w14:paraId="0552AB67" w14:textId="77777777" w:rsidTr="00F64ABC">
        <w:tblPrEx>
          <w:tblW w:w="12100" w:type="dxa"/>
          <w:tblLook w:val="04A0"/>
        </w:tblPrEx>
        <w:trPr>
          <w:trHeight w:val="300"/>
        </w:trPr>
        <w:tc>
          <w:tcPr>
            <w:tcW w:w="1440" w:type="dxa"/>
            <w:tcBorders>
              <w:top w:val="nil"/>
              <w:left w:val="single" w:sz="4" w:space="0" w:color="auto"/>
              <w:bottom w:val="single" w:sz="4" w:space="0" w:color="auto"/>
              <w:right w:val="single" w:sz="4" w:space="0" w:color="auto"/>
            </w:tcBorders>
            <w:shd w:val="clear" w:color="FFFFFF" w:fill="FFFFFF"/>
            <w:noWrap/>
            <w:vAlign w:val="bottom"/>
            <w:hideMark/>
          </w:tcPr>
          <w:p w:rsidR="009C0565" w:rsidRPr="009C0565" w:rsidP="009C0565" w14:paraId="251FE78F" w14:textId="77777777">
            <w:pPr>
              <w:widowControl/>
              <w:jc w:val="right"/>
              <w:rPr>
                <w:rFonts w:ascii="Calibri" w:hAnsi="Calibri" w:cs="Calibri"/>
                <w:snapToGrid/>
                <w:color w:val="333333"/>
                <w:kern w:val="0"/>
                <w:szCs w:val="22"/>
              </w:rPr>
            </w:pPr>
            <w:r w:rsidRPr="009C0565">
              <w:rPr>
                <w:rFonts w:ascii="Calibri" w:hAnsi="Calibri" w:cs="Calibri"/>
                <w:snapToGrid/>
                <w:color w:val="333333"/>
                <w:kern w:val="0"/>
                <w:szCs w:val="22"/>
              </w:rPr>
              <w:t>10213</w:t>
            </w:r>
          </w:p>
        </w:tc>
        <w:tc>
          <w:tcPr>
            <w:tcW w:w="1240" w:type="dxa"/>
            <w:tcBorders>
              <w:top w:val="nil"/>
              <w:left w:val="nil"/>
              <w:bottom w:val="single" w:sz="4" w:space="0" w:color="auto"/>
              <w:right w:val="single" w:sz="4" w:space="0" w:color="auto"/>
            </w:tcBorders>
            <w:shd w:val="clear" w:color="FFFFFF" w:fill="F8FBFC"/>
            <w:noWrap/>
            <w:vAlign w:val="bottom"/>
            <w:hideMark/>
          </w:tcPr>
          <w:p w:rsidR="009C0565" w:rsidRPr="009C0565" w:rsidP="009C0565" w14:paraId="54032E24" w14:textId="77777777">
            <w:pPr>
              <w:widowControl/>
              <w:jc w:val="center"/>
              <w:rPr>
                <w:rFonts w:ascii="Calibri" w:hAnsi="Calibri" w:cs="Calibri"/>
                <w:snapToGrid/>
                <w:color w:val="333333"/>
                <w:kern w:val="0"/>
                <w:szCs w:val="22"/>
              </w:rPr>
            </w:pPr>
            <w:r w:rsidRPr="009C0565">
              <w:rPr>
                <w:rFonts w:ascii="Calibri" w:hAnsi="Calibri" w:cs="Calibri"/>
                <w:snapToGrid/>
                <w:color w:val="333333"/>
                <w:kern w:val="0"/>
                <w:szCs w:val="22"/>
              </w:rPr>
              <w:t>WPMT</w:t>
            </w:r>
          </w:p>
        </w:tc>
        <w:tc>
          <w:tcPr>
            <w:tcW w:w="183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190E0913" w14:textId="77777777">
            <w:pPr>
              <w:widowControl/>
              <w:jc w:val="right"/>
              <w:rPr>
                <w:rFonts w:ascii="Calibri" w:hAnsi="Calibri" w:cs="Calibri"/>
                <w:snapToGrid/>
                <w:kern w:val="0"/>
                <w:szCs w:val="22"/>
              </w:rPr>
            </w:pPr>
            <w:r w:rsidRPr="009C0565">
              <w:rPr>
                <w:rFonts w:ascii="Calibri" w:hAnsi="Calibri" w:cs="Calibri"/>
                <w:snapToGrid/>
                <w:kern w:val="0"/>
                <w:szCs w:val="22"/>
              </w:rPr>
              <w:t xml:space="preserve">           2,412,561 </w:t>
            </w:r>
          </w:p>
        </w:tc>
        <w:tc>
          <w:tcPr>
            <w:tcW w:w="1407"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4A7EEA41" w14:textId="77777777">
            <w:pPr>
              <w:widowControl/>
              <w:jc w:val="right"/>
              <w:rPr>
                <w:rFonts w:ascii="Calibri" w:hAnsi="Calibri" w:cs="Calibri"/>
                <w:snapToGrid/>
                <w:kern w:val="0"/>
                <w:szCs w:val="22"/>
              </w:rPr>
            </w:pPr>
            <w:r w:rsidRPr="009C0565">
              <w:rPr>
                <w:rFonts w:ascii="Calibri" w:hAnsi="Calibri" w:cs="Calibri"/>
                <w:snapToGrid/>
                <w:kern w:val="0"/>
                <w:szCs w:val="22"/>
              </w:rPr>
              <w:t>$17,429.23</w:t>
            </w:r>
          </w:p>
        </w:tc>
        <w:tc>
          <w:tcPr>
            <w:tcW w:w="127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01ED9CFA" w14:textId="77777777">
            <w:pPr>
              <w:widowControl/>
              <w:jc w:val="right"/>
              <w:rPr>
                <w:rFonts w:ascii="Calibri" w:hAnsi="Calibri" w:cs="Calibri"/>
                <w:snapToGrid/>
                <w:color w:val="000000"/>
                <w:kern w:val="0"/>
                <w:szCs w:val="22"/>
              </w:rPr>
            </w:pPr>
            <w:r w:rsidRPr="009C0565">
              <w:rPr>
                <w:rFonts w:ascii="Calibri" w:hAnsi="Calibri" w:cs="Calibri"/>
                <w:snapToGrid/>
                <w:color w:val="000000"/>
                <w:kern w:val="0"/>
                <w:szCs w:val="22"/>
              </w:rPr>
              <w:t>$27,150.00</w:t>
            </w:r>
          </w:p>
        </w:tc>
        <w:tc>
          <w:tcPr>
            <w:tcW w:w="163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13ABE2BD" w14:textId="77777777">
            <w:pPr>
              <w:widowControl/>
              <w:jc w:val="right"/>
              <w:rPr>
                <w:rFonts w:ascii="Calibri" w:hAnsi="Calibri" w:cs="Calibri"/>
                <w:snapToGrid/>
                <w:color w:val="000000"/>
                <w:kern w:val="0"/>
                <w:szCs w:val="22"/>
              </w:rPr>
            </w:pPr>
            <w:r w:rsidRPr="009C0565">
              <w:rPr>
                <w:rFonts w:ascii="Calibri" w:hAnsi="Calibri" w:cs="Calibri"/>
                <w:snapToGrid/>
                <w:color w:val="000000"/>
                <w:kern w:val="0"/>
                <w:szCs w:val="22"/>
              </w:rPr>
              <w:t>$22,289.62</w:t>
            </w:r>
          </w:p>
        </w:tc>
        <w:tc>
          <w:tcPr>
            <w:tcW w:w="3280" w:type="dxa"/>
            <w:tcBorders>
              <w:top w:val="nil"/>
              <w:left w:val="nil"/>
              <w:bottom w:val="single" w:sz="4" w:space="0" w:color="auto"/>
              <w:right w:val="single" w:sz="4" w:space="0" w:color="auto"/>
            </w:tcBorders>
            <w:shd w:val="clear" w:color="FFFFFF" w:fill="FFFFFF"/>
            <w:noWrap/>
            <w:vAlign w:val="bottom"/>
            <w:hideMark/>
          </w:tcPr>
          <w:p w:rsidR="009C0565" w:rsidRPr="009C0565" w:rsidP="009C0565" w14:paraId="44261DD1" w14:textId="77777777">
            <w:pPr>
              <w:widowControl/>
              <w:rPr>
                <w:rFonts w:ascii="Calibri" w:hAnsi="Calibri" w:cs="Calibri"/>
                <w:b/>
                <w:bCs/>
                <w:snapToGrid/>
                <w:kern w:val="0"/>
                <w:szCs w:val="22"/>
              </w:rPr>
            </w:pPr>
            <w:r w:rsidRPr="009C0565">
              <w:rPr>
                <w:rFonts w:ascii="Calibri" w:hAnsi="Calibri" w:cs="Calibri"/>
                <w:b/>
                <w:bCs/>
                <w:snapToGrid/>
                <w:kern w:val="0"/>
                <w:szCs w:val="22"/>
              </w:rPr>
              <w:t>Harrisburg-Lncstr-Leb-York</w:t>
            </w:r>
          </w:p>
        </w:tc>
      </w:tr>
      <w:tr w14:paraId="44FC7655" w14:textId="77777777" w:rsidTr="00F64ABC">
        <w:tblPrEx>
          <w:tblW w:w="12100" w:type="dxa"/>
          <w:tblLook w:val="04A0"/>
        </w:tblPrEx>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C0565" w:rsidRPr="009C0565" w:rsidP="009C0565" w14:paraId="4F86450A" w14:textId="77777777">
            <w:pPr>
              <w:widowControl/>
              <w:jc w:val="right"/>
              <w:rPr>
                <w:rFonts w:ascii="Calibri" w:hAnsi="Calibri" w:cs="Calibri"/>
                <w:snapToGrid/>
                <w:kern w:val="0"/>
                <w:szCs w:val="22"/>
              </w:rPr>
            </w:pPr>
            <w:r w:rsidRPr="009C0565">
              <w:rPr>
                <w:rFonts w:ascii="Calibri" w:hAnsi="Calibri" w:cs="Calibri"/>
                <w:snapToGrid/>
                <w:kern w:val="0"/>
                <w:szCs w:val="22"/>
              </w:rPr>
              <w:t>66391</w:t>
            </w:r>
          </w:p>
        </w:tc>
        <w:tc>
          <w:tcPr>
            <w:tcW w:w="1240" w:type="dxa"/>
            <w:tcBorders>
              <w:top w:val="nil"/>
              <w:left w:val="nil"/>
              <w:bottom w:val="single" w:sz="4" w:space="0" w:color="auto"/>
              <w:right w:val="single" w:sz="4" w:space="0" w:color="auto"/>
            </w:tcBorders>
            <w:shd w:val="clear" w:color="FFFFFF" w:fill="FFFFFF"/>
            <w:noWrap/>
            <w:vAlign w:val="bottom"/>
            <w:hideMark/>
          </w:tcPr>
          <w:p w:rsidR="009C0565" w:rsidRPr="009C0565" w:rsidP="009C0565" w14:paraId="6D137A6E" w14:textId="77777777">
            <w:pPr>
              <w:widowControl/>
              <w:jc w:val="center"/>
              <w:rPr>
                <w:rFonts w:ascii="Calibri" w:hAnsi="Calibri" w:cs="Calibri"/>
                <w:snapToGrid/>
                <w:color w:val="333333"/>
                <w:kern w:val="0"/>
                <w:szCs w:val="22"/>
              </w:rPr>
            </w:pPr>
            <w:r w:rsidRPr="009C0565">
              <w:rPr>
                <w:rFonts w:ascii="Calibri" w:hAnsi="Calibri" w:cs="Calibri"/>
                <w:snapToGrid/>
                <w:color w:val="333333"/>
                <w:kern w:val="0"/>
                <w:szCs w:val="22"/>
              </w:rPr>
              <w:t>WSPA-TV</w:t>
            </w:r>
          </w:p>
        </w:tc>
        <w:tc>
          <w:tcPr>
            <w:tcW w:w="1831" w:type="dxa"/>
            <w:tcBorders>
              <w:top w:val="nil"/>
              <w:left w:val="nil"/>
              <w:bottom w:val="single" w:sz="4" w:space="0" w:color="auto"/>
              <w:right w:val="single" w:sz="4" w:space="0" w:color="auto"/>
            </w:tcBorders>
            <w:shd w:val="clear" w:color="000000" w:fill="FFFFFF"/>
            <w:noWrap/>
            <w:vAlign w:val="bottom"/>
            <w:hideMark/>
          </w:tcPr>
          <w:p w:rsidR="009C0565" w:rsidRPr="009C0565" w:rsidP="009C0565" w14:paraId="1F4CBA16" w14:textId="77777777">
            <w:pPr>
              <w:widowControl/>
              <w:jc w:val="right"/>
              <w:rPr>
                <w:rFonts w:ascii="Calibri" w:hAnsi="Calibri" w:cs="Calibri"/>
                <w:snapToGrid/>
                <w:kern w:val="0"/>
                <w:szCs w:val="22"/>
              </w:rPr>
            </w:pPr>
            <w:r w:rsidRPr="009C0565">
              <w:rPr>
                <w:rFonts w:ascii="Calibri" w:hAnsi="Calibri" w:cs="Calibri"/>
                <w:snapToGrid/>
                <w:kern w:val="0"/>
                <w:szCs w:val="22"/>
              </w:rPr>
              <w:t xml:space="preserve">           3,393,072 </w:t>
            </w:r>
          </w:p>
        </w:tc>
        <w:tc>
          <w:tcPr>
            <w:tcW w:w="1407"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5D8B95AA" w14:textId="77777777">
            <w:pPr>
              <w:widowControl/>
              <w:jc w:val="right"/>
              <w:rPr>
                <w:rFonts w:ascii="Calibri" w:hAnsi="Calibri" w:cs="Calibri"/>
                <w:snapToGrid/>
                <w:kern w:val="0"/>
                <w:szCs w:val="22"/>
              </w:rPr>
            </w:pPr>
            <w:r w:rsidRPr="009C0565">
              <w:rPr>
                <w:rFonts w:ascii="Calibri" w:hAnsi="Calibri" w:cs="Calibri"/>
                <w:snapToGrid/>
                <w:kern w:val="0"/>
                <w:szCs w:val="22"/>
              </w:rPr>
              <w:t>$24,512.80</w:t>
            </w:r>
          </w:p>
        </w:tc>
        <w:tc>
          <w:tcPr>
            <w:tcW w:w="127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4EF97306" w14:textId="77777777">
            <w:pPr>
              <w:widowControl/>
              <w:jc w:val="right"/>
              <w:rPr>
                <w:rFonts w:ascii="Calibri" w:hAnsi="Calibri" w:cs="Calibri"/>
                <w:snapToGrid/>
                <w:color w:val="000000"/>
                <w:kern w:val="0"/>
                <w:szCs w:val="22"/>
              </w:rPr>
            </w:pPr>
            <w:r w:rsidRPr="009C0565">
              <w:rPr>
                <w:rFonts w:ascii="Calibri" w:hAnsi="Calibri" w:cs="Calibri"/>
                <w:snapToGrid/>
                <w:color w:val="000000"/>
                <w:kern w:val="0"/>
                <w:szCs w:val="22"/>
              </w:rPr>
              <w:t>$13,550.00</w:t>
            </w:r>
          </w:p>
        </w:tc>
        <w:tc>
          <w:tcPr>
            <w:tcW w:w="163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52BE85F8" w14:textId="77777777">
            <w:pPr>
              <w:widowControl/>
              <w:jc w:val="right"/>
              <w:rPr>
                <w:rFonts w:ascii="Calibri" w:hAnsi="Calibri" w:cs="Calibri"/>
                <w:snapToGrid/>
                <w:color w:val="000000"/>
                <w:kern w:val="0"/>
                <w:szCs w:val="22"/>
              </w:rPr>
            </w:pPr>
            <w:r w:rsidRPr="009C0565">
              <w:rPr>
                <w:rFonts w:ascii="Calibri" w:hAnsi="Calibri" w:cs="Calibri"/>
                <w:snapToGrid/>
                <w:color w:val="000000"/>
                <w:kern w:val="0"/>
                <w:szCs w:val="22"/>
              </w:rPr>
              <w:t>$19,031.40</w:t>
            </w:r>
          </w:p>
        </w:tc>
        <w:tc>
          <w:tcPr>
            <w:tcW w:w="3280" w:type="dxa"/>
            <w:tcBorders>
              <w:top w:val="nil"/>
              <w:left w:val="nil"/>
              <w:bottom w:val="single" w:sz="4" w:space="0" w:color="auto"/>
              <w:right w:val="single" w:sz="4" w:space="0" w:color="auto"/>
            </w:tcBorders>
            <w:shd w:val="clear" w:color="FFFFFF" w:fill="FFFFFF"/>
            <w:noWrap/>
            <w:vAlign w:val="bottom"/>
            <w:hideMark/>
          </w:tcPr>
          <w:p w:rsidR="009C0565" w:rsidRPr="009C0565" w:rsidP="009C0565" w14:paraId="72265E4C" w14:textId="77777777">
            <w:pPr>
              <w:widowControl/>
              <w:rPr>
                <w:rFonts w:ascii="Calibri" w:hAnsi="Calibri" w:cs="Calibri"/>
                <w:b/>
                <w:bCs/>
                <w:snapToGrid/>
                <w:kern w:val="0"/>
                <w:szCs w:val="22"/>
              </w:rPr>
            </w:pPr>
            <w:r w:rsidRPr="009C0565">
              <w:rPr>
                <w:rFonts w:ascii="Calibri" w:hAnsi="Calibri" w:cs="Calibri"/>
                <w:b/>
                <w:bCs/>
                <w:snapToGrid/>
                <w:kern w:val="0"/>
                <w:szCs w:val="22"/>
              </w:rPr>
              <w:t>Greenvll-Spart-Ashevll-And</w:t>
            </w:r>
          </w:p>
        </w:tc>
      </w:tr>
      <w:tr w14:paraId="7971A39D" w14:textId="77777777" w:rsidTr="00F64ABC">
        <w:tblPrEx>
          <w:tblW w:w="12100" w:type="dxa"/>
          <w:tblLook w:val="04A0"/>
        </w:tblPrEx>
        <w:trPr>
          <w:trHeight w:val="300"/>
        </w:trPr>
        <w:tc>
          <w:tcPr>
            <w:tcW w:w="1440" w:type="dxa"/>
            <w:tcBorders>
              <w:top w:val="nil"/>
              <w:left w:val="single" w:sz="4" w:space="0" w:color="auto"/>
              <w:bottom w:val="single" w:sz="4" w:space="0" w:color="auto"/>
              <w:right w:val="single" w:sz="4" w:space="0" w:color="auto"/>
            </w:tcBorders>
            <w:shd w:val="clear" w:color="FFFFFF" w:fill="F8FBFC"/>
            <w:noWrap/>
            <w:vAlign w:val="bottom"/>
            <w:hideMark/>
          </w:tcPr>
          <w:p w:rsidR="009C0565" w:rsidRPr="009C0565" w:rsidP="009C0565" w14:paraId="245463F0" w14:textId="77777777">
            <w:pPr>
              <w:widowControl/>
              <w:jc w:val="right"/>
              <w:rPr>
                <w:rFonts w:ascii="Calibri" w:hAnsi="Calibri" w:cs="Calibri"/>
                <w:snapToGrid/>
                <w:color w:val="333333"/>
                <w:kern w:val="0"/>
                <w:szCs w:val="22"/>
              </w:rPr>
            </w:pPr>
            <w:r w:rsidRPr="009C0565">
              <w:rPr>
                <w:rFonts w:ascii="Calibri" w:hAnsi="Calibri" w:cs="Calibri"/>
                <w:snapToGrid/>
                <w:color w:val="333333"/>
                <w:kern w:val="0"/>
                <w:szCs w:val="22"/>
              </w:rPr>
              <w:t>28954</w:t>
            </w:r>
          </w:p>
        </w:tc>
        <w:tc>
          <w:tcPr>
            <w:tcW w:w="1240" w:type="dxa"/>
            <w:tcBorders>
              <w:top w:val="nil"/>
              <w:left w:val="nil"/>
              <w:bottom w:val="single" w:sz="4" w:space="0" w:color="auto"/>
              <w:right w:val="single" w:sz="4" w:space="0" w:color="auto"/>
            </w:tcBorders>
            <w:shd w:val="clear" w:color="FFFFFF" w:fill="F8FBFC"/>
            <w:noWrap/>
            <w:vAlign w:val="bottom"/>
            <w:hideMark/>
          </w:tcPr>
          <w:p w:rsidR="009C0565" w:rsidRPr="009C0565" w:rsidP="009C0565" w14:paraId="548AA57C" w14:textId="77777777">
            <w:pPr>
              <w:widowControl/>
              <w:jc w:val="center"/>
              <w:rPr>
                <w:rFonts w:ascii="Calibri" w:hAnsi="Calibri" w:cs="Calibri"/>
                <w:snapToGrid/>
                <w:color w:val="333333"/>
                <w:kern w:val="0"/>
                <w:szCs w:val="22"/>
              </w:rPr>
            </w:pPr>
            <w:r w:rsidRPr="009C0565">
              <w:rPr>
                <w:rFonts w:ascii="Calibri" w:hAnsi="Calibri" w:cs="Calibri"/>
                <w:snapToGrid/>
                <w:color w:val="333333"/>
                <w:kern w:val="0"/>
                <w:szCs w:val="22"/>
              </w:rPr>
              <w:t>WTCV</w:t>
            </w:r>
          </w:p>
        </w:tc>
        <w:tc>
          <w:tcPr>
            <w:tcW w:w="183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65FB61D5" w14:textId="77777777">
            <w:pPr>
              <w:widowControl/>
              <w:jc w:val="right"/>
              <w:rPr>
                <w:rFonts w:ascii="Calibri" w:hAnsi="Calibri" w:cs="Calibri"/>
                <w:snapToGrid/>
                <w:kern w:val="0"/>
                <w:szCs w:val="22"/>
              </w:rPr>
            </w:pPr>
            <w:r w:rsidRPr="009C0565">
              <w:rPr>
                <w:rFonts w:ascii="Calibri" w:hAnsi="Calibri" w:cs="Calibri"/>
                <w:snapToGrid/>
                <w:kern w:val="0"/>
                <w:szCs w:val="22"/>
              </w:rPr>
              <w:t xml:space="preserve">           3,254,481 </w:t>
            </w:r>
          </w:p>
        </w:tc>
        <w:tc>
          <w:tcPr>
            <w:tcW w:w="1407"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77E515C5" w14:textId="77777777">
            <w:pPr>
              <w:widowControl/>
              <w:jc w:val="right"/>
              <w:rPr>
                <w:rFonts w:ascii="Calibri" w:hAnsi="Calibri" w:cs="Calibri"/>
                <w:snapToGrid/>
                <w:kern w:val="0"/>
                <w:szCs w:val="22"/>
              </w:rPr>
            </w:pPr>
            <w:r w:rsidRPr="009C0565">
              <w:rPr>
                <w:rFonts w:ascii="Calibri" w:hAnsi="Calibri" w:cs="Calibri"/>
                <w:snapToGrid/>
                <w:kern w:val="0"/>
                <w:szCs w:val="22"/>
              </w:rPr>
              <w:t>$23,511.57</w:t>
            </w:r>
          </w:p>
        </w:tc>
        <w:tc>
          <w:tcPr>
            <w:tcW w:w="127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2A812E43" w14:textId="77777777">
            <w:pPr>
              <w:widowControl/>
              <w:jc w:val="right"/>
              <w:rPr>
                <w:rFonts w:ascii="Calibri" w:hAnsi="Calibri" w:cs="Calibri"/>
                <w:snapToGrid/>
                <w:color w:val="000000"/>
                <w:kern w:val="0"/>
                <w:szCs w:val="22"/>
              </w:rPr>
            </w:pPr>
            <w:r w:rsidRPr="009C0565">
              <w:rPr>
                <w:rFonts w:ascii="Calibri" w:hAnsi="Calibri" w:cs="Calibri"/>
                <w:snapToGrid/>
                <w:color w:val="000000"/>
                <w:kern w:val="0"/>
                <w:szCs w:val="22"/>
              </w:rPr>
              <w:t>$4,450.00</w:t>
            </w:r>
          </w:p>
        </w:tc>
        <w:tc>
          <w:tcPr>
            <w:tcW w:w="163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38D89862" w14:textId="77777777">
            <w:pPr>
              <w:widowControl/>
              <w:jc w:val="right"/>
              <w:rPr>
                <w:rFonts w:ascii="Calibri" w:hAnsi="Calibri" w:cs="Calibri"/>
                <w:snapToGrid/>
                <w:color w:val="000000"/>
                <w:kern w:val="0"/>
                <w:szCs w:val="22"/>
              </w:rPr>
            </w:pPr>
            <w:r w:rsidRPr="009C0565">
              <w:rPr>
                <w:rFonts w:ascii="Calibri" w:hAnsi="Calibri" w:cs="Calibri"/>
                <w:snapToGrid/>
                <w:color w:val="000000"/>
                <w:kern w:val="0"/>
                <w:szCs w:val="22"/>
              </w:rPr>
              <w:t>$13,980.79</w:t>
            </w:r>
          </w:p>
        </w:tc>
        <w:tc>
          <w:tcPr>
            <w:tcW w:w="3280" w:type="dxa"/>
            <w:tcBorders>
              <w:top w:val="nil"/>
              <w:left w:val="nil"/>
              <w:bottom w:val="single" w:sz="4" w:space="0" w:color="auto"/>
              <w:right w:val="single" w:sz="4" w:space="0" w:color="auto"/>
            </w:tcBorders>
            <w:shd w:val="clear" w:color="FFFFFF" w:fill="F8FBFC"/>
            <w:noWrap/>
            <w:vAlign w:val="bottom"/>
            <w:hideMark/>
          </w:tcPr>
          <w:p w:rsidR="009C0565" w:rsidRPr="009C0565" w:rsidP="009C0565" w14:paraId="685AAB7C" w14:textId="77777777">
            <w:pPr>
              <w:widowControl/>
              <w:rPr>
                <w:rFonts w:ascii="Calibri" w:hAnsi="Calibri" w:cs="Calibri"/>
                <w:b/>
                <w:bCs/>
                <w:snapToGrid/>
                <w:kern w:val="0"/>
                <w:szCs w:val="22"/>
              </w:rPr>
            </w:pPr>
            <w:r w:rsidRPr="009C0565">
              <w:rPr>
                <w:rFonts w:ascii="Calibri" w:hAnsi="Calibri" w:cs="Calibri"/>
                <w:b/>
                <w:bCs/>
                <w:snapToGrid/>
                <w:kern w:val="0"/>
                <w:szCs w:val="22"/>
              </w:rPr>
              <w:t>Puerto Rico</w:t>
            </w:r>
          </w:p>
        </w:tc>
      </w:tr>
      <w:tr w14:paraId="0853D98F" w14:textId="77777777" w:rsidTr="00F64ABC">
        <w:tblPrEx>
          <w:tblW w:w="12100" w:type="dxa"/>
          <w:tblLook w:val="04A0"/>
        </w:tblPrEx>
        <w:trPr>
          <w:trHeight w:val="300"/>
        </w:trPr>
        <w:tc>
          <w:tcPr>
            <w:tcW w:w="1440" w:type="dxa"/>
            <w:tcBorders>
              <w:top w:val="nil"/>
              <w:left w:val="single" w:sz="4" w:space="0" w:color="auto"/>
              <w:bottom w:val="single" w:sz="4" w:space="0" w:color="auto"/>
              <w:right w:val="single" w:sz="4" w:space="0" w:color="auto"/>
            </w:tcBorders>
            <w:shd w:val="clear" w:color="FFFFFF" w:fill="F8FBFC"/>
            <w:noWrap/>
            <w:vAlign w:val="bottom"/>
            <w:hideMark/>
          </w:tcPr>
          <w:p w:rsidR="009C0565" w:rsidRPr="009C0565" w:rsidP="009C0565" w14:paraId="179EA9A3" w14:textId="77777777">
            <w:pPr>
              <w:widowControl/>
              <w:jc w:val="right"/>
              <w:rPr>
                <w:rFonts w:ascii="Calibri" w:hAnsi="Calibri" w:cs="Calibri"/>
                <w:snapToGrid/>
                <w:color w:val="333333"/>
                <w:kern w:val="0"/>
                <w:szCs w:val="22"/>
              </w:rPr>
            </w:pPr>
            <w:r w:rsidRPr="009C0565">
              <w:rPr>
                <w:rFonts w:ascii="Calibri" w:hAnsi="Calibri" w:cs="Calibri"/>
                <w:snapToGrid/>
                <w:color w:val="333333"/>
                <w:kern w:val="0"/>
                <w:szCs w:val="22"/>
              </w:rPr>
              <w:t>55305</w:t>
            </w:r>
          </w:p>
        </w:tc>
        <w:tc>
          <w:tcPr>
            <w:tcW w:w="1240" w:type="dxa"/>
            <w:tcBorders>
              <w:top w:val="nil"/>
              <w:left w:val="nil"/>
              <w:bottom w:val="single" w:sz="4" w:space="0" w:color="auto"/>
              <w:right w:val="single" w:sz="4" w:space="0" w:color="auto"/>
            </w:tcBorders>
            <w:shd w:val="clear" w:color="FFFFFF" w:fill="FFFFFF"/>
            <w:noWrap/>
            <w:vAlign w:val="bottom"/>
            <w:hideMark/>
          </w:tcPr>
          <w:p w:rsidR="009C0565" w:rsidRPr="009C0565" w:rsidP="009C0565" w14:paraId="3CDE7F66" w14:textId="77777777">
            <w:pPr>
              <w:widowControl/>
              <w:jc w:val="center"/>
              <w:rPr>
                <w:rFonts w:ascii="Calibri" w:hAnsi="Calibri" w:cs="Calibri"/>
                <w:snapToGrid/>
                <w:color w:val="333333"/>
                <w:kern w:val="0"/>
                <w:szCs w:val="22"/>
              </w:rPr>
            </w:pPr>
            <w:r w:rsidRPr="009C0565">
              <w:rPr>
                <w:rFonts w:ascii="Calibri" w:hAnsi="Calibri" w:cs="Calibri"/>
                <w:snapToGrid/>
                <w:color w:val="333333"/>
                <w:kern w:val="0"/>
                <w:szCs w:val="22"/>
              </w:rPr>
              <w:t>WTVE</w:t>
            </w:r>
          </w:p>
        </w:tc>
        <w:tc>
          <w:tcPr>
            <w:tcW w:w="183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3ECA33D6" w14:textId="77777777">
            <w:pPr>
              <w:widowControl/>
              <w:jc w:val="right"/>
              <w:rPr>
                <w:rFonts w:ascii="Calibri" w:hAnsi="Calibri" w:cs="Calibri"/>
                <w:snapToGrid/>
                <w:kern w:val="0"/>
                <w:szCs w:val="22"/>
              </w:rPr>
            </w:pPr>
            <w:r w:rsidRPr="009C0565">
              <w:rPr>
                <w:rFonts w:ascii="Calibri" w:hAnsi="Calibri" w:cs="Calibri"/>
                <w:snapToGrid/>
                <w:kern w:val="0"/>
                <w:szCs w:val="22"/>
              </w:rPr>
              <w:t xml:space="preserve">           4,027,248 </w:t>
            </w:r>
          </w:p>
        </w:tc>
        <w:tc>
          <w:tcPr>
            <w:tcW w:w="1407"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6E337307" w14:textId="77777777">
            <w:pPr>
              <w:widowControl/>
              <w:jc w:val="right"/>
              <w:rPr>
                <w:rFonts w:ascii="Calibri" w:hAnsi="Calibri" w:cs="Calibri"/>
                <w:snapToGrid/>
                <w:kern w:val="0"/>
                <w:szCs w:val="22"/>
              </w:rPr>
            </w:pPr>
            <w:r w:rsidRPr="009C0565">
              <w:rPr>
                <w:rFonts w:ascii="Calibri" w:hAnsi="Calibri" w:cs="Calibri"/>
                <w:snapToGrid/>
                <w:kern w:val="0"/>
                <w:szCs w:val="22"/>
              </w:rPr>
              <w:t>$29,094.33</w:t>
            </w:r>
          </w:p>
        </w:tc>
        <w:tc>
          <w:tcPr>
            <w:tcW w:w="127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46D0CF06" w14:textId="77777777">
            <w:pPr>
              <w:widowControl/>
              <w:jc w:val="right"/>
              <w:rPr>
                <w:rFonts w:ascii="Calibri" w:hAnsi="Calibri" w:cs="Calibri"/>
                <w:snapToGrid/>
                <w:color w:val="000000"/>
                <w:kern w:val="0"/>
                <w:szCs w:val="22"/>
              </w:rPr>
            </w:pPr>
            <w:r w:rsidRPr="009C0565">
              <w:rPr>
                <w:rFonts w:ascii="Calibri" w:hAnsi="Calibri" w:cs="Calibri"/>
                <w:snapToGrid/>
                <w:color w:val="000000"/>
                <w:kern w:val="0"/>
                <w:szCs w:val="22"/>
              </w:rPr>
              <w:t>$54,000.00</w:t>
            </w:r>
          </w:p>
        </w:tc>
        <w:tc>
          <w:tcPr>
            <w:tcW w:w="163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53A30035" w14:textId="77777777">
            <w:pPr>
              <w:widowControl/>
              <w:jc w:val="right"/>
              <w:rPr>
                <w:rFonts w:ascii="Calibri" w:hAnsi="Calibri" w:cs="Calibri"/>
                <w:snapToGrid/>
                <w:color w:val="000000"/>
                <w:kern w:val="0"/>
                <w:szCs w:val="22"/>
              </w:rPr>
            </w:pPr>
            <w:r w:rsidRPr="009C0565">
              <w:rPr>
                <w:rFonts w:ascii="Calibri" w:hAnsi="Calibri" w:cs="Calibri"/>
                <w:snapToGrid/>
                <w:color w:val="000000"/>
                <w:kern w:val="0"/>
                <w:szCs w:val="22"/>
              </w:rPr>
              <w:t>$41,547.16</w:t>
            </w:r>
          </w:p>
        </w:tc>
        <w:tc>
          <w:tcPr>
            <w:tcW w:w="3280" w:type="dxa"/>
            <w:tcBorders>
              <w:top w:val="nil"/>
              <w:left w:val="nil"/>
              <w:bottom w:val="single" w:sz="4" w:space="0" w:color="auto"/>
              <w:right w:val="single" w:sz="4" w:space="0" w:color="auto"/>
            </w:tcBorders>
            <w:shd w:val="clear" w:color="FFFFFF" w:fill="FFFFFF"/>
            <w:noWrap/>
            <w:vAlign w:val="bottom"/>
            <w:hideMark/>
          </w:tcPr>
          <w:p w:rsidR="009C0565" w:rsidRPr="009C0565" w:rsidP="009C0565" w14:paraId="2F4BC1BA" w14:textId="77777777">
            <w:pPr>
              <w:widowControl/>
              <w:rPr>
                <w:rFonts w:ascii="Calibri" w:hAnsi="Calibri" w:cs="Calibri"/>
                <w:b/>
                <w:bCs/>
                <w:snapToGrid/>
                <w:kern w:val="0"/>
                <w:szCs w:val="22"/>
              </w:rPr>
            </w:pPr>
            <w:r w:rsidRPr="009C0565">
              <w:rPr>
                <w:rFonts w:ascii="Calibri" w:hAnsi="Calibri" w:cs="Calibri"/>
                <w:b/>
                <w:bCs/>
                <w:snapToGrid/>
                <w:kern w:val="0"/>
                <w:szCs w:val="22"/>
              </w:rPr>
              <w:t>Philadelphia</w:t>
            </w:r>
          </w:p>
        </w:tc>
      </w:tr>
      <w:tr w14:paraId="286BE7F8" w14:textId="77777777" w:rsidTr="00F64ABC">
        <w:tblPrEx>
          <w:tblW w:w="12100" w:type="dxa"/>
          <w:tblLook w:val="04A0"/>
        </w:tblPrEx>
        <w:trPr>
          <w:trHeight w:val="300"/>
        </w:trPr>
        <w:tc>
          <w:tcPr>
            <w:tcW w:w="1440" w:type="dxa"/>
            <w:tcBorders>
              <w:top w:val="nil"/>
              <w:left w:val="single" w:sz="4" w:space="0" w:color="auto"/>
              <w:bottom w:val="single" w:sz="4" w:space="0" w:color="auto"/>
              <w:right w:val="single" w:sz="4" w:space="0" w:color="auto"/>
            </w:tcBorders>
            <w:shd w:val="clear" w:color="FFFFFF" w:fill="FFFFFF"/>
            <w:noWrap/>
            <w:vAlign w:val="bottom"/>
            <w:hideMark/>
          </w:tcPr>
          <w:p w:rsidR="009C0565" w:rsidRPr="009C0565" w:rsidP="009C0565" w14:paraId="13CE0663" w14:textId="77777777">
            <w:pPr>
              <w:widowControl/>
              <w:jc w:val="right"/>
              <w:rPr>
                <w:rFonts w:ascii="Calibri" w:hAnsi="Calibri" w:cs="Calibri"/>
                <w:snapToGrid/>
                <w:color w:val="333333"/>
                <w:kern w:val="0"/>
                <w:szCs w:val="22"/>
              </w:rPr>
            </w:pPr>
            <w:r w:rsidRPr="009C0565">
              <w:rPr>
                <w:rFonts w:ascii="Calibri" w:hAnsi="Calibri" w:cs="Calibri"/>
                <w:snapToGrid/>
                <w:color w:val="333333"/>
                <w:kern w:val="0"/>
                <w:szCs w:val="22"/>
              </w:rPr>
              <w:t>8532</w:t>
            </w:r>
          </w:p>
        </w:tc>
        <w:tc>
          <w:tcPr>
            <w:tcW w:w="1240" w:type="dxa"/>
            <w:tcBorders>
              <w:top w:val="nil"/>
              <w:left w:val="nil"/>
              <w:bottom w:val="single" w:sz="4" w:space="0" w:color="auto"/>
              <w:right w:val="single" w:sz="4" w:space="0" w:color="auto"/>
            </w:tcBorders>
            <w:shd w:val="clear" w:color="FFFFFF" w:fill="FFFFFF"/>
            <w:noWrap/>
            <w:vAlign w:val="bottom"/>
            <w:hideMark/>
          </w:tcPr>
          <w:p w:rsidR="009C0565" w:rsidRPr="009C0565" w:rsidP="009C0565" w14:paraId="61D7C9B9" w14:textId="77777777">
            <w:pPr>
              <w:widowControl/>
              <w:jc w:val="center"/>
              <w:rPr>
                <w:rFonts w:ascii="Calibri" w:hAnsi="Calibri" w:cs="Calibri"/>
                <w:snapToGrid/>
                <w:color w:val="333333"/>
                <w:kern w:val="0"/>
                <w:szCs w:val="22"/>
              </w:rPr>
            </w:pPr>
            <w:r w:rsidRPr="009C0565">
              <w:rPr>
                <w:rFonts w:ascii="Calibri" w:hAnsi="Calibri" w:cs="Calibri"/>
                <w:snapToGrid/>
                <w:color w:val="333333"/>
                <w:kern w:val="0"/>
                <w:szCs w:val="22"/>
              </w:rPr>
              <w:t>WUAB</w:t>
            </w:r>
          </w:p>
        </w:tc>
        <w:tc>
          <w:tcPr>
            <w:tcW w:w="183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2E629C2B" w14:textId="77777777">
            <w:pPr>
              <w:widowControl/>
              <w:jc w:val="right"/>
              <w:rPr>
                <w:rFonts w:ascii="Calibri" w:hAnsi="Calibri" w:cs="Calibri"/>
                <w:snapToGrid/>
                <w:kern w:val="0"/>
                <w:szCs w:val="22"/>
              </w:rPr>
            </w:pPr>
            <w:r w:rsidRPr="009C0565">
              <w:rPr>
                <w:rFonts w:ascii="Calibri" w:hAnsi="Calibri" w:cs="Calibri"/>
                <w:snapToGrid/>
                <w:kern w:val="0"/>
                <w:szCs w:val="22"/>
              </w:rPr>
              <w:t xml:space="preserve">           3,821,233 </w:t>
            </w:r>
          </w:p>
        </w:tc>
        <w:tc>
          <w:tcPr>
            <w:tcW w:w="1407"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180DEEEC" w14:textId="77777777">
            <w:pPr>
              <w:widowControl/>
              <w:jc w:val="right"/>
              <w:rPr>
                <w:rFonts w:ascii="Calibri" w:hAnsi="Calibri" w:cs="Calibri"/>
                <w:snapToGrid/>
                <w:kern w:val="0"/>
                <w:szCs w:val="22"/>
              </w:rPr>
            </w:pPr>
            <w:r w:rsidRPr="009C0565">
              <w:rPr>
                <w:rFonts w:ascii="Calibri" w:hAnsi="Calibri" w:cs="Calibri"/>
                <w:snapToGrid/>
                <w:kern w:val="0"/>
                <w:szCs w:val="22"/>
              </w:rPr>
              <w:t>$27,606.00</w:t>
            </w:r>
          </w:p>
        </w:tc>
        <w:tc>
          <w:tcPr>
            <w:tcW w:w="127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69938A48" w14:textId="77777777">
            <w:pPr>
              <w:widowControl/>
              <w:jc w:val="right"/>
              <w:rPr>
                <w:rFonts w:ascii="Calibri" w:hAnsi="Calibri" w:cs="Calibri"/>
                <w:snapToGrid/>
                <w:color w:val="000000"/>
                <w:kern w:val="0"/>
                <w:szCs w:val="22"/>
              </w:rPr>
            </w:pPr>
            <w:r w:rsidRPr="009C0565">
              <w:rPr>
                <w:rFonts w:ascii="Calibri" w:hAnsi="Calibri" w:cs="Calibri"/>
                <w:snapToGrid/>
                <w:color w:val="000000"/>
                <w:kern w:val="0"/>
                <w:szCs w:val="22"/>
              </w:rPr>
              <w:t>$40,675.00</w:t>
            </w:r>
          </w:p>
        </w:tc>
        <w:tc>
          <w:tcPr>
            <w:tcW w:w="163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5C2CCEFC" w14:textId="77777777">
            <w:pPr>
              <w:widowControl/>
              <w:jc w:val="right"/>
              <w:rPr>
                <w:rFonts w:ascii="Calibri" w:hAnsi="Calibri" w:cs="Calibri"/>
                <w:snapToGrid/>
                <w:color w:val="000000"/>
                <w:kern w:val="0"/>
                <w:szCs w:val="22"/>
              </w:rPr>
            </w:pPr>
            <w:r w:rsidRPr="009C0565">
              <w:rPr>
                <w:rFonts w:ascii="Calibri" w:hAnsi="Calibri" w:cs="Calibri"/>
                <w:snapToGrid/>
                <w:color w:val="000000"/>
                <w:kern w:val="0"/>
                <w:szCs w:val="22"/>
              </w:rPr>
              <w:t>$34,140.50</w:t>
            </w:r>
          </w:p>
        </w:tc>
        <w:tc>
          <w:tcPr>
            <w:tcW w:w="3280" w:type="dxa"/>
            <w:tcBorders>
              <w:top w:val="nil"/>
              <w:left w:val="nil"/>
              <w:bottom w:val="single" w:sz="4" w:space="0" w:color="auto"/>
              <w:right w:val="single" w:sz="4" w:space="0" w:color="auto"/>
            </w:tcBorders>
            <w:shd w:val="clear" w:color="FFFFFF" w:fill="FFFFFF"/>
            <w:noWrap/>
            <w:vAlign w:val="bottom"/>
            <w:hideMark/>
          </w:tcPr>
          <w:p w:rsidR="009C0565" w:rsidRPr="009C0565" w:rsidP="009C0565" w14:paraId="3E0D89CA" w14:textId="77777777">
            <w:pPr>
              <w:widowControl/>
              <w:rPr>
                <w:rFonts w:ascii="Calibri" w:hAnsi="Calibri" w:cs="Calibri"/>
                <w:b/>
                <w:bCs/>
                <w:snapToGrid/>
                <w:kern w:val="0"/>
                <w:szCs w:val="22"/>
              </w:rPr>
            </w:pPr>
            <w:r w:rsidRPr="009C0565">
              <w:rPr>
                <w:rFonts w:ascii="Calibri" w:hAnsi="Calibri" w:cs="Calibri"/>
                <w:b/>
                <w:bCs/>
                <w:snapToGrid/>
                <w:kern w:val="0"/>
                <w:szCs w:val="22"/>
              </w:rPr>
              <w:t>Cleveland-Akron (Canton)</w:t>
            </w:r>
          </w:p>
        </w:tc>
      </w:tr>
      <w:tr w14:paraId="636B4629" w14:textId="77777777" w:rsidTr="00F64ABC">
        <w:tblPrEx>
          <w:tblW w:w="12100" w:type="dxa"/>
          <w:tblLook w:val="04A0"/>
        </w:tblPrEx>
        <w:trPr>
          <w:trHeight w:val="300"/>
        </w:trPr>
        <w:tc>
          <w:tcPr>
            <w:tcW w:w="1440" w:type="dxa"/>
            <w:tcBorders>
              <w:top w:val="nil"/>
              <w:left w:val="single" w:sz="4" w:space="0" w:color="auto"/>
              <w:bottom w:val="single" w:sz="4" w:space="0" w:color="auto"/>
              <w:right w:val="single" w:sz="4" w:space="0" w:color="auto"/>
            </w:tcBorders>
            <w:shd w:val="clear" w:color="FFFFFF" w:fill="FFFFFF"/>
            <w:noWrap/>
            <w:vAlign w:val="bottom"/>
            <w:hideMark/>
          </w:tcPr>
          <w:p w:rsidR="009C0565" w:rsidRPr="009C0565" w:rsidP="009C0565" w14:paraId="4EAEE9E9" w14:textId="77777777">
            <w:pPr>
              <w:widowControl/>
              <w:jc w:val="right"/>
              <w:rPr>
                <w:rFonts w:ascii="Calibri" w:hAnsi="Calibri" w:cs="Calibri"/>
                <w:snapToGrid/>
                <w:color w:val="333333"/>
                <w:kern w:val="0"/>
                <w:szCs w:val="22"/>
              </w:rPr>
            </w:pPr>
            <w:r w:rsidRPr="009C0565">
              <w:rPr>
                <w:rFonts w:ascii="Calibri" w:hAnsi="Calibri" w:cs="Calibri"/>
                <w:snapToGrid/>
                <w:color w:val="333333"/>
                <w:kern w:val="0"/>
                <w:szCs w:val="22"/>
              </w:rPr>
              <w:t>60552</w:t>
            </w:r>
          </w:p>
        </w:tc>
        <w:tc>
          <w:tcPr>
            <w:tcW w:w="1240" w:type="dxa"/>
            <w:tcBorders>
              <w:top w:val="nil"/>
              <w:left w:val="nil"/>
              <w:bottom w:val="single" w:sz="4" w:space="0" w:color="auto"/>
              <w:right w:val="single" w:sz="4" w:space="0" w:color="auto"/>
            </w:tcBorders>
            <w:shd w:val="clear" w:color="FFFFFF" w:fill="FFFFFF"/>
            <w:noWrap/>
            <w:vAlign w:val="bottom"/>
            <w:hideMark/>
          </w:tcPr>
          <w:p w:rsidR="009C0565" w:rsidRPr="009C0565" w:rsidP="009C0565" w14:paraId="2750812A" w14:textId="77777777">
            <w:pPr>
              <w:widowControl/>
              <w:jc w:val="center"/>
              <w:rPr>
                <w:rFonts w:ascii="Calibri" w:hAnsi="Calibri" w:cs="Calibri"/>
                <w:snapToGrid/>
                <w:color w:val="333333"/>
                <w:kern w:val="0"/>
                <w:szCs w:val="22"/>
              </w:rPr>
            </w:pPr>
            <w:r w:rsidRPr="009C0565">
              <w:rPr>
                <w:rFonts w:ascii="Calibri" w:hAnsi="Calibri" w:cs="Calibri"/>
                <w:snapToGrid/>
                <w:color w:val="333333"/>
                <w:kern w:val="0"/>
                <w:szCs w:val="22"/>
              </w:rPr>
              <w:t>WUTB</w:t>
            </w:r>
          </w:p>
        </w:tc>
        <w:tc>
          <w:tcPr>
            <w:tcW w:w="183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5677E2DA" w14:textId="77777777">
            <w:pPr>
              <w:widowControl/>
              <w:jc w:val="right"/>
              <w:rPr>
                <w:rFonts w:ascii="Calibri" w:hAnsi="Calibri" w:cs="Calibri"/>
                <w:snapToGrid/>
                <w:kern w:val="0"/>
                <w:szCs w:val="22"/>
              </w:rPr>
            </w:pPr>
            <w:r w:rsidRPr="009C0565">
              <w:rPr>
                <w:rFonts w:ascii="Calibri" w:hAnsi="Calibri" w:cs="Calibri"/>
                <w:snapToGrid/>
                <w:kern w:val="0"/>
                <w:szCs w:val="22"/>
              </w:rPr>
              <w:t xml:space="preserve">           8,509,757 </w:t>
            </w:r>
          </w:p>
        </w:tc>
        <w:tc>
          <w:tcPr>
            <w:tcW w:w="1407"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5046A0AF" w14:textId="77777777">
            <w:pPr>
              <w:widowControl/>
              <w:jc w:val="right"/>
              <w:rPr>
                <w:rFonts w:ascii="Calibri" w:hAnsi="Calibri" w:cs="Calibri"/>
                <w:snapToGrid/>
                <w:kern w:val="0"/>
                <w:szCs w:val="22"/>
              </w:rPr>
            </w:pPr>
            <w:r w:rsidRPr="009C0565">
              <w:rPr>
                <w:rFonts w:ascii="Calibri" w:hAnsi="Calibri" w:cs="Calibri"/>
                <w:snapToGrid/>
                <w:kern w:val="0"/>
                <w:szCs w:val="22"/>
              </w:rPr>
              <w:t>$61,477.62</w:t>
            </w:r>
          </w:p>
        </w:tc>
        <w:tc>
          <w:tcPr>
            <w:tcW w:w="127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408F2B19" w14:textId="77777777">
            <w:pPr>
              <w:widowControl/>
              <w:jc w:val="right"/>
              <w:rPr>
                <w:rFonts w:ascii="Calibri" w:hAnsi="Calibri" w:cs="Calibri"/>
                <w:snapToGrid/>
                <w:color w:val="000000"/>
                <w:kern w:val="0"/>
                <w:szCs w:val="22"/>
              </w:rPr>
            </w:pPr>
            <w:r w:rsidRPr="009C0565">
              <w:rPr>
                <w:rFonts w:ascii="Calibri" w:hAnsi="Calibri" w:cs="Calibri"/>
                <w:snapToGrid/>
                <w:color w:val="000000"/>
                <w:kern w:val="0"/>
                <w:szCs w:val="22"/>
              </w:rPr>
              <w:t>$27,150.00</w:t>
            </w:r>
          </w:p>
        </w:tc>
        <w:tc>
          <w:tcPr>
            <w:tcW w:w="163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4F752989" w14:textId="77777777">
            <w:pPr>
              <w:widowControl/>
              <w:jc w:val="right"/>
              <w:rPr>
                <w:rFonts w:ascii="Calibri" w:hAnsi="Calibri" w:cs="Calibri"/>
                <w:snapToGrid/>
                <w:color w:val="000000"/>
                <w:kern w:val="0"/>
                <w:szCs w:val="22"/>
              </w:rPr>
            </w:pPr>
            <w:r w:rsidRPr="009C0565">
              <w:rPr>
                <w:rFonts w:ascii="Calibri" w:hAnsi="Calibri" w:cs="Calibri"/>
                <w:snapToGrid/>
                <w:color w:val="000000"/>
                <w:kern w:val="0"/>
                <w:szCs w:val="22"/>
              </w:rPr>
              <w:t>$44,313.81</w:t>
            </w:r>
          </w:p>
        </w:tc>
        <w:tc>
          <w:tcPr>
            <w:tcW w:w="3280" w:type="dxa"/>
            <w:tcBorders>
              <w:top w:val="nil"/>
              <w:left w:val="nil"/>
              <w:bottom w:val="single" w:sz="4" w:space="0" w:color="auto"/>
              <w:right w:val="single" w:sz="4" w:space="0" w:color="auto"/>
            </w:tcBorders>
            <w:shd w:val="clear" w:color="FFFFFF" w:fill="FFFFFF"/>
            <w:noWrap/>
            <w:vAlign w:val="bottom"/>
            <w:hideMark/>
          </w:tcPr>
          <w:p w:rsidR="009C0565" w:rsidRPr="009C0565" w:rsidP="009C0565" w14:paraId="5CC7433C" w14:textId="77777777">
            <w:pPr>
              <w:widowControl/>
              <w:rPr>
                <w:rFonts w:ascii="Calibri" w:hAnsi="Calibri" w:cs="Calibri"/>
                <w:b/>
                <w:bCs/>
                <w:snapToGrid/>
                <w:kern w:val="0"/>
                <w:szCs w:val="22"/>
              </w:rPr>
            </w:pPr>
            <w:r w:rsidRPr="009C0565">
              <w:rPr>
                <w:rFonts w:ascii="Calibri" w:hAnsi="Calibri" w:cs="Calibri"/>
                <w:b/>
                <w:bCs/>
                <w:snapToGrid/>
                <w:kern w:val="0"/>
                <w:szCs w:val="22"/>
              </w:rPr>
              <w:t>Baltimore</w:t>
            </w:r>
          </w:p>
        </w:tc>
      </w:tr>
      <w:tr w14:paraId="396988F5" w14:textId="77777777" w:rsidTr="00F64ABC">
        <w:tblPrEx>
          <w:tblW w:w="12100" w:type="dxa"/>
          <w:tblLook w:val="04A0"/>
        </w:tblPrEx>
        <w:trPr>
          <w:trHeight w:val="300"/>
        </w:trPr>
        <w:tc>
          <w:tcPr>
            <w:tcW w:w="1440" w:type="dxa"/>
            <w:tcBorders>
              <w:top w:val="nil"/>
              <w:left w:val="single" w:sz="4" w:space="0" w:color="auto"/>
              <w:bottom w:val="single" w:sz="4" w:space="0" w:color="auto"/>
              <w:right w:val="single" w:sz="4" w:space="0" w:color="auto"/>
            </w:tcBorders>
            <w:shd w:val="clear" w:color="FFFFFF" w:fill="FFFFFF"/>
            <w:noWrap/>
            <w:vAlign w:val="bottom"/>
            <w:hideMark/>
          </w:tcPr>
          <w:p w:rsidR="009C0565" w:rsidRPr="009C0565" w:rsidP="009C0565" w14:paraId="256F8C48" w14:textId="77777777">
            <w:pPr>
              <w:widowControl/>
              <w:jc w:val="right"/>
              <w:rPr>
                <w:rFonts w:ascii="Calibri" w:hAnsi="Calibri" w:cs="Calibri"/>
                <w:snapToGrid/>
                <w:color w:val="333333"/>
                <w:kern w:val="0"/>
                <w:szCs w:val="22"/>
              </w:rPr>
            </w:pPr>
            <w:r w:rsidRPr="009C0565">
              <w:rPr>
                <w:rFonts w:ascii="Calibri" w:hAnsi="Calibri" w:cs="Calibri"/>
                <w:snapToGrid/>
                <w:color w:val="333333"/>
                <w:kern w:val="0"/>
                <w:szCs w:val="22"/>
              </w:rPr>
              <w:t>3072</w:t>
            </w:r>
          </w:p>
        </w:tc>
        <w:tc>
          <w:tcPr>
            <w:tcW w:w="1240" w:type="dxa"/>
            <w:tcBorders>
              <w:top w:val="nil"/>
              <w:left w:val="nil"/>
              <w:bottom w:val="single" w:sz="4" w:space="0" w:color="auto"/>
              <w:right w:val="single" w:sz="4" w:space="0" w:color="auto"/>
            </w:tcBorders>
            <w:shd w:val="clear" w:color="FFFFFF" w:fill="F8FBFC"/>
            <w:noWrap/>
            <w:vAlign w:val="bottom"/>
            <w:hideMark/>
          </w:tcPr>
          <w:p w:rsidR="009C0565" w:rsidRPr="009C0565" w:rsidP="009C0565" w14:paraId="43656386" w14:textId="77777777">
            <w:pPr>
              <w:widowControl/>
              <w:jc w:val="center"/>
              <w:rPr>
                <w:rFonts w:ascii="Calibri" w:hAnsi="Calibri" w:cs="Calibri"/>
                <w:snapToGrid/>
                <w:color w:val="333333"/>
                <w:kern w:val="0"/>
                <w:szCs w:val="22"/>
              </w:rPr>
            </w:pPr>
            <w:r w:rsidRPr="009C0565">
              <w:rPr>
                <w:rFonts w:ascii="Calibri" w:hAnsi="Calibri" w:cs="Calibri"/>
                <w:snapToGrid/>
                <w:color w:val="333333"/>
                <w:kern w:val="0"/>
                <w:szCs w:val="22"/>
              </w:rPr>
              <w:t>WUVN</w:t>
            </w:r>
          </w:p>
        </w:tc>
        <w:tc>
          <w:tcPr>
            <w:tcW w:w="183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23A7DC74" w14:textId="77777777">
            <w:pPr>
              <w:widowControl/>
              <w:jc w:val="right"/>
              <w:rPr>
                <w:rFonts w:ascii="Calibri" w:hAnsi="Calibri" w:cs="Calibri"/>
                <w:snapToGrid/>
                <w:kern w:val="0"/>
                <w:szCs w:val="22"/>
              </w:rPr>
            </w:pPr>
            <w:r w:rsidRPr="009C0565">
              <w:rPr>
                <w:rFonts w:ascii="Calibri" w:hAnsi="Calibri" w:cs="Calibri"/>
                <w:snapToGrid/>
                <w:kern w:val="0"/>
                <w:szCs w:val="22"/>
              </w:rPr>
              <w:t xml:space="preserve">           1,132,445 </w:t>
            </w:r>
          </w:p>
        </w:tc>
        <w:tc>
          <w:tcPr>
            <w:tcW w:w="1407"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79C120A2" w14:textId="77777777">
            <w:pPr>
              <w:widowControl/>
              <w:jc w:val="right"/>
              <w:rPr>
                <w:rFonts w:ascii="Calibri" w:hAnsi="Calibri" w:cs="Calibri"/>
                <w:snapToGrid/>
                <w:kern w:val="0"/>
                <w:szCs w:val="22"/>
              </w:rPr>
            </w:pPr>
            <w:r w:rsidRPr="009C0565">
              <w:rPr>
                <w:rFonts w:ascii="Calibri" w:hAnsi="Calibri" w:cs="Calibri"/>
                <w:snapToGrid/>
                <w:kern w:val="0"/>
                <w:szCs w:val="22"/>
              </w:rPr>
              <w:t>$8,181.20</w:t>
            </w:r>
          </w:p>
        </w:tc>
        <w:tc>
          <w:tcPr>
            <w:tcW w:w="127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010DE689" w14:textId="77777777">
            <w:pPr>
              <w:widowControl/>
              <w:jc w:val="right"/>
              <w:rPr>
                <w:rFonts w:ascii="Calibri" w:hAnsi="Calibri" w:cs="Calibri"/>
                <w:snapToGrid/>
                <w:color w:val="000000"/>
                <w:kern w:val="0"/>
                <w:szCs w:val="22"/>
              </w:rPr>
            </w:pPr>
            <w:r w:rsidRPr="009C0565">
              <w:rPr>
                <w:rFonts w:ascii="Calibri" w:hAnsi="Calibri" w:cs="Calibri"/>
                <w:snapToGrid/>
                <w:color w:val="000000"/>
                <w:kern w:val="0"/>
                <w:szCs w:val="22"/>
              </w:rPr>
              <w:t>$27,150.00</w:t>
            </w:r>
          </w:p>
        </w:tc>
        <w:tc>
          <w:tcPr>
            <w:tcW w:w="163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0D51B6AB" w14:textId="77777777">
            <w:pPr>
              <w:widowControl/>
              <w:jc w:val="right"/>
              <w:rPr>
                <w:rFonts w:ascii="Calibri" w:hAnsi="Calibri" w:cs="Calibri"/>
                <w:snapToGrid/>
                <w:color w:val="000000"/>
                <w:kern w:val="0"/>
                <w:szCs w:val="22"/>
              </w:rPr>
            </w:pPr>
            <w:r w:rsidRPr="009C0565">
              <w:rPr>
                <w:rFonts w:ascii="Calibri" w:hAnsi="Calibri" w:cs="Calibri"/>
                <w:snapToGrid/>
                <w:color w:val="000000"/>
                <w:kern w:val="0"/>
                <w:szCs w:val="22"/>
              </w:rPr>
              <w:t>$17,665.60</w:t>
            </w:r>
          </w:p>
        </w:tc>
        <w:tc>
          <w:tcPr>
            <w:tcW w:w="3280" w:type="dxa"/>
            <w:tcBorders>
              <w:top w:val="nil"/>
              <w:left w:val="nil"/>
              <w:bottom w:val="single" w:sz="4" w:space="0" w:color="auto"/>
              <w:right w:val="single" w:sz="4" w:space="0" w:color="auto"/>
            </w:tcBorders>
            <w:shd w:val="clear" w:color="FFFFFF" w:fill="FFFFFF"/>
            <w:noWrap/>
            <w:vAlign w:val="bottom"/>
            <w:hideMark/>
          </w:tcPr>
          <w:p w:rsidR="009C0565" w:rsidRPr="009C0565" w:rsidP="009C0565" w14:paraId="12D967A3" w14:textId="77777777">
            <w:pPr>
              <w:widowControl/>
              <w:rPr>
                <w:rFonts w:ascii="Calibri" w:hAnsi="Calibri" w:cs="Calibri"/>
                <w:b/>
                <w:bCs/>
                <w:snapToGrid/>
                <w:kern w:val="0"/>
                <w:szCs w:val="22"/>
              </w:rPr>
            </w:pPr>
            <w:r w:rsidRPr="009C0565">
              <w:rPr>
                <w:rFonts w:ascii="Calibri" w:hAnsi="Calibri" w:cs="Calibri"/>
                <w:b/>
                <w:bCs/>
                <w:snapToGrid/>
                <w:kern w:val="0"/>
                <w:szCs w:val="22"/>
              </w:rPr>
              <w:t>Hartford &amp; New Haven</w:t>
            </w:r>
          </w:p>
        </w:tc>
      </w:tr>
      <w:tr w14:paraId="6008D30B" w14:textId="77777777" w:rsidTr="00F64ABC">
        <w:tblPrEx>
          <w:tblW w:w="12100" w:type="dxa"/>
          <w:tblLook w:val="04A0"/>
        </w:tblPrEx>
        <w:trPr>
          <w:trHeight w:val="300"/>
        </w:trPr>
        <w:tc>
          <w:tcPr>
            <w:tcW w:w="1440" w:type="dxa"/>
            <w:tcBorders>
              <w:top w:val="nil"/>
              <w:left w:val="single" w:sz="4" w:space="0" w:color="auto"/>
              <w:bottom w:val="single" w:sz="4" w:space="0" w:color="auto"/>
              <w:right w:val="single" w:sz="4" w:space="0" w:color="auto"/>
            </w:tcBorders>
            <w:shd w:val="clear" w:color="FFFFFF" w:fill="F8FBFC"/>
            <w:noWrap/>
            <w:vAlign w:val="bottom"/>
            <w:hideMark/>
          </w:tcPr>
          <w:p w:rsidR="009C0565" w:rsidRPr="009C0565" w:rsidP="009C0565" w14:paraId="20B7EBB2" w14:textId="77777777">
            <w:pPr>
              <w:widowControl/>
              <w:jc w:val="right"/>
              <w:rPr>
                <w:rFonts w:ascii="Calibri" w:hAnsi="Calibri" w:cs="Calibri"/>
                <w:snapToGrid/>
                <w:color w:val="333333"/>
                <w:kern w:val="0"/>
                <w:szCs w:val="22"/>
              </w:rPr>
            </w:pPr>
            <w:r w:rsidRPr="009C0565">
              <w:rPr>
                <w:rFonts w:ascii="Calibri" w:hAnsi="Calibri" w:cs="Calibri"/>
                <w:snapToGrid/>
                <w:color w:val="333333"/>
                <w:kern w:val="0"/>
                <w:szCs w:val="22"/>
              </w:rPr>
              <w:t>60560</w:t>
            </w:r>
          </w:p>
        </w:tc>
        <w:tc>
          <w:tcPr>
            <w:tcW w:w="1240" w:type="dxa"/>
            <w:tcBorders>
              <w:top w:val="nil"/>
              <w:left w:val="nil"/>
              <w:bottom w:val="single" w:sz="4" w:space="0" w:color="auto"/>
              <w:right w:val="single" w:sz="4" w:space="0" w:color="auto"/>
            </w:tcBorders>
            <w:shd w:val="clear" w:color="FFFFFF" w:fill="F8FBFC"/>
            <w:noWrap/>
            <w:vAlign w:val="bottom"/>
            <w:hideMark/>
          </w:tcPr>
          <w:p w:rsidR="009C0565" w:rsidRPr="009C0565" w:rsidP="009C0565" w14:paraId="4AD9CECD" w14:textId="77777777">
            <w:pPr>
              <w:widowControl/>
              <w:jc w:val="center"/>
              <w:rPr>
                <w:rFonts w:ascii="Calibri" w:hAnsi="Calibri" w:cs="Calibri"/>
                <w:snapToGrid/>
                <w:color w:val="333333"/>
                <w:kern w:val="0"/>
                <w:szCs w:val="22"/>
              </w:rPr>
            </w:pPr>
            <w:r w:rsidRPr="009C0565">
              <w:rPr>
                <w:rFonts w:ascii="Calibri" w:hAnsi="Calibri" w:cs="Calibri"/>
                <w:snapToGrid/>
                <w:color w:val="333333"/>
                <w:kern w:val="0"/>
                <w:szCs w:val="22"/>
              </w:rPr>
              <w:t>WUVP-DT</w:t>
            </w:r>
          </w:p>
        </w:tc>
        <w:tc>
          <w:tcPr>
            <w:tcW w:w="183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20DF5EB9" w14:textId="77777777">
            <w:pPr>
              <w:widowControl/>
              <w:jc w:val="right"/>
              <w:rPr>
                <w:rFonts w:ascii="Calibri" w:hAnsi="Calibri" w:cs="Calibri"/>
                <w:snapToGrid/>
                <w:kern w:val="0"/>
                <w:szCs w:val="22"/>
              </w:rPr>
            </w:pPr>
            <w:r w:rsidRPr="009C0565">
              <w:rPr>
                <w:rFonts w:ascii="Calibri" w:hAnsi="Calibri" w:cs="Calibri"/>
                <w:snapToGrid/>
                <w:kern w:val="0"/>
                <w:szCs w:val="22"/>
              </w:rPr>
              <w:t xml:space="preserve">        10,421,216 </w:t>
            </w:r>
          </w:p>
        </w:tc>
        <w:tc>
          <w:tcPr>
            <w:tcW w:w="1407"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3441A74A" w14:textId="77777777">
            <w:pPr>
              <w:widowControl/>
              <w:jc w:val="right"/>
              <w:rPr>
                <w:rFonts w:ascii="Calibri" w:hAnsi="Calibri" w:cs="Calibri"/>
                <w:snapToGrid/>
                <w:kern w:val="0"/>
                <w:szCs w:val="22"/>
              </w:rPr>
            </w:pPr>
            <w:r w:rsidRPr="009C0565">
              <w:rPr>
                <w:rFonts w:ascii="Calibri" w:hAnsi="Calibri" w:cs="Calibri"/>
                <w:snapToGrid/>
                <w:kern w:val="0"/>
                <w:szCs w:val="22"/>
              </w:rPr>
              <w:t>$75,286.71</w:t>
            </w:r>
          </w:p>
        </w:tc>
        <w:tc>
          <w:tcPr>
            <w:tcW w:w="127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55BB91AE" w14:textId="77777777">
            <w:pPr>
              <w:widowControl/>
              <w:jc w:val="right"/>
              <w:rPr>
                <w:rFonts w:ascii="Calibri" w:hAnsi="Calibri" w:cs="Calibri"/>
                <w:snapToGrid/>
                <w:color w:val="000000"/>
                <w:kern w:val="0"/>
                <w:szCs w:val="22"/>
              </w:rPr>
            </w:pPr>
            <w:r w:rsidRPr="009C0565">
              <w:rPr>
                <w:rFonts w:ascii="Calibri" w:hAnsi="Calibri" w:cs="Calibri"/>
                <w:snapToGrid/>
                <w:color w:val="000000"/>
                <w:kern w:val="0"/>
                <w:szCs w:val="22"/>
              </w:rPr>
              <w:t>$54,000.00</w:t>
            </w:r>
          </w:p>
        </w:tc>
        <w:tc>
          <w:tcPr>
            <w:tcW w:w="163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17D0AB36" w14:textId="77777777">
            <w:pPr>
              <w:widowControl/>
              <w:jc w:val="right"/>
              <w:rPr>
                <w:rFonts w:ascii="Calibri" w:hAnsi="Calibri" w:cs="Calibri"/>
                <w:snapToGrid/>
                <w:color w:val="000000"/>
                <w:kern w:val="0"/>
                <w:szCs w:val="22"/>
              </w:rPr>
            </w:pPr>
            <w:r w:rsidRPr="009C0565">
              <w:rPr>
                <w:rFonts w:ascii="Calibri" w:hAnsi="Calibri" w:cs="Calibri"/>
                <w:snapToGrid/>
                <w:color w:val="000000"/>
                <w:kern w:val="0"/>
                <w:szCs w:val="22"/>
              </w:rPr>
              <w:t>$64,643.35</w:t>
            </w:r>
          </w:p>
        </w:tc>
        <w:tc>
          <w:tcPr>
            <w:tcW w:w="3280" w:type="dxa"/>
            <w:tcBorders>
              <w:top w:val="nil"/>
              <w:left w:val="nil"/>
              <w:bottom w:val="single" w:sz="4" w:space="0" w:color="auto"/>
              <w:right w:val="single" w:sz="4" w:space="0" w:color="auto"/>
            </w:tcBorders>
            <w:shd w:val="clear" w:color="FFFFFF" w:fill="F8FBFC"/>
            <w:noWrap/>
            <w:vAlign w:val="bottom"/>
            <w:hideMark/>
          </w:tcPr>
          <w:p w:rsidR="009C0565" w:rsidRPr="009C0565" w:rsidP="009C0565" w14:paraId="3B44F8C8" w14:textId="77777777">
            <w:pPr>
              <w:widowControl/>
              <w:rPr>
                <w:rFonts w:ascii="Calibri" w:hAnsi="Calibri" w:cs="Calibri"/>
                <w:b/>
                <w:bCs/>
                <w:snapToGrid/>
                <w:kern w:val="0"/>
                <w:szCs w:val="22"/>
              </w:rPr>
            </w:pPr>
            <w:r w:rsidRPr="009C0565">
              <w:rPr>
                <w:rFonts w:ascii="Calibri" w:hAnsi="Calibri" w:cs="Calibri"/>
                <w:b/>
                <w:bCs/>
                <w:snapToGrid/>
                <w:kern w:val="0"/>
                <w:szCs w:val="22"/>
              </w:rPr>
              <w:t>Philadelphia</w:t>
            </w:r>
          </w:p>
        </w:tc>
      </w:tr>
      <w:tr w14:paraId="5A43FA98" w14:textId="77777777" w:rsidTr="00F64ABC">
        <w:tblPrEx>
          <w:tblW w:w="12100" w:type="dxa"/>
          <w:tblLook w:val="04A0"/>
        </w:tblPrEx>
        <w:trPr>
          <w:trHeight w:val="300"/>
        </w:trPr>
        <w:tc>
          <w:tcPr>
            <w:tcW w:w="1440" w:type="dxa"/>
            <w:tcBorders>
              <w:top w:val="nil"/>
              <w:left w:val="single" w:sz="4" w:space="0" w:color="auto"/>
              <w:bottom w:val="single" w:sz="4" w:space="0" w:color="auto"/>
              <w:right w:val="single" w:sz="4" w:space="0" w:color="auto"/>
            </w:tcBorders>
            <w:shd w:val="clear" w:color="FFFFFF" w:fill="FFFFFF"/>
            <w:noWrap/>
            <w:vAlign w:val="bottom"/>
            <w:hideMark/>
          </w:tcPr>
          <w:p w:rsidR="009C0565" w:rsidRPr="009C0565" w:rsidP="009C0565" w14:paraId="4D952449" w14:textId="77777777">
            <w:pPr>
              <w:widowControl/>
              <w:jc w:val="right"/>
              <w:rPr>
                <w:rFonts w:ascii="Calibri" w:hAnsi="Calibri" w:cs="Calibri"/>
                <w:snapToGrid/>
                <w:color w:val="333333"/>
                <w:kern w:val="0"/>
                <w:szCs w:val="22"/>
              </w:rPr>
            </w:pPr>
            <w:r w:rsidRPr="009C0565">
              <w:rPr>
                <w:rFonts w:ascii="Calibri" w:hAnsi="Calibri" w:cs="Calibri"/>
                <w:snapToGrid/>
                <w:color w:val="333333"/>
                <w:kern w:val="0"/>
                <w:szCs w:val="22"/>
              </w:rPr>
              <w:t>14682</w:t>
            </w:r>
          </w:p>
        </w:tc>
        <w:tc>
          <w:tcPr>
            <w:tcW w:w="1240" w:type="dxa"/>
            <w:tcBorders>
              <w:top w:val="nil"/>
              <w:left w:val="nil"/>
              <w:bottom w:val="single" w:sz="4" w:space="0" w:color="auto"/>
              <w:right w:val="single" w:sz="4" w:space="0" w:color="auto"/>
            </w:tcBorders>
            <w:shd w:val="clear" w:color="FFFFFF" w:fill="FFFFFF"/>
            <w:noWrap/>
            <w:vAlign w:val="bottom"/>
            <w:hideMark/>
          </w:tcPr>
          <w:p w:rsidR="009C0565" w:rsidRPr="009C0565" w:rsidP="009C0565" w14:paraId="6D9DF5CF" w14:textId="77777777">
            <w:pPr>
              <w:widowControl/>
              <w:jc w:val="center"/>
              <w:rPr>
                <w:rFonts w:ascii="Calibri" w:hAnsi="Calibri" w:cs="Calibri"/>
                <w:snapToGrid/>
                <w:color w:val="333333"/>
                <w:kern w:val="0"/>
                <w:szCs w:val="22"/>
              </w:rPr>
            </w:pPr>
            <w:r w:rsidRPr="009C0565">
              <w:rPr>
                <w:rFonts w:ascii="Calibri" w:hAnsi="Calibri" w:cs="Calibri"/>
                <w:snapToGrid/>
                <w:color w:val="333333"/>
                <w:kern w:val="0"/>
                <w:szCs w:val="22"/>
              </w:rPr>
              <w:t>WWJE-DT</w:t>
            </w:r>
          </w:p>
        </w:tc>
        <w:tc>
          <w:tcPr>
            <w:tcW w:w="183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5FEBF89D" w14:textId="77777777">
            <w:pPr>
              <w:widowControl/>
              <w:jc w:val="right"/>
              <w:rPr>
                <w:rFonts w:ascii="Calibri" w:hAnsi="Calibri" w:cs="Calibri"/>
                <w:snapToGrid/>
                <w:kern w:val="0"/>
                <w:szCs w:val="22"/>
              </w:rPr>
            </w:pPr>
            <w:r w:rsidRPr="009C0565">
              <w:rPr>
                <w:rFonts w:ascii="Calibri" w:hAnsi="Calibri" w:cs="Calibri"/>
                <w:snapToGrid/>
                <w:kern w:val="0"/>
                <w:szCs w:val="22"/>
              </w:rPr>
              <w:t xml:space="preserve">           7,209,571 </w:t>
            </w:r>
          </w:p>
        </w:tc>
        <w:tc>
          <w:tcPr>
            <w:tcW w:w="1407"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7AAD86F5" w14:textId="77777777">
            <w:pPr>
              <w:widowControl/>
              <w:jc w:val="right"/>
              <w:rPr>
                <w:rFonts w:ascii="Calibri" w:hAnsi="Calibri" w:cs="Calibri"/>
                <w:snapToGrid/>
                <w:kern w:val="0"/>
                <w:szCs w:val="22"/>
              </w:rPr>
            </w:pPr>
            <w:r w:rsidRPr="009C0565">
              <w:rPr>
                <w:rFonts w:ascii="Calibri" w:hAnsi="Calibri" w:cs="Calibri"/>
                <w:snapToGrid/>
                <w:kern w:val="0"/>
                <w:szCs w:val="22"/>
              </w:rPr>
              <w:t>$52,084.60</w:t>
            </w:r>
          </w:p>
        </w:tc>
        <w:tc>
          <w:tcPr>
            <w:tcW w:w="127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6E1F62BB" w14:textId="77777777">
            <w:pPr>
              <w:widowControl/>
              <w:jc w:val="right"/>
              <w:rPr>
                <w:rFonts w:ascii="Calibri" w:hAnsi="Calibri" w:cs="Calibri"/>
                <w:snapToGrid/>
                <w:color w:val="000000"/>
                <w:kern w:val="0"/>
                <w:szCs w:val="22"/>
              </w:rPr>
            </w:pPr>
            <w:r w:rsidRPr="009C0565">
              <w:rPr>
                <w:rFonts w:ascii="Calibri" w:hAnsi="Calibri" w:cs="Calibri"/>
                <w:snapToGrid/>
                <w:color w:val="000000"/>
                <w:kern w:val="0"/>
                <w:szCs w:val="22"/>
              </w:rPr>
              <w:t>$54,000.00</w:t>
            </w:r>
          </w:p>
        </w:tc>
        <w:tc>
          <w:tcPr>
            <w:tcW w:w="163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451B9858" w14:textId="77777777">
            <w:pPr>
              <w:widowControl/>
              <w:jc w:val="right"/>
              <w:rPr>
                <w:rFonts w:ascii="Calibri" w:hAnsi="Calibri" w:cs="Calibri"/>
                <w:snapToGrid/>
                <w:color w:val="000000"/>
                <w:kern w:val="0"/>
                <w:szCs w:val="22"/>
              </w:rPr>
            </w:pPr>
            <w:r w:rsidRPr="009C0565">
              <w:rPr>
                <w:rFonts w:ascii="Calibri" w:hAnsi="Calibri" w:cs="Calibri"/>
                <w:snapToGrid/>
                <w:color w:val="000000"/>
                <w:kern w:val="0"/>
                <w:szCs w:val="22"/>
              </w:rPr>
              <w:t>$53,042.30</w:t>
            </w:r>
          </w:p>
        </w:tc>
        <w:tc>
          <w:tcPr>
            <w:tcW w:w="3280" w:type="dxa"/>
            <w:tcBorders>
              <w:top w:val="nil"/>
              <w:left w:val="nil"/>
              <w:bottom w:val="single" w:sz="4" w:space="0" w:color="auto"/>
              <w:right w:val="single" w:sz="4" w:space="0" w:color="auto"/>
            </w:tcBorders>
            <w:shd w:val="clear" w:color="FFFFFF" w:fill="F8FBFC"/>
            <w:noWrap/>
            <w:vAlign w:val="bottom"/>
            <w:hideMark/>
          </w:tcPr>
          <w:p w:rsidR="009C0565" w:rsidRPr="009C0565" w:rsidP="009C0565" w14:paraId="4EB03DE9" w14:textId="77777777">
            <w:pPr>
              <w:widowControl/>
              <w:rPr>
                <w:rFonts w:ascii="Calibri" w:hAnsi="Calibri" w:cs="Calibri"/>
                <w:b/>
                <w:bCs/>
                <w:snapToGrid/>
                <w:kern w:val="0"/>
                <w:szCs w:val="22"/>
              </w:rPr>
            </w:pPr>
            <w:r w:rsidRPr="009C0565">
              <w:rPr>
                <w:rFonts w:ascii="Calibri" w:hAnsi="Calibri" w:cs="Calibri"/>
                <w:b/>
                <w:bCs/>
                <w:snapToGrid/>
                <w:kern w:val="0"/>
                <w:szCs w:val="22"/>
              </w:rPr>
              <w:t>Boston (Manchester)</w:t>
            </w:r>
          </w:p>
        </w:tc>
      </w:tr>
      <w:tr w14:paraId="45597670" w14:textId="77777777" w:rsidTr="00F64ABC">
        <w:tblPrEx>
          <w:tblW w:w="12100" w:type="dxa"/>
          <w:tblLook w:val="04A0"/>
        </w:tblPrEx>
        <w:trPr>
          <w:trHeight w:val="300"/>
        </w:trPr>
        <w:tc>
          <w:tcPr>
            <w:tcW w:w="1440" w:type="dxa"/>
            <w:tcBorders>
              <w:top w:val="nil"/>
              <w:left w:val="single" w:sz="4" w:space="0" w:color="auto"/>
              <w:bottom w:val="single" w:sz="4" w:space="0" w:color="auto"/>
              <w:right w:val="single" w:sz="4" w:space="0" w:color="auto"/>
            </w:tcBorders>
            <w:shd w:val="clear" w:color="FFFFFF" w:fill="FFFFFF"/>
            <w:noWrap/>
            <w:vAlign w:val="bottom"/>
            <w:hideMark/>
          </w:tcPr>
          <w:p w:rsidR="009C0565" w:rsidRPr="009C0565" w:rsidP="009C0565" w14:paraId="7CF18915" w14:textId="77777777">
            <w:pPr>
              <w:widowControl/>
              <w:jc w:val="right"/>
              <w:rPr>
                <w:rFonts w:ascii="Calibri" w:hAnsi="Calibri" w:cs="Calibri"/>
                <w:snapToGrid/>
                <w:color w:val="333333"/>
                <w:kern w:val="0"/>
                <w:szCs w:val="22"/>
              </w:rPr>
            </w:pPr>
            <w:r w:rsidRPr="009C0565">
              <w:rPr>
                <w:rFonts w:ascii="Calibri" w:hAnsi="Calibri" w:cs="Calibri"/>
                <w:snapToGrid/>
                <w:color w:val="333333"/>
                <w:kern w:val="0"/>
                <w:szCs w:val="22"/>
              </w:rPr>
              <w:t>23338</w:t>
            </w:r>
          </w:p>
        </w:tc>
        <w:tc>
          <w:tcPr>
            <w:tcW w:w="1240" w:type="dxa"/>
            <w:tcBorders>
              <w:top w:val="nil"/>
              <w:left w:val="nil"/>
              <w:bottom w:val="single" w:sz="4" w:space="0" w:color="auto"/>
              <w:right w:val="single" w:sz="4" w:space="0" w:color="auto"/>
            </w:tcBorders>
            <w:shd w:val="clear" w:color="FFFFFF" w:fill="FFFFFF"/>
            <w:noWrap/>
            <w:vAlign w:val="bottom"/>
            <w:hideMark/>
          </w:tcPr>
          <w:p w:rsidR="009C0565" w:rsidRPr="009C0565" w:rsidP="009C0565" w14:paraId="5924F219" w14:textId="77777777">
            <w:pPr>
              <w:widowControl/>
              <w:jc w:val="center"/>
              <w:rPr>
                <w:rFonts w:ascii="Calibri" w:hAnsi="Calibri" w:cs="Calibri"/>
                <w:snapToGrid/>
                <w:color w:val="333333"/>
                <w:kern w:val="0"/>
                <w:szCs w:val="22"/>
              </w:rPr>
            </w:pPr>
            <w:r w:rsidRPr="009C0565">
              <w:rPr>
                <w:rFonts w:ascii="Calibri" w:hAnsi="Calibri" w:cs="Calibri"/>
                <w:snapToGrid/>
                <w:color w:val="333333"/>
                <w:kern w:val="0"/>
                <w:szCs w:val="22"/>
              </w:rPr>
              <w:t>WXBU</w:t>
            </w:r>
          </w:p>
        </w:tc>
        <w:tc>
          <w:tcPr>
            <w:tcW w:w="183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79689281" w14:textId="77777777">
            <w:pPr>
              <w:widowControl/>
              <w:jc w:val="right"/>
              <w:rPr>
                <w:rFonts w:ascii="Calibri" w:hAnsi="Calibri" w:cs="Calibri"/>
                <w:snapToGrid/>
                <w:kern w:val="0"/>
                <w:szCs w:val="22"/>
              </w:rPr>
            </w:pPr>
            <w:r w:rsidRPr="009C0565">
              <w:rPr>
                <w:rFonts w:ascii="Calibri" w:hAnsi="Calibri" w:cs="Calibri"/>
                <w:snapToGrid/>
                <w:kern w:val="0"/>
                <w:szCs w:val="22"/>
              </w:rPr>
              <w:t xml:space="preserve">           3,046,418 </w:t>
            </w:r>
          </w:p>
        </w:tc>
        <w:tc>
          <w:tcPr>
            <w:tcW w:w="1407"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3BC94E82" w14:textId="77777777">
            <w:pPr>
              <w:widowControl/>
              <w:jc w:val="right"/>
              <w:rPr>
                <w:rFonts w:ascii="Calibri" w:hAnsi="Calibri" w:cs="Calibri"/>
                <w:snapToGrid/>
                <w:kern w:val="0"/>
                <w:szCs w:val="22"/>
              </w:rPr>
            </w:pPr>
            <w:r w:rsidRPr="009C0565">
              <w:rPr>
                <w:rFonts w:ascii="Calibri" w:hAnsi="Calibri" w:cs="Calibri"/>
                <w:snapToGrid/>
                <w:kern w:val="0"/>
                <w:szCs w:val="22"/>
              </w:rPr>
              <w:t>$22,008.45</w:t>
            </w:r>
          </w:p>
        </w:tc>
        <w:tc>
          <w:tcPr>
            <w:tcW w:w="127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34D59D94" w14:textId="77777777">
            <w:pPr>
              <w:widowControl/>
              <w:jc w:val="right"/>
              <w:rPr>
                <w:rFonts w:ascii="Calibri" w:hAnsi="Calibri" w:cs="Calibri"/>
                <w:snapToGrid/>
                <w:color w:val="000000"/>
                <w:kern w:val="0"/>
                <w:szCs w:val="22"/>
              </w:rPr>
            </w:pPr>
            <w:r w:rsidRPr="009C0565">
              <w:rPr>
                <w:rFonts w:ascii="Calibri" w:hAnsi="Calibri" w:cs="Calibri"/>
                <w:snapToGrid/>
                <w:color w:val="000000"/>
                <w:kern w:val="0"/>
                <w:szCs w:val="22"/>
              </w:rPr>
              <w:t>$27,150.00</w:t>
            </w:r>
          </w:p>
        </w:tc>
        <w:tc>
          <w:tcPr>
            <w:tcW w:w="163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020B1421" w14:textId="77777777">
            <w:pPr>
              <w:widowControl/>
              <w:jc w:val="right"/>
              <w:rPr>
                <w:rFonts w:ascii="Calibri" w:hAnsi="Calibri" w:cs="Calibri"/>
                <w:snapToGrid/>
                <w:color w:val="000000"/>
                <w:kern w:val="0"/>
                <w:szCs w:val="22"/>
              </w:rPr>
            </w:pPr>
            <w:r w:rsidRPr="009C0565">
              <w:rPr>
                <w:rFonts w:ascii="Calibri" w:hAnsi="Calibri" w:cs="Calibri"/>
                <w:snapToGrid/>
                <w:color w:val="000000"/>
                <w:kern w:val="0"/>
                <w:szCs w:val="22"/>
              </w:rPr>
              <w:t>$24,579.22</w:t>
            </w:r>
          </w:p>
        </w:tc>
        <w:tc>
          <w:tcPr>
            <w:tcW w:w="3280" w:type="dxa"/>
            <w:tcBorders>
              <w:top w:val="nil"/>
              <w:left w:val="nil"/>
              <w:bottom w:val="single" w:sz="4" w:space="0" w:color="auto"/>
              <w:right w:val="single" w:sz="4" w:space="0" w:color="auto"/>
            </w:tcBorders>
            <w:shd w:val="clear" w:color="FFFFFF" w:fill="F8FBFC"/>
            <w:noWrap/>
            <w:vAlign w:val="bottom"/>
            <w:hideMark/>
          </w:tcPr>
          <w:p w:rsidR="009C0565" w:rsidRPr="009C0565" w:rsidP="009C0565" w14:paraId="7E0FF5E6" w14:textId="77777777">
            <w:pPr>
              <w:widowControl/>
              <w:rPr>
                <w:rFonts w:ascii="Calibri" w:hAnsi="Calibri" w:cs="Calibri"/>
                <w:b/>
                <w:bCs/>
                <w:snapToGrid/>
                <w:kern w:val="0"/>
                <w:szCs w:val="22"/>
              </w:rPr>
            </w:pPr>
            <w:r w:rsidRPr="009C0565">
              <w:rPr>
                <w:rFonts w:ascii="Calibri" w:hAnsi="Calibri" w:cs="Calibri"/>
                <w:b/>
                <w:bCs/>
                <w:snapToGrid/>
                <w:kern w:val="0"/>
                <w:szCs w:val="22"/>
              </w:rPr>
              <w:t>Harrisburg-Lncstr-Leb-York</w:t>
            </w:r>
          </w:p>
        </w:tc>
      </w:tr>
      <w:tr w14:paraId="5E419F04" w14:textId="77777777" w:rsidTr="00F64ABC">
        <w:tblPrEx>
          <w:tblW w:w="12100" w:type="dxa"/>
          <w:tblLook w:val="04A0"/>
        </w:tblPrEx>
        <w:trPr>
          <w:trHeight w:val="300"/>
        </w:trPr>
        <w:tc>
          <w:tcPr>
            <w:tcW w:w="1440" w:type="dxa"/>
            <w:tcBorders>
              <w:top w:val="nil"/>
              <w:left w:val="single" w:sz="4" w:space="0" w:color="auto"/>
              <w:bottom w:val="single" w:sz="4" w:space="0" w:color="auto"/>
              <w:right w:val="single" w:sz="4" w:space="0" w:color="auto"/>
            </w:tcBorders>
            <w:shd w:val="clear" w:color="FFFFFF" w:fill="F8FBFC"/>
            <w:noWrap/>
            <w:vAlign w:val="bottom"/>
            <w:hideMark/>
          </w:tcPr>
          <w:p w:rsidR="009C0565" w:rsidRPr="009C0565" w:rsidP="009C0565" w14:paraId="1421773D" w14:textId="77777777">
            <w:pPr>
              <w:widowControl/>
              <w:jc w:val="right"/>
              <w:rPr>
                <w:rFonts w:ascii="Calibri" w:hAnsi="Calibri" w:cs="Calibri"/>
                <w:snapToGrid/>
                <w:color w:val="333333"/>
                <w:kern w:val="0"/>
                <w:szCs w:val="22"/>
              </w:rPr>
            </w:pPr>
            <w:r w:rsidRPr="009C0565">
              <w:rPr>
                <w:rFonts w:ascii="Calibri" w:hAnsi="Calibri" w:cs="Calibri"/>
                <w:snapToGrid/>
                <w:color w:val="333333"/>
                <w:kern w:val="0"/>
                <w:szCs w:val="22"/>
              </w:rPr>
              <w:t>60539</w:t>
            </w:r>
          </w:p>
        </w:tc>
        <w:tc>
          <w:tcPr>
            <w:tcW w:w="1240" w:type="dxa"/>
            <w:tcBorders>
              <w:top w:val="nil"/>
              <w:left w:val="nil"/>
              <w:bottom w:val="single" w:sz="4" w:space="0" w:color="auto"/>
              <w:right w:val="single" w:sz="4" w:space="0" w:color="auto"/>
            </w:tcBorders>
            <w:shd w:val="clear" w:color="FFFFFF" w:fill="F8FBFC"/>
            <w:noWrap/>
            <w:vAlign w:val="bottom"/>
            <w:hideMark/>
          </w:tcPr>
          <w:p w:rsidR="009C0565" w:rsidRPr="009C0565" w:rsidP="009C0565" w14:paraId="62E81CC0" w14:textId="77777777">
            <w:pPr>
              <w:widowControl/>
              <w:jc w:val="center"/>
              <w:rPr>
                <w:rFonts w:ascii="Calibri" w:hAnsi="Calibri" w:cs="Calibri"/>
                <w:snapToGrid/>
                <w:color w:val="333333"/>
                <w:kern w:val="0"/>
                <w:szCs w:val="22"/>
              </w:rPr>
            </w:pPr>
            <w:r w:rsidRPr="009C0565">
              <w:rPr>
                <w:rFonts w:ascii="Calibri" w:hAnsi="Calibri" w:cs="Calibri"/>
                <w:snapToGrid/>
                <w:color w:val="333333"/>
                <w:kern w:val="0"/>
                <w:szCs w:val="22"/>
              </w:rPr>
              <w:t>WXFT-DT</w:t>
            </w:r>
          </w:p>
        </w:tc>
        <w:tc>
          <w:tcPr>
            <w:tcW w:w="183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7DA3D76D" w14:textId="77777777">
            <w:pPr>
              <w:widowControl/>
              <w:jc w:val="right"/>
              <w:rPr>
                <w:rFonts w:ascii="Calibri" w:hAnsi="Calibri" w:cs="Calibri"/>
                <w:snapToGrid/>
                <w:kern w:val="0"/>
                <w:szCs w:val="22"/>
              </w:rPr>
            </w:pPr>
            <w:r w:rsidRPr="009C0565">
              <w:rPr>
                <w:rFonts w:ascii="Calibri" w:hAnsi="Calibri" w:cs="Calibri"/>
                <w:snapToGrid/>
                <w:kern w:val="0"/>
                <w:szCs w:val="22"/>
              </w:rPr>
              <w:t xml:space="preserve">        10,174,464 </w:t>
            </w:r>
          </w:p>
        </w:tc>
        <w:tc>
          <w:tcPr>
            <w:tcW w:w="1407"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118C5D19" w14:textId="77777777">
            <w:pPr>
              <w:widowControl/>
              <w:jc w:val="right"/>
              <w:rPr>
                <w:rFonts w:ascii="Calibri" w:hAnsi="Calibri" w:cs="Calibri"/>
                <w:snapToGrid/>
                <w:kern w:val="0"/>
                <w:szCs w:val="22"/>
              </w:rPr>
            </w:pPr>
            <w:r w:rsidRPr="009C0565">
              <w:rPr>
                <w:rFonts w:ascii="Calibri" w:hAnsi="Calibri" w:cs="Calibri"/>
                <w:snapToGrid/>
                <w:kern w:val="0"/>
                <w:szCs w:val="22"/>
              </w:rPr>
              <w:t>$73,504.08</w:t>
            </w:r>
          </w:p>
        </w:tc>
        <w:tc>
          <w:tcPr>
            <w:tcW w:w="127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50DC3C28" w14:textId="77777777">
            <w:pPr>
              <w:widowControl/>
              <w:jc w:val="right"/>
              <w:rPr>
                <w:rFonts w:ascii="Calibri" w:hAnsi="Calibri" w:cs="Calibri"/>
                <w:snapToGrid/>
                <w:color w:val="000000"/>
                <w:kern w:val="0"/>
                <w:szCs w:val="22"/>
              </w:rPr>
            </w:pPr>
            <w:r w:rsidRPr="009C0565">
              <w:rPr>
                <w:rFonts w:ascii="Calibri" w:hAnsi="Calibri" w:cs="Calibri"/>
                <w:snapToGrid/>
                <w:color w:val="000000"/>
                <w:kern w:val="0"/>
                <w:szCs w:val="22"/>
              </w:rPr>
              <w:t>$54,000.00</w:t>
            </w:r>
          </w:p>
        </w:tc>
        <w:tc>
          <w:tcPr>
            <w:tcW w:w="163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2BFCAD97" w14:textId="77777777">
            <w:pPr>
              <w:widowControl/>
              <w:jc w:val="right"/>
              <w:rPr>
                <w:rFonts w:ascii="Calibri" w:hAnsi="Calibri" w:cs="Calibri"/>
                <w:snapToGrid/>
                <w:color w:val="000000"/>
                <w:kern w:val="0"/>
                <w:szCs w:val="22"/>
              </w:rPr>
            </w:pPr>
            <w:r w:rsidRPr="009C0565">
              <w:rPr>
                <w:rFonts w:ascii="Calibri" w:hAnsi="Calibri" w:cs="Calibri"/>
                <w:snapToGrid/>
                <w:color w:val="000000"/>
                <w:kern w:val="0"/>
                <w:szCs w:val="22"/>
              </w:rPr>
              <w:t>$63,752.04</w:t>
            </w:r>
          </w:p>
        </w:tc>
        <w:tc>
          <w:tcPr>
            <w:tcW w:w="3280" w:type="dxa"/>
            <w:tcBorders>
              <w:top w:val="nil"/>
              <w:left w:val="nil"/>
              <w:bottom w:val="single" w:sz="4" w:space="0" w:color="auto"/>
              <w:right w:val="single" w:sz="4" w:space="0" w:color="auto"/>
            </w:tcBorders>
            <w:shd w:val="clear" w:color="FFFFFF" w:fill="F8FBFC"/>
            <w:noWrap/>
            <w:vAlign w:val="bottom"/>
            <w:hideMark/>
          </w:tcPr>
          <w:p w:rsidR="009C0565" w:rsidRPr="009C0565" w:rsidP="009C0565" w14:paraId="179C3247" w14:textId="77777777">
            <w:pPr>
              <w:widowControl/>
              <w:rPr>
                <w:rFonts w:ascii="Calibri" w:hAnsi="Calibri" w:cs="Calibri"/>
                <w:b/>
                <w:bCs/>
                <w:snapToGrid/>
                <w:kern w:val="0"/>
                <w:szCs w:val="22"/>
              </w:rPr>
            </w:pPr>
            <w:r w:rsidRPr="009C0565">
              <w:rPr>
                <w:rFonts w:ascii="Calibri" w:hAnsi="Calibri" w:cs="Calibri"/>
                <w:b/>
                <w:bCs/>
                <w:snapToGrid/>
                <w:kern w:val="0"/>
                <w:szCs w:val="22"/>
              </w:rPr>
              <w:t>Chicago</w:t>
            </w:r>
          </w:p>
        </w:tc>
      </w:tr>
      <w:tr w14:paraId="5F6DA896" w14:textId="77777777" w:rsidTr="00F64ABC">
        <w:tblPrEx>
          <w:tblW w:w="12100" w:type="dxa"/>
          <w:tblLook w:val="04A0"/>
        </w:tblPrEx>
        <w:trPr>
          <w:trHeight w:val="300"/>
        </w:trPr>
        <w:tc>
          <w:tcPr>
            <w:tcW w:w="1440" w:type="dxa"/>
            <w:tcBorders>
              <w:top w:val="nil"/>
              <w:left w:val="single" w:sz="4" w:space="0" w:color="auto"/>
              <w:bottom w:val="single" w:sz="4" w:space="0" w:color="auto"/>
              <w:right w:val="single" w:sz="4" w:space="0" w:color="auto"/>
            </w:tcBorders>
            <w:shd w:val="clear" w:color="FFFFFF" w:fill="F8FBFC"/>
            <w:noWrap/>
            <w:vAlign w:val="bottom"/>
            <w:hideMark/>
          </w:tcPr>
          <w:p w:rsidR="009C0565" w:rsidRPr="009C0565" w:rsidP="009C0565" w14:paraId="167E3266" w14:textId="77777777">
            <w:pPr>
              <w:widowControl/>
              <w:jc w:val="right"/>
              <w:rPr>
                <w:rFonts w:ascii="Calibri" w:hAnsi="Calibri" w:cs="Calibri"/>
                <w:snapToGrid/>
                <w:color w:val="333333"/>
                <w:kern w:val="0"/>
                <w:szCs w:val="22"/>
              </w:rPr>
            </w:pPr>
            <w:r w:rsidRPr="009C0565">
              <w:rPr>
                <w:rFonts w:ascii="Calibri" w:hAnsi="Calibri" w:cs="Calibri"/>
                <w:snapToGrid/>
                <w:color w:val="333333"/>
                <w:kern w:val="0"/>
                <w:szCs w:val="22"/>
              </w:rPr>
              <w:t>74215</w:t>
            </w:r>
          </w:p>
        </w:tc>
        <w:tc>
          <w:tcPr>
            <w:tcW w:w="1240" w:type="dxa"/>
            <w:tcBorders>
              <w:top w:val="nil"/>
              <w:left w:val="nil"/>
              <w:bottom w:val="single" w:sz="4" w:space="0" w:color="auto"/>
              <w:right w:val="single" w:sz="4" w:space="0" w:color="auto"/>
            </w:tcBorders>
            <w:shd w:val="clear" w:color="FFFFFF" w:fill="FFFFFF"/>
            <w:noWrap/>
            <w:vAlign w:val="bottom"/>
            <w:hideMark/>
          </w:tcPr>
          <w:p w:rsidR="009C0565" w:rsidRPr="009C0565" w:rsidP="009C0565" w14:paraId="026033A6" w14:textId="77777777">
            <w:pPr>
              <w:widowControl/>
              <w:jc w:val="center"/>
              <w:rPr>
                <w:rFonts w:ascii="Calibri" w:hAnsi="Calibri" w:cs="Calibri"/>
                <w:snapToGrid/>
                <w:color w:val="333333"/>
                <w:kern w:val="0"/>
                <w:szCs w:val="22"/>
              </w:rPr>
            </w:pPr>
            <w:r w:rsidRPr="009C0565">
              <w:rPr>
                <w:rFonts w:ascii="Calibri" w:hAnsi="Calibri" w:cs="Calibri"/>
                <w:snapToGrid/>
                <w:color w:val="333333"/>
                <w:kern w:val="0"/>
                <w:szCs w:val="22"/>
              </w:rPr>
              <w:t>WXTV-DT</w:t>
            </w:r>
          </w:p>
        </w:tc>
        <w:tc>
          <w:tcPr>
            <w:tcW w:w="183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3FAA0A72" w14:textId="77777777">
            <w:pPr>
              <w:widowControl/>
              <w:jc w:val="right"/>
              <w:rPr>
                <w:rFonts w:ascii="Calibri" w:hAnsi="Calibri" w:cs="Calibri"/>
                <w:snapToGrid/>
                <w:kern w:val="0"/>
                <w:szCs w:val="22"/>
              </w:rPr>
            </w:pPr>
            <w:r w:rsidRPr="009C0565">
              <w:rPr>
                <w:rFonts w:ascii="Calibri" w:hAnsi="Calibri" w:cs="Calibri"/>
                <w:snapToGrid/>
                <w:kern w:val="0"/>
                <w:szCs w:val="22"/>
              </w:rPr>
              <w:t xml:space="preserve">        19,992,096 </w:t>
            </w:r>
          </w:p>
        </w:tc>
        <w:tc>
          <w:tcPr>
            <w:tcW w:w="1407"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795F9885" w14:textId="77777777">
            <w:pPr>
              <w:widowControl/>
              <w:jc w:val="right"/>
              <w:rPr>
                <w:rFonts w:ascii="Calibri" w:hAnsi="Calibri" w:cs="Calibri"/>
                <w:snapToGrid/>
                <w:kern w:val="0"/>
                <w:szCs w:val="22"/>
              </w:rPr>
            </w:pPr>
            <w:r w:rsidRPr="009C0565">
              <w:rPr>
                <w:rFonts w:ascii="Calibri" w:hAnsi="Calibri" w:cs="Calibri"/>
                <w:snapToGrid/>
                <w:kern w:val="0"/>
                <w:szCs w:val="22"/>
              </w:rPr>
              <w:t>$144,430.28</w:t>
            </w:r>
          </w:p>
        </w:tc>
        <w:tc>
          <w:tcPr>
            <w:tcW w:w="127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636B26BE" w14:textId="77777777">
            <w:pPr>
              <w:widowControl/>
              <w:jc w:val="right"/>
              <w:rPr>
                <w:rFonts w:ascii="Calibri" w:hAnsi="Calibri" w:cs="Calibri"/>
                <w:snapToGrid/>
                <w:color w:val="000000"/>
                <w:kern w:val="0"/>
                <w:szCs w:val="22"/>
              </w:rPr>
            </w:pPr>
            <w:r w:rsidRPr="009C0565">
              <w:rPr>
                <w:rFonts w:ascii="Calibri" w:hAnsi="Calibri" w:cs="Calibri"/>
                <w:snapToGrid/>
                <w:color w:val="000000"/>
                <w:kern w:val="0"/>
                <w:szCs w:val="22"/>
              </w:rPr>
              <w:t>$54,000.00</w:t>
            </w:r>
          </w:p>
        </w:tc>
        <w:tc>
          <w:tcPr>
            <w:tcW w:w="163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20BA2DC1" w14:textId="77777777">
            <w:pPr>
              <w:widowControl/>
              <w:jc w:val="right"/>
              <w:rPr>
                <w:rFonts w:ascii="Calibri" w:hAnsi="Calibri" w:cs="Calibri"/>
                <w:snapToGrid/>
                <w:color w:val="000000"/>
                <w:kern w:val="0"/>
                <w:szCs w:val="22"/>
              </w:rPr>
            </w:pPr>
            <w:r w:rsidRPr="009C0565">
              <w:rPr>
                <w:rFonts w:ascii="Calibri" w:hAnsi="Calibri" w:cs="Calibri"/>
                <w:snapToGrid/>
                <w:color w:val="000000"/>
                <w:kern w:val="0"/>
                <w:szCs w:val="22"/>
              </w:rPr>
              <w:t>$99,215.14</w:t>
            </w:r>
          </w:p>
        </w:tc>
        <w:tc>
          <w:tcPr>
            <w:tcW w:w="3280" w:type="dxa"/>
            <w:tcBorders>
              <w:top w:val="nil"/>
              <w:left w:val="nil"/>
              <w:bottom w:val="single" w:sz="4" w:space="0" w:color="auto"/>
              <w:right w:val="single" w:sz="4" w:space="0" w:color="auto"/>
            </w:tcBorders>
            <w:shd w:val="clear" w:color="FFFFFF" w:fill="F8FBFC"/>
            <w:noWrap/>
            <w:vAlign w:val="bottom"/>
            <w:hideMark/>
          </w:tcPr>
          <w:p w:rsidR="009C0565" w:rsidRPr="009C0565" w:rsidP="009C0565" w14:paraId="2179F9B7" w14:textId="77777777">
            <w:pPr>
              <w:widowControl/>
              <w:rPr>
                <w:rFonts w:ascii="Calibri" w:hAnsi="Calibri" w:cs="Calibri"/>
                <w:b/>
                <w:bCs/>
                <w:snapToGrid/>
                <w:kern w:val="0"/>
                <w:szCs w:val="22"/>
              </w:rPr>
            </w:pPr>
            <w:r w:rsidRPr="009C0565">
              <w:rPr>
                <w:rFonts w:ascii="Calibri" w:hAnsi="Calibri" w:cs="Calibri"/>
                <w:b/>
                <w:bCs/>
                <w:snapToGrid/>
                <w:kern w:val="0"/>
                <w:szCs w:val="22"/>
              </w:rPr>
              <w:t>New York</w:t>
            </w:r>
          </w:p>
        </w:tc>
      </w:tr>
      <w:tr w14:paraId="49B8C285" w14:textId="77777777" w:rsidTr="00F64ABC">
        <w:tblPrEx>
          <w:tblW w:w="12100" w:type="dxa"/>
          <w:tblLook w:val="04A0"/>
        </w:tblPrEx>
        <w:trPr>
          <w:trHeight w:val="300"/>
        </w:trPr>
        <w:tc>
          <w:tcPr>
            <w:tcW w:w="1440" w:type="dxa"/>
            <w:tcBorders>
              <w:top w:val="nil"/>
              <w:left w:val="single" w:sz="4" w:space="0" w:color="auto"/>
              <w:bottom w:val="single" w:sz="4" w:space="0" w:color="auto"/>
              <w:right w:val="single" w:sz="4" w:space="0" w:color="auto"/>
            </w:tcBorders>
            <w:shd w:val="clear" w:color="FFFFFF" w:fill="FFFFFF"/>
            <w:noWrap/>
            <w:vAlign w:val="bottom"/>
            <w:hideMark/>
          </w:tcPr>
          <w:p w:rsidR="009C0565" w:rsidRPr="009C0565" w:rsidP="009C0565" w14:paraId="0CE96ACC" w14:textId="77777777">
            <w:pPr>
              <w:widowControl/>
              <w:jc w:val="right"/>
              <w:rPr>
                <w:rFonts w:ascii="Calibri" w:hAnsi="Calibri" w:cs="Calibri"/>
                <w:snapToGrid/>
                <w:color w:val="333333"/>
                <w:kern w:val="0"/>
                <w:szCs w:val="22"/>
              </w:rPr>
            </w:pPr>
            <w:r w:rsidRPr="009C0565">
              <w:rPr>
                <w:rFonts w:ascii="Calibri" w:hAnsi="Calibri" w:cs="Calibri"/>
                <w:snapToGrid/>
                <w:color w:val="333333"/>
                <w:kern w:val="0"/>
                <w:szCs w:val="22"/>
              </w:rPr>
              <w:t>77515</w:t>
            </w:r>
          </w:p>
        </w:tc>
        <w:tc>
          <w:tcPr>
            <w:tcW w:w="1240" w:type="dxa"/>
            <w:tcBorders>
              <w:top w:val="nil"/>
              <w:left w:val="nil"/>
              <w:bottom w:val="single" w:sz="4" w:space="0" w:color="auto"/>
              <w:right w:val="single" w:sz="4" w:space="0" w:color="auto"/>
            </w:tcBorders>
            <w:shd w:val="clear" w:color="FFFFFF" w:fill="F8FBFC"/>
            <w:noWrap/>
            <w:vAlign w:val="bottom"/>
            <w:hideMark/>
          </w:tcPr>
          <w:p w:rsidR="009C0565" w:rsidRPr="009C0565" w:rsidP="009C0565" w14:paraId="71B2C197" w14:textId="77777777">
            <w:pPr>
              <w:widowControl/>
              <w:jc w:val="center"/>
              <w:rPr>
                <w:rFonts w:ascii="Calibri" w:hAnsi="Calibri" w:cs="Calibri"/>
                <w:snapToGrid/>
                <w:color w:val="333333"/>
                <w:kern w:val="0"/>
                <w:szCs w:val="22"/>
              </w:rPr>
            </w:pPr>
            <w:r w:rsidRPr="009C0565">
              <w:rPr>
                <w:rFonts w:ascii="Calibri" w:hAnsi="Calibri" w:cs="Calibri"/>
                <w:snapToGrid/>
                <w:color w:val="333333"/>
                <w:kern w:val="0"/>
                <w:szCs w:val="22"/>
              </w:rPr>
              <w:t>WYCI</w:t>
            </w:r>
          </w:p>
        </w:tc>
        <w:tc>
          <w:tcPr>
            <w:tcW w:w="1831" w:type="dxa"/>
            <w:tcBorders>
              <w:top w:val="nil"/>
              <w:left w:val="nil"/>
              <w:bottom w:val="single" w:sz="4" w:space="0" w:color="auto"/>
              <w:right w:val="single" w:sz="4" w:space="0" w:color="auto"/>
            </w:tcBorders>
            <w:shd w:val="clear" w:color="000000" w:fill="FFFFFF"/>
            <w:noWrap/>
            <w:vAlign w:val="bottom"/>
            <w:hideMark/>
          </w:tcPr>
          <w:p w:rsidR="009C0565" w:rsidRPr="009C0565" w:rsidP="009C0565" w14:paraId="71B9A182" w14:textId="77777777">
            <w:pPr>
              <w:widowControl/>
              <w:jc w:val="right"/>
              <w:rPr>
                <w:rFonts w:ascii="Calibri" w:hAnsi="Calibri" w:cs="Calibri"/>
                <w:snapToGrid/>
                <w:kern w:val="0"/>
                <w:szCs w:val="22"/>
              </w:rPr>
            </w:pPr>
            <w:r w:rsidRPr="009C0565">
              <w:rPr>
                <w:rFonts w:ascii="Calibri" w:hAnsi="Calibri" w:cs="Calibri"/>
                <w:snapToGrid/>
                <w:kern w:val="0"/>
                <w:szCs w:val="22"/>
              </w:rPr>
              <w:t xml:space="preserve">                 34,169 </w:t>
            </w:r>
          </w:p>
        </w:tc>
        <w:tc>
          <w:tcPr>
            <w:tcW w:w="1407"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7975E88A" w14:textId="77777777">
            <w:pPr>
              <w:widowControl/>
              <w:jc w:val="right"/>
              <w:rPr>
                <w:rFonts w:ascii="Calibri" w:hAnsi="Calibri" w:cs="Calibri"/>
                <w:snapToGrid/>
                <w:kern w:val="0"/>
                <w:szCs w:val="22"/>
              </w:rPr>
            </w:pPr>
            <w:r w:rsidRPr="009C0565">
              <w:rPr>
                <w:rFonts w:ascii="Calibri" w:hAnsi="Calibri" w:cs="Calibri"/>
                <w:snapToGrid/>
                <w:kern w:val="0"/>
                <w:szCs w:val="22"/>
              </w:rPr>
              <w:t>$246.85</w:t>
            </w:r>
          </w:p>
        </w:tc>
        <w:tc>
          <w:tcPr>
            <w:tcW w:w="127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3B670120" w14:textId="77777777">
            <w:pPr>
              <w:widowControl/>
              <w:jc w:val="right"/>
              <w:rPr>
                <w:rFonts w:ascii="Calibri" w:hAnsi="Calibri" w:cs="Calibri"/>
                <w:snapToGrid/>
                <w:color w:val="000000"/>
                <w:kern w:val="0"/>
                <w:szCs w:val="22"/>
              </w:rPr>
            </w:pPr>
            <w:r w:rsidRPr="009C0565">
              <w:rPr>
                <w:rFonts w:ascii="Calibri" w:hAnsi="Calibri" w:cs="Calibri"/>
                <w:snapToGrid/>
                <w:color w:val="000000"/>
                <w:kern w:val="0"/>
                <w:szCs w:val="22"/>
              </w:rPr>
              <w:t>$13,550.00</w:t>
            </w:r>
          </w:p>
        </w:tc>
        <w:tc>
          <w:tcPr>
            <w:tcW w:w="163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79A3005D" w14:textId="77777777">
            <w:pPr>
              <w:widowControl/>
              <w:jc w:val="right"/>
              <w:rPr>
                <w:rFonts w:ascii="Calibri" w:hAnsi="Calibri" w:cs="Calibri"/>
                <w:snapToGrid/>
                <w:color w:val="000000"/>
                <w:kern w:val="0"/>
                <w:szCs w:val="22"/>
              </w:rPr>
            </w:pPr>
            <w:r w:rsidRPr="009C0565">
              <w:rPr>
                <w:rFonts w:ascii="Calibri" w:hAnsi="Calibri" w:cs="Calibri"/>
                <w:snapToGrid/>
                <w:color w:val="000000"/>
                <w:kern w:val="0"/>
                <w:szCs w:val="22"/>
              </w:rPr>
              <w:t>$6,898.42</w:t>
            </w:r>
          </w:p>
        </w:tc>
        <w:tc>
          <w:tcPr>
            <w:tcW w:w="3280" w:type="dxa"/>
            <w:tcBorders>
              <w:top w:val="nil"/>
              <w:left w:val="nil"/>
              <w:bottom w:val="single" w:sz="4" w:space="0" w:color="auto"/>
              <w:right w:val="single" w:sz="4" w:space="0" w:color="auto"/>
            </w:tcBorders>
            <w:shd w:val="clear" w:color="FFFFFF" w:fill="FFFFFF"/>
            <w:noWrap/>
            <w:vAlign w:val="bottom"/>
            <w:hideMark/>
          </w:tcPr>
          <w:p w:rsidR="009C0565" w:rsidRPr="009C0565" w:rsidP="009C0565" w14:paraId="7D51E485" w14:textId="77777777">
            <w:pPr>
              <w:widowControl/>
              <w:rPr>
                <w:rFonts w:ascii="Calibri" w:hAnsi="Calibri" w:cs="Calibri"/>
                <w:b/>
                <w:bCs/>
                <w:snapToGrid/>
                <w:kern w:val="0"/>
                <w:szCs w:val="22"/>
              </w:rPr>
            </w:pPr>
            <w:r w:rsidRPr="009C0565">
              <w:rPr>
                <w:rFonts w:ascii="Calibri" w:hAnsi="Calibri" w:cs="Calibri"/>
                <w:b/>
                <w:bCs/>
                <w:snapToGrid/>
                <w:kern w:val="0"/>
                <w:szCs w:val="22"/>
              </w:rPr>
              <w:t>Burlington-Plattsburgh</w:t>
            </w:r>
          </w:p>
        </w:tc>
      </w:tr>
      <w:tr w14:paraId="35A9FEFE" w14:textId="77777777" w:rsidTr="00F64ABC">
        <w:tblPrEx>
          <w:tblW w:w="12100" w:type="dxa"/>
          <w:tblLook w:val="04A0"/>
        </w:tblPrEx>
        <w:trPr>
          <w:trHeight w:val="300"/>
        </w:trPr>
        <w:tc>
          <w:tcPr>
            <w:tcW w:w="1440" w:type="dxa"/>
            <w:tcBorders>
              <w:top w:val="nil"/>
              <w:left w:val="single" w:sz="4" w:space="0" w:color="auto"/>
              <w:bottom w:val="single" w:sz="4" w:space="0" w:color="auto"/>
              <w:right w:val="single" w:sz="4" w:space="0" w:color="auto"/>
            </w:tcBorders>
            <w:shd w:val="clear" w:color="FFFFFF" w:fill="F8FBFC"/>
            <w:noWrap/>
            <w:vAlign w:val="bottom"/>
            <w:hideMark/>
          </w:tcPr>
          <w:p w:rsidR="009C0565" w:rsidRPr="009C0565" w:rsidP="009C0565" w14:paraId="500B3A10" w14:textId="77777777">
            <w:pPr>
              <w:widowControl/>
              <w:jc w:val="right"/>
              <w:rPr>
                <w:rFonts w:ascii="Calibri" w:hAnsi="Calibri" w:cs="Calibri"/>
                <w:snapToGrid/>
                <w:color w:val="333333"/>
                <w:kern w:val="0"/>
                <w:szCs w:val="22"/>
              </w:rPr>
            </w:pPr>
            <w:r w:rsidRPr="009C0565">
              <w:rPr>
                <w:rFonts w:ascii="Calibri" w:hAnsi="Calibri" w:cs="Calibri"/>
                <w:snapToGrid/>
                <w:color w:val="333333"/>
                <w:kern w:val="0"/>
                <w:szCs w:val="22"/>
              </w:rPr>
              <w:t>70149</w:t>
            </w:r>
          </w:p>
        </w:tc>
        <w:tc>
          <w:tcPr>
            <w:tcW w:w="1240" w:type="dxa"/>
            <w:tcBorders>
              <w:top w:val="nil"/>
              <w:left w:val="nil"/>
              <w:bottom w:val="single" w:sz="4" w:space="0" w:color="auto"/>
              <w:right w:val="single" w:sz="4" w:space="0" w:color="auto"/>
            </w:tcBorders>
            <w:shd w:val="clear" w:color="FFFFFF" w:fill="F8FBFC"/>
            <w:noWrap/>
            <w:vAlign w:val="bottom"/>
            <w:hideMark/>
          </w:tcPr>
          <w:p w:rsidR="009C0565" w:rsidRPr="009C0565" w:rsidP="009C0565" w14:paraId="59BF582B" w14:textId="77777777">
            <w:pPr>
              <w:widowControl/>
              <w:jc w:val="center"/>
              <w:rPr>
                <w:rFonts w:ascii="Calibri" w:hAnsi="Calibri" w:cs="Calibri"/>
                <w:snapToGrid/>
                <w:color w:val="333333"/>
                <w:kern w:val="0"/>
                <w:szCs w:val="22"/>
              </w:rPr>
            </w:pPr>
            <w:r w:rsidRPr="009C0565">
              <w:rPr>
                <w:rFonts w:ascii="Calibri" w:hAnsi="Calibri" w:cs="Calibri"/>
                <w:snapToGrid/>
                <w:color w:val="333333"/>
                <w:kern w:val="0"/>
                <w:szCs w:val="22"/>
              </w:rPr>
              <w:t>WYCW</w:t>
            </w:r>
          </w:p>
        </w:tc>
        <w:tc>
          <w:tcPr>
            <w:tcW w:w="183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1CA65A17" w14:textId="77777777">
            <w:pPr>
              <w:widowControl/>
              <w:jc w:val="right"/>
              <w:rPr>
                <w:rFonts w:ascii="Calibri" w:hAnsi="Calibri" w:cs="Calibri"/>
                <w:snapToGrid/>
                <w:kern w:val="0"/>
                <w:szCs w:val="22"/>
              </w:rPr>
            </w:pPr>
            <w:r w:rsidRPr="009C0565">
              <w:rPr>
                <w:rFonts w:ascii="Calibri" w:hAnsi="Calibri" w:cs="Calibri"/>
                <w:snapToGrid/>
                <w:kern w:val="0"/>
                <w:szCs w:val="22"/>
              </w:rPr>
              <w:t xml:space="preserve">           3,393,072 </w:t>
            </w:r>
          </w:p>
        </w:tc>
        <w:tc>
          <w:tcPr>
            <w:tcW w:w="1407"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34DAF07C" w14:textId="77777777">
            <w:pPr>
              <w:widowControl/>
              <w:jc w:val="right"/>
              <w:rPr>
                <w:rFonts w:ascii="Calibri" w:hAnsi="Calibri" w:cs="Calibri"/>
                <w:snapToGrid/>
                <w:kern w:val="0"/>
                <w:szCs w:val="22"/>
              </w:rPr>
            </w:pPr>
            <w:r w:rsidRPr="009C0565">
              <w:rPr>
                <w:rFonts w:ascii="Calibri" w:hAnsi="Calibri" w:cs="Calibri"/>
                <w:snapToGrid/>
                <w:kern w:val="0"/>
                <w:szCs w:val="22"/>
              </w:rPr>
              <w:t>$24,512.80</w:t>
            </w:r>
          </w:p>
        </w:tc>
        <w:tc>
          <w:tcPr>
            <w:tcW w:w="127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4E488D81" w14:textId="77777777">
            <w:pPr>
              <w:widowControl/>
              <w:jc w:val="right"/>
              <w:rPr>
                <w:rFonts w:ascii="Calibri" w:hAnsi="Calibri" w:cs="Calibri"/>
                <w:snapToGrid/>
                <w:color w:val="000000"/>
                <w:kern w:val="0"/>
                <w:szCs w:val="22"/>
              </w:rPr>
            </w:pPr>
            <w:r w:rsidRPr="009C0565">
              <w:rPr>
                <w:rFonts w:ascii="Calibri" w:hAnsi="Calibri" w:cs="Calibri"/>
                <w:snapToGrid/>
                <w:color w:val="000000"/>
                <w:kern w:val="0"/>
                <w:szCs w:val="22"/>
              </w:rPr>
              <w:t>$13,550.00</w:t>
            </w:r>
          </w:p>
        </w:tc>
        <w:tc>
          <w:tcPr>
            <w:tcW w:w="163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50695A24" w14:textId="77777777">
            <w:pPr>
              <w:widowControl/>
              <w:jc w:val="right"/>
              <w:rPr>
                <w:rFonts w:ascii="Calibri" w:hAnsi="Calibri" w:cs="Calibri"/>
                <w:snapToGrid/>
                <w:color w:val="000000"/>
                <w:kern w:val="0"/>
                <w:szCs w:val="22"/>
              </w:rPr>
            </w:pPr>
            <w:r w:rsidRPr="009C0565">
              <w:rPr>
                <w:rFonts w:ascii="Calibri" w:hAnsi="Calibri" w:cs="Calibri"/>
                <w:snapToGrid/>
                <w:color w:val="000000"/>
                <w:kern w:val="0"/>
                <w:szCs w:val="22"/>
              </w:rPr>
              <w:t>$19,031.40</w:t>
            </w:r>
          </w:p>
        </w:tc>
        <w:tc>
          <w:tcPr>
            <w:tcW w:w="3280" w:type="dxa"/>
            <w:tcBorders>
              <w:top w:val="nil"/>
              <w:left w:val="nil"/>
              <w:bottom w:val="single" w:sz="4" w:space="0" w:color="auto"/>
              <w:right w:val="single" w:sz="4" w:space="0" w:color="auto"/>
            </w:tcBorders>
            <w:shd w:val="clear" w:color="FFFFFF" w:fill="F8FBFC"/>
            <w:noWrap/>
            <w:vAlign w:val="bottom"/>
            <w:hideMark/>
          </w:tcPr>
          <w:p w:rsidR="009C0565" w:rsidRPr="009C0565" w:rsidP="009C0565" w14:paraId="74B3ED78" w14:textId="77777777">
            <w:pPr>
              <w:widowControl/>
              <w:rPr>
                <w:rFonts w:ascii="Calibri" w:hAnsi="Calibri" w:cs="Calibri"/>
                <w:b/>
                <w:bCs/>
                <w:snapToGrid/>
                <w:kern w:val="0"/>
                <w:szCs w:val="22"/>
              </w:rPr>
            </w:pPr>
            <w:r w:rsidRPr="009C0565">
              <w:rPr>
                <w:rFonts w:ascii="Calibri" w:hAnsi="Calibri" w:cs="Calibri"/>
                <w:b/>
                <w:bCs/>
                <w:snapToGrid/>
                <w:kern w:val="0"/>
                <w:szCs w:val="22"/>
              </w:rPr>
              <w:t>Greenvll-Spart-Ashevll-And</w:t>
            </w:r>
          </w:p>
        </w:tc>
      </w:tr>
      <w:tr w14:paraId="5B272B71" w14:textId="77777777" w:rsidTr="00F64ABC">
        <w:tblPrEx>
          <w:tblW w:w="12100" w:type="dxa"/>
          <w:tblLook w:val="04A0"/>
        </w:tblPrEx>
        <w:trPr>
          <w:trHeight w:val="300"/>
        </w:trPr>
        <w:tc>
          <w:tcPr>
            <w:tcW w:w="1440" w:type="dxa"/>
            <w:tcBorders>
              <w:top w:val="nil"/>
              <w:left w:val="single" w:sz="4" w:space="0" w:color="auto"/>
              <w:bottom w:val="single" w:sz="4" w:space="0" w:color="auto"/>
              <w:right w:val="single" w:sz="4" w:space="0" w:color="auto"/>
            </w:tcBorders>
            <w:shd w:val="clear" w:color="FFFFFF" w:fill="F8FBFC"/>
            <w:noWrap/>
            <w:vAlign w:val="bottom"/>
            <w:hideMark/>
          </w:tcPr>
          <w:p w:rsidR="009C0565" w:rsidRPr="009C0565" w:rsidP="009C0565" w14:paraId="55A82D6A" w14:textId="77777777">
            <w:pPr>
              <w:widowControl/>
              <w:jc w:val="right"/>
              <w:rPr>
                <w:rFonts w:ascii="Calibri" w:hAnsi="Calibri" w:cs="Calibri"/>
                <w:snapToGrid/>
                <w:color w:val="333333"/>
                <w:kern w:val="0"/>
                <w:szCs w:val="22"/>
              </w:rPr>
            </w:pPr>
            <w:r w:rsidRPr="009C0565">
              <w:rPr>
                <w:rFonts w:ascii="Calibri" w:hAnsi="Calibri" w:cs="Calibri"/>
                <w:snapToGrid/>
                <w:color w:val="333333"/>
                <w:kern w:val="0"/>
                <w:szCs w:val="22"/>
              </w:rPr>
              <w:t>70493</w:t>
            </w:r>
          </w:p>
        </w:tc>
        <w:tc>
          <w:tcPr>
            <w:tcW w:w="1240" w:type="dxa"/>
            <w:tcBorders>
              <w:top w:val="nil"/>
              <w:left w:val="nil"/>
              <w:bottom w:val="single" w:sz="4" w:space="0" w:color="auto"/>
              <w:right w:val="single" w:sz="4" w:space="0" w:color="auto"/>
            </w:tcBorders>
            <w:shd w:val="clear" w:color="FFFFFF" w:fill="F8FBFC"/>
            <w:noWrap/>
            <w:vAlign w:val="bottom"/>
            <w:hideMark/>
          </w:tcPr>
          <w:p w:rsidR="009C0565" w:rsidRPr="009C0565" w:rsidP="009C0565" w14:paraId="2FE31EDD" w14:textId="77777777">
            <w:pPr>
              <w:widowControl/>
              <w:jc w:val="center"/>
              <w:rPr>
                <w:rFonts w:ascii="Calibri" w:hAnsi="Calibri" w:cs="Calibri"/>
                <w:snapToGrid/>
                <w:color w:val="333333"/>
                <w:kern w:val="0"/>
                <w:szCs w:val="22"/>
              </w:rPr>
            </w:pPr>
            <w:r w:rsidRPr="009C0565">
              <w:rPr>
                <w:rFonts w:ascii="Calibri" w:hAnsi="Calibri" w:cs="Calibri"/>
                <w:snapToGrid/>
                <w:color w:val="333333"/>
                <w:kern w:val="0"/>
                <w:szCs w:val="22"/>
              </w:rPr>
              <w:t>WZME</w:t>
            </w:r>
          </w:p>
        </w:tc>
        <w:tc>
          <w:tcPr>
            <w:tcW w:w="183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3723D895" w14:textId="77777777">
            <w:pPr>
              <w:widowControl/>
              <w:jc w:val="right"/>
              <w:rPr>
                <w:rFonts w:ascii="Calibri" w:hAnsi="Calibri" w:cs="Calibri"/>
                <w:snapToGrid/>
                <w:kern w:val="0"/>
                <w:szCs w:val="22"/>
              </w:rPr>
            </w:pPr>
            <w:r w:rsidRPr="009C0565">
              <w:rPr>
                <w:rFonts w:ascii="Calibri" w:hAnsi="Calibri" w:cs="Calibri"/>
                <w:snapToGrid/>
                <w:kern w:val="0"/>
                <w:szCs w:val="22"/>
              </w:rPr>
              <w:t xml:space="preserve">           5,996,408 </w:t>
            </w:r>
          </w:p>
        </w:tc>
        <w:tc>
          <w:tcPr>
            <w:tcW w:w="1407"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75388CDD" w14:textId="77777777">
            <w:pPr>
              <w:widowControl/>
              <w:jc w:val="right"/>
              <w:rPr>
                <w:rFonts w:ascii="Calibri" w:hAnsi="Calibri" w:cs="Calibri"/>
                <w:snapToGrid/>
                <w:kern w:val="0"/>
                <w:szCs w:val="22"/>
              </w:rPr>
            </w:pPr>
            <w:r w:rsidRPr="009C0565">
              <w:rPr>
                <w:rFonts w:ascii="Calibri" w:hAnsi="Calibri" w:cs="Calibri"/>
                <w:snapToGrid/>
                <w:kern w:val="0"/>
                <w:szCs w:val="22"/>
              </w:rPr>
              <w:t>$43,320.26</w:t>
            </w:r>
          </w:p>
        </w:tc>
        <w:tc>
          <w:tcPr>
            <w:tcW w:w="127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1580F818" w14:textId="77777777">
            <w:pPr>
              <w:widowControl/>
              <w:jc w:val="right"/>
              <w:rPr>
                <w:rFonts w:ascii="Calibri" w:hAnsi="Calibri" w:cs="Calibri"/>
                <w:snapToGrid/>
                <w:color w:val="000000"/>
                <w:kern w:val="0"/>
                <w:szCs w:val="22"/>
              </w:rPr>
            </w:pPr>
            <w:r w:rsidRPr="009C0565">
              <w:rPr>
                <w:rFonts w:ascii="Calibri" w:hAnsi="Calibri" w:cs="Calibri"/>
                <w:snapToGrid/>
                <w:color w:val="000000"/>
                <w:kern w:val="0"/>
                <w:szCs w:val="22"/>
              </w:rPr>
              <w:t>$54,000.00</w:t>
            </w:r>
          </w:p>
        </w:tc>
        <w:tc>
          <w:tcPr>
            <w:tcW w:w="1631" w:type="dxa"/>
            <w:tcBorders>
              <w:top w:val="nil"/>
              <w:left w:val="nil"/>
              <w:bottom w:val="single" w:sz="4" w:space="0" w:color="auto"/>
              <w:right w:val="single" w:sz="4" w:space="0" w:color="auto"/>
            </w:tcBorders>
            <w:shd w:val="clear" w:color="auto" w:fill="auto"/>
            <w:noWrap/>
            <w:vAlign w:val="bottom"/>
            <w:hideMark/>
          </w:tcPr>
          <w:p w:rsidR="009C0565" w:rsidRPr="009C0565" w:rsidP="009C0565" w14:paraId="0FBA634C" w14:textId="77777777">
            <w:pPr>
              <w:widowControl/>
              <w:jc w:val="right"/>
              <w:rPr>
                <w:rFonts w:ascii="Calibri" w:hAnsi="Calibri" w:cs="Calibri"/>
                <w:snapToGrid/>
                <w:color w:val="000000"/>
                <w:kern w:val="0"/>
                <w:szCs w:val="22"/>
              </w:rPr>
            </w:pPr>
            <w:r w:rsidRPr="009C0565">
              <w:rPr>
                <w:rFonts w:ascii="Calibri" w:hAnsi="Calibri" w:cs="Calibri"/>
                <w:snapToGrid/>
                <w:color w:val="000000"/>
                <w:kern w:val="0"/>
                <w:szCs w:val="22"/>
              </w:rPr>
              <w:t>$48,660.13</w:t>
            </w:r>
          </w:p>
        </w:tc>
        <w:tc>
          <w:tcPr>
            <w:tcW w:w="3280" w:type="dxa"/>
            <w:tcBorders>
              <w:top w:val="nil"/>
              <w:left w:val="nil"/>
              <w:bottom w:val="single" w:sz="4" w:space="0" w:color="auto"/>
              <w:right w:val="single" w:sz="4" w:space="0" w:color="auto"/>
            </w:tcBorders>
            <w:shd w:val="clear" w:color="FFFFFF" w:fill="FFFFFF"/>
            <w:noWrap/>
            <w:vAlign w:val="bottom"/>
            <w:hideMark/>
          </w:tcPr>
          <w:p w:rsidR="009C0565" w:rsidRPr="009C0565" w:rsidP="009C0565" w14:paraId="7C802562" w14:textId="77777777">
            <w:pPr>
              <w:widowControl/>
              <w:rPr>
                <w:rFonts w:ascii="Calibri" w:hAnsi="Calibri" w:cs="Calibri"/>
                <w:b/>
                <w:bCs/>
                <w:snapToGrid/>
                <w:kern w:val="0"/>
                <w:szCs w:val="22"/>
              </w:rPr>
            </w:pPr>
            <w:r w:rsidRPr="009C0565">
              <w:rPr>
                <w:rFonts w:ascii="Calibri" w:hAnsi="Calibri" w:cs="Calibri"/>
                <w:b/>
                <w:bCs/>
                <w:snapToGrid/>
                <w:kern w:val="0"/>
                <w:szCs w:val="22"/>
              </w:rPr>
              <w:t>New York</w:t>
            </w:r>
          </w:p>
        </w:tc>
      </w:tr>
    </w:tbl>
    <w:p w:rsidR="006F7AD6" w:rsidP="006F7AD6" w14:paraId="5EF4F769" w14:textId="77777777">
      <w:pPr>
        <w:widowControl/>
        <w:jc w:val="center"/>
        <w:rPr>
          <w:b/>
          <w:szCs w:val="22"/>
        </w:rPr>
      </w:pPr>
    </w:p>
    <w:p w:rsidR="006F7AD6" w:rsidRPr="00BC1202" w:rsidP="006F7AD6" w14:paraId="76C46E5B" w14:textId="77777777">
      <w:pPr>
        <w:jc w:val="center"/>
        <w:rPr>
          <w:b/>
          <w:bCs/>
          <w:snapToGrid/>
          <w:color w:val="000000"/>
          <w:kern w:val="0"/>
          <w:u w:val="single"/>
        </w:rPr>
        <w:sectPr w:rsidSect="00886011">
          <w:footnotePr>
            <w:numRestart w:val="eachSect"/>
          </w:footnotePr>
          <w:endnotePr>
            <w:numFmt w:val="decimal"/>
          </w:endnotePr>
          <w:pgSz w:w="15840" w:h="12240" w:orient="landscape" w:code="1"/>
          <w:pgMar w:top="1440" w:right="1440" w:bottom="1350" w:left="720" w:header="720" w:footer="740" w:gutter="0"/>
          <w:cols w:space="720"/>
          <w:noEndnote/>
          <w:titlePg/>
          <w:docGrid w:linePitch="299"/>
        </w:sectPr>
      </w:pPr>
    </w:p>
    <w:p w:rsidR="006F7AD6" w:rsidRPr="0067355D" w:rsidP="006F7AD6" w14:paraId="68CA8986" w14:textId="77777777">
      <w:pPr>
        <w:tabs>
          <w:tab w:val="left" w:pos="3629"/>
        </w:tabs>
        <w:jc w:val="center"/>
        <w:rPr>
          <w:b/>
          <w:szCs w:val="22"/>
        </w:rPr>
      </w:pPr>
      <w:r w:rsidRPr="0067355D">
        <w:rPr>
          <w:b/>
          <w:szCs w:val="22"/>
        </w:rPr>
        <w:t xml:space="preserve">APPENDIX </w:t>
      </w:r>
      <w:r>
        <w:rPr>
          <w:b/>
          <w:szCs w:val="22"/>
        </w:rPr>
        <w:t>D</w:t>
      </w:r>
    </w:p>
    <w:p w:rsidR="006F7AD6" w:rsidRPr="0067355D" w:rsidP="006F7AD6" w14:paraId="3D0ACC3F" w14:textId="77777777">
      <w:pPr>
        <w:tabs>
          <w:tab w:val="left" w:pos="3629"/>
        </w:tabs>
        <w:jc w:val="center"/>
        <w:rPr>
          <w:b/>
          <w:szCs w:val="22"/>
        </w:rPr>
      </w:pPr>
    </w:p>
    <w:p w:rsidR="006F7AD6" w:rsidRPr="0067355D" w:rsidP="006F7AD6" w14:paraId="624A5C4F" w14:textId="77777777">
      <w:pPr>
        <w:tabs>
          <w:tab w:val="left" w:pos="3629"/>
        </w:tabs>
        <w:jc w:val="center"/>
        <w:rPr>
          <w:b/>
          <w:szCs w:val="22"/>
        </w:rPr>
      </w:pPr>
      <w:r w:rsidRPr="0067355D">
        <w:rPr>
          <w:b/>
          <w:szCs w:val="22"/>
        </w:rPr>
        <w:t>Sources of Payment Unit Estimates for FY 201</w:t>
      </w:r>
      <w:r>
        <w:rPr>
          <w:b/>
          <w:szCs w:val="22"/>
        </w:rPr>
        <w:t>9</w:t>
      </w:r>
    </w:p>
    <w:p w:rsidR="006F7AD6" w:rsidRPr="0067355D" w:rsidP="006F7AD6" w14:paraId="59C43138" w14:textId="77777777">
      <w:pPr>
        <w:tabs>
          <w:tab w:val="left" w:pos="3629"/>
        </w:tabs>
        <w:jc w:val="center"/>
        <w:rPr>
          <w:b/>
          <w:szCs w:val="22"/>
        </w:rPr>
      </w:pPr>
    </w:p>
    <w:p w:rsidR="006F7AD6" w:rsidRPr="0067355D" w:rsidP="006F7AD6" w14:paraId="56A1081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2"/>
          <w:szCs w:val="22"/>
        </w:rPr>
      </w:pPr>
      <w:r w:rsidRPr="0067355D">
        <w:rPr>
          <w:szCs w:val="22"/>
        </w:rPr>
        <w:t>In order to calculate individual service fees for FY 201</w:t>
      </w:r>
      <w:r>
        <w:rPr>
          <w:szCs w:val="22"/>
        </w:rPr>
        <w:t>9</w:t>
      </w:r>
      <w:r w:rsidRPr="0067355D">
        <w:rPr>
          <w:szCs w:val="22"/>
        </w:rPr>
        <w:t>, we adjusted FY 201</w:t>
      </w:r>
      <w:r>
        <w:rPr>
          <w:szCs w:val="22"/>
        </w:rPr>
        <w:t>8</w:t>
      </w:r>
      <w:r w:rsidRPr="0067355D">
        <w:rPr>
          <w:szCs w:val="22"/>
        </w:rPr>
        <w:t xml:space="preserve"> payment units for each service to more accurately reflect expected FY 201</w:t>
      </w:r>
      <w:r>
        <w:rPr>
          <w:szCs w:val="22"/>
        </w:rPr>
        <w:t>9</w:t>
      </w:r>
      <w:r w:rsidRPr="0067355D">
        <w:rPr>
          <w:szCs w:val="22"/>
        </w:rPr>
        <w:t xml:space="preserve"> payment liabilities.  </w:t>
      </w:r>
      <w:r w:rsidRPr="0067355D">
        <w:rPr>
          <w:spacing w:val="-2"/>
          <w:szCs w:val="22"/>
        </w:rPr>
        <w:t xml:space="preserve">We obtained our updated estimates through a variety of means. For example, we used Commission licensee data bases, actual prior year payment records and industry and trade association projections when available.  The databases we consulted include </w:t>
      </w:r>
      <w:r w:rsidRPr="0067355D">
        <w:rPr>
          <w:szCs w:val="22"/>
        </w:rPr>
        <w:t xml:space="preserve">our Universal Licensing System (ULS), International Bureau Filing System (IBFS), Consolidated Database System (CDBS) and Cable Operations and Licensing System (COALS), as well as reports generated within the Commission such as the Wireless Telecommunications Bureau’s </w:t>
      </w:r>
      <w:r w:rsidRPr="0067355D">
        <w:rPr>
          <w:i/>
          <w:szCs w:val="22"/>
        </w:rPr>
        <w:t>Numbering Resource Utilization Forecast</w:t>
      </w:r>
      <w:r w:rsidRPr="0067355D">
        <w:rPr>
          <w:szCs w:val="22"/>
        </w:rPr>
        <w:t xml:space="preserve">.  </w:t>
      </w:r>
    </w:p>
    <w:p w:rsidR="006F7AD6" w:rsidRPr="0067355D" w:rsidP="006F7AD6" w14:paraId="7AC1010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2"/>
          <w:szCs w:val="22"/>
        </w:rPr>
      </w:pPr>
    </w:p>
    <w:p w:rsidR="006F7AD6" w:rsidRPr="0067355D" w:rsidP="006F7AD6" w14:paraId="5952124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2"/>
          <w:szCs w:val="22"/>
        </w:rPr>
      </w:pPr>
      <w:r w:rsidRPr="0067355D">
        <w:rPr>
          <w:spacing w:val="-2"/>
          <w:szCs w:val="22"/>
        </w:rPr>
        <w:t>We sought verification for these estimates from multiple sources and, in all cases, we compared FY 201</w:t>
      </w:r>
      <w:r>
        <w:rPr>
          <w:spacing w:val="-2"/>
          <w:szCs w:val="22"/>
        </w:rPr>
        <w:t>9</w:t>
      </w:r>
      <w:r w:rsidRPr="0067355D">
        <w:rPr>
          <w:spacing w:val="-2"/>
          <w:szCs w:val="22"/>
        </w:rPr>
        <w:t xml:space="preserve"> estimates with actual FY 201</w:t>
      </w:r>
      <w:r>
        <w:rPr>
          <w:spacing w:val="-2"/>
          <w:szCs w:val="22"/>
        </w:rPr>
        <w:t>8</w:t>
      </w:r>
      <w:r w:rsidRPr="0067355D">
        <w:rPr>
          <w:spacing w:val="-2"/>
          <w:szCs w:val="22"/>
        </w:rPr>
        <w:t xml:space="preserve"> payment units to ensure that our revised estimates were reasonable.  Where appropriate, we adjusted and/or rounded our final estimates to take into consideration the fact that certain variables that impact on the number of payment units cannot yet be estimated with sufficient accuracy.  These include an unknown number of waivers and/or exemptions that may occur in FY 201</w:t>
      </w:r>
      <w:r>
        <w:rPr>
          <w:spacing w:val="-2"/>
          <w:szCs w:val="22"/>
        </w:rPr>
        <w:t>9</w:t>
      </w:r>
      <w:r w:rsidRPr="0067355D">
        <w:rPr>
          <w:spacing w:val="-2"/>
          <w:szCs w:val="22"/>
        </w:rPr>
        <w:t xml:space="preserve"> and the fact that, in many services, the number of actual licensees or station operators fluctuates from time to time due to economic, technical, or other reasons.  When we note, for example, that our estimated FY 201</w:t>
      </w:r>
      <w:r>
        <w:rPr>
          <w:spacing w:val="-2"/>
          <w:szCs w:val="22"/>
        </w:rPr>
        <w:t>9</w:t>
      </w:r>
      <w:r w:rsidRPr="0067355D">
        <w:rPr>
          <w:spacing w:val="-2"/>
          <w:szCs w:val="22"/>
        </w:rPr>
        <w:t xml:space="preserve"> payment units are based on FY 201</w:t>
      </w:r>
      <w:r>
        <w:rPr>
          <w:spacing w:val="-2"/>
          <w:szCs w:val="22"/>
        </w:rPr>
        <w:t>8</w:t>
      </w:r>
      <w:r w:rsidRPr="0067355D">
        <w:rPr>
          <w:spacing w:val="-2"/>
          <w:szCs w:val="22"/>
        </w:rPr>
        <w:t xml:space="preserve"> actual payment units, it does not necessarily mean that our FY 201</w:t>
      </w:r>
      <w:r>
        <w:rPr>
          <w:spacing w:val="-2"/>
          <w:szCs w:val="22"/>
        </w:rPr>
        <w:t>9</w:t>
      </w:r>
      <w:r w:rsidRPr="0067355D">
        <w:rPr>
          <w:spacing w:val="-2"/>
          <w:szCs w:val="22"/>
        </w:rPr>
        <w:t xml:space="preserve"> projection is exactly the same number as in FY 201</w:t>
      </w:r>
      <w:r>
        <w:rPr>
          <w:spacing w:val="-2"/>
          <w:szCs w:val="22"/>
        </w:rPr>
        <w:t>8</w:t>
      </w:r>
      <w:r w:rsidRPr="0067355D">
        <w:rPr>
          <w:spacing w:val="-2"/>
          <w:szCs w:val="22"/>
        </w:rPr>
        <w:t>.  We have either rounded the FY 201</w:t>
      </w:r>
      <w:r>
        <w:rPr>
          <w:spacing w:val="-2"/>
          <w:szCs w:val="22"/>
        </w:rPr>
        <w:t>9</w:t>
      </w:r>
      <w:r w:rsidRPr="0067355D">
        <w:rPr>
          <w:spacing w:val="-2"/>
          <w:szCs w:val="22"/>
        </w:rPr>
        <w:t xml:space="preserve"> number or adjusted it slightly to account for these variables.</w:t>
      </w:r>
    </w:p>
    <w:p w:rsidR="006F7AD6" w:rsidRPr="0067355D" w:rsidP="006F7AD6" w14:paraId="3C93533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ind w:left="-720"/>
        <w:rPr>
          <w:szCs w:val="22"/>
        </w:rPr>
      </w:pPr>
      <w:r w:rsidRPr="0067355D">
        <w:rPr>
          <w:szCs w:val="22"/>
        </w:rPr>
        <w:t xml:space="preserve"> </w:t>
      </w:r>
    </w:p>
    <w:tbl>
      <w:tblPr>
        <w:tblW w:w="8640" w:type="dxa"/>
        <w:tblInd w:w="120" w:type="dxa"/>
        <w:tblLayout w:type="fixed"/>
        <w:tblCellMar>
          <w:left w:w="120" w:type="dxa"/>
          <w:right w:w="120" w:type="dxa"/>
        </w:tblCellMar>
        <w:tblLook w:val="0000"/>
      </w:tblPr>
      <w:tblGrid>
        <w:gridCol w:w="2978"/>
        <w:gridCol w:w="5662"/>
      </w:tblGrid>
      <w:tr w14:paraId="07BB8995" w14:textId="77777777" w:rsidTr="00886011">
        <w:tblPrEx>
          <w:tblW w:w="8640" w:type="dxa"/>
          <w:tblInd w:w="120" w:type="dxa"/>
          <w:tblLayout w:type="fixed"/>
          <w:tblCellMar>
            <w:left w:w="120" w:type="dxa"/>
            <w:right w:w="120" w:type="dxa"/>
          </w:tblCellMar>
          <w:tblLook w:val="0000"/>
        </w:tblPrEx>
        <w:tc>
          <w:tcPr>
            <w:tcW w:w="2978" w:type="dxa"/>
            <w:tcBorders>
              <w:top w:val="double" w:sz="6" w:space="0" w:color="auto"/>
              <w:left w:val="double" w:sz="6" w:space="0" w:color="auto"/>
            </w:tcBorders>
          </w:tcPr>
          <w:p w:rsidR="006F7AD6" w:rsidRPr="0067355D" w:rsidP="00886011" w14:paraId="7AEBDAF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jc w:val="center"/>
              <w:rPr>
                <w:b/>
                <w:szCs w:val="22"/>
              </w:rPr>
            </w:pPr>
            <w:r>
              <w:rPr>
                <w:szCs w:val="22"/>
              </w:rPr>
              <w:fldChar w:fldCharType="begin"/>
            </w:r>
            <w:r w:rsidRPr="0067355D">
              <w:rPr>
                <w:szCs w:val="22"/>
              </w:rPr>
              <w:instrText xml:space="preserve">PRIVATE </w:instrText>
            </w:r>
            <w:r>
              <w:rPr>
                <w:szCs w:val="22"/>
              </w:rPr>
              <w:fldChar w:fldCharType="end"/>
            </w:r>
            <w:r w:rsidRPr="0067355D">
              <w:rPr>
                <w:b/>
                <w:szCs w:val="22"/>
              </w:rPr>
              <w:t>FEE CATEGORY</w:t>
            </w:r>
          </w:p>
        </w:tc>
        <w:tc>
          <w:tcPr>
            <w:tcW w:w="5662" w:type="dxa"/>
            <w:tcBorders>
              <w:top w:val="double" w:sz="6" w:space="0" w:color="auto"/>
              <w:left w:val="single" w:sz="6" w:space="0" w:color="auto"/>
              <w:right w:val="double" w:sz="6" w:space="0" w:color="auto"/>
            </w:tcBorders>
          </w:tcPr>
          <w:p w:rsidR="006F7AD6" w:rsidRPr="0067355D" w:rsidP="00886011" w14:paraId="453B1C5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jc w:val="center"/>
              <w:rPr>
                <w:b/>
                <w:szCs w:val="22"/>
              </w:rPr>
            </w:pPr>
            <w:r w:rsidRPr="0067355D">
              <w:rPr>
                <w:b/>
                <w:szCs w:val="22"/>
              </w:rPr>
              <w:t>SOURCES OF PAYMENT UNIT ESTIMATES</w:t>
            </w:r>
          </w:p>
        </w:tc>
      </w:tr>
      <w:tr w14:paraId="33C24356" w14:textId="77777777" w:rsidTr="00886011">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tcBorders>
          </w:tcPr>
          <w:p w:rsidR="006F7AD6" w:rsidRPr="0067355D" w:rsidP="00886011" w14:paraId="4099C74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67355D">
              <w:rPr>
                <w:szCs w:val="22"/>
              </w:rPr>
              <w:t xml:space="preserve">Land Mobile (All), Microwave, Marine (Ship &amp; Coast), Aviation (Aircraft &amp; Ground), Domestic Public Fixed </w:t>
            </w:r>
            <w:r>
              <w:rPr>
                <w:szCs w:val="22"/>
              </w:rPr>
              <w:t>(Units are Licenses)</w:t>
            </w:r>
            <w:r w:rsidRPr="0067355D">
              <w:rPr>
                <w:szCs w:val="22"/>
              </w:rPr>
              <w:t xml:space="preserve"> </w:t>
            </w:r>
          </w:p>
        </w:tc>
        <w:tc>
          <w:tcPr>
            <w:tcW w:w="5662" w:type="dxa"/>
            <w:tcBorders>
              <w:top w:val="single" w:sz="6" w:space="0" w:color="auto"/>
              <w:left w:val="single" w:sz="6" w:space="0" w:color="auto"/>
              <w:right w:val="double" w:sz="6" w:space="0" w:color="auto"/>
            </w:tcBorders>
          </w:tcPr>
          <w:p w:rsidR="006F7AD6" w:rsidRPr="0067355D" w:rsidP="00886011" w14:paraId="667F112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67355D">
              <w:rPr>
                <w:szCs w:val="22"/>
              </w:rPr>
              <w:t>Based on Wireless Telecommunications Bureau (WTB) projections of new applications and renewals taking into consideration existing Commission licensee data bases. Aviation (Aircraft) and Marine (Ship) estimates have been adjusted to take into consideration the licensing of portions of these services on a voluntary basis.</w:t>
            </w:r>
          </w:p>
        </w:tc>
      </w:tr>
      <w:tr w14:paraId="75FDA624" w14:textId="77777777" w:rsidTr="00886011">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tcBorders>
          </w:tcPr>
          <w:p w:rsidR="006F7AD6" w:rsidRPr="0067355D" w:rsidP="00886011" w14:paraId="3E9E143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67355D">
              <w:rPr>
                <w:szCs w:val="22"/>
              </w:rPr>
              <w:t xml:space="preserve">CMRS Cellular/Mobile Services </w:t>
            </w:r>
            <w:r>
              <w:rPr>
                <w:szCs w:val="22"/>
              </w:rPr>
              <w:t>(Units are Subscribers or Telephone #s)</w:t>
            </w:r>
          </w:p>
        </w:tc>
        <w:tc>
          <w:tcPr>
            <w:tcW w:w="5662" w:type="dxa"/>
            <w:tcBorders>
              <w:top w:val="single" w:sz="6" w:space="0" w:color="auto"/>
              <w:left w:val="single" w:sz="6" w:space="0" w:color="auto"/>
              <w:right w:val="double" w:sz="6" w:space="0" w:color="auto"/>
            </w:tcBorders>
          </w:tcPr>
          <w:p w:rsidR="006F7AD6" w:rsidRPr="0067355D" w:rsidP="00886011" w14:paraId="517AFB0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67355D">
              <w:rPr>
                <w:szCs w:val="22"/>
              </w:rPr>
              <w:t xml:space="preserve">Based on WTB projection reports, and FY </w:t>
            </w:r>
            <w:r>
              <w:rPr>
                <w:szCs w:val="22"/>
              </w:rPr>
              <w:t>20</w:t>
            </w:r>
            <w:r w:rsidRPr="0067355D">
              <w:rPr>
                <w:szCs w:val="22"/>
              </w:rPr>
              <w:t>1</w:t>
            </w:r>
            <w:r>
              <w:rPr>
                <w:szCs w:val="22"/>
              </w:rPr>
              <w:t>8</w:t>
            </w:r>
            <w:r w:rsidRPr="0067355D">
              <w:rPr>
                <w:szCs w:val="22"/>
              </w:rPr>
              <w:t xml:space="preserve"> payment data. </w:t>
            </w:r>
          </w:p>
        </w:tc>
      </w:tr>
      <w:tr w14:paraId="788C3DFF" w14:textId="77777777" w:rsidTr="00886011">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tcBorders>
          </w:tcPr>
          <w:p w:rsidR="006F7AD6" w:rsidRPr="0067355D" w:rsidP="00886011" w14:paraId="1EDBA86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67355D">
              <w:rPr>
                <w:szCs w:val="22"/>
              </w:rPr>
              <w:t>CMRS Messaging Services</w:t>
            </w:r>
            <w:r>
              <w:rPr>
                <w:szCs w:val="22"/>
              </w:rPr>
              <w:t xml:space="preserve"> (Units are Subscribers or Telephone #s)</w:t>
            </w:r>
          </w:p>
        </w:tc>
        <w:tc>
          <w:tcPr>
            <w:tcW w:w="5662" w:type="dxa"/>
            <w:tcBorders>
              <w:top w:val="single" w:sz="6" w:space="0" w:color="auto"/>
              <w:left w:val="single" w:sz="6" w:space="0" w:color="auto"/>
              <w:right w:val="double" w:sz="6" w:space="0" w:color="auto"/>
            </w:tcBorders>
          </w:tcPr>
          <w:p w:rsidR="006F7AD6" w:rsidRPr="0067355D" w:rsidP="00886011" w14:paraId="6BD8D5B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67355D">
              <w:rPr>
                <w:szCs w:val="22"/>
              </w:rPr>
              <w:t xml:space="preserve">Based on WTB reports, and FY </w:t>
            </w:r>
            <w:r>
              <w:rPr>
                <w:szCs w:val="22"/>
              </w:rPr>
              <w:t>20</w:t>
            </w:r>
            <w:r w:rsidRPr="0067355D">
              <w:rPr>
                <w:szCs w:val="22"/>
              </w:rPr>
              <w:t>1</w:t>
            </w:r>
            <w:r>
              <w:rPr>
                <w:szCs w:val="22"/>
              </w:rPr>
              <w:t>8</w:t>
            </w:r>
            <w:r w:rsidRPr="0067355D">
              <w:rPr>
                <w:szCs w:val="22"/>
              </w:rPr>
              <w:t xml:space="preserve"> payment data.  </w:t>
            </w:r>
          </w:p>
        </w:tc>
      </w:tr>
      <w:tr w14:paraId="0444C3FE" w14:textId="77777777" w:rsidTr="00886011">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tcBorders>
          </w:tcPr>
          <w:p w:rsidR="006F7AD6" w:rsidP="00886011" w14:paraId="3733628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67355D">
              <w:rPr>
                <w:szCs w:val="22"/>
              </w:rPr>
              <w:t>AM/FM Radio Stations</w:t>
            </w:r>
          </w:p>
          <w:p w:rsidR="006F7AD6" w:rsidRPr="0067355D" w:rsidP="00886011" w14:paraId="4958083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Pr>
                <w:szCs w:val="22"/>
              </w:rPr>
              <w:t>(Units are Licensed Stations)</w:t>
            </w:r>
          </w:p>
        </w:tc>
        <w:tc>
          <w:tcPr>
            <w:tcW w:w="5662" w:type="dxa"/>
            <w:tcBorders>
              <w:top w:val="single" w:sz="6" w:space="0" w:color="auto"/>
              <w:left w:val="single" w:sz="6" w:space="0" w:color="auto"/>
              <w:right w:val="double" w:sz="6" w:space="0" w:color="auto"/>
            </w:tcBorders>
          </w:tcPr>
          <w:p w:rsidR="006F7AD6" w:rsidRPr="0067355D" w:rsidP="00886011" w14:paraId="513F4B9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67355D">
              <w:rPr>
                <w:szCs w:val="22"/>
              </w:rPr>
              <w:t>Based on CDBS data, adjusted for exemptions, and actual FY 201</w:t>
            </w:r>
            <w:r>
              <w:rPr>
                <w:szCs w:val="22"/>
              </w:rPr>
              <w:t>8</w:t>
            </w:r>
            <w:r w:rsidRPr="0067355D">
              <w:rPr>
                <w:szCs w:val="22"/>
              </w:rPr>
              <w:t xml:space="preserve"> payment units.</w:t>
            </w:r>
          </w:p>
        </w:tc>
      </w:tr>
      <w:tr w14:paraId="1116704A" w14:textId="77777777" w:rsidTr="00886011">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tcBorders>
          </w:tcPr>
          <w:p w:rsidR="006F7AD6" w:rsidRPr="0067355D" w:rsidP="00886011" w14:paraId="5D1FA7B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67355D">
              <w:rPr>
                <w:szCs w:val="22"/>
              </w:rPr>
              <w:t>Digital TV Stations</w:t>
            </w:r>
          </w:p>
          <w:p w:rsidR="006F7AD6" w:rsidP="00886011" w14:paraId="2271D30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67355D">
              <w:rPr>
                <w:szCs w:val="22"/>
              </w:rPr>
              <w:t>(Combined VHF/UHF units)</w:t>
            </w:r>
          </w:p>
          <w:p w:rsidR="006F7AD6" w:rsidRPr="0067355D" w:rsidP="00886011" w14:paraId="03BA5CB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Pr>
                <w:szCs w:val="22"/>
              </w:rPr>
              <w:t xml:space="preserve">(Units are Licensed Stations) </w:t>
            </w:r>
          </w:p>
        </w:tc>
        <w:tc>
          <w:tcPr>
            <w:tcW w:w="5662" w:type="dxa"/>
            <w:tcBorders>
              <w:top w:val="single" w:sz="6" w:space="0" w:color="auto"/>
              <w:left w:val="single" w:sz="6" w:space="0" w:color="auto"/>
              <w:right w:val="double" w:sz="6" w:space="0" w:color="auto"/>
            </w:tcBorders>
          </w:tcPr>
          <w:p w:rsidR="006F7AD6" w:rsidRPr="0067355D" w:rsidP="00886011" w14:paraId="1F83746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67355D">
              <w:rPr>
                <w:szCs w:val="22"/>
              </w:rPr>
              <w:t>Based on CDBS data, adjusted for exemptions, and actual FY 201</w:t>
            </w:r>
            <w:r>
              <w:rPr>
                <w:szCs w:val="22"/>
              </w:rPr>
              <w:t>8</w:t>
            </w:r>
            <w:r w:rsidRPr="0067355D">
              <w:rPr>
                <w:szCs w:val="22"/>
              </w:rPr>
              <w:t xml:space="preserve"> payment units.</w:t>
            </w:r>
          </w:p>
        </w:tc>
      </w:tr>
      <w:tr w14:paraId="17E0FADB" w14:textId="77777777" w:rsidTr="00886011">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bottom w:val="single" w:sz="6" w:space="0" w:color="auto"/>
            </w:tcBorders>
          </w:tcPr>
          <w:p w:rsidR="006F7AD6" w:rsidRPr="0067355D" w:rsidP="00886011" w14:paraId="24DE6F9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67355D">
              <w:rPr>
                <w:szCs w:val="22"/>
              </w:rPr>
              <w:t>AM/FM/TV Construction Permits</w:t>
            </w:r>
            <w:r>
              <w:rPr>
                <w:szCs w:val="22"/>
              </w:rPr>
              <w:t xml:space="preserve"> (Units are Holders of Permits)</w:t>
            </w:r>
          </w:p>
        </w:tc>
        <w:tc>
          <w:tcPr>
            <w:tcW w:w="5662" w:type="dxa"/>
            <w:tcBorders>
              <w:top w:val="single" w:sz="6" w:space="0" w:color="auto"/>
              <w:left w:val="single" w:sz="6" w:space="0" w:color="auto"/>
              <w:bottom w:val="single" w:sz="6" w:space="0" w:color="auto"/>
              <w:right w:val="double" w:sz="6" w:space="0" w:color="auto"/>
            </w:tcBorders>
          </w:tcPr>
          <w:p w:rsidR="006F7AD6" w:rsidRPr="0067355D" w:rsidP="00886011" w14:paraId="046AFFB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67355D">
              <w:rPr>
                <w:szCs w:val="22"/>
              </w:rPr>
              <w:t>Based on CDBS data, adjusted for exemptions, and actual FY 201</w:t>
            </w:r>
            <w:r>
              <w:rPr>
                <w:szCs w:val="22"/>
              </w:rPr>
              <w:t>8</w:t>
            </w:r>
            <w:r w:rsidRPr="0067355D">
              <w:rPr>
                <w:szCs w:val="22"/>
              </w:rPr>
              <w:t xml:space="preserve"> payment units. </w:t>
            </w:r>
          </w:p>
        </w:tc>
      </w:tr>
      <w:tr w14:paraId="2F17A4FD" w14:textId="77777777" w:rsidTr="00886011">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bottom w:val="double" w:sz="4" w:space="0" w:color="auto"/>
            </w:tcBorders>
          </w:tcPr>
          <w:p w:rsidR="006F7AD6" w:rsidP="00886011" w14:paraId="2D04623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67355D">
              <w:rPr>
                <w:szCs w:val="22"/>
              </w:rPr>
              <w:t>LPTV, Translators and Boosters, Class A Television</w:t>
            </w:r>
          </w:p>
          <w:p w:rsidR="006F7AD6" w:rsidRPr="0067355D" w:rsidP="00886011" w14:paraId="1C3812A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Pr>
                <w:szCs w:val="22"/>
              </w:rPr>
              <w:t>(Units are Licensed Stations or Facilities)</w:t>
            </w:r>
          </w:p>
        </w:tc>
        <w:tc>
          <w:tcPr>
            <w:tcW w:w="5662" w:type="dxa"/>
            <w:tcBorders>
              <w:top w:val="single" w:sz="6" w:space="0" w:color="auto"/>
              <w:left w:val="single" w:sz="6" w:space="0" w:color="auto"/>
              <w:bottom w:val="double" w:sz="4" w:space="0" w:color="auto"/>
              <w:right w:val="double" w:sz="6" w:space="0" w:color="auto"/>
            </w:tcBorders>
          </w:tcPr>
          <w:p w:rsidR="006F7AD6" w:rsidRPr="0067355D" w:rsidP="00886011" w14:paraId="2E3129A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67355D">
              <w:rPr>
                <w:szCs w:val="22"/>
              </w:rPr>
              <w:t>Based on CDBS data, adjusted for exemptions, and actual FY 201</w:t>
            </w:r>
            <w:r>
              <w:rPr>
                <w:szCs w:val="22"/>
              </w:rPr>
              <w:t>8</w:t>
            </w:r>
            <w:r w:rsidRPr="0067355D">
              <w:rPr>
                <w:szCs w:val="22"/>
              </w:rPr>
              <w:t xml:space="preserve"> payment units.</w:t>
            </w:r>
          </w:p>
        </w:tc>
      </w:tr>
      <w:tr w14:paraId="6E67D8F5" w14:textId="77777777" w:rsidTr="00886011">
        <w:tblPrEx>
          <w:tblW w:w="8640" w:type="dxa"/>
          <w:tblInd w:w="120" w:type="dxa"/>
          <w:tblLayout w:type="fixed"/>
          <w:tblCellMar>
            <w:left w:w="120" w:type="dxa"/>
            <w:right w:w="120" w:type="dxa"/>
          </w:tblCellMar>
          <w:tblLook w:val="0000"/>
        </w:tblPrEx>
        <w:tc>
          <w:tcPr>
            <w:tcW w:w="2978" w:type="dxa"/>
            <w:tcBorders>
              <w:top w:val="double" w:sz="4" w:space="0" w:color="auto"/>
              <w:left w:val="double" w:sz="6" w:space="0" w:color="auto"/>
              <w:bottom w:val="single" w:sz="4" w:space="0" w:color="auto"/>
            </w:tcBorders>
          </w:tcPr>
          <w:p w:rsidR="006F7AD6" w:rsidRPr="0067355D" w:rsidP="00886011" w14:paraId="3921560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67355D">
              <w:rPr>
                <w:szCs w:val="22"/>
              </w:rPr>
              <w:t>BRS (formerly MDS/MMDS)</w:t>
            </w:r>
          </w:p>
          <w:p w:rsidR="006F7AD6" w:rsidRPr="0067355D" w:rsidP="00886011" w14:paraId="4EEE156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67355D">
              <w:rPr>
                <w:szCs w:val="22"/>
              </w:rPr>
              <w:t>LMDS</w:t>
            </w:r>
            <w:r>
              <w:rPr>
                <w:szCs w:val="22"/>
              </w:rPr>
              <w:t xml:space="preserve"> (Units are Holders of Licenses)</w:t>
            </w:r>
          </w:p>
        </w:tc>
        <w:tc>
          <w:tcPr>
            <w:tcW w:w="5662" w:type="dxa"/>
            <w:tcBorders>
              <w:top w:val="double" w:sz="4" w:space="0" w:color="auto"/>
              <w:left w:val="single" w:sz="6" w:space="0" w:color="auto"/>
              <w:bottom w:val="single" w:sz="4" w:space="0" w:color="auto"/>
              <w:right w:val="double" w:sz="6" w:space="0" w:color="auto"/>
            </w:tcBorders>
          </w:tcPr>
          <w:p w:rsidR="006F7AD6" w:rsidRPr="0067355D" w:rsidP="00886011" w14:paraId="1EB7AF2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67355D">
              <w:rPr>
                <w:szCs w:val="22"/>
              </w:rPr>
              <w:t>Based on WTB reports and actual FY 201</w:t>
            </w:r>
            <w:r>
              <w:rPr>
                <w:szCs w:val="22"/>
              </w:rPr>
              <w:t>8</w:t>
            </w:r>
            <w:r w:rsidRPr="0067355D">
              <w:rPr>
                <w:szCs w:val="22"/>
              </w:rPr>
              <w:t xml:space="preserve"> payment units.</w:t>
            </w:r>
          </w:p>
          <w:p w:rsidR="006F7AD6" w:rsidRPr="0067355D" w:rsidP="00886011" w14:paraId="07C6BDB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67355D">
              <w:rPr>
                <w:szCs w:val="22"/>
              </w:rPr>
              <w:t>Based on WTB reports and actual FY 201</w:t>
            </w:r>
            <w:r>
              <w:rPr>
                <w:szCs w:val="22"/>
              </w:rPr>
              <w:t>8</w:t>
            </w:r>
            <w:r w:rsidRPr="0067355D">
              <w:rPr>
                <w:szCs w:val="22"/>
              </w:rPr>
              <w:t xml:space="preserve"> payment units.</w:t>
            </w:r>
          </w:p>
        </w:tc>
      </w:tr>
      <w:tr w14:paraId="7DBAB8B6" w14:textId="77777777" w:rsidTr="00886011">
        <w:tblPrEx>
          <w:tblW w:w="8640" w:type="dxa"/>
          <w:tblInd w:w="120" w:type="dxa"/>
          <w:tblLayout w:type="fixed"/>
          <w:tblCellMar>
            <w:left w:w="120" w:type="dxa"/>
            <w:right w:w="120" w:type="dxa"/>
          </w:tblCellMar>
          <w:tblLook w:val="0000"/>
        </w:tblPrEx>
        <w:tc>
          <w:tcPr>
            <w:tcW w:w="2978" w:type="dxa"/>
            <w:tcBorders>
              <w:top w:val="single" w:sz="4" w:space="0" w:color="auto"/>
              <w:left w:val="double" w:sz="6" w:space="0" w:color="auto"/>
            </w:tcBorders>
          </w:tcPr>
          <w:p w:rsidR="006F7AD6" w:rsidP="00886011" w14:paraId="20FB2EE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67355D">
              <w:rPr>
                <w:szCs w:val="22"/>
              </w:rPr>
              <w:t>Cable Television Relay Service (CARS) Stations</w:t>
            </w:r>
          </w:p>
          <w:p w:rsidR="006F7AD6" w:rsidRPr="0067355D" w:rsidP="00886011" w14:paraId="5F43568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Pr>
                <w:szCs w:val="22"/>
              </w:rPr>
              <w:t>(Units are Holders of Licenses)</w:t>
            </w:r>
          </w:p>
        </w:tc>
        <w:tc>
          <w:tcPr>
            <w:tcW w:w="5662" w:type="dxa"/>
            <w:tcBorders>
              <w:top w:val="single" w:sz="4" w:space="0" w:color="auto"/>
              <w:left w:val="single" w:sz="6" w:space="0" w:color="auto"/>
              <w:right w:val="double" w:sz="6" w:space="0" w:color="auto"/>
            </w:tcBorders>
          </w:tcPr>
          <w:p w:rsidR="006F7AD6" w:rsidRPr="0067355D" w:rsidP="00886011" w14:paraId="355AF6C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67355D">
              <w:rPr>
                <w:szCs w:val="22"/>
              </w:rPr>
              <w:t>Based on data from Media Bureau’s COALS database and actual FY 201</w:t>
            </w:r>
            <w:r>
              <w:rPr>
                <w:szCs w:val="22"/>
              </w:rPr>
              <w:t>8</w:t>
            </w:r>
            <w:r w:rsidRPr="0067355D">
              <w:rPr>
                <w:szCs w:val="22"/>
              </w:rPr>
              <w:t xml:space="preserve"> payment units.</w:t>
            </w:r>
          </w:p>
        </w:tc>
      </w:tr>
      <w:tr w14:paraId="1951F6CA" w14:textId="77777777" w:rsidTr="00886011">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tcBorders>
          </w:tcPr>
          <w:p w:rsidR="006F7AD6" w:rsidRPr="0067355D" w:rsidP="00886011" w14:paraId="7F4D1EB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67355D">
              <w:rPr>
                <w:szCs w:val="22"/>
              </w:rPr>
              <w:t>Cable Television System Subscribers, Including IPTV Subscribers</w:t>
            </w:r>
            <w:r>
              <w:rPr>
                <w:szCs w:val="22"/>
              </w:rPr>
              <w:t xml:space="preserve"> (Units are Subscribers)</w:t>
            </w:r>
          </w:p>
        </w:tc>
        <w:tc>
          <w:tcPr>
            <w:tcW w:w="5662" w:type="dxa"/>
            <w:tcBorders>
              <w:top w:val="single" w:sz="6" w:space="0" w:color="auto"/>
              <w:left w:val="single" w:sz="6" w:space="0" w:color="auto"/>
              <w:right w:val="double" w:sz="6" w:space="0" w:color="auto"/>
            </w:tcBorders>
          </w:tcPr>
          <w:p w:rsidR="006F7AD6" w:rsidRPr="0067355D" w:rsidP="00886011" w14:paraId="4C9F60D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67355D">
              <w:rPr>
                <w:szCs w:val="22"/>
              </w:rPr>
              <w:t>Based on publicly available data sources for estimated subscriber counts and actual FY 201</w:t>
            </w:r>
            <w:r>
              <w:rPr>
                <w:szCs w:val="22"/>
              </w:rPr>
              <w:t>8</w:t>
            </w:r>
            <w:r w:rsidRPr="0067355D">
              <w:rPr>
                <w:szCs w:val="22"/>
              </w:rPr>
              <w:t xml:space="preserve"> payment units. </w:t>
            </w:r>
          </w:p>
        </w:tc>
      </w:tr>
      <w:tr w14:paraId="350CDDBB" w14:textId="77777777" w:rsidTr="00886011">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tcBorders>
          </w:tcPr>
          <w:p w:rsidR="006F7AD6" w:rsidRPr="0067355D" w:rsidP="00886011" w14:paraId="7875541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67355D">
              <w:rPr>
                <w:szCs w:val="22"/>
              </w:rPr>
              <w:t>Interstate Telecommunication Service Providers</w:t>
            </w:r>
            <w:r>
              <w:rPr>
                <w:szCs w:val="22"/>
              </w:rPr>
              <w:t xml:space="preserve"> (Units are Revenues)</w:t>
            </w:r>
          </w:p>
        </w:tc>
        <w:tc>
          <w:tcPr>
            <w:tcW w:w="5662" w:type="dxa"/>
            <w:tcBorders>
              <w:top w:val="single" w:sz="6" w:space="0" w:color="auto"/>
              <w:left w:val="single" w:sz="6" w:space="0" w:color="auto"/>
              <w:right w:val="double" w:sz="6" w:space="0" w:color="auto"/>
            </w:tcBorders>
          </w:tcPr>
          <w:p w:rsidR="006F7AD6" w:rsidRPr="0067355D" w:rsidP="00886011" w14:paraId="4827AC6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67355D">
              <w:rPr>
                <w:szCs w:val="22"/>
              </w:rPr>
              <w:t>Based on FCC Form 499-Q data for the four quarters of calendar year 201</w:t>
            </w:r>
            <w:r>
              <w:rPr>
                <w:szCs w:val="22"/>
              </w:rPr>
              <w:t>8</w:t>
            </w:r>
            <w:r w:rsidRPr="0067355D">
              <w:rPr>
                <w:szCs w:val="22"/>
              </w:rPr>
              <w:t>, the Wireline Competition Bureau projected the amount of calendar year 201</w:t>
            </w:r>
            <w:r>
              <w:rPr>
                <w:szCs w:val="22"/>
              </w:rPr>
              <w:t>8</w:t>
            </w:r>
            <w:r w:rsidRPr="0067355D">
              <w:rPr>
                <w:szCs w:val="22"/>
              </w:rPr>
              <w:t xml:space="preserve"> revenue that will be reported on 2018 FCC Form 499-A worksheets due in April 201</w:t>
            </w:r>
            <w:r>
              <w:rPr>
                <w:szCs w:val="22"/>
              </w:rPr>
              <w:t>9</w:t>
            </w:r>
            <w:r w:rsidRPr="0067355D">
              <w:rPr>
                <w:szCs w:val="22"/>
              </w:rPr>
              <w:t>.</w:t>
            </w:r>
          </w:p>
        </w:tc>
      </w:tr>
      <w:tr w14:paraId="7FD39356" w14:textId="77777777" w:rsidTr="00886011">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tcBorders>
          </w:tcPr>
          <w:p w:rsidR="006F7AD6" w:rsidRPr="0067355D" w:rsidP="00886011" w14:paraId="49A3164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67355D">
              <w:rPr>
                <w:szCs w:val="22"/>
              </w:rPr>
              <w:t>Earth Stations</w:t>
            </w:r>
            <w:r>
              <w:rPr>
                <w:szCs w:val="22"/>
              </w:rPr>
              <w:t xml:space="preserve"> (Units are Licensed Earth Stations)</w:t>
            </w:r>
          </w:p>
        </w:tc>
        <w:tc>
          <w:tcPr>
            <w:tcW w:w="5662" w:type="dxa"/>
            <w:tcBorders>
              <w:top w:val="single" w:sz="6" w:space="0" w:color="auto"/>
              <w:left w:val="single" w:sz="6" w:space="0" w:color="auto"/>
              <w:right w:val="double" w:sz="6" w:space="0" w:color="auto"/>
            </w:tcBorders>
          </w:tcPr>
          <w:p w:rsidR="006F7AD6" w:rsidRPr="0067355D" w:rsidP="00886011" w14:paraId="109A058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67355D">
              <w:rPr>
                <w:szCs w:val="22"/>
              </w:rPr>
              <w:t>Based on International Bureau (“IB”) licensing data and actual FY 201</w:t>
            </w:r>
            <w:r>
              <w:rPr>
                <w:szCs w:val="22"/>
              </w:rPr>
              <w:t>8</w:t>
            </w:r>
            <w:r w:rsidRPr="0067355D">
              <w:rPr>
                <w:szCs w:val="22"/>
              </w:rPr>
              <w:t xml:space="preserve"> payment units.</w:t>
            </w:r>
          </w:p>
        </w:tc>
      </w:tr>
      <w:tr w14:paraId="7D466E5C" w14:textId="77777777" w:rsidTr="00886011">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tcBorders>
          </w:tcPr>
          <w:p w:rsidR="006F7AD6" w:rsidRPr="0067355D" w:rsidP="00886011" w14:paraId="72C8556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67355D">
              <w:rPr>
                <w:szCs w:val="22"/>
              </w:rPr>
              <w:t>Space Stations (GSOs &amp; NGSOs)</w:t>
            </w:r>
            <w:r>
              <w:rPr>
                <w:szCs w:val="22"/>
              </w:rPr>
              <w:t xml:space="preserve"> (Units are Licensed and Operational Satellites)</w:t>
            </w:r>
          </w:p>
        </w:tc>
        <w:tc>
          <w:tcPr>
            <w:tcW w:w="5662" w:type="dxa"/>
            <w:tcBorders>
              <w:top w:val="single" w:sz="6" w:space="0" w:color="auto"/>
              <w:left w:val="single" w:sz="6" w:space="0" w:color="auto"/>
              <w:right w:val="double" w:sz="6" w:space="0" w:color="auto"/>
            </w:tcBorders>
          </w:tcPr>
          <w:p w:rsidR="006F7AD6" w:rsidRPr="0067355D" w:rsidP="00886011" w14:paraId="0A80764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67355D">
              <w:rPr>
                <w:szCs w:val="22"/>
              </w:rPr>
              <w:t>Based on IB data reports and actual FY 201</w:t>
            </w:r>
            <w:r>
              <w:rPr>
                <w:szCs w:val="22"/>
              </w:rPr>
              <w:t>8</w:t>
            </w:r>
            <w:r w:rsidRPr="0067355D">
              <w:rPr>
                <w:szCs w:val="22"/>
              </w:rPr>
              <w:t xml:space="preserve"> payment units.</w:t>
            </w:r>
          </w:p>
        </w:tc>
      </w:tr>
      <w:tr w14:paraId="172FE875" w14:textId="77777777" w:rsidTr="00886011">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bottom w:val="single" w:sz="6" w:space="0" w:color="auto"/>
            </w:tcBorders>
          </w:tcPr>
          <w:p w:rsidR="006F7AD6" w:rsidRPr="0067355D" w:rsidP="00886011" w14:paraId="1204C73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67355D">
              <w:rPr>
                <w:szCs w:val="22"/>
              </w:rPr>
              <w:t>International Bearer Circuits</w:t>
            </w:r>
            <w:r>
              <w:rPr>
                <w:szCs w:val="22"/>
              </w:rPr>
              <w:t xml:space="preserve"> (Units are Gbps Circuits)</w:t>
            </w:r>
          </w:p>
        </w:tc>
        <w:tc>
          <w:tcPr>
            <w:tcW w:w="5662" w:type="dxa"/>
            <w:tcBorders>
              <w:top w:val="single" w:sz="6" w:space="0" w:color="auto"/>
              <w:left w:val="single" w:sz="6" w:space="0" w:color="auto"/>
              <w:bottom w:val="single" w:sz="6" w:space="0" w:color="auto"/>
              <w:right w:val="double" w:sz="6" w:space="0" w:color="auto"/>
            </w:tcBorders>
          </w:tcPr>
          <w:p w:rsidR="006F7AD6" w:rsidRPr="0067355D" w:rsidP="00886011" w14:paraId="5C5A81B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67355D">
              <w:rPr>
                <w:szCs w:val="22"/>
              </w:rPr>
              <w:t>Based on IB reports and submissions by licensees, adjusted as necessary.</w:t>
            </w:r>
          </w:p>
        </w:tc>
      </w:tr>
      <w:tr w14:paraId="779341AD" w14:textId="77777777" w:rsidTr="00886011">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bottom w:val="double" w:sz="4" w:space="0" w:color="auto"/>
            </w:tcBorders>
          </w:tcPr>
          <w:p w:rsidR="006F7AD6" w:rsidRPr="0067355D" w:rsidP="00886011" w14:paraId="23F59E3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67355D">
              <w:rPr>
                <w:szCs w:val="22"/>
              </w:rPr>
              <w:t>Submarine Cable Licenses</w:t>
            </w:r>
            <w:r>
              <w:rPr>
                <w:szCs w:val="22"/>
              </w:rPr>
              <w:t xml:space="preserve"> (Units are Submarine Cable Systems)</w:t>
            </w:r>
          </w:p>
        </w:tc>
        <w:tc>
          <w:tcPr>
            <w:tcW w:w="5662" w:type="dxa"/>
            <w:tcBorders>
              <w:top w:val="single" w:sz="6" w:space="0" w:color="auto"/>
              <w:left w:val="single" w:sz="6" w:space="0" w:color="auto"/>
              <w:bottom w:val="double" w:sz="4" w:space="0" w:color="auto"/>
              <w:right w:val="double" w:sz="6" w:space="0" w:color="auto"/>
            </w:tcBorders>
          </w:tcPr>
          <w:p w:rsidR="006F7AD6" w:rsidRPr="0067355D" w:rsidP="00886011" w14:paraId="20C3189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67355D">
              <w:rPr>
                <w:szCs w:val="22"/>
              </w:rPr>
              <w:t>Based on IB license information.</w:t>
            </w:r>
          </w:p>
        </w:tc>
      </w:tr>
    </w:tbl>
    <w:p w:rsidR="006F7AD6" w:rsidRPr="0067355D" w:rsidP="006F7AD6" w14:paraId="674B8E78" w14:textId="77777777">
      <w:pPr>
        <w:jc w:val="center"/>
        <w:rPr>
          <w:szCs w:val="22"/>
        </w:rPr>
      </w:pPr>
    </w:p>
    <w:p w:rsidR="006F7AD6" w:rsidRPr="0067355D" w:rsidP="006F7AD6" w14:paraId="58A57EEA" w14:textId="77777777">
      <w:pPr>
        <w:tabs>
          <w:tab w:val="left" w:pos="3629"/>
        </w:tabs>
        <w:rPr>
          <w:b/>
          <w:szCs w:val="22"/>
        </w:rPr>
      </w:pPr>
    </w:p>
    <w:p w:rsidR="006F7AD6" w:rsidP="006F7AD6" w14:paraId="6002B15F" w14:textId="77777777">
      <w:pPr>
        <w:widowControl/>
        <w:rPr>
          <w:szCs w:val="22"/>
        </w:rPr>
        <w:sectPr w:rsidSect="00886011">
          <w:endnotePr>
            <w:numFmt w:val="decimal"/>
          </w:endnotePr>
          <w:pgSz w:w="12240" w:h="15840" w:code="1"/>
          <w:pgMar w:top="1440" w:right="1440" w:bottom="720" w:left="1440" w:header="720" w:footer="720" w:gutter="0"/>
          <w:cols w:space="720"/>
          <w:noEndnote/>
          <w:titlePg/>
          <w:docGrid w:linePitch="299"/>
        </w:sectPr>
      </w:pPr>
    </w:p>
    <w:p w:rsidR="006F7AD6" w:rsidRPr="0067355D" w:rsidP="006F7AD6" w14:paraId="625B6599" w14:textId="77777777">
      <w:pPr>
        <w:tabs>
          <w:tab w:val="left" w:pos="3629"/>
        </w:tabs>
        <w:jc w:val="center"/>
        <w:rPr>
          <w:b/>
          <w:szCs w:val="22"/>
        </w:rPr>
      </w:pPr>
      <w:r w:rsidRPr="0067355D">
        <w:rPr>
          <w:b/>
          <w:szCs w:val="22"/>
        </w:rPr>
        <w:t>APPENDIX</w:t>
      </w:r>
      <w:r>
        <w:rPr>
          <w:b/>
          <w:szCs w:val="22"/>
        </w:rPr>
        <w:t xml:space="preserve"> E</w:t>
      </w:r>
    </w:p>
    <w:p w:rsidR="006F7AD6" w:rsidRPr="0067355D" w:rsidP="006F7AD6" w14:paraId="6755817C" w14:textId="77777777">
      <w:pPr>
        <w:tabs>
          <w:tab w:val="left" w:pos="3629"/>
        </w:tabs>
        <w:jc w:val="center"/>
        <w:rPr>
          <w:b/>
          <w:szCs w:val="22"/>
        </w:rPr>
      </w:pPr>
    </w:p>
    <w:p w:rsidR="006F7AD6" w:rsidRPr="0067355D" w:rsidP="006F7AD6" w14:paraId="56556942" w14:textId="77777777">
      <w:pPr>
        <w:tabs>
          <w:tab w:val="left" w:pos="3629"/>
        </w:tabs>
        <w:jc w:val="center"/>
        <w:rPr>
          <w:b/>
          <w:szCs w:val="22"/>
        </w:rPr>
      </w:pPr>
      <w:r w:rsidRPr="0067355D">
        <w:rPr>
          <w:b/>
          <w:szCs w:val="22"/>
        </w:rPr>
        <w:t>Factors, Measurements, and Calculations that Determine Station Signal Contours and Associated Population Coverages</w:t>
      </w:r>
    </w:p>
    <w:p w:rsidR="006F7AD6" w:rsidRPr="0067355D" w:rsidP="006F7AD6" w14:paraId="25B3E271" w14:textId="77777777">
      <w:pPr>
        <w:tabs>
          <w:tab w:val="left" w:pos="3629"/>
        </w:tabs>
        <w:jc w:val="center"/>
        <w:rPr>
          <w:b/>
          <w:szCs w:val="22"/>
        </w:rPr>
      </w:pPr>
    </w:p>
    <w:p w:rsidR="006F7AD6" w:rsidRPr="0067355D" w:rsidP="006F7AD6" w14:paraId="0102DE4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ind w:left="720" w:right="720"/>
        <w:outlineLvl w:val="0"/>
        <w:rPr>
          <w:b/>
          <w:spacing w:val="-3"/>
          <w:szCs w:val="22"/>
          <w:u w:val="single"/>
        </w:rPr>
      </w:pPr>
      <w:r w:rsidRPr="0067355D">
        <w:rPr>
          <w:b/>
          <w:spacing w:val="-3"/>
          <w:szCs w:val="22"/>
          <w:u w:val="single"/>
        </w:rPr>
        <w:t xml:space="preserve">AM </w:t>
      </w:r>
      <w:r w:rsidRPr="0067355D">
        <w:rPr>
          <w:b/>
          <w:szCs w:val="22"/>
          <w:u w:val="single"/>
        </w:rPr>
        <w:t>Stations</w:t>
      </w:r>
    </w:p>
    <w:p w:rsidR="006F7AD6" w:rsidRPr="0067355D" w:rsidP="006F7AD6" w14:paraId="6614DE8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p>
    <w:p w:rsidR="006F7AD6" w:rsidRPr="0067355D" w:rsidP="006F7AD6" w14:paraId="49A960A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zCs w:val="22"/>
        </w:rPr>
      </w:pPr>
      <w:r>
        <w:rPr>
          <w:szCs w:val="22"/>
        </w:rPr>
        <w:tab/>
      </w:r>
      <w:r w:rsidRPr="0067355D">
        <w:rPr>
          <w:szCs w:val="22"/>
        </w:rPr>
        <w:t>For stations with nondirectional daytime antennas, the theoretical radiation was used at all azimuths.  For stations with directional daytime antennas, specific information on each day tower, including field ratio, phase, spacing, and orientation was retrieved, as well as the theoretical pattern root-mean-square of the radiation in all directions in the horizontal plane (RMS) figure (milliVolt per meter (mV/m) @ 1 km) for the antenna system.  The standard, or augmented standard if pertinent, horizontal plane radiation pattern was calculated using techniques and methods specified in sections 73.150 and 73.152 of the Commission’s rules. Radiation values were calculated for each of 360 radials around the transmitter site.  Next, estimated soil conductivity data was retrieved from a database representing the information in FCC Figure R3. Using the calculated horizontal radiation values, and the retrieved soil conductivity data, the distance to the principal community (5 mV/m) contour was predicted for each of the 360 radials.  The resulting distance to principal community contours were used to form a geographical polygon.  Population counting was accomplished by determining which 2010 block centroids were contained in the polygon.  (A block centroid is the center point of a small area containing population as computed by the U.S. Census Bureau.)  The sum of the population figures for all enclosed blocks represents the total population for the predicted principal community coverage area.</w:t>
      </w:r>
    </w:p>
    <w:p w:rsidR="006F7AD6" w:rsidRPr="0067355D" w:rsidP="006F7AD6" w14:paraId="01EE68F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ind w:left="720"/>
        <w:rPr>
          <w:szCs w:val="22"/>
        </w:rPr>
      </w:pPr>
    </w:p>
    <w:p w:rsidR="006F7AD6" w:rsidRPr="0067355D" w:rsidP="006F7AD6" w14:paraId="323CEA2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b/>
          <w:szCs w:val="22"/>
          <w:u w:val="single"/>
        </w:rPr>
      </w:pPr>
      <w:r w:rsidRPr="0067355D">
        <w:rPr>
          <w:b/>
          <w:szCs w:val="22"/>
        </w:rPr>
        <w:tab/>
      </w:r>
      <w:r w:rsidRPr="0067355D">
        <w:rPr>
          <w:b/>
          <w:szCs w:val="22"/>
          <w:u w:val="single"/>
        </w:rPr>
        <w:t>FM Stations</w:t>
      </w:r>
    </w:p>
    <w:p w:rsidR="006F7AD6" w:rsidRPr="0067355D" w:rsidP="006F7AD6" w14:paraId="65F0872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zCs w:val="22"/>
        </w:rPr>
      </w:pPr>
    </w:p>
    <w:p w:rsidR="006F7AD6" w:rsidP="006F7AD6" w14:paraId="577DECF6" w14:textId="77777777">
      <w:pPr>
        <w:tabs>
          <w:tab w:val="left" w:pos="-1440"/>
          <w:tab w:val="left" w:pos="-720"/>
          <w:tab w:val="left" w:pos="720"/>
          <w:tab w:val="left" w:pos="1440"/>
          <w:tab w:val="left" w:pos="2160"/>
          <w:tab w:val="left" w:pos="2880"/>
          <w:tab w:val="left" w:pos="3600"/>
          <w:tab w:val="left" w:pos="4680"/>
          <w:tab w:val="left" w:pos="5040"/>
        </w:tabs>
        <w:suppressAutoHyphens/>
        <w:rPr>
          <w:szCs w:val="22"/>
        </w:rPr>
        <w:sectPr w:rsidSect="00886011">
          <w:headerReference w:type="default" r:id="rId21"/>
          <w:footerReference w:type="even" r:id="rId22"/>
          <w:footerReference w:type="default" r:id="rId23"/>
          <w:headerReference w:type="first" r:id="rId24"/>
          <w:footerReference w:type="first" r:id="rId25"/>
          <w:footnotePr>
            <w:numRestart w:val="eachSect"/>
          </w:footnotePr>
          <w:endnotePr>
            <w:numFmt w:val="decimal"/>
          </w:endnotePr>
          <w:pgSz w:w="12240" w:h="15840"/>
          <w:pgMar w:top="1440" w:right="1440" w:bottom="720" w:left="1440" w:header="720" w:footer="720" w:gutter="0"/>
          <w:cols w:space="720"/>
          <w:noEndnote/>
          <w:titlePg/>
        </w:sectPr>
      </w:pPr>
      <w:r>
        <w:rPr>
          <w:szCs w:val="22"/>
        </w:rPr>
        <w:tab/>
      </w:r>
      <w:r w:rsidRPr="0067355D">
        <w:rPr>
          <w:szCs w:val="22"/>
        </w:rPr>
        <w:t xml:space="preserve">The greater of the horizontal or vertical effective radiated power (ERP) (kW) and respective height above average terrain (HAAT) (m) combination was used.  Where the antenna height above mean sea level (HAMSL) was available, it was used in lieu of the average HAAT figure to calculate specific HAAT figures for each of 360 radials under study.  Any available directional pattern information was applied as well, to produce a radial-specific ERP figure.  The HAAT and ERP figures were used in conjunction with the Field Strength (50-50) propagation curves specified in 47 CFR § 73.313 of the Commission’s rules to predict the distance to the principal community (70 dBu (decibel above 1 microVolt per meter) or 3.17 mV/m) contour for each of the 360 radials.  The resulting distance to principal community contours were used to form a geographical polygon.  Population counting was accomplished by determining which 2010 block centroids were contained in the polygon.  The sum of the population figures for all enclosed blocks represents the total population for the predicted principal community coverage area. </w:t>
      </w:r>
    </w:p>
    <w:p w:rsidR="006F7AD6" w:rsidRPr="003C560E" w:rsidP="006F7AD6" w14:paraId="14F874A2" w14:textId="77777777">
      <w:pPr>
        <w:tabs>
          <w:tab w:val="left" w:pos="-1440"/>
          <w:tab w:val="left" w:pos="-720"/>
          <w:tab w:val="left" w:pos="0"/>
          <w:tab w:val="left" w:pos="1440"/>
          <w:tab w:val="left" w:pos="2160"/>
          <w:tab w:val="left" w:pos="2880"/>
          <w:tab w:val="left" w:pos="3600"/>
          <w:tab w:val="left" w:pos="4680"/>
          <w:tab w:val="left" w:pos="5040"/>
        </w:tabs>
        <w:suppressAutoHyphens/>
        <w:jc w:val="center"/>
        <w:rPr>
          <w:b/>
          <w:color w:val="000000"/>
          <w:szCs w:val="22"/>
          <w:shd w:val="clear" w:color="auto" w:fill="FFFFFF"/>
        </w:rPr>
      </w:pPr>
      <w:r w:rsidRPr="003C560E">
        <w:rPr>
          <w:b/>
          <w:color w:val="000000"/>
          <w:szCs w:val="22"/>
          <w:shd w:val="clear" w:color="auto" w:fill="FFFFFF"/>
        </w:rPr>
        <w:t xml:space="preserve">APPENDIX </w:t>
      </w:r>
      <w:r>
        <w:rPr>
          <w:b/>
          <w:color w:val="000000"/>
          <w:szCs w:val="22"/>
          <w:shd w:val="clear" w:color="auto" w:fill="FFFFFF"/>
        </w:rPr>
        <w:t>F</w:t>
      </w:r>
    </w:p>
    <w:p w:rsidR="006F7AD6" w:rsidRPr="003C560E" w:rsidP="006F7AD6" w14:paraId="1A9F2779" w14:textId="77777777">
      <w:pPr>
        <w:tabs>
          <w:tab w:val="left" w:pos="-1440"/>
          <w:tab w:val="left" w:pos="-720"/>
          <w:tab w:val="left" w:pos="720"/>
          <w:tab w:val="left" w:pos="1440"/>
          <w:tab w:val="left" w:pos="2160"/>
          <w:tab w:val="left" w:pos="2880"/>
          <w:tab w:val="left" w:pos="3600"/>
          <w:tab w:val="left" w:pos="4680"/>
          <w:tab w:val="left" w:pos="5040"/>
        </w:tabs>
        <w:suppressAutoHyphens/>
        <w:ind w:left="720"/>
        <w:jc w:val="center"/>
        <w:rPr>
          <w:b/>
          <w:color w:val="000000"/>
          <w:szCs w:val="22"/>
          <w:shd w:val="clear" w:color="auto" w:fill="FFFFFF"/>
        </w:rPr>
      </w:pPr>
    </w:p>
    <w:p w:rsidR="006F7AD6" w:rsidP="006F7AD6" w14:paraId="66B9FE68" w14:textId="77777777">
      <w:pPr>
        <w:tabs>
          <w:tab w:val="left" w:pos="-1440"/>
          <w:tab w:val="left" w:pos="-720"/>
          <w:tab w:val="left" w:pos="0"/>
          <w:tab w:val="left" w:pos="1440"/>
          <w:tab w:val="left" w:pos="2160"/>
          <w:tab w:val="left" w:pos="2880"/>
          <w:tab w:val="left" w:pos="3600"/>
          <w:tab w:val="left" w:pos="4680"/>
          <w:tab w:val="left" w:pos="5040"/>
        </w:tabs>
        <w:suppressAutoHyphens/>
        <w:jc w:val="center"/>
        <w:rPr>
          <w:b/>
          <w:szCs w:val="22"/>
        </w:rPr>
      </w:pPr>
      <w:r>
        <w:rPr>
          <w:b/>
          <w:szCs w:val="22"/>
        </w:rPr>
        <w:t>Summary of Regulatory Fee Categories</w:t>
      </w:r>
    </w:p>
    <w:p w:rsidR="006F7AD6" w:rsidRPr="004C6CF9" w:rsidP="006F7AD6" w14:paraId="0861D77E" w14:textId="77777777">
      <w:pPr>
        <w:tabs>
          <w:tab w:val="left" w:pos="-1440"/>
          <w:tab w:val="left" w:pos="-720"/>
          <w:tab w:val="left" w:pos="720"/>
          <w:tab w:val="left" w:pos="1440"/>
          <w:tab w:val="left" w:pos="2160"/>
          <w:tab w:val="left" w:pos="2880"/>
          <w:tab w:val="left" w:pos="3600"/>
          <w:tab w:val="left" w:pos="4680"/>
          <w:tab w:val="left" w:pos="5040"/>
        </w:tabs>
        <w:suppressAutoHyphens/>
        <w:ind w:left="720"/>
        <w:rPr>
          <w:szCs w:val="22"/>
        </w:rPr>
      </w:pPr>
    </w:p>
    <w:p w:rsidR="006F7AD6" w:rsidRPr="003C560E" w:rsidP="006F7AD6" w14:paraId="2C94ABFB" w14:textId="77777777">
      <w:pPr>
        <w:pStyle w:val="Heading4"/>
        <w:numPr>
          <w:ilvl w:val="0"/>
          <w:numId w:val="0"/>
        </w:numPr>
        <w:jc w:val="center"/>
      </w:pPr>
      <w:r>
        <w:t>Media Bureau</w:t>
      </w:r>
    </w:p>
    <w:p w:rsidR="006F7AD6" w:rsidP="006F7AD6" w14:paraId="5E96804B" w14:textId="77777777">
      <w:pPr>
        <w:pStyle w:val="ParaNum"/>
        <w:numPr>
          <w:ilvl w:val="0"/>
          <w:numId w:val="0"/>
        </w:numPr>
        <w:ind w:left="720"/>
      </w:pPr>
      <w:r>
        <w:t>The fee categories associated with the Media Bureau are as follows:</w:t>
      </w:r>
    </w:p>
    <w:p w:rsidR="006F7AD6" w:rsidP="006F7AD6" w14:paraId="4EC49B5B" w14:textId="77777777">
      <w:pPr>
        <w:pStyle w:val="Heading5"/>
        <w:numPr>
          <w:ilvl w:val="0"/>
          <w:numId w:val="0"/>
        </w:numPr>
      </w:pPr>
      <w:r>
        <w:t>AM and FM broadcast radio stations</w:t>
      </w:r>
    </w:p>
    <w:p w:rsidR="006F7AD6" w:rsidP="006F7AD6" w14:paraId="6788D14A" w14:textId="77777777">
      <w:pPr>
        <w:pStyle w:val="ParaNum"/>
        <w:numPr>
          <w:ilvl w:val="0"/>
          <w:numId w:val="32"/>
        </w:numPr>
      </w:pPr>
      <w:r>
        <w:t>The AM/FM broadcast radio station regulatory fees are based on population served and class of station.  This grid showing the AM and FM regulatory fees based on population served and class of station has been modified over time to take into account a trend toward increases in population and more powerful signal strength.</w:t>
      </w:r>
      <w:r>
        <w:rPr>
          <w:rStyle w:val="FootnoteReference"/>
        </w:rPr>
        <w:footnoteReference w:id="117"/>
      </w:r>
      <w:r>
        <w:t xml:space="preserve">  In general, stations with greater populations (e.g. Metropolitan areas) pay higher fees than stations located in rural areas with lower populations.    </w:t>
      </w:r>
    </w:p>
    <w:p w:rsidR="006F7AD6" w:rsidP="006F7AD6" w14:paraId="06D1FEEB" w14:textId="77777777">
      <w:pPr>
        <w:pStyle w:val="Heading5"/>
        <w:numPr>
          <w:ilvl w:val="0"/>
          <w:numId w:val="0"/>
        </w:numPr>
      </w:pPr>
      <w:r>
        <w:t>AM and FM</w:t>
      </w:r>
      <w:r w:rsidRPr="003C560E">
        <w:t xml:space="preserve"> construction permits that were granted for AM/FM radio stations</w:t>
      </w:r>
    </w:p>
    <w:p w:rsidR="006F7AD6" w:rsidRPr="002712EA" w:rsidP="006F7AD6" w14:paraId="412D3A96" w14:textId="77777777">
      <w:pPr>
        <w:pStyle w:val="ParaNum"/>
      </w:pPr>
      <w:r>
        <w:t xml:space="preserve">AM and FM Construction Permits (CP) are precursors to obtaining a license.  These permits are granted so that the studio, the antenna, and other relevant aspects of the station can be constructed before a license is issued by the Commission.            </w:t>
      </w:r>
    </w:p>
    <w:p w:rsidR="006F7AD6" w:rsidP="006F7AD6" w14:paraId="7F2D75B0" w14:textId="77777777">
      <w:pPr>
        <w:pStyle w:val="Heading5"/>
        <w:numPr>
          <w:ilvl w:val="0"/>
          <w:numId w:val="0"/>
        </w:numPr>
      </w:pPr>
      <w:r>
        <w:t>Digital f</w:t>
      </w:r>
      <w:r w:rsidRPr="003C560E">
        <w:t xml:space="preserve">ull service television </w:t>
      </w:r>
      <w:r>
        <w:t xml:space="preserve">broadcast </w:t>
      </w:r>
      <w:r w:rsidRPr="003C560E">
        <w:t>stations</w:t>
      </w:r>
      <w:r>
        <w:t xml:space="preserve"> (including satellite stations) </w:t>
      </w:r>
    </w:p>
    <w:p w:rsidR="006F7AD6" w:rsidRPr="002712EA" w:rsidP="006F7AD6" w14:paraId="0E08E20B" w14:textId="77777777">
      <w:pPr>
        <w:pStyle w:val="ParaNum"/>
      </w:pPr>
      <w:r>
        <w:t xml:space="preserve">Digital full-service television broadcast stations, including satellite stations, are historically categorized by their Nielsen Designated Market Areas (DMA).  In section D, below, we seek comment on changing this methodology for FY 2019.    </w:t>
      </w:r>
    </w:p>
    <w:p w:rsidR="006F7AD6" w:rsidP="006F7AD6" w14:paraId="05D47247" w14:textId="77777777">
      <w:pPr>
        <w:pStyle w:val="Heading5"/>
        <w:numPr>
          <w:ilvl w:val="0"/>
          <w:numId w:val="0"/>
        </w:numPr>
      </w:pPr>
      <w:r>
        <w:t xml:space="preserve">Low power TV, Class A TV, and TV/FM translators and boosters </w:t>
      </w:r>
    </w:p>
    <w:p w:rsidR="006F7AD6" w:rsidP="006F7AD6" w14:paraId="4230BCB3" w14:textId="77777777">
      <w:pPr>
        <w:pStyle w:val="ParaNum"/>
      </w:pPr>
      <w:r>
        <w:t xml:space="preserve">Low Power Television (LPTV) stations may retransmit the programs and signals of a TV Broadcast Station, originate programming, and/or operate as a subscription service.  This category also includes translators and boosters operating under Part 74 of the Commission’s rules which rebroadcast the signals of full service stations on a frequency different from the parent station (translators) or on the same frequency (boosters).  The stations in this category are secondary to full service stations in terms of frequency priority.  </w:t>
      </w:r>
    </w:p>
    <w:p w:rsidR="006F7AD6" w:rsidP="006F7AD6" w14:paraId="62C3EDA0" w14:textId="77777777">
      <w:pPr>
        <w:pStyle w:val="ParaNum"/>
      </w:pPr>
      <w:r>
        <w:t xml:space="preserve">Translators are generally not affiliated with commercial broadcasters, are nonprofit, unprofitable, or only marginally profitable, serve small rural communities, and are supported financially by the residents of the communities served.  </w:t>
      </w:r>
    </w:p>
    <w:p w:rsidR="006F7AD6" w:rsidP="006F7AD6" w14:paraId="118001B9" w14:textId="77777777">
      <w:pPr>
        <w:pStyle w:val="Heading5"/>
        <w:numPr>
          <w:ilvl w:val="0"/>
          <w:numId w:val="0"/>
        </w:numPr>
      </w:pPr>
      <w:r>
        <w:t xml:space="preserve">Cable Antenna Relay Service (CARS) </w:t>
      </w:r>
    </w:p>
    <w:p w:rsidR="006F7AD6" w:rsidP="006F7AD6" w14:paraId="76CECD93" w14:textId="77777777">
      <w:pPr>
        <w:pStyle w:val="ParaNum"/>
      </w:pPr>
      <w:r>
        <w:t xml:space="preserve">CARS stations are used to transmit television and related audio signals, signals of AM and FM Broadcast Stations, and cablecasting from the point of reception to a terminal point from where the signals are distributed to the public by a Cable Television System.    </w:t>
      </w:r>
    </w:p>
    <w:p w:rsidR="006F7AD6" w:rsidP="006F7AD6" w14:paraId="76B18985" w14:textId="77777777">
      <w:pPr>
        <w:pStyle w:val="Heading5"/>
        <w:numPr>
          <w:ilvl w:val="0"/>
          <w:numId w:val="0"/>
        </w:numPr>
        <w:tabs>
          <w:tab w:val="clear" w:pos="3600"/>
        </w:tabs>
      </w:pPr>
      <w:r>
        <w:t>Cable Television, IPTV, and DBS (currently, a subcategory of Cable Television and IPTV)</w:t>
      </w:r>
    </w:p>
    <w:p w:rsidR="006F7AD6" w:rsidRPr="0050146D" w:rsidP="006F7AD6" w14:paraId="13F59CBE" w14:textId="77777777">
      <w:pPr>
        <w:pStyle w:val="ParaNum"/>
      </w:pPr>
      <w:r w:rsidRPr="003127B7">
        <w:rPr>
          <w:szCs w:val="22"/>
        </w:rPr>
        <w:t xml:space="preserve">Regulatory fees for </w:t>
      </w:r>
      <w:r>
        <w:rPr>
          <w:szCs w:val="22"/>
        </w:rPr>
        <w:t xml:space="preserve">FY 2019 for </w:t>
      </w:r>
      <w:r w:rsidRPr="003127B7">
        <w:rPr>
          <w:szCs w:val="22"/>
        </w:rPr>
        <w:t xml:space="preserve">cable television, </w:t>
      </w:r>
      <w:r>
        <w:rPr>
          <w:szCs w:val="22"/>
        </w:rPr>
        <w:t>Internet Protocol Television (</w:t>
      </w:r>
      <w:r w:rsidRPr="003127B7">
        <w:rPr>
          <w:szCs w:val="22"/>
        </w:rPr>
        <w:t>IPTV</w:t>
      </w:r>
      <w:r>
        <w:rPr>
          <w:szCs w:val="22"/>
        </w:rPr>
        <w:t>)</w:t>
      </w:r>
      <w:r w:rsidRPr="003127B7">
        <w:rPr>
          <w:szCs w:val="22"/>
        </w:rPr>
        <w:t>, and DBS are based on the number of subscribers as of December 31, 2018</w:t>
      </w:r>
      <w:r>
        <w:rPr>
          <w:szCs w:val="22"/>
        </w:rPr>
        <w:t>.  The cable television</w:t>
      </w:r>
      <w:r>
        <w:t xml:space="preserve"> category includes operators of Cable Television Systems, providing or distributing programming or other services to subscribers under part 76 of the Commission’s rules.  </w:t>
      </w:r>
      <w:r w:rsidRPr="003127B7">
        <w:rPr>
          <w:szCs w:val="22"/>
        </w:rPr>
        <w:t>IPTV</w:t>
      </w:r>
      <w:r w:rsidRPr="007F7B4B">
        <w:rPr>
          <w:szCs w:val="22"/>
        </w:rPr>
        <w:t xml:space="preserve"> is digital television delivered through a high speed Internet connection, instead of </w:t>
      </w:r>
      <w:r>
        <w:rPr>
          <w:szCs w:val="22"/>
        </w:rPr>
        <w:t xml:space="preserve">by the </w:t>
      </w:r>
      <w:r w:rsidRPr="007F7B4B">
        <w:rPr>
          <w:szCs w:val="22"/>
        </w:rPr>
        <w:t xml:space="preserve">traditional cable </w:t>
      </w:r>
      <w:r>
        <w:rPr>
          <w:szCs w:val="22"/>
        </w:rPr>
        <w:t>method</w:t>
      </w:r>
      <w:r w:rsidRPr="007F7B4B">
        <w:rPr>
          <w:szCs w:val="22"/>
        </w:rPr>
        <w:t>.  IPTV service generally is offered bundled with the customer’s Internet and telephone or VoIP services.</w:t>
      </w:r>
      <w:r>
        <w:rPr>
          <w:szCs w:val="22"/>
        </w:rPr>
        <w:t xml:space="preserve">  </w:t>
      </w:r>
      <w:r w:rsidRPr="00BB229F">
        <w:t xml:space="preserve">DBS service is a nationally </w:t>
      </w:r>
      <w:r w:rsidRPr="00BB229F">
        <w:t>distributed subscription service that delivers video and audio programming via satellite to a small parabolic dish antenna at the subscriber’s location.  The two DBS providers, AT&amp;T</w:t>
      </w:r>
      <w:r>
        <w:rPr>
          <w:rStyle w:val="FootnoteReference"/>
        </w:rPr>
        <w:footnoteReference w:id="118"/>
      </w:r>
      <w:r w:rsidRPr="00BB229F">
        <w:t xml:space="preserve"> and DISH Network, are MVPDs.</w:t>
      </w:r>
      <w:r>
        <w:rPr>
          <w:rStyle w:val="FootnoteReference"/>
        </w:rPr>
        <w:footnoteReference w:id="119"/>
      </w:r>
      <w:r w:rsidRPr="00BB229F">
        <w:t xml:space="preserve">  This regulatory fee subcategory was based on Media Bureau FTE activity involving regulation and oversight of all MVPDs, which included DBS providers.</w:t>
      </w:r>
      <w:r>
        <w:rPr>
          <w:rStyle w:val="FootnoteReference"/>
        </w:rPr>
        <w:footnoteReference w:id="120"/>
      </w:r>
      <w:r w:rsidRPr="00BB229F">
        <w:t xml:space="preserve">  </w:t>
      </w:r>
      <w:r w:rsidRPr="003127B7">
        <w:rPr>
          <w:szCs w:val="22"/>
        </w:rPr>
        <w:t xml:space="preserve">In 2015, the Commission included DBS as a subcategory of the cable television/IPTV regulatory fee.  In section C, </w:t>
      </w:r>
      <w:r w:rsidRPr="003127B7">
        <w:rPr>
          <w:i/>
          <w:szCs w:val="22"/>
        </w:rPr>
        <w:t>supra</w:t>
      </w:r>
      <w:r w:rsidRPr="003127B7">
        <w:rPr>
          <w:szCs w:val="22"/>
        </w:rPr>
        <w:t xml:space="preserve">, we seek comment in this proceeding on adopting </w:t>
      </w:r>
      <w:r>
        <w:rPr>
          <w:szCs w:val="22"/>
        </w:rPr>
        <w:t xml:space="preserve">new </w:t>
      </w:r>
      <w:r w:rsidRPr="003127B7">
        <w:rPr>
          <w:szCs w:val="22"/>
        </w:rPr>
        <w:t xml:space="preserve">regulatory fees for FY 2019 for DBS.  </w:t>
      </w:r>
    </w:p>
    <w:p w:rsidR="006F7AD6" w:rsidRPr="0050146D" w:rsidP="006F7AD6" w14:paraId="508AEE61" w14:textId="77777777">
      <w:pPr>
        <w:pStyle w:val="Heading4"/>
        <w:numPr>
          <w:ilvl w:val="0"/>
          <w:numId w:val="0"/>
        </w:numPr>
        <w:ind w:left="2880" w:hanging="720"/>
      </w:pPr>
      <w:r w:rsidRPr="0050146D">
        <w:t>Wireline Competition Bureau</w:t>
      </w:r>
    </w:p>
    <w:p w:rsidR="006F7AD6" w:rsidP="006F7AD6" w14:paraId="7CE7D268" w14:textId="77777777">
      <w:pPr>
        <w:pStyle w:val="ParaNum"/>
      </w:pPr>
      <w:r>
        <w:t xml:space="preserve">The regulatory fees for Wireline Competition Bureau regulatees are in the ITSP fee category.  Toll Free Numbers are a subcategory of the ITSP category.  </w:t>
      </w:r>
      <w:r w:rsidRPr="003C560E">
        <w:t xml:space="preserve">Audio bridging service providers are </w:t>
      </w:r>
      <w:r>
        <w:t xml:space="preserve">also </w:t>
      </w:r>
      <w:r w:rsidRPr="003C560E">
        <w:t>included in th</w:t>
      </w:r>
      <w:r>
        <w:t>e ITSP</w:t>
      </w:r>
      <w:r w:rsidRPr="003C560E">
        <w:t xml:space="preserve"> category.  </w:t>
      </w:r>
      <w:r>
        <w:t xml:space="preserve">  </w:t>
      </w:r>
    </w:p>
    <w:p w:rsidR="006F7AD6" w:rsidP="006F7AD6" w14:paraId="647FD172" w14:textId="77777777">
      <w:pPr>
        <w:pStyle w:val="Heading5"/>
        <w:numPr>
          <w:ilvl w:val="0"/>
          <w:numId w:val="0"/>
        </w:numPr>
      </w:pPr>
      <w:r>
        <w:t>ITSP</w:t>
      </w:r>
    </w:p>
    <w:p w:rsidR="006F7AD6" w:rsidP="006F7AD6" w14:paraId="1692F163" w14:textId="77777777">
      <w:pPr>
        <w:pStyle w:val="ParaNum"/>
      </w:pPr>
      <w:r>
        <w:t>The regulatory fees for ITSP are based on revenues from interexchange service.  On April 1</w:t>
      </w:r>
      <w:r w:rsidRPr="007B2E58">
        <w:rPr>
          <w:vertAlign w:val="superscript"/>
        </w:rPr>
        <w:t>st</w:t>
      </w:r>
      <w:r>
        <w:t xml:space="preserve"> of each year, ITSP providers file FCC Form 499-A with USAC based on their FCC Form 499-Q (Quarterly) information.  The FCC Form 499-A filing is the basis for the total amount of revenues upon which regulatory fees will be assessed, excluding exempt revenue from cooperatives, satellites, and wireless companies.  For FY 2019, the ITSP fee rate is calculated by dividing the target revenue goal by the non-exempt revenue reported in the FCC Form 499-A.</w:t>
      </w:r>
      <w:r>
        <w:rPr>
          <w:rStyle w:val="FootnoteReference"/>
        </w:rPr>
        <w:footnoteReference w:id="121"/>
      </w:r>
      <w:r>
        <w:t xml:space="preserve">  The resulting figure is the ITSP fee factor that regulatees will multiply against specific revenue lines on FCC Form 499-A to determine their regulatory fee assessment.  </w:t>
      </w:r>
    </w:p>
    <w:p w:rsidR="006F7AD6" w:rsidP="006F7AD6" w14:paraId="1E4316D1" w14:textId="77777777">
      <w:pPr>
        <w:pStyle w:val="Heading5"/>
        <w:numPr>
          <w:ilvl w:val="0"/>
          <w:numId w:val="0"/>
        </w:numPr>
      </w:pPr>
      <w:r>
        <w:t>Toll Free</w:t>
      </w:r>
    </w:p>
    <w:p w:rsidR="006F7AD6" w:rsidP="00542C41" w14:paraId="0ECF1E14" w14:textId="77777777">
      <w:pPr>
        <w:pStyle w:val="ParaNum"/>
        <w:widowControl/>
      </w:pPr>
      <w:r>
        <w:t xml:space="preserve">In the </w:t>
      </w:r>
      <w:r w:rsidRPr="00DE078A">
        <w:rPr>
          <w:i/>
        </w:rPr>
        <w:t>FY 2014 Report and Order</w:t>
      </w:r>
      <w:r>
        <w:t>,</w:t>
      </w:r>
      <w:r w:rsidRPr="00E62F4E">
        <w:rPr>
          <w:rStyle w:val="FootnoteReference"/>
        </w:rPr>
        <w:t xml:space="preserve"> </w:t>
      </w:r>
      <w:r>
        <w:rPr>
          <w:rStyle w:val="FootnoteReference"/>
        </w:rPr>
        <w:footnoteReference w:id="122"/>
      </w:r>
      <w:r>
        <w:t xml:space="preserve"> the Commission adopted a regulatory fee category for each toll free number managed by a </w:t>
      </w:r>
      <w:r w:rsidRPr="00222625">
        <w:t>Resp</w:t>
      </w:r>
      <w:r>
        <w:t xml:space="preserve">onsible </w:t>
      </w:r>
      <w:r w:rsidRPr="00222625">
        <w:t>Org</w:t>
      </w:r>
      <w:r>
        <w:t>anization or RespOrg.</w:t>
      </w:r>
      <w:r>
        <w:rPr>
          <w:rStyle w:val="FootnoteReference"/>
        </w:rPr>
        <w:footnoteReference w:id="123"/>
      </w:r>
      <w:r>
        <w:t xml:space="preserve">  In the </w:t>
      </w:r>
      <w:r w:rsidRPr="00DE078A">
        <w:rPr>
          <w:i/>
        </w:rPr>
        <w:t xml:space="preserve">FY 2015 Report and </w:t>
      </w:r>
      <w:r w:rsidRPr="00DE078A">
        <w:rPr>
          <w:i/>
        </w:rPr>
        <w:t>Order</w:t>
      </w:r>
      <w:r>
        <w:t>, the Commission first adopted a regulatory fee to be assessed per toll free number.</w:t>
      </w:r>
      <w:r>
        <w:rPr>
          <w:rStyle w:val="FootnoteReference"/>
        </w:rPr>
        <w:footnoteReference w:id="124"/>
      </w:r>
      <w:r>
        <w:t xml:space="preserve">   The Commission obtains a specific toll-free number count from SOMOS</w:t>
      </w:r>
      <w:r>
        <w:rPr>
          <w:rStyle w:val="FootnoteReference"/>
        </w:rPr>
        <w:footnoteReference w:id="125"/>
      </w:r>
      <w:r>
        <w:t xml:space="preserve"> for each operating RespOrg.   </w:t>
      </w:r>
    </w:p>
    <w:p w:rsidR="006F7AD6" w:rsidRPr="00E219C5" w:rsidP="006F7AD6" w14:paraId="3AC1AA0D" w14:textId="77777777">
      <w:pPr>
        <w:pStyle w:val="Heading4"/>
        <w:numPr>
          <w:ilvl w:val="0"/>
          <w:numId w:val="0"/>
        </w:numPr>
        <w:ind w:left="2880"/>
      </w:pPr>
      <w:r w:rsidRPr="00E219C5">
        <w:t>Wireless Telecommunications Bureau</w:t>
      </w:r>
    </w:p>
    <w:p w:rsidR="006F7AD6" w:rsidRPr="004C6CF9" w:rsidP="006F7AD6" w14:paraId="32A584D2" w14:textId="77777777">
      <w:pPr>
        <w:pStyle w:val="ParaNum"/>
      </w:pPr>
      <w:r>
        <w:t xml:space="preserve">The fee categories associated with the </w:t>
      </w:r>
      <w:r>
        <w:rPr>
          <w:szCs w:val="22"/>
        </w:rPr>
        <w:t xml:space="preserve">Wireless Telecommunications </w:t>
      </w:r>
      <w:r>
        <w:t>Bureau are as follows:</w:t>
      </w:r>
      <w:r>
        <w:rPr>
          <w:szCs w:val="22"/>
        </w:rPr>
        <w:t xml:space="preserve">  </w:t>
      </w:r>
    </w:p>
    <w:p w:rsidR="006F7AD6" w:rsidRPr="00E219C5" w:rsidP="006F7AD6" w14:paraId="12E54CCD" w14:textId="77777777">
      <w:pPr>
        <w:pStyle w:val="Heading5"/>
        <w:numPr>
          <w:ilvl w:val="0"/>
          <w:numId w:val="0"/>
        </w:numPr>
      </w:pPr>
      <w:r>
        <w:t>CMRS</w:t>
      </w:r>
    </w:p>
    <w:p w:rsidR="006F7AD6" w:rsidP="006F7AD6" w14:paraId="01C00627" w14:textId="77777777">
      <w:pPr>
        <w:pStyle w:val="ParaNum"/>
      </w:pPr>
      <w:r>
        <w:t xml:space="preserve">CMRS is a service providing interconnected mobile radio services for profit to the public, or to such classes of eligible users as to be effectively available to a substantial portion of the public.  Each licensee in this group pays an annual regulatory fee for each mobile or cellular unit (mobile or telephone number) assigned to its customers, including resellers of its services.  </w:t>
      </w:r>
      <w:r w:rsidRPr="00881C51">
        <w:t>The most common use of cellular spectrum is mobile voice and data services, including cell phone, text messaging, and Internet</w:t>
      </w:r>
      <w:r>
        <w:t xml:space="preserve"> service</w:t>
      </w:r>
      <w:r w:rsidRPr="00881C51">
        <w:t>.</w:t>
      </w:r>
      <w:r w:rsidRPr="00283D08">
        <w:t xml:space="preserve"> </w:t>
      </w:r>
      <w:r>
        <w:t>Cellular licenses are issued by market areas and channel blocks.  Part 22 paging (messaging services)</w:t>
      </w:r>
      <w:r>
        <w:rPr>
          <w:rStyle w:val="FootnoteReference"/>
        </w:rPr>
        <w:footnoteReference w:id="126"/>
      </w:r>
      <w:r>
        <w:t xml:space="preserve"> is also considered a CMRS service.  Because the customer base continues on a long-term decline, the</w:t>
      </w:r>
      <w:r w:rsidRPr="004F6810">
        <w:rPr>
          <w:szCs w:val="22"/>
        </w:rPr>
        <w:t xml:space="preserve"> </w:t>
      </w:r>
      <w:r>
        <w:rPr>
          <w:szCs w:val="22"/>
        </w:rPr>
        <w:t xml:space="preserve">paging services </w:t>
      </w:r>
      <w:r w:rsidRPr="004F6810">
        <w:rPr>
          <w:szCs w:val="22"/>
        </w:rPr>
        <w:t>fee has been frozen at eight cents per subscriber since FY 2002.</w:t>
      </w:r>
      <w:r>
        <w:rPr>
          <w:rStyle w:val="FootnoteReference"/>
          <w:szCs w:val="22"/>
        </w:rPr>
        <w:footnoteReference w:id="127"/>
      </w:r>
      <w:r w:rsidRPr="004F6810">
        <w:rPr>
          <w:szCs w:val="22"/>
        </w:rPr>
        <w:t xml:space="preserve">  </w:t>
      </w:r>
    </w:p>
    <w:p w:rsidR="006F7AD6" w:rsidP="006F7AD6" w14:paraId="3EB8CA0E" w14:textId="77777777">
      <w:pPr>
        <w:pStyle w:val="Heading5"/>
        <w:numPr>
          <w:ilvl w:val="0"/>
          <w:numId w:val="0"/>
        </w:numPr>
      </w:pPr>
      <w:r>
        <w:t>Other Wireless Services, Subject to Multiyear Fees</w:t>
      </w:r>
    </w:p>
    <w:p w:rsidR="006F7AD6" w:rsidP="006F7AD6" w14:paraId="522C444B" w14:textId="77777777">
      <w:pPr>
        <w:pStyle w:val="ParaNum"/>
      </w:pPr>
      <w:r>
        <w:t>In addition to CMRS, there are eight wireless services whose licensees pay regulatory fees.  These multiyear fees are paid in advance and for the amount of the ten year term of the license.</w:t>
      </w:r>
      <w:r>
        <w:rPr>
          <w:rStyle w:val="FootnoteReference"/>
        </w:rPr>
        <w:footnoteReference w:id="128"/>
      </w:r>
      <w:r>
        <w:t xml:space="preserve">  </w:t>
      </w:r>
      <w:r w:rsidRPr="00CD2BDB">
        <w:t xml:space="preserve"> </w:t>
      </w:r>
    </w:p>
    <w:p w:rsidR="006F7AD6" w:rsidP="006F7AD6" w14:paraId="0744CD7D" w14:textId="77777777">
      <w:pPr>
        <w:pStyle w:val="ParaNum"/>
      </w:pPr>
      <w:r w:rsidRPr="00ED68F6">
        <w:rPr>
          <w:i/>
        </w:rPr>
        <w:t>Microwave</w:t>
      </w:r>
      <w:r>
        <w:t xml:space="preserve">.  Common carrier microwave stations, authorized under Part 101 of the Commission’s rules, are generally used in a point-to-point configuration for long-haul backbone connections or to connect points on the telephone network which cannot be connected using standard wire line or fiber optic because of cost or terrain. These systems are also used to connect cellular sites to the telephone network and to relay television signals.  </w:t>
      </w:r>
    </w:p>
    <w:p w:rsidR="006F7AD6" w:rsidP="006F7AD6" w14:paraId="758BD886" w14:textId="77777777">
      <w:pPr>
        <w:pStyle w:val="ParaNum"/>
      </w:pPr>
      <w:r w:rsidRPr="00BC68EC">
        <w:rPr>
          <w:i/>
        </w:rPr>
        <w:t>Marine</w:t>
      </w:r>
      <w:r>
        <w:rPr>
          <w:i/>
        </w:rPr>
        <w:t>, s</w:t>
      </w:r>
      <w:r w:rsidRPr="00BC68EC">
        <w:rPr>
          <w:i/>
        </w:rPr>
        <w:t>hip and</w:t>
      </w:r>
      <w:r>
        <w:rPr>
          <w:i/>
        </w:rPr>
        <w:t xml:space="preserve"> c</w:t>
      </w:r>
      <w:r w:rsidRPr="00BC68EC">
        <w:rPr>
          <w:i/>
        </w:rPr>
        <w:t>oast</w:t>
      </w:r>
      <w:r>
        <w:t>.  Maritime Mobile Services are authorized in Part 80 of the Commission’s rules.</w:t>
      </w:r>
      <w:r>
        <w:rPr>
          <w:rStyle w:val="FootnoteReference"/>
        </w:rPr>
        <w:footnoteReference w:id="129"/>
      </w:r>
      <w:r>
        <w:t xml:space="preserve">  A ship station includes all the transmitting and receiving equipment installed aboard a ship for communications afloat.  Depending on the size and other factors, the ship radio station must meet certain requirements established by law or treaty.  Marine coast stations serve the maritime community as commercial mobile radio service providers, permitting ships to send and receive messages and to interconnect with the public switched telephone network. In addition to providing needed services for a fee, public coast stations have obligations to monitor distress frequencies and to relay messages free of charge to search and rescue personnel.</w:t>
      </w:r>
      <w:r w:rsidRPr="009542DB">
        <w:t xml:space="preserve"> </w:t>
      </w:r>
      <w:r>
        <w:t xml:space="preserve">   </w:t>
      </w:r>
    </w:p>
    <w:p w:rsidR="006F7AD6" w:rsidP="00542C41" w14:paraId="10FE7BA7" w14:textId="77777777">
      <w:pPr>
        <w:pStyle w:val="ParaNum"/>
        <w:widowControl/>
      </w:pPr>
      <w:r w:rsidRPr="00A60835">
        <w:rPr>
          <w:i/>
        </w:rPr>
        <w:t>Rural Radio</w:t>
      </w:r>
      <w:r>
        <w:t xml:space="preserve">. </w:t>
      </w:r>
      <w:r w:rsidRPr="00782402">
        <w:t>The Rural Radiotelephone Service is in the 152</w:t>
      </w:r>
      <w:r>
        <w:t>-</w:t>
      </w:r>
      <w:r w:rsidRPr="00782402">
        <w:t>159 MHz and 454</w:t>
      </w:r>
      <w:r>
        <w:t>-</w:t>
      </w:r>
      <w:r w:rsidRPr="00782402">
        <w:t>460 MHz spectrum bands</w:t>
      </w:r>
      <w:r>
        <w:t xml:space="preserve"> and authorized under Part 22 of the Commission’s rules</w:t>
      </w:r>
      <w:r w:rsidRPr="00782402">
        <w:t xml:space="preserve">. Rural Radiotelephone </w:t>
      </w:r>
      <w:r w:rsidRPr="00782402">
        <w:t xml:space="preserve">spectrum is used to provide analog telephone service to subscribers in locations </w:t>
      </w:r>
      <w:r>
        <w:t>too</w:t>
      </w:r>
      <w:r w:rsidRPr="00782402">
        <w:t xml:space="preserve"> remote </w:t>
      </w:r>
      <w:r>
        <w:t>for</w:t>
      </w:r>
      <w:r w:rsidRPr="00782402">
        <w:t xml:space="preserve"> traditional wireline service.</w:t>
      </w:r>
    </w:p>
    <w:p w:rsidR="006F7AD6" w:rsidP="006F7AD6" w14:paraId="0DDA6999" w14:textId="77777777">
      <w:pPr>
        <w:pStyle w:val="ParaNum"/>
      </w:pPr>
      <w:r w:rsidRPr="009713EF">
        <w:rPr>
          <w:i/>
        </w:rPr>
        <w:t>PLMRS</w:t>
      </w:r>
      <w:r>
        <w:rPr>
          <w:i/>
        </w:rPr>
        <w:t xml:space="preserve">, </w:t>
      </w:r>
      <w:r w:rsidRPr="009713EF">
        <w:rPr>
          <w:i/>
        </w:rPr>
        <w:t>exclusive use</w:t>
      </w:r>
      <w:r>
        <w:rPr>
          <w:i/>
        </w:rPr>
        <w:t xml:space="preserve"> and </w:t>
      </w:r>
      <w:r w:rsidRPr="009713EF">
        <w:rPr>
          <w:i/>
        </w:rPr>
        <w:t>shared use</w:t>
      </w:r>
      <w:r>
        <w:t xml:space="preserve">.  </w:t>
      </w:r>
      <w:r w:rsidRPr="00F9779C">
        <w:t>Private land mobile radio systems</w:t>
      </w:r>
      <w:r>
        <w:t xml:space="preserve"> (PLMRS), authorized under Part 90 of the Commission’s rules,</w:t>
      </w:r>
      <w:r w:rsidRPr="00F9779C">
        <w:t xml:space="preserve"> are used by companies, local governments, and other organizations to meet a wide range</w:t>
      </w:r>
      <w:r>
        <w:t xml:space="preserve"> of communication requirements.</w:t>
      </w:r>
      <w:r w:rsidRPr="00F55CB8">
        <w:t xml:space="preserve"> </w:t>
      </w:r>
      <w:r>
        <w:t>These services include Land Mobile Radio Services operating under parts 90 and 95 of the Commission’s rules.  Services in this category provide one- or two-way communications between vehicles, persons or fixed stations and include radiolocation services, industrial radio services, and land transportation radio services.</w:t>
      </w:r>
      <w:r>
        <w:rPr>
          <w:rStyle w:val="FootnoteReference"/>
        </w:rPr>
        <w:footnoteReference w:id="130"/>
      </w:r>
      <w:r>
        <w:t xml:space="preserve">  </w:t>
      </w:r>
    </w:p>
    <w:p w:rsidR="006F7AD6" w:rsidRPr="00DE0626" w:rsidP="006F7AD6" w14:paraId="0F11C157" w14:textId="77777777">
      <w:pPr>
        <w:pStyle w:val="ParaNum"/>
      </w:pPr>
      <w:r w:rsidRPr="009713EF">
        <w:rPr>
          <w:i/>
        </w:rPr>
        <w:t>Aviation</w:t>
      </w:r>
      <w:r>
        <w:rPr>
          <w:i/>
        </w:rPr>
        <w:t xml:space="preserve">, </w:t>
      </w:r>
      <w:r w:rsidRPr="009713EF">
        <w:rPr>
          <w:i/>
        </w:rPr>
        <w:t xml:space="preserve">aircraft and </w:t>
      </w:r>
      <w:r>
        <w:rPr>
          <w:i/>
        </w:rPr>
        <w:t>g</w:t>
      </w:r>
      <w:r w:rsidRPr="009713EF">
        <w:rPr>
          <w:i/>
        </w:rPr>
        <w:t>round</w:t>
      </w:r>
      <w:r w:rsidRPr="003C560E">
        <w:t xml:space="preserve">. </w:t>
      </w:r>
      <w:r>
        <w:t xml:space="preserve"> </w:t>
      </w:r>
      <w:r w:rsidRPr="00C84ED3">
        <w:t xml:space="preserve">The </w:t>
      </w:r>
      <w:r>
        <w:t>Aviation Services are authorized in Part 87 of the Commission’s rules.</w:t>
      </w:r>
      <w:r>
        <w:rPr>
          <w:rStyle w:val="FootnoteReference"/>
        </w:rPr>
        <w:footnoteReference w:id="131"/>
      </w:r>
      <w:r>
        <w:t xml:space="preserve">  </w:t>
      </w:r>
      <w:r w:rsidRPr="00997A35">
        <w:t>Aircraft radio stations include all types of radio transmitting equipment used aboard an aircraft, e.g., two-way radiotelephones, radar, radio</w:t>
      </w:r>
      <w:r>
        <w:t xml:space="preserve"> </w:t>
      </w:r>
      <w:r w:rsidRPr="00997A35">
        <w:t>navigation equipment, and emergency locat</w:t>
      </w:r>
      <w:r>
        <w:t>or transmitters</w:t>
      </w:r>
      <w:r w:rsidRPr="00997A35">
        <w:t>. The primary purpose of aircraft radio equipment is to ensure safety of aircraft in flight.</w:t>
      </w:r>
      <w:r>
        <w:t xml:space="preserve">  </w:t>
      </w:r>
    </w:p>
    <w:p w:rsidR="006F7AD6" w:rsidP="006F7AD6" w14:paraId="3732E745" w14:textId="77777777">
      <w:pPr>
        <w:pStyle w:val="Heading5"/>
        <w:numPr>
          <w:ilvl w:val="0"/>
          <w:numId w:val="0"/>
        </w:numPr>
      </w:pPr>
      <w:r w:rsidRPr="000A70F5">
        <w:t>Broadband Radio Service (BRS) and Local Multipoint Distribution Service (LMDS)</w:t>
      </w:r>
    </w:p>
    <w:p w:rsidR="006F7AD6" w:rsidP="006F7AD6" w14:paraId="36DF128A" w14:textId="77777777">
      <w:pPr>
        <w:pStyle w:val="ParaNum"/>
      </w:pPr>
      <w:r>
        <w:t>Broadband Radio Service and Local Multipoint Distribution Services are authorized under parts 27 and 101 of the Commission's Rules to use microwave frequencies for video and data distribution within the United States.  BRS and LMDS fees are assessed at the same fee rate and on a per license basis.</w:t>
      </w:r>
    </w:p>
    <w:p w:rsidR="006F7AD6" w:rsidRPr="00EB6B52" w:rsidP="006F7AD6" w14:paraId="26D7151F" w14:textId="77777777">
      <w:pPr>
        <w:pStyle w:val="Heading4"/>
        <w:numPr>
          <w:ilvl w:val="0"/>
          <w:numId w:val="0"/>
        </w:numPr>
        <w:ind w:left="2880"/>
      </w:pPr>
      <w:r w:rsidRPr="00EB6B52">
        <w:t>International Bureau</w:t>
      </w:r>
    </w:p>
    <w:p w:rsidR="006F7AD6" w:rsidRPr="00FF25C6" w:rsidP="006F7AD6" w14:paraId="245209B3" w14:textId="77777777">
      <w:pPr>
        <w:pStyle w:val="ParaNum"/>
      </w:pPr>
      <w:r>
        <w:t>The fee categories associated with the International Bureau are as follows:</w:t>
      </w:r>
    </w:p>
    <w:p w:rsidR="006F7AD6" w:rsidRPr="00FF25C6" w:rsidP="006F7AD6" w14:paraId="7A4ADDC8" w14:textId="77777777">
      <w:pPr>
        <w:pStyle w:val="Heading5"/>
        <w:numPr>
          <w:ilvl w:val="0"/>
          <w:numId w:val="0"/>
        </w:numPr>
      </w:pPr>
      <w:r>
        <w:t>Space stations and earth stations</w:t>
      </w:r>
    </w:p>
    <w:p w:rsidR="006F7AD6" w:rsidP="006F7AD6" w14:paraId="252B45FB" w14:textId="77777777">
      <w:pPr>
        <w:pStyle w:val="ParaNum"/>
      </w:pPr>
      <w:r>
        <w:t xml:space="preserve">The International Bureau’s </w:t>
      </w:r>
      <w:r w:rsidRPr="007E63E6">
        <w:t>oversight and regulation</w:t>
      </w:r>
      <w:r>
        <w:t xml:space="preserve"> of the satellite industry involves FTEs working on legal, technical, and policy issues pertaining to both space station and earth station operations and is therefore</w:t>
      </w:r>
      <w:r w:rsidRPr="007E63E6">
        <w:t xml:space="preserve"> interdependent to some </w:t>
      </w:r>
      <w:r>
        <w:t>degree.</w:t>
      </w:r>
      <w:r>
        <w:rPr>
          <w:rStyle w:val="FootnoteReference"/>
        </w:rPr>
        <w:footnoteReference w:id="132"/>
      </w:r>
      <w:r>
        <w:t xml:space="preserve">  For FY 2019, r</w:t>
      </w:r>
      <w:r w:rsidRPr="003C560E">
        <w:t xml:space="preserve">egulatory fees must be paid for </w:t>
      </w:r>
      <w:r>
        <w:t xml:space="preserve">licensed </w:t>
      </w:r>
      <w:r w:rsidRPr="003C560E">
        <w:t xml:space="preserve">earth stations and </w:t>
      </w:r>
      <w:r>
        <w:t>for</w:t>
      </w:r>
      <w:r w:rsidRPr="003C560E">
        <w:t xml:space="preserve"> geostationary orbit space stations and non-geostationary orbit satellite systems that were licensed and operational on or before October 1, 2018.  </w:t>
      </w:r>
    </w:p>
    <w:p w:rsidR="006F7AD6" w:rsidRPr="00325DFB" w:rsidP="006F7AD6" w14:paraId="08287FA2" w14:textId="77777777">
      <w:pPr>
        <w:pStyle w:val="Heading5"/>
        <w:numPr>
          <w:ilvl w:val="0"/>
          <w:numId w:val="0"/>
        </w:numPr>
      </w:pPr>
      <w:r w:rsidRPr="00325DFB">
        <w:t>International Bearer Circuits</w:t>
      </w:r>
    </w:p>
    <w:p w:rsidR="006F7AD6" w:rsidRPr="00815FD9" w:rsidP="006F7AD6" w14:paraId="14B52E57" w14:textId="77777777">
      <w:pPr>
        <w:pStyle w:val="ParaNum"/>
      </w:pPr>
      <w:r>
        <w:t>We assess regulatory fees on international bearer circuits (IBCs) which consist of terrestrial and satellite</w:t>
      </w:r>
      <w:r>
        <w:rPr>
          <w:rStyle w:val="FootnoteReference"/>
        </w:rPr>
        <w:footnoteReference w:id="133"/>
      </w:r>
      <w:r>
        <w:t xml:space="preserve"> and submarine cable.</w:t>
      </w:r>
      <w:r>
        <w:rPr>
          <w:rStyle w:val="FootnoteReference"/>
        </w:rPr>
        <w:footnoteReference w:id="134"/>
      </w:r>
      <w:r>
        <w:t xml:space="preserve">  </w:t>
      </w:r>
      <w:r>
        <w:rPr>
          <w:szCs w:val="22"/>
        </w:rPr>
        <w:t xml:space="preserve">The IBC regulatory fees are calculated by apportioning </w:t>
      </w:r>
      <w:r>
        <w:rPr>
          <w:szCs w:val="22"/>
        </w:rPr>
        <w:t>the revenue requirement between (1) terrestrial and satellite</w:t>
      </w:r>
      <w:r>
        <w:rPr>
          <w:rStyle w:val="FootnoteReference"/>
          <w:szCs w:val="22"/>
        </w:rPr>
        <w:footnoteReference w:id="135"/>
      </w:r>
      <w:r>
        <w:rPr>
          <w:szCs w:val="22"/>
        </w:rPr>
        <w:t xml:space="preserve"> and (2) submarine cable;</w:t>
      </w:r>
      <w:r>
        <w:rPr>
          <w:rStyle w:val="FootnoteReference"/>
        </w:rPr>
        <w:footnoteReference w:id="136"/>
      </w:r>
      <w:r>
        <w:rPr>
          <w:szCs w:val="22"/>
        </w:rPr>
        <w:t xml:space="preserve"> 12.4 percent of total IBC fees are allocated for terrestrial and satellite IBC fees and 87.6 per cent are allocated for submarine cable fees.</w:t>
      </w:r>
      <w:r>
        <w:t xml:space="preserve">  The proposed FY 2019 submarine cable regulatory fees</w:t>
      </w:r>
      <w:r w:rsidRPr="007E659F">
        <w:rPr>
          <w:szCs w:val="22"/>
        </w:rPr>
        <w:t xml:space="preserve"> are paid on a per cable landing license basis</w:t>
      </w:r>
      <w:r>
        <w:rPr>
          <w:rStyle w:val="FootnoteReference"/>
          <w:szCs w:val="22"/>
        </w:rPr>
        <w:footnoteReference w:id="137"/>
      </w:r>
      <w:r w:rsidRPr="007E659F">
        <w:rPr>
          <w:szCs w:val="22"/>
        </w:rPr>
        <w:t xml:space="preserve"> based on circuit capacity as of December 31, 2018.  </w:t>
      </w:r>
      <w:r>
        <w:t>The</w:t>
      </w:r>
      <w:r w:rsidRPr="007E659F">
        <w:rPr>
          <w:szCs w:val="22"/>
        </w:rPr>
        <w:t xml:space="preserve"> submarine cable regulatory fee methodology is based on an industry proposal adopted in 2009.</w:t>
      </w:r>
      <w:r>
        <w:rPr>
          <w:rStyle w:val="FootnoteReference"/>
          <w:szCs w:val="22"/>
        </w:rPr>
        <w:footnoteReference w:id="138"/>
      </w:r>
      <w:r>
        <w:t xml:space="preserve">  The proposed methodology for the FY 2019 terrestrial and satellite IBC regulatory fees is discussed in detail in section E below.</w:t>
      </w:r>
    </w:p>
    <w:p w:rsidR="006F7AD6" w:rsidRPr="003C560E" w:rsidP="006F7AD6" w14:paraId="05BF73D6" w14:textId="77777777">
      <w:pPr>
        <w:pStyle w:val="ParaNum"/>
        <w:numPr>
          <w:ilvl w:val="0"/>
          <w:numId w:val="0"/>
        </w:numPr>
        <w:ind w:firstLine="720"/>
        <w:rPr>
          <w:szCs w:val="22"/>
        </w:rPr>
      </w:pPr>
    </w:p>
    <w:p w:rsidR="006F7AD6" w:rsidP="006F7AD6" w14:paraId="1CCB7D03" w14:textId="77777777">
      <w:pPr>
        <w:pStyle w:val="ParaNum"/>
        <w:numPr>
          <w:ilvl w:val="0"/>
          <w:numId w:val="0"/>
        </w:numPr>
        <w:ind w:left="720"/>
        <w:jc w:val="center"/>
        <w:rPr>
          <w:b/>
          <w:szCs w:val="22"/>
        </w:rPr>
        <w:sectPr w:rsidSect="00886011">
          <w:footnotePr>
            <w:numRestart w:val="eachSect"/>
          </w:footnotePr>
          <w:endnotePr>
            <w:numFmt w:val="decimal"/>
          </w:endnotePr>
          <w:pgSz w:w="12240" w:h="15840"/>
          <w:pgMar w:top="1440" w:right="1440" w:bottom="720" w:left="1440" w:header="720" w:footer="720" w:gutter="0"/>
          <w:cols w:space="720"/>
          <w:noEndnote/>
          <w:titlePg/>
        </w:sectPr>
      </w:pPr>
    </w:p>
    <w:p w:rsidR="006F7AD6" w:rsidRPr="003C560E" w:rsidP="006F7AD6" w14:paraId="45878C45" w14:textId="77777777">
      <w:pPr>
        <w:pStyle w:val="ParaNum"/>
        <w:numPr>
          <w:ilvl w:val="0"/>
          <w:numId w:val="0"/>
        </w:numPr>
        <w:ind w:left="720"/>
        <w:jc w:val="center"/>
        <w:rPr>
          <w:b/>
          <w:szCs w:val="22"/>
        </w:rPr>
      </w:pPr>
      <w:r w:rsidRPr="003C560E">
        <w:rPr>
          <w:b/>
          <w:szCs w:val="22"/>
        </w:rPr>
        <w:t xml:space="preserve">APPENDIX </w:t>
      </w:r>
      <w:r>
        <w:rPr>
          <w:b/>
          <w:szCs w:val="22"/>
        </w:rPr>
        <w:t>G</w:t>
      </w:r>
    </w:p>
    <w:p w:rsidR="006F7AD6" w:rsidRPr="003C560E" w:rsidP="006F7AD6" w14:paraId="7C1D0509" w14:textId="77777777">
      <w:pPr>
        <w:pStyle w:val="ParaNum"/>
        <w:numPr>
          <w:ilvl w:val="0"/>
          <w:numId w:val="0"/>
        </w:numPr>
        <w:ind w:firstLine="720"/>
        <w:jc w:val="center"/>
        <w:rPr>
          <w:b/>
          <w:szCs w:val="22"/>
        </w:rPr>
      </w:pPr>
      <w:r w:rsidRPr="003C560E">
        <w:rPr>
          <w:b/>
          <w:szCs w:val="22"/>
        </w:rPr>
        <w:t>FY 2018 Schedule of Regulatory Fees</w:t>
      </w:r>
    </w:p>
    <w:p w:rsidR="006F7AD6" w:rsidRPr="003C560E" w:rsidP="006F7AD6" w14:paraId="00571F89" w14:textId="77777777">
      <w:pPr>
        <w:tabs>
          <w:tab w:val="center" w:pos="5040"/>
        </w:tabs>
        <w:suppressAutoHyphens/>
        <w:outlineLvl w:val="0"/>
        <w:rPr>
          <w:szCs w:val="22"/>
        </w:rPr>
      </w:pPr>
      <w:bookmarkStart w:id="37" w:name="_Toc491865057"/>
      <w:bookmarkStart w:id="38" w:name="_Toc491865472"/>
      <w:r w:rsidRPr="003C560E">
        <w:rPr>
          <w:szCs w:val="22"/>
        </w:rPr>
        <w:t>FY 2018 regulatory fees for the categories shaded in gray are collected by the Commission in advance to cover the term of the license and are submitted at the time the application is filed.</w:t>
      </w:r>
      <w:bookmarkEnd w:id="37"/>
      <w:bookmarkEnd w:id="38"/>
    </w:p>
    <w:p w:rsidR="006F7AD6" w:rsidRPr="003C560E" w:rsidP="006F7AD6" w14:paraId="2961889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ind w:left="1440" w:hanging="1440"/>
        <w:rPr>
          <w:szCs w:val="22"/>
        </w:rPr>
      </w:pPr>
      <w:r w:rsidRPr="003C560E">
        <w:rPr>
          <w:szCs w:val="22"/>
        </w:rPr>
        <w:tab/>
      </w:r>
      <w:r w:rsidRPr="003C560E">
        <w:rPr>
          <w:szCs w:val="22"/>
        </w:rPr>
        <w:tab/>
      </w:r>
      <w:r w:rsidRPr="003C560E">
        <w:rPr>
          <w:szCs w:val="22"/>
        </w:rPr>
        <w:tab/>
      </w:r>
    </w:p>
    <w:tbl>
      <w:tblPr>
        <w:tblW w:w="8550" w:type="dxa"/>
        <w:tblInd w:w="210" w:type="dxa"/>
        <w:tblLayout w:type="fixed"/>
        <w:tblCellMar>
          <w:left w:w="120" w:type="dxa"/>
          <w:right w:w="120" w:type="dxa"/>
        </w:tblCellMar>
        <w:tblLook w:val="0000"/>
      </w:tblPr>
      <w:tblGrid>
        <w:gridCol w:w="6840"/>
        <w:gridCol w:w="1710"/>
      </w:tblGrid>
      <w:tr w14:paraId="0977A890" w14:textId="77777777" w:rsidTr="00886011">
        <w:tblPrEx>
          <w:tblW w:w="8550" w:type="dxa"/>
          <w:tblInd w:w="210" w:type="dxa"/>
          <w:tblLayout w:type="fixed"/>
          <w:tblCellMar>
            <w:left w:w="120" w:type="dxa"/>
            <w:right w:w="120" w:type="dxa"/>
          </w:tblCellMar>
          <w:tblLook w:val="0000"/>
        </w:tblPrEx>
        <w:trPr>
          <w:tblHeader/>
        </w:trPr>
        <w:tc>
          <w:tcPr>
            <w:tcW w:w="6840" w:type="dxa"/>
            <w:tcBorders>
              <w:top w:val="double" w:sz="6" w:space="0" w:color="auto"/>
              <w:left w:val="double" w:sz="6" w:space="0" w:color="auto"/>
              <w:bottom w:val="single" w:sz="8" w:space="0" w:color="auto"/>
            </w:tcBorders>
          </w:tcPr>
          <w:p w:rsidR="006F7AD6" w:rsidRPr="003C560E" w:rsidP="00886011" w14:paraId="1DC1B6B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jc w:val="center"/>
              <w:rPr>
                <w:szCs w:val="22"/>
              </w:rPr>
            </w:pPr>
            <w:r>
              <w:rPr>
                <w:szCs w:val="22"/>
              </w:rPr>
              <w:fldChar w:fldCharType="begin"/>
            </w:r>
            <w:r w:rsidRPr="003C560E">
              <w:rPr>
                <w:szCs w:val="22"/>
              </w:rPr>
              <w:instrText xml:space="preserve">PRIVATE </w:instrText>
            </w:r>
            <w:r>
              <w:rPr>
                <w:szCs w:val="22"/>
              </w:rPr>
              <w:fldChar w:fldCharType="end"/>
            </w:r>
          </w:p>
          <w:p w:rsidR="006F7AD6" w:rsidRPr="003C560E" w:rsidP="00886011" w14:paraId="2B8B52A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Cs w:val="22"/>
              </w:rPr>
            </w:pPr>
            <w:r w:rsidRPr="003C560E">
              <w:rPr>
                <w:b/>
                <w:szCs w:val="22"/>
              </w:rPr>
              <w:t>Fee Category</w:t>
            </w:r>
          </w:p>
          <w:p w:rsidR="006F7AD6" w:rsidRPr="003C560E" w:rsidP="00886011" w14:paraId="1AEE0DF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54"/>
              <w:rPr>
                <w:b/>
                <w:szCs w:val="22"/>
              </w:rPr>
            </w:pPr>
          </w:p>
        </w:tc>
        <w:tc>
          <w:tcPr>
            <w:tcW w:w="1710" w:type="dxa"/>
            <w:tcBorders>
              <w:top w:val="double" w:sz="6" w:space="0" w:color="auto"/>
              <w:left w:val="single" w:sz="6" w:space="0" w:color="auto"/>
              <w:bottom w:val="single" w:sz="8" w:space="0" w:color="auto"/>
              <w:right w:val="double" w:sz="6" w:space="0" w:color="auto"/>
            </w:tcBorders>
          </w:tcPr>
          <w:p w:rsidR="006F7AD6" w:rsidRPr="003C560E" w:rsidP="00886011" w14:paraId="399B3D1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jc w:val="center"/>
              <w:rPr>
                <w:b/>
                <w:szCs w:val="22"/>
              </w:rPr>
            </w:pPr>
            <w:r w:rsidRPr="003C560E">
              <w:rPr>
                <w:b/>
                <w:szCs w:val="22"/>
              </w:rPr>
              <w:t>FY 2018 Annual Regulatory Fee</w:t>
            </w:r>
          </w:p>
          <w:p w:rsidR="006F7AD6" w:rsidRPr="003C560E" w:rsidP="00886011" w14:paraId="1382515A" w14:textId="77777777">
            <w:pPr>
              <w:tabs>
                <w:tab w:val="center" w:pos="850"/>
              </w:tabs>
              <w:suppressAutoHyphens/>
              <w:spacing w:after="54"/>
              <w:jc w:val="center"/>
              <w:rPr>
                <w:b/>
                <w:szCs w:val="22"/>
              </w:rPr>
            </w:pPr>
            <w:r w:rsidRPr="003C560E">
              <w:rPr>
                <w:b/>
                <w:szCs w:val="22"/>
              </w:rPr>
              <w:t>(U.S. $s)</w:t>
            </w:r>
          </w:p>
        </w:tc>
      </w:tr>
      <w:tr w14:paraId="08E14C49" w14:textId="77777777" w:rsidTr="00886011">
        <w:tblPrEx>
          <w:tblW w:w="8550" w:type="dxa"/>
          <w:tblInd w:w="210" w:type="dxa"/>
          <w:tblLayout w:type="fixed"/>
          <w:tblCellMar>
            <w:left w:w="120" w:type="dxa"/>
            <w:right w:w="120" w:type="dxa"/>
          </w:tblCellMar>
          <w:tblLook w:val="0000"/>
        </w:tblPrEx>
        <w:tc>
          <w:tcPr>
            <w:tcW w:w="6840" w:type="dxa"/>
            <w:tcBorders>
              <w:top w:val="single" w:sz="8" w:space="0" w:color="auto"/>
              <w:left w:val="double" w:sz="4" w:space="0" w:color="auto"/>
              <w:bottom w:val="single" w:sz="8" w:space="0" w:color="auto"/>
              <w:right w:val="single" w:sz="8" w:space="0" w:color="auto"/>
            </w:tcBorders>
            <w:shd w:val="clear" w:color="auto" w:fill="C0C0C0"/>
          </w:tcPr>
          <w:p w:rsidR="006F7AD6" w:rsidRPr="003C560E" w:rsidP="00886011" w14:paraId="4E8A5F0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ind w:left="4680" w:hanging="4680"/>
              <w:rPr>
                <w:szCs w:val="22"/>
              </w:rPr>
            </w:pPr>
            <w:r w:rsidRPr="003C560E">
              <w:rPr>
                <w:szCs w:val="22"/>
              </w:rPr>
              <w:t>PLMRS (per license) (Exclusive Use) (47 CFR part 90)</w:t>
            </w:r>
          </w:p>
        </w:tc>
        <w:tc>
          <w:tcPr>
            <w:tcW w:w="1710" w:type="dxa"/>
            <w:tcBorders>
              <w:top w:val="single" w:sz="8" w:space="0" w:color="auto"/>
              <w:left w:val="single" w:sz="8" w:space="0" w:color="auto"/>
              <w:bottom w:val="single" w:sz="8" w:space="0" w:color="auto"/>
              <w:right w:val="double" w:sz="4" w:space="0" w:color="auto"/>
            </w:tcBorders>
            <w:shd w:val="clear" w:color="auto" w:fill="C0C0C0"/>
          </w:tcPr>
          <w:p w:rsidR="006F7AD6" w:rsidRPr="003C560E" w:rsidP="00886011" w14:paraId="2D6B4FCE" w14:textId="77777777">
            <w:pPr>
              <w:tabs>
                <w:tab w:val="left" w:pos="-1440"/>
                <w:tab w:val="left" w:pos="-720"/>
                <w:tab w:val="left" w:pos="0"/>
                <w:tab w:val="left" w:pos="720"/>
                <w:tab w:val="left" w:pos="1440"/>
                <w:tab w:val="left" w:pos="2160"/>
                <w:tab w:val="left" w:pos="2880"/>
                <w:tab w:val="right" w:pos="3461"/>
                <w:tab w:val="left" w:pos="3600"/>
              </w:tabs>
              <w:suppressAutoHyphens/>
              <w:spacing w:before="90" w:after="54"/>
              <w:jc w:val="center"/>
              <w:rPr>
                <w:szCs w:val="22"/>
              </w:rPr>
            </w:pPr>
            <w:r w:rsidRPr="003C560E">
              <w:rPr>
                <w:szCs w:val="22"/>
              </w:rPr>
              <w:t>25</w:t>
            </w:r>
          </w:p>
        </w:tc>
      </w:tr>
      <w:tr w14:paraId="14633906" w14:textId="77777777" w:rsidTr="00886011">
        <w:tblPrEx>
          <w:tblW w:w="8550" w:type="dxa"/>
          <w:tblInd w:w="210" w:type="dxa"/>
          <w:tblLayout w:type="fixed"/>
          <w:tblCellMar>
            <w:left w:w="120" w:type="dxa"/>
            <w:right w:w="120" w:type="dxa"/>
          </w:tblCellMar>
          <w:tblLook w:val="0000"/>
        </w:tblPrEx>
        <w:tc>
          <w:tcPr>
            <w:tcW w:w="6840" w:type="dxa"/>
            <w:tcBorders>
              <w:top w:val="single" w:sz="8" w:space="0" w:color="auto"/>
              <w:left w:val="double" w:sz="4" w:space="0" w:color="auto"/>
              <w:bottom w:val="single" w:sz="8" w:space="0" w:color="auto"/>
              <w:right w:val="single" w:sz="8" w:space="0" w:color="auto"/>
            </w:tcBorders>
            <w:shd w:val="clear" w:color="auto" w:fill="C0C0C0"/>
          </w:tcPr>
          <w:p w:rsidR="006F7AD6" w:rsidRPr="003C560E" w:rsidP="00886011" w14:paraId="463833B5" w14:textId="77777777">
            <w:pPr>
              <w:tabs>
                <w:tab w:val="left" w:pos="-1440"/>
                <w:tab w:val="left" w:pos="-720"/>
                <w:tab w:val="left" w:pos="0"/>
                <w:tab w:val="left" w:pos="720"/>
                <w:tab w:val="left" w:pos="1440"/>
                <w:tab w:val="left" w:pos="2160"/>
                <w:tab w:val="left" w:pos="2880"/>
                <w:tab w:val="right" w:pos="3461"/>
                <w:tab w:val="left" w:pos="3600"/>
              </w:tabs>
              <w:suppressAutoHyphens/>
              <w:spacing w:before="90" w:after="54"/>
              <w:ind w:left="4320" w:hanging="4320"/>
              <w:rPr>
                <w:szCs w:val="22"/>
              </w:rPr>
            </w:pPr>
            <w:r w:rsidRPr="003C560E">
              <w:rPr>
                <w:szCs w:val="22"/>
              </w:rPr>
              <w:t>Microwave (per license) (47 CFR part 101)</w:t>
            </w:r>
            <w:r w:rsidRPr="003C560E">
              <w:rPr>
                <w:szCs w:val="22"/>
              </w:rPr>
              <w:tab/>
            </w:r>
          </w:p>
        </w:tc>
        <w:tc>
          <w:tcPr>
            <w:tcW w:w="1710" w:type="dxa"/>
            <w:tcBorders>
              <w:top w:val="single" w:sz="8" w:space="0" w:color="auto"/>
              <w:left w:val="single" w:sz="8" w:space="0" w:color="auto"/>
              <w:bottom w:val="single" w:sz="8" w:space="0" w:color="auto"/>
              <w:right w:val="double" w:sz="4" w:space="0" w:color="auto"/>
            </w:tcBorders>
            <w:shd w:val="clear" w:color="auto" w:fill="C0C0C0"/>
          </w:tcPr>
          <w:p w:rsidR="006F7AD6" w:rsidRPr="003C560E" w:rsidP="00886011" w14:paraId="75248084" w14:textId="77777777">
            <w:pPr>
              <w:tabs>
                <w:tab w:val="left" w:pos="-1440"/>
                <w:tab w:val="left" w:pos="-720"/>
                <w:tab w:val="left" w:pos="0"/>
                <w:tab w:val="left" w:pos="720"/>
                <w:tab w:val="left" w:pos="1440"/>
                <w:tab w:val="left" w:pos="2160"/>
                <w:tab w:val="left" w:pos="2880"/>
                <w:tab w:val="right" w:pos="3461"/>
                <w:tab w:val="left" w:pos="3600"/>
              </w:tabs>
              <w:suppressAutoHyphens/>
              <w:spacing w:before="90" w:after="54"/>
              <w:jc w:val="center"/>
              <w:rPr>
                <w:szCs w:val="22"/>
              </w:rPr>
            </w:pPr>
            <w:r w:rsidRPr="003C560E">
              <w:rPr>
                <w:szCs w:val="22"/>
              </w:rPr>
              <w:t>25</w:t>
            </w:r>
          </w:p>
        </w:tc>
      </w:tr>
      <w:tr w14:paraId="7984054F" w14:textId="77777777" w:rsidTr="00886011">
        <w:tblPrEx>
          <w:tblW w:w="8550" w:type="dxa"/>
          <w:tblInd w:w="210" w:type="dxa"/>
          <w:tblLayout w:type="fixed"/>
          <w:tblCellMar>
            <w:left w:w="120" w:type="dxa"/>
            <w:right w:w="120" w:type="dxa"/>
          </w:tblCellMar>
          <w:tblLook w:val="0000"/>
        </w:tblPrEx>
        <w:tc>
          <w:tcPr>
            <w:tcW w:w="6840" w:type="dxa"/>
            <w:tcBorders>
              <w:top w:val="single" w:sz="8" w:space="0" w:color="auto"/>
              <w:left w:val="double" w:sz="4" w:space="0" w:color="auto"/>
              <w:bottom w:val="single" w:sz="8" w:space="0" w:color="auto"/>
              <w:right w:val="single" w:sz="8" w:space="0" w:color="auto"/>
            </w:tcBorders>
            <w:shd w:val="clear" w:color="auto" w:fill="C0C0C0"/>
          </w:tcPr>
          <w:p w:rsidR="006F7AD6" w:rsidRPr="003C560E" w:rsidP="00886011" w14:paraId="3D8F5267" w14:textId="77777777">
            <w:pPr>
              <w:tabs>
                <w:tab w:val="left" w:pos="-1440"/>
                <w:tab w:val="left" w:pos="-720"/>
              </w:tabs>
              <w:suppressAutoHyphens/>
              <w:spacing w:before="90" w:after="54"/>
              <w:rPr>
                <w:szCs w:val="22"/>
              </w:rPr>
            </w:pPr>
            <w:r w:rsidRPr="003C560E">
              <w:rPr>
                <w:szCs w:val="22"/>
              </w:rPr>
              <w:t>Marine (Ship) (per station) (47 CFR part 80)</w:t>
            </w:r>
          </w:p>
        </w:tc>
        <w:tc>
          <w:tcPr>
            <w:tcW w:w="1710" w:type="dxa"/>
            <w:tcBorders>
              <w:top w:val="single" w:sz="8" w:space="0" w:color="auto"/>
              <w:left w:val="single" w:sz="8" w:space="0" w:color="auto"/>
              <w:bottom w:val="single" w:sz="8" w:space="0" w:color="auto"/>
              <w:right w:val="double" w:sz="4" w:space="0" w:color="auto"/>
            </w:tcBorders>
            <w:shd w:val="clear" w:color="auto" w:fill="C0C0C0"/>
          </w:tcPr>
          <w:p w:rsidR="006F7AD6" w:rsidRPr="003C560E" w:rsidP="00886011" w14:paraId="3E590E3D" w14:textId="77777777">
            <w:pPr>
              <w:tabs>
                <w:tab w:val="left" w:pos="-1440"/>
                <w:tab w:val="left" w:pos="-720"/>
              </w:tabs>
              <w:suppressAutoHyphens/>
              <w:spacing w:before="90" w:after="54"/>
              <w:jc w:val="center"/>
              <w:rPr>
                <w:szCs w:val="22"/>
              </w:rPr>
            </w:pPr>
            <w:r w:rsidRPr="003C560E">
              <w:rPr>
                <w:szCs w:val="22"/>
              </w:rPr>
              <w:t>15</w:t>
            </w:r>
          </w:p>
        </w:tc>
      </w:tr>
      <w:tr w14:paraId="5AF9F799" w14:textId="77777777" w:rsidTr="00886011">
        <w:tblPrEx>
          <w:tblW w:w="8550" w:type="dxa"/>
          <w:tblInd w:w="210" w:type="dxa"/>
          <w:tblLayout w:type="fixed"/>
          <w:tblCellMar>
            <w:left w:w="120" w:type="dxa"/>
            <w:right w:w="120" w:type="dxa"/>
          </w:tblCellMar>
          <w:tblLook w:val="0000"/>
        </w:tblPrEx>
        <w:tc>
          <w:tcPr>
            <w:tcW w:w="6840" w:type="dxa"/>
            <w:tcBorders>
              <w:top w:val="single" w:sz="8" w:space="0" w:color="auto"/>
              <w:left w:val="double" w:sz="4" w:space="0" w:color="auto"/>
              <w:bottom w:val="single" w:sz="8" w:space="0" w:color="auto"/>
              <w:right w:val="single" w:sz="8" w:space="0" w:color="auto"/>
            </w:tcBorders>
            <w:shd w:val="clear" w:color="auto" w:fill="C0C0C0"/>
          </w:tcPr>
          <w:p w:rsidR="006F7AD6" w:rsidRPr="003C560E" w:rsidP="00886011" w14:paraId="58CCAF05" w14:textId="77777777">
            <w:pPr>
              <w:tabs>
                <w:tab w:val="left" w:pos="-1440"/>
                <w:tab w:val="left" w:pos="-720"/>
              </w:tabs>
              <w:suppressAutoHyphens/>
              <w:spacing w:before="90" w:after="54"/>
              <w:rPr>
                <w:szCs w:val="22"/>
              </w:rPr>
            </w:pPr>
            <w:r w:rsidRPr="003C560E">
              <w:rPr>
                <w:szCs w:val="22"/>
              </w:rPr>
              <w:t>Marine (Coast) (per license) (47 CFR part 80)</w:t>
            </w:r>
          </w:p>
        </w:tc>
        <w:tc>
          <w:tcPr>
            <w:tcW w:w="1710" w:type="dxa"/>
            <w:tcBorders>
              <w:top w:val="single" w:sz="8" w:space="0" w:color="auto"/>
              <w:left w:val="single" w:sz="8" w:space="0" w:color="auto"/>
              <w:bottom w:val="single" w:sz="8" w:space="0" w:color="auto"/>
              <w:right w:val="double" w:sz="4" w:space="0" w:color="auto"/>
            </w:tcBorders>
            <w:shd w:val="clear" w:color="auto" w:fill="C0C0C0"/>
          </w:tcPr>
          <w:p w:rsidR="006F7AD6" w:rsidRPr="003C560E" w:rsidP="00886011" w14:paraId="3F632E74" w14:textId="77777777">
            <w:pPr>
              <w:tabs>
                <w:tab w:val="left" w:pos="-1440"/>
                <w:tab w:val="left" w:pos="-720"/>
              </w:tabs>
              <w:suppressAutoHyphens/>
              <w:spacing w:before="90" w:after="54"/>
              <w:jc w:val="center"/>
              <w:rPr>
                <w:szCs w:val="22"/>
              </w:rPr>
            </w:pPr>
            <w:r w:rsidRPr="003C560E">
              <w:rPr>
                <w:szCs w:val="22"/>
              </w:rPr>
              <w:t>40</w:t>
            </w:r>
          </w:p>
        </w:tc>
      </w:tr>
      <w:tr w14:paraId="0F578CB7" w14:textId="77777777" w:rsidTr="00886011">
        <w:tblPrEx>
          <w:tblW w:w="8550" w:type="dxa"/>
          <w:tblInd w:w="210" w:type="dxa"/>
          <w:tblLayout w:type="fixed"/>
          <w:tblCellMar>
            <w:left w:w="120" w:type="dxa"/>
            <w:right w:w="120" w:type="dxa"/>
          </w:tblCellMar>
          <w:tblLook w:val="0000"/>
        </w:tblPrEx>
        <w:tc>
          <w:tcPr>
            <w:tcW w:w="6840" w:type="dxa"/>
            <w:tcBorders>
              <w:top w:val="single" w:sz="8" w:space="0" w:color="auto"/>
              <w:left w:val="double" w:sz="4" w:space="0" w:color="auto"/>
              <w:bottom w:val="single" w:sz="8" w:space="0" w:color="auto"/>
              <w:right w:val="single" w:sz="8" w:space="0" w:color="auto"/>
            </w:tcBorders>
            <w:shd w:val="clear" w:color="auto" w:fill="C0C0C0"/>
          </w:tcPr>
          <w:p w:rsidR="006F7AD6" w:rsidRPr="003C560E" w:rsidP="00886011" w14:paraId="429C9228" w14:textId="77777777">
            <w:pPr>
              <w:tabs>
                <w:tab w:val="left" w:pos="-1440"/>
                <w:tab w:val="left" w:pos="-720"/>
              </w:tabs>
              <w:suppressAutoHyphens/>
              <w:spacing w:before="90" w:after="54"/>
              <w:rPr>
                <w:szCs w:val="22"/>
              </w:rPr>
            </w:pPr>
            <w:r w:rsidRPr="003C560E">
              <w:rPr>
                <w:szCs w:val="22"/>
              </w:rPr>
              <w:t>Rural Radio (47 CFR part 22) (previously listed under the Land Mobile category)</w:t>
            </w:r>
          </w:p>
        </w:tc>
        <w:tc>
          <w:tcPr>
            <w:tcW w:w="1710" w:type="dxa"/>
            <w:tcBorders>
              <w:top w:val="single" w:sz="8" w:space="0" w:color="auto"/>
              <w:left w:val="single" w:sz="8" w:space="0" w:color="auto"/>
              <w:bottom w:val="single" w:sz="8" w:space="0" w:color="auto"/>
              <w:right w:val="double" w:sz="4" w:space="0" w:color="auto"/>
            </w:tcBorders>
            <w:shd w:val="clear" w:color="auto" w:fill="C0C0C0"/>
          </w:tcPr>
          <w:p w:rsidR="006F7AD6" w:rsidRPr="003C560E" w:rsidP="00886011" w14:paraId="0B9FDFC0" w14:textId="77777777">
            <w:pPr>
              <w:tabs>
                <w:tab w:val="left" w:pos="-1440"/>
                <w:tab w:val="left" w:pos="-720"/>
              </w:tabs>
              <w:suppressAutoHyphens/>
              <w:spacing w:before="90" w:after="54"/>
              <w:jc w:val="center"/>
              <w:rPr>
                <w:szCs w:val="22"/>
              </w:rPr>
            </w:pPr>
            <w:r w:rsidRPr="003C560E">
              <w:rPr>
                <w:szCs w:val="22"/>
              </w:rPr>
              <w:t>10</w:t>
            </w:r>
          </w:p>
        </w:tc>
      </w:tr>
      <w:tr w14:paraId="6D52E557" w14:textId="77777777" w:rsidTr="00886011">
        <w:tblPrEx>
          <w:tblW w:w="8550" w:type="dxa"/>
          <w:tblInd w:w="210" w:type="dxa"/>
          <w:tblLayout w:type="fixed"/>
          <w:tblCellMar>
            <w:left w:w="120" w:type="dxa"/>
            <w:right w:w="120" w:type="dxa"/>
          </w:tblCellMar>
          <w:tblLook w:val="0000"/>
        </w:tblPrEx>
        <w:tc>
          <w:tcPr>
            <w:tcW w:w="6840" w:type="dxa"/>
            <w:tcBorders>
              <w:top w:val="single" w:sz="8" w:space="0" w:color="auto"/>
              <w:left w:val="double" w:sz="4" w:space="0" w:color="auto"/>
              <w:bottom w:val="single" w:sz="8" w:space="0" w:color="auto"/>
              <w:right w:val="single" w:sz="8" w:space="0" w:color="auto"/>
            </w:tcBorders>
            <w:shd w:val="clear" w:color="auto" w:fill="C0C0C0"/>
          </w:tcPr>
          <w:p w:rsidR="006F7AD6" w:rsidRPr="003C560E" w:rsidP="00886011" w14:paraId="2CBDF24B" w14:textId="77777777">
            <w:pPr>
              <w:tabs>
                <w:tab w:val="left" w:pos="-1440"/>
                <w:tab w:val="left" w:pos="-720"/>
              </w:tabs>
              <w:suppressAutoHyphens/>
              <w:spacing w:before="90" w:after="54"/>
              <w:rPr>
                <w:szCs w:val="22"/>
              </w:rPr>
            </w:pPr>
            <w:r w:rsidRPr="003C560E">
              <w:rPr>
                <w:szCs w:val="22"/>
              </w:rPr>
              <w:t>PLMRS (Shared Use) (per license) (47 CFR part 90)</w:t>
            </w:r>
          </w:p>
        </w:tc>
        <w:tc>
          <w:tcPr>
            <w:tcW w:w="1710" w:type="dxa"/>
            <w:tcBorders>
              <w:top w:val="single" w:sz="8" w:space="0" w:color="auto"/>
              <w:left w:val="single" w:sz="8" w:space="0" w:color="auto"/>
              <w:bottom w:val="single" w:sz="8" w:space="0" w:color="auto"/>
              <w:right w:val="double" w:sz="4" w:space="0" w:color="auto"/>
            </w:tcBorders>
            <w:shd w:val="clear" w:color="auto" w:fill="C0C0C0"/>
          </w:tcPr>
          <w:p w:rsidR="006F7AD6" w:rsidRPr="003C560E" w:rsidP="00886011" w14:paraId="0E04E85D" w14:textId="77777777">
            <w:pPr>
              <w:tabs>
                <w:tab w:val="left" w:pos="-1440"/>
                <w:tab w:val="left" w:pos="-720"/>
              </w:tabs>
              <w:suppressAutoHyphens/>
              <w:spacing w:before="90" w:after="54"/>
              <w:jc w:val="center"/>
              <w:rPr>
                <w:szCs w:val="22"/>
              </w:rPr>
            </w:pPr>
            <w:r w:rsidRPr="003C560E">
              <w:rPr>
                <w:szCs w:val="22"/>
              </w:rPr>
              <w:t>10</w:t>
            </w:r>
          </w:p>
        </w:tc>
      </w:tr>
      <w:tr w14:paraId="48474BC3" w14:textId="77777777" w:rsidTr="00886011">
        <w:tblPrEx>
          <w:tblW w:w="8550" w:type="dxa"/>
          <w:tblInd w:w="210" w:type="dxa"/>
          <w:tblLayout w:type="fixed"/>
          <w:tblCellMar>
            <w:left w:w="120" w:type="dxa"/>
            <w:right w:w="120" w:type="dxa"/>
          </w:tblCellMar>
          <w:tblLook w:val="0000"/>
        </w:tblPrEx>
        <w:tc>
          <w:tcPr>
            <w:tcW w:w="6840" w:type="dxa"/>
            <w:tcBorders>
              <w:top w:val="single" w:sz="8" w:space="0" w:color="auto"/>
              <w:left w:val="double" w:sz="4" w:space="0" w:color="auto"/>
              <w:bottom w:val="single" w:sz="8" w:space="0" w:color="auto"/>
              <w:right w:val="single" w:sz="8" w:space="0" w:color="auto"/>
            </w:tcBorders>
            <w:shd w:val="clear" w:color="auto" w:fill="C0C0C0"/>
          </w:tcPr>
          <w:p w:rsidR="006F7AD6" w:rsidRPr="003C560E" w:rsidP="00886011" w14:paraId="2035253B" w14:textId="77777777">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Cs w:val="22"/>
              </w:rPr>
            </w:pPr>
            <w:r w:rsidRPr="003C560E">
              <w:rPr>
                <w:szCs w:val="22"/>
              </w:rPr>
              <w:t>Aviation (Aircraft) (per station) (47 CFR part 87)</w:t>
            </w:r>
            <w:r w:rsidRPr="003C560E">
              <w:rPr>
                <w:szCs w:val="22"/>
              </w:rPr>
              <w:tab/>
            </w:r>
            <w:r w:rsidRPr="003C560E">
              <w:rPr>
                <w:szCs w:val="22"/>
              </w:rPr>
              <w:tab/>
            </w:r>
            <w:r w:rsidRPr="003C560E">
              <w:rPr>
                <w:szCs w:val="22"/>
              </w:rPr>
              <w:tab/>
            </w:r>
          </w:p>
        </w:tc>
        <w:tc>
          <w:tcPr>
            <w:tcW w:w="1710" w:type="dxa"/>
            <w:tcBorders>
              <w:top w:val="single" w:sz="8" w:space="0" w:color="auto"/>
              <w:left w:val="single" w:sz="8" w:space="0" w:color="auto"/>
              <w:bottom w:val="single" w:sz="8" w:space="0" w:color="auto"/>
              <w:right w:val="double" w:sz="4" w:space="0" w:color="auto"/>
            </w:tcBorders>
            <w:shd w:val="clear" w:color="auto" w:fill="C0C0C0"/>
          </w:tcPr>
          <w:p w:rsidR="006F7AD6" w:rsidRPr="003C560E" w:rsidP="00886011" w14:paraId="31E20E31" w14:textId="77777777">
            <w:pPr>
              <w:tabs>
                <w:tab w:val="left" w:pos="-1440"/>
                <w:tab w:val="left" w:pos="-720"/>
              </w:tabs>
              <w:suppressAutoHyphens/>
              <w:spacing w:before="90" w:after="54"/>
              <w:jc w:val="center"/>
              <w:rPr>
                <w:szCs w:val="22"/>
              </w:rPr>
            </w:pPr>
            <w:r w:rsidRPr="003C560E">
              <w:rPr>
                <w:szCs w:val="22"/>
              </w:rPr>
              <w:t>10</w:t>
            </w:r>
          </w:p>
        </w:tc>
      </w:tr>
      <w:tr w14:paraId="611AFCF4" w14:textId="77777777" w:rsidTr="00886011">
        <w:tblPrEx>
          <w:tblW w:w="8550" w:type="dxa"/>
          <w:tblInd w:w="210" w:type="dxa"/>
          <w:tblLayout w:type="fixed"/>
          <w:tblCellMar>
            <w:left w:w="120" w:type="dxa"/>
            <w:right w:w="120" w:type="dxa"/>
          </w:tblCellMar>
          <w:tblLook w:val="0000"/>
        </w:tblPrEx>
        <w:tc>
          <w:tcPr>
            <w:tcW w:w="6840" w:type="dxa"/>
            <w:tcBorders>
              <w:top w:val="single" w:sz="8" w:space="0" w:color="auto"/>
              <w:left w:val="double" w:sz="4" w:space="0" w:color="auto"/>
              <w:bottom w:val="single" w:sz="8" w:space="0" w:color="auto"/>
              <w:right w:val="single" w:sz="8" w:space="0" w:color="auto"/>
            </w:tcBorders>
            <w:shd w:val="clear" w:color="auto" w:fill="C0C0C0"/>
          </w:tcPr>
          <w:p w:rsidR="006F7AD6" w:rsidRPr="003C560E" w:rsidP="00886011" w14:paraId="72324922" w14:textId="77777777">
            <w:pPr>
              <w:tabs>
                <w:tab w:val="left" w:pos="-1440"/>
                <w:tab w:val="left" w:pos="-720"/>
                <w:tab w:val="left" w:pos="0"/>
                <w:tab w:val="left" w:pos="720"/>
                <w:tab w:val="left" w:pos="1440"/>
                <w:tab w:val="left" w:pos="2160"/>
                <w:tab w:val="left" w:pos="2880"/>
                <w:tab w:val="left" w:pos="3600"/>
              </w:tabs>
              <w:suppressAutoHyphens/>
              <w:spacing w:before="90" w:after="54"/>
              <w:ind w:left="4320" w:hanging="4320"/>
              <w:rPr>
                <w:szCs w:val="22"/>
              </w:rPr>
            </w:pPr>
            <w:r w:rsidRPr="003C560E">
              <w:rPr>
                <w:szCs w:val="22"/>
              </w:rPr>
              <w:t>Aviation (Ground) (per license) (47 CFR part 87)</w:t>
            </w:r>
            <w:r w:rsidRPr="003C560E">
              <w:rPr>
                <w:szCs w:val="22"/>
              </w:rPr>
              <w:tab/>
            </w:r>
          </w:p>
        </w:tc>
        <w:tc>
          <w:tcPr>
            <w:tcW w:w="1710" w:type="dxa"/>
            <w:tcBorders>
              <w:top w:val="single" w:sz="8" w:space="0" w:color="auto"/>
              <w:left w:val="single" w:sz="8" w:space="0" w:color="auto"/>
              <w:bottom w:val="single" w:sz="8" w:space="0" w:color="auto"/>
              <w:right w:val="double" w:sz="4" w:space="0" w:color="auto"/>
            </w:tcBorders>
            <w:shd w:val="clear" w:color="auto" w:fill="C0C0C0"/>
          </w:tcPr>
          <w:p w:rsidR="006F7AD6" w:rsidRPr="003C560E" w:rsidP="00886011" w14:paraId="0E2CA0A1" w14:textId="77777777">
            <w:pPr>
              <w:tabs>
                <w:tab w:val="left" w:pos="-1440"/>
                <w:tab w:val="left" w:pos="-720"/>
              </w:tabs>
              <w:suppressAutoHyphens/>
              <w:spacing w:before="90" w:after="54"/>
              <w:jc w:val="center"/>
              <w:rPr>
                <w:szCs w:val="22"/>
              </w:rPr>
            </w:pPr>
            <w:r w:rsidRPr="003C560E">
              <w:rPr>
                <w:szCs w:val="22"/>
              </w:rPr>
              <w:t>20</w:t>
            </w:r>
          </w:p>
        </w:tc>
      </w:tr>
      <w:tr w14:paraId="7EA78FC1" w14:textId="77777777" w:rsidTr="00886011">
        <w:tblPrEx>
          <w:tblW w:w="8550" w:type="dxa"/>
          <w:tblInd w:w="210" w:type="dxa"/>
          <w:tblLayout w:type="fixed"/>
          <w:tblCellMar>
            <w:left w:w="120" w:type="dxa"/>
            <w:right w:w="120" w:type="dxa"/>
          </w:tblCellMar>
          <w:tblLook w:val="0000"/>
        </w:tblPrEx>
        <w:tc>
          <w:tcPr>
            <w:tcW w:w="6840" w:type="dxa"/>
            <w:tcBorders>
              <w:top w:val="single" w:sz="8" w:space="0" w:color="auto"/>
              <w:left w:val="double" w:sz="6" w:space="0" w:color="auto"/>
            </w:tcBorders>
          </w:tcPr>
          <w:p w:rsidR="006F7AD6" w:rsidRPr="003C560E" w:rsidP="00886011" w14:paraId="63670CE2" w14:textId="77777777">
            <w:pPr>
              <w:tabs>
                <w:tab w:val="left" w:pos="-1440"/>
                <w:tab w:val="left" w:pos="-720"/>
              </w:tabs>
              <w:suppressAutoHyphens/>
              <w:spacing w:before="90" w:after="54"/>
              <w:rPr>
                <w:szCs w:val="22"/>
              </w:rPr>
            </w:pPr>
            <w:r w:rsidRPr="003C560E">
              <w:rPr>
                <w:szCs w:val="22"/>
              </w:rPr>
              <w:t>CMRS Mobile/Cellular Services (per unit) (47 CFR parts 20, 22, 24, 27, 80 and 90)</w:t>
            </w:r>
          </w:p>
        </w:tc>
        <w:tc>
          <w:tcPr>
            <w:tcW w:w="1710" w:type="dxa"/>
            <w:tcBorders>
              <w:top w:val="single" w:sz="8" w:space="0" w:color="auto"/>
              <w:left w:val="single" w:sz="6" w:space="0" w:color="auto"/>
              <w:right w:val="double" w:sz="6" w:space="0" w:color="auto"/>
            </w:tcBorders>
          </w:tcPr>
          <w:p w:rsidR="006F7AD6" w:rsidRPr="003C560E" w:rsidP="00886011" w14:paraId="036617B1" w14:textId="77777777">
            <w:pPr>
              <w:tabs>
                <w:tab w:val="left" w:pos="-1440"/>
                <w:tab w:val="left" w:pos="-720"/>
              </w:tabs>
              <w:suppressAutoHyphens/>
              <w:spacing w:before="90" w:after="54"/>
              <w:jc w:val="center"/>
              <w:rPr>
                <w:szCs w:val="22"/>
              </w:rPr>
            </w:pPr>
            <w:r w:rsidRPr="003C560E">
              <w:rPr>
                <w:szCs w:val="22"/>
              </w:rPr>
              <w:t>.20</w:t>
            </w:r>
          </w:p>
        </w:tc>
      </w:tr>
      <w:tr w14:paraId="52BD7DD9" w14:textId="77777777" w:rsidTr="00886011">
        <w:tblPrEx>
          <w:tblW w:w="8550" w:type="dxa"/>
          <w:tblInd w:w="210" w:type="dxa"/>
          <w:tblLayout w:type="fixed"/>
          <w:tblCellMar>
            <w:left w:w="120" w:type="dxa"/>
            <w:right w:w="120" w:type="dxa"/>
          </w:tblCellMar>
          <w:tblLook w:val="0000"/>
        </w:tblPrEx>
        <w:tc>
          <w:tcPr>
            <w:tcW w:w="6840" w:type="dxa"/>
            <w:tcBorders>
              <w:top w:val="single" w:sz="6" w:space="0" w:color="auto"/>
              <w:left w:val="double" w:sz="6" w:space="0" w:color="auto"/>
            </w:tcBorders>
          </w:tcPr>
          <w:p w:rsidR="006F7AD6" w:rsidRPr="003C560E" w:rsidP="00886011" w14:paraId="7D42D0A0" w14:textId="77777777">
            <w:pPr>
              <w:tabs>
                <w:tab w:val="left" w:pos="-1440"/>
                <w:tab w:val="left" w:pos="-720"/>
              </w:tabs>
              <w:suppressAutoHyphens/>
              <w:spacing w:before="90" w:after="54"/>
              <w:rPr>
                <w:szCs w:val="22"/>
              </w:rPr>
            </w:pPr>
            <w:r w:rsidRPr="003C560E">
              <w:rPr>
                <w:szCs w:val="22"/>
              </w:rPr>
              <w:t>CMRS Messaging Services (per unit) (47 CFR parts 20, 22, 24 and 90)</w:t>
            </w:r>
          </w:p>
        </w:tc>
        <w:tc>
          <w:tcPr>
            <w:tcW w:w="1710" w:type="dxa"/>
            <w:tcBorders>
              <w:top w:val="single" w:sz="6" w:space="0" w:color="auto"/>
              <w:left w:val="single" w:sz="6" w:space="0" w:color="auto"/>
              <w:right w:val="double" w:sz="6" w:space="0" w:color="auto"/>
            </w:tcBorders>
          </w:tcPr>
          <w:p w:rsidR="006F7AD6" w:rsidRPr="003C560E" w:rsidP="00886011" w14:paraId="074A9186" w14:textId="77777777">
            <w:pPr>
              <w:tabs>
                <w:tab w:val="left" w:pos="-1440"/>
                <w:tab w:val="left" w:pos="-720"/>
              </w:tabs>
              <w:suppressAutoHyphens/>
              <w:spacing w:before="90" w:after="54"/>
              <w:jc w:val="center"/>
              <w:rPr>
                <w:szCs w:val="22"/>
              </w:rPr>
            </w:pPr>
            <w:r w:rsidRPr="003C560E">
              <w:rPr>
                <w:szCs w:val="22"/>
              </w:rPr>
              <w:t>.08</w:t>
            </w:r>
          </w:p>
        </w:tc>
      </w:tr>
      <w:tr w14:paraId="19BC7CC5" w14:textId="77777777" w:rsidTr="00886011">
        <w:tblPrEx>
          <w:tblW w:w="8550" w:type="dxa"/>
          <w:tblInd w:w="210" w:type="dxa"/>
          <w:tblLayout w:type="fixed"/>
          <w:tblCellMar>
            <w:left w:w="120" w:type="dxa"/>
            <w:right w:w="120" w:type="dxa"/>
          </w:tblCellMar>
          <w:tblLook w:val="0000"/>
        </w:tblPrEx>
        <w:trPr>
          <w:trHeight w:val="1137"/>
        </w:trPr>
        <w:tc>
          <w:tcPr>
            <w:tcW w:w="6840" w:type="dxa"/>
            <w:tcBorders>
              <w:top w:val="single" w:sz="6" w:space="0" w:color="auto"/>
              <w:left w:val="double" w:sz="6" w:space="0" w:color="auto"/>
            </w:tcBorders>
          </w:tcPr>
          <w:p w:rsidR="006F7AD6" w:rsidRPr="003C560E" w:rsidP="00886011" w14:paraId="4A91C233" w14:textId="77777777">
            <w:pPr>
              <w:tabs>
                <w:tab w:val="left" w:pos="-1440"/>
                <w:tab w:val="left" w:pos="-720"/>
              </w:tabs>
              <w:suppressAutoHyphens/>
              <w:spacing w:before="90" w:after="54"/>
              <w:rPr>
                <w:szCs w:val="22"/>
              </w:rPr>
            </w:pPr>
            <w:r w:rsidRPr="003C560E">
              <w:rPr>
                <w:szCs w:val="22"/>
              </w:rPr>
              <w:t>Broadband Radio Service (formerly MMDS/ MDS) (per license) (47 CFR part 27)</w:t>
            </w:r>
          </w:p>
          <w:p w:rsidR="006F7AD6" w:rsidRPr="003C560E" w:rsidP="00886011" w14:paraId="54D40C99" w14:textId="77777777">
            <w:pPr>
              <w:tabs>
                <w:tab w:val="left" w:pos="-1440"/>
                <w:tab w:val="left" w:pos="-720"/>
              </w:tabs>
              <w:suppressAutoHyphens/>
              <w:spacing w:before="90" w:after="54"/>
              <w:rPr>
                <w:szCs w:val="22"/>
              </w:rPr>
            </w:pPr>
            <w:r w:rsidRPr="003C560E">
              <w:rPr>
                <w:szCs w:val="22"/>
              </w:rPr>
              <w:t>Local Multipoint Distribution Service (per call sign) (47 CFR, part 101)</w:t>
            </w:r>
          </w:p>
          <w:p w:rsidR="006F7AD6" w:rsidRPr="003C560E" w:rsidP="00886011" w14:paraId="65F41CE6" w14:textId="77777777">
            <w:pPr>
              <w:tabs>
                <w:tab w:val="left" w:pos="-1440"/>
                <w:tab w:val="left" w:pos="-720"/>
              </w:tabs>
              <w:suppressAutoHyphens/>
              <w:spacing w:before="90" w:after="54"/>
              <w:rPr>
                <w:szCs w:val="22"/>
              </w:rPr>
            </w:pPr>
          </w:p>
        </w:tc>
        <w:tc>
          <w:tcPr>
            <w:tcW w:w="1710" w:type="dxa"/>
            <w:tcBorders>
              <w:top w:val="single" w:sz="6" w:space="0" w:color="auto"/>
              <w:left w:val="single" w:sz="6" w:space="0" w:color="auto"/>
              <w:right w:val="double" w:sz="6" w:space="0" w:color="auto"/>
            </w:tcBorders>
          </w:tcPr>
          <w:p w:rsidR="006F7AD6" w:rsidRPr="003C560E" w:rsidP="00886011" w14:paraId="6105A328" w14:textId="77777777">
            <w:pPr>
              <w:tabs>
                <w:tab w:val="left" w:pos="-1440"/>
                <w:tab w:val="left" w:pos="-720"/>
              </w:tabs>
              <w:suppressAutoHyphens/>
              <w:spacing w:before="90" w:after="54"/>
              <w:jc w:val="center"/>
              <w:rPr>
                <w:szCs w:val="22"/>
              </w:rPr>
            </w:pPr>
            <w:r w:rsidRPr="003C560E">
              <w:rPr>
                <w:szCs w:val="22"/>
              </w:rPr>
              <w:t>600</w:t>
            </w:r>
          </w:p>
          <w:p w:rsidR="006F7AD6" w:rsidRPr="003C560E" w:rsidP="00886011" w14:paraId="30511C2F" w14:textId="77777777">
            <w:pPr>
              <w:tabs>
                <w:tab w:val="left" w:pos="-1440"/>
                <w:tab w:val="left" w:pos="-720"/>
              </w:tabs>
              <w:suppressAutoHyphens/>
              <w:spacing w:before="90" w:after="54"/>
              <w:jc w:val="center"/>
              <w:rPr>
                <w:szCs w:val="22"/>
              </w:rPr>
            </w:pPr>
          </w:p>
          <w:p w:rsidR="006F7AD6" w:rsidRPr="003C560E" w:rsidP="00886011" w14:paraId="32B30B12" w14:textId="77777777">
            <w:pPr>
              <w:tabs>
                <w:tab w:val="left" w:pos="-1440"/>
                <w:tab w:val="left" w:pos="-720"/>
              </w:tabs>
              <w:suppressAutoHyphens/>
              <w:spacing w:before="90" w:after="54"/>
              <w:jc w:val="center"/>
              <w:rPr>
                <w:szCs w:val="22"/>
              </w:rPr>
            </w:pPr>
            <w:r w:rsidRPr="003C560E">
              <w:rPr>
                <w:szCs w:val="22"/>
              </w:rPr>
              <w:t>600</w:t>
            </w:r>
          </w:p>
        </w:tc>
      </w:tr>
      <w:tr w14:paraId="0D91A51C" w14:textId="77777777" w:rsidTr="00886011">
        <w:tblPrEx>
          <w:tblW w:w="8550" w:type="dxa"/>
          <w:tblInd w:w="210" w:type="dxa"/>
          <w:tblLayout w:type="fixed"/>
          <w:tblCellMar>
            <w:left w:w="120" w:type="dxa"/>
            <w:right w:w="120" w:type="dxa"/>
          </w:tblCellMar>
          <w:tblLook w:val="0000"/>
        </w:tblPrEx>
        <w:tc>
          <w:tcPr>
            <w:tcW w:w="6840" w:type="dxa"/>
            <w:tcBorders>
              <w:top w:val="single" w:sz="6" w:space="0" w:color="auto"/>
              <w:left w:val="double" w:sz="6" w:space="0" w:color="auto"/>
            </w:tcBorders>
          </w:tcPr>
          <w:p w:rsidR="006F7AD6" w:rsidRPr="003C560E" w:rsidP="00886011" w14:paraId="6F0B5320" w14:textId="77777777">
            <w:pPr>
              <w:tabs>
                <w:tab w:val="left" w:pos="-1440"/>
                <w:tab w:val="left" w:pos="-720"/>
              </w:tabs>
              <w:suppressAutoHyphens/>
              <w:spacing w:before="90" w:after="54"/>
              <w:rPr>
                <w:szCs w:val="22"/>
              </w:rPr>
            </w:pPr>
            <w:r w:rsidRPr="003C560E">
              <w:rPr>
                <w:szCs w:val="22"/>
              </w:rPr>
              <w:t>AM Radio Construction Permits</w:t>
            </w:r>
          </w:p>
        </w:tc>
        <w:tc>
          <w:tcPr>
            <w:tcW w:w="1710" w:type="dxa"/>
            <w:tcBorders>
              <w:top w:val="single" w:sz="6" w:space="0" w:color="auto"/>
              <w:left w:val="single" w:sz="6" w:space="0" w:color="auto"/>
              <w:right w:val="double" w:sz="6" w:space="0" w:color="auto"/>
            </w:tcBorders>
          </w:tcPr>
          <w:p w:rsidR="006F7AD6" w:rsidRPr="003C560E" w:rsidP="00886011" w14:paraId="2080F05B" w14:textId="77777777">
            <w:pPr>
              <w:tabs>
                <w:tab w:val="left" w:pos="-1440"/>
                <w:tab w:val="left" w:pos="-720"/>
              </w:tabs>
              <w:suppressAutoHyphens/>
              <w:spacing w:before="90" w:after="54"/>
              <w:jc w:val="center"/>
              <w:rPr>
                <w:szCs w:val="22"/>
              </w:rPr>
            </w:pPr>
            <w:r w:rsidRPr="003C560E">
              <w:rPr>
                <w:szCs w:val="22"/>
              </w:rPr>
              <w:t>550</w:t>
            </w:r>
          </w:p>
        </w:tc>
      </w:tr>
      <w:tr w14:paraId="5BAAB701" w14:textId="77777777" w:rsidTr="00886011">
        <w:tblPrEx>
          <w:tblW w:w="8550" w:type="dxa"/>
          <w:tblInd w:w="210" w:type="dxa"/>
          <w:tblLayout w:type="fixed"/>
          <w:tblCellMar>
            <w:left w:w="120" w:type="dxa"/>
            <w:right w:w="120" w:type="dxa"/>
          </w:tblCellMar>
          <w:tblLook w:val="0000"/>
        </w:tblPrEx>
        <w:tc>
          <w:tcPr>
            <w:tcW w:w="6840" w:type="dxa"/>
            <w:tcBorders>
              <w:top w:val="single" w:sz="6" w:space="0" w:color="auto"/>
              <w:left w:val="double" w:sz="6" w:space="0" w:color="auto"/>
            </w:tcBorders>
          </w:tcPr>
          <w:p w:rsidR="006F7AD6" w:rsidRPr="003C560E" w:rsidP="00886011" w14:paraId="2777D2AE" w14:textId="77777777">
            <w:pPr>
              <w:tabs>
                <w:tab w:val="left" w:pos="-1440"/>
                <w:tab w:val="left" w:pos="-720"/>
              </w:tabs>
              <w:suppressAutoHyphens/>
              <w:spacing w:before="90" w:after="54"/>
              <w:rPr>
                <w:szCs w:val="22"/>
              </w:rPr>
            </w:pPr>
            <w:r w:rsidRPr="003C560E">
              <w:rPr>
                <w:szCs w:val="22"/>
              </w:rPr>
              <w:t>FM Radio Construction Permits</w:t>
            </w:r>
          </w:p>
        </w:tc>
        <w:tc>
          <w:tcPr>
            <w:tcW w:w="1710" w:type="dxa"/>
            <w:tcBorders>
              <w:top w:val="single" w:sz="6" w:space="0" w:color="auto"/>
              <w:left w:val="single" w:sz="6" w:space="0" w:color="auto"/>
              <w:right w:val="double" w:sz="6" w:space="0" w:color="auto"/>
            </w:tcBorders>
          </w:tcPr>
          <w:p w:rsidR="006F7AD6" w:rsidRPr="003C560E" w:rsidP="00886011" w14:paraId="3ADA16D5" w14:textId="77777777">
            <w:pPr>
              <w:tabs>
                <w:tab w:val="left" w:pos="-1440"/>
                <w:tab w:val="left" w:pos="-720"/>
              </w:tabs>
              <w:suppressAutoHyphens/>
              <w:spacing w:before="90" w:after="54"/>
              <w:jc w:val="center"/>
              <w:rPr>
                <w:szCs w:val="22"/>
              </w:rPr>
            </w:pPr>
            <w:r w:rsidRPr="003C560E">
              <w:rPr>
                <w:szCs w:val="22"/>
              </w:rPr>
              <w:t>965</w:t>
            </w:r>
          </w:p>
        </w:tc>
      </w:tr>
      <w:tr w14:paraId="7697BAA4" w14:textId="77777777" w:rsidTr="00886011">
        <w:tblPrEx>
          <w:tblW w:w="8550" w:type="dxa"/>
          <w:tblInd w:w="210" w:type="dxa"/>
          <w:tblLayout w:type="fixed"/>
          <w:tblCellMar>
            <w:left w:w="120" w:type="dxa"/>
            <w:right w:w="120" w:type="dxa"/>
          </w:tblCellMar>
          <w:tblLook w:val="0000"/>
        </w:tblPrEx>
        <w:tc>
          <w:tcPr>
            <w:tcW w:w="6840" w:type="dxa"/>
            <w:tcBorders>
              <w:top w:val="single" w:sz="6" w:space="0" w:color="auto"/>
              <w:left w:val="double" w:sz="6" w:space="0" w:color="auto"/>
            </w:tcBorders>
          </w:tcPr>
          <w:p w:rsidR="006F7AD6" w:rsidRPr="003C560E" w:rsidP="00886011" w14:paraId="3F3B8219" w14:textId="77777777">
            <w:pPr>
              <w:tabs>
                <w:tab w:val="left" w:pos="-1440"/>
                <w:tab w:val="left" w:pos="-720"/>
              </w:tabs>
              <w:suppressAutoHyphens/>
              <w:spacing w:before="90" w:after="54"/>
              <w:rPr>
                <w:szCs w:val="22"/>
              </w:rPr>
            </w:pPr>
            <w:r w:rsidRPr="003C560E">
              <w:rPr>
                <w:szCs w:val="22"/>
              </w:rPr>
              <w:t>Digital TV (47 CFR part 73) VHF and UHF Commercial</w:t>
            </w:r>
          </w:p>
        </w:tc>
        <w:tc>
          <w:tcPr>
            <w:tcW w:w="1710" w:type="dxa"/>
            <w:tcBorders>
              <w:top w:val="single" w:sz="6" w:space="0" w:color="auto"/>
              <w:left w:val="single" w:sz="6" w:space="0" w:color="auto"/>
              <w:right w:val="double" w:sz="6" w:space="0" w:color="auto"/>
            </w:tcBorders>
          </w:tcPr>
          <w:p w:rsidR="006F7AD6" w:rsidRPr="003C560E" w:rsidP="00886011" w14:paraId="68FABFAA" w14:textId="77777777">
            <w:pPr>
              <w:tabs>
                <w:tab w:val="left" w:pos="-1440"/>
                <w:tab w:val="left" w:pos="-720"/>
              </w:tabs>
              <w:suppressAutoHyphens/>
              <w:spacing w:before="90" w:after="54"/>
              <w:jc w:val="right"/>
              <w:rPr>
                <w:szCs w:val="22"/>
              </w:rPr>
            </w:pPr>
          </w:p>
        </w:tc>
      </w:tr>
      <w:tr w14:paraId="0BFF3F8B" w14:textId="77777777" w:rsidTr="00886011">
        <w:tblPrEx>
          <w:tblW w:w="8550" w:type="dxa"/>
          <w:tblInd w:w="210" w:type="dxa"/>
          <w:tblLayout w:type="fixed"/>
          <w:tblCellMar>
            <w:left w:w="120" w:type="dxa"/>
            <w:right w:w="120" w:type="dxa"/>
          </w:tblCellMar>
          <w:tblLook w:val="0000"/>
        </w:tblPrEx>
        <w:tc>
          <w:tcPr>
            <w:tcW w:w="6840" w:type="dxa"/>
            <w:tcBorders>
              <w:top w:val="single" w:sz="6" w:space="0" w:color="auto"/>
              <w:left w:val="double" w:sz="6" w:space="0" w:color="auto"/>
            </w:tcBorders>
          </w:tcPr>
          <w:p w:rsidR="006F7AD6" w:rsidRPr="003C560E" w:rsidP="00886011" w14:paraId="35E01645" w14:textId="77777777">
            <w:pPr>
              <w:tabs>
                <w:tab w:val="left" w:pos="-1440"/>
                <w:tab w:val="left" w:pos="-720"/>
                <w:tab w:val="left" w:pos="0"/>
                <w:tab w:val="left" w:pos="720"/>
                <w:tab w:val="left" w:pos="1440"/>
              </w:tabs>
              <w:suppressAutoHyphens/>
              <w:spacing w:before="90" w:after="54"/>
              <w:ind w:left="2160" w:hanging="2160"/>
              <w:rPr>
                <w:szCs w:val="22"/>
              </w:rPr>
            </w:pPr>
            <w:r w:rsidRPr="003C560E">
              <w:rPr>
                <w:szCs w:val="22"/>
              </w:rPr>
              <w:tab/>
              <w:t>Markets 1-10</w:t>
            </w:r>
            <w:r w:rsidRPr="003C560E">
              <w:rPr>
                <w:szCs w:val="22"/>
              </w:rPr>
              <w:tab/>
            </w:r>
          </w:p>
        </w:tc>
        <w:tc>
          <w:tcPr>
            <w:tcW w:w="1710" w:type="dxa"/>
            <w:tcBorders>
              <w:top w:val="single" w:sz="6" w:space="0" w:color="auto"/>
              <w:left w:val="single" w:sz="6" w:space="0" w:color="auto"/>
              <w:right w:val="double" w:sz="6" w:space="0" w:color="auto"/>
            </w:tcBorders>
          </w:tcPr>
          <w:p w:rsidR="006F7AD6" w:rsidRPr="003C560E" w:rsidP="00886011" w14:paraId="70C33619" w14:textId="77777777">
            <w:pPr>
              <w:tabs>
                <w:tab w:val="left" w:pos="-1440"/>
                <w:tab w:val="left" w:pos="-720"/>
              </w:tabs>
              <w:suppressAutoHyphens/>
              <w:spacing w:before="90" w:after="54"/>
              <w:jc w:val="center"/>
              <w:rPr>
                <w:szCs w:val="22"/>
              </w:rPr>
            </w:pPr>
            <w:r w:rsidRPr="003C560E">
              <w:rPr>
                <w:szCs w:val="22"/>
              </w:rPr>
              <w:t>49,750</w:t>
            </w:r>
          </w:p>
        </w:tc>
      </w:tr>
      <w:tr w14:paraId="216A8950" w14:textId="77777777" w:rsidTr="00886011">
        <w:tblPrEx>
          <w:tblW w:w="8550" w:type="dxa"/>
          <w:tblInd w:w="210" w:type="dxa"/>
          <w:tblLayout w:type="fixed"/>
          <w:tblCellMar>
            <w:left w:w="120" w:type="dxa"/>
            <w:right w:w="120" w:type="dxa"/>
          </w:tblCellMar>
          <w:tblLook w:val="0000"/>
        </w:tblPrEx>
        <w:tc>
          <w:tcPr>
            <w:tcW w:w="6840" w:type="dxa"/>
            <w:tcBorders>
              <w:top w:val="single" w:sz="6" w:space="0" w:color="auto"/>
              <w:left w:val="double" w:sz="6" w:space="0" w:color="auto"/>
            </w:tcBorders>
          </w:tcPr>
          <w:p w:rsidR="006F7AD6" w:rsidRPr="003C560E" w:rsidP="00886011" w14:paraId="5A355EAF" w14:textId="77777777">
            <w:pPr>
              <w:tabs>
                <w:tab w:val="left" w:pos="-1440"/>
                <w:tab w:val="left" w:pos="-720"/>
                <w:tab w:val="left" w:pos="0"/>
              </w:tabs>
              <w:suppressAutoHyphens/>
              <w:spacing w:before="90" w:after="54"/>
              <w:ind w:left="720" w:hanging="720"/>
              <w:rPr>
                <w:szCs w:val="22"/>
              </w:rPr>
            </w:pPr>
            <w:r w:rsidRPr="003C560E">
              <w:rPr>
                <w:szCs w:val="22"/>
              </w:rPr>
              <w:tab/>
              <w:t>Markets 11-25</w:t>
            </w:r>
          </w:p>
        </w:tc>
        <w:tc>
          <w:tcPr>
            <w:tcW w:w="1710" w:type="dxa"/>
            <w:tcBorders>
              <w:top w:val="single" w:sz="6" w:space="0" w:color="auto"/>
              <w:left w:val="single" w:sz="6" w:space="0" w:color="auto"/>
              <w:right w:val="double" w:sz="6" w:space="0" w:color="auto"/>
            </w:tcBorders>
          </w:tcPr>
          <w:p w:rsidR="006F7AD6" w:rsidRPr="003C560E" w:rsidP="00886011" w14:paraId="4C7E3956" w14:textId="77777777">
            <w:pPr>
              <w:tabs>
                <w:tab w:val="left" w:pos="-1440"/>
                <w:tab w:val="left" w:pos="-720"/>
              </w:tabs>
              <w:suppressAutoHyphens/>
              <w:spacing w:before="90" w:after="54"/>
              <w:jc w:val="center"/>
              <w:rPr>
                <w:szCs w:val="22"/>
              </w:rPr>
            </w:pPr>
            <w:r w:rsidRPr="003C560E">
              <w:rPr>
                <w:szCs w:val="22"/>
              </w:rPr>
              <w:t>37,450</w:t>
            </w:r>
          </w:p>
        </w:tc>
      </w:tr>
      <w:tr w14:paraId="2819FCDF" w14:textId="77777777" w:rsidTr="00886011">
        <w:tblPrEx>
          <w:tblW w:w="8550" w:type="dxa"/>
          <w:tblInd w:w="210" w:type="dxa"/>
          <w:tblLayout w:type="fixed"/>
          <w:tblCellMar>
            <w:left w:w="120" w:type="dxa"/>
            <w:right w:w="120" w:type="dxa"/>
          </w:tblCellMar>
          <w:tblLook w:val="0000"/>
        </w:tblPrEx>
        <w:tc>
          <w:tcPr>
            <w:tcW w:w="6840" w:type="dxa"/>
            <w:tcBorders>
              <w:top w:val="single" w:sz="2" w:space="0" w:color="auto"/>
              <w:left w:val="double" w:sz="2" w:space="0" w:color="auto"/>
              <w:right w:val="single" w:sz="2" w:space="0" w:color="auto"/>
            </w:tcBorders>
          </w:tcPr>
          <w:p w:rsidR="006F7AD6" w:rsidRPr="003C560E" w:rsidP="00886011" w14:paraId="0F227937" w14:textId="77777777">
            <w:pPr>
              <w:tabs>
                <w:tab w:val="left" w:pos="-1440"/>
                <w:tab w:val="left" w:pos="-720"/>
                <w:tab w:val="left" w:pos="0"/>
              </w:tabs>
              <w:suppressAutoHyphens/>
              <w:spacing w:before="90" w:after="54"/>
              <w:ind w:left="720" w:hanging="720"/>
              <w:rPr>
                <w:szCs w:val="22"/>
              </w:rPr>
            </w:pPr>
            <w:r w:rsidRPr="003C560E">
              <w:rPr>
                <w:szCs w:val="22"/>
              </w:rPr>
              <w:tab/>
              <w:t>Markets 26-50</w:t>
            </w:r>
          </w:p>
        </w:tc>
        <w:tc>
          <w:tcPr>
            <w:tcW w:w="1710" w:type="dxa"/>
            <w:tcBorders>
              <w:top w:val="single" w:sz="2" w:space="0" w:color="auto"/>
              <w:left w:val="single" w:sz="2" w:space="0" w:color="auto"/>
              <w:right w:val="double" w:sz="2" w:space="0" w:color="auto"/>
            </w:tcBorders>
          </w:tcPr>
          <w:p w:rsidR="006F7AD6" w:rsidRPr="003C560E" w:rsidP="00886011" w14:paraId="3890DA78" w14:textId="77777777">
            <w:pPr>
              <w:tabs>
                <w:tab w:val="left" w:pos="-1440"/>
                <w:tab w:val="left" w:pos="-720"/>
              </w:tabs>
              <w:suppressAutoHyphens/>
              <w:spacing w:before="90" w:after="54"/>
              <w:jc w:val="center"/>
              <w:rPr>
                <w:szCs w:val="22"/>
              </w:rPr>
            </w:pPr>
            <w:r w:rsidRPr="003C560E">
              <w:rPr>
                <w:szCs w:val="22"/>
              </w:rPr>
              <w:t>25,025</w:t>
            </w:r>
          </w:p>
        </w:tc>
      </w:tr>
      <w:tr w14:paraId="77F2EC2D" w14:textId="77777777" w:rsidTr="00886011">
        <w:tblPrEx>
          <w:tblW w:w="8550" w:type="dxa"/>
          <w:tblInd w:w="210" w:type="dxa"/>
          <w:tblLayout w:type="fixed"/>
          <w:tblCellMar>
            <w:left w:w="120" w:type="dxa"/>
            <w:right w:w="120" w:type="dxa"/>
          </w:tblCellMar>
          <w:tblLook w:val="0000"/>
        </w:tblPrEx>
        <w:tc>
          <w:tcPr>
            <w:tcW w:w="6840" w:type="dxa"/>
            <w:tcBorders>
              <w:top w:val="single" w:sz="6" w:space="0" w:color="auto"/>
              <w:left w:val="double" w:sz="6" w:space="0" w:color="auto"/>
            </w:tcBorders>
          </w:tcPr>
          <w:p w:rsidR="006F7AD6" w:rsidRPr="003C560E" w:rsidP="00886011" w14:paraId="0806B13C" w14:textId="77777777">
            <w:pPr>
              <w:tabs>
                <w:tab w:val="left" w:pos="-1440"/>
                <w:tab w:val="left" w:pos="-720"/>
                <w:tab w:val="left" w:pos="0"/>
                <w:tab w:val="left" w:pos="720"/>
                <w:tab w:val="left" w:pos="1440"/>
                <w:tab w:val="left" w:pos="2160"/>
              </w:tabs>
              <w:suppressAutoHyphens/>
              <w:spacing w:before="90" w:after="54"/>
              <w:ind w:left="2880" w:hanging="2880"/>
              <w:rPr>
                <w:szCs w:val="22"/>
              </w:rPr>
            </w:pPr>
            <w:r w:rsidRPr="003C560E">
              <w:rPr>
                <w:szCs w:val="22"/>
              </w:rPr>
              <w:tab/>
              <w:t>Markets 51-100</w:t>
            </w:r>
            <w:r w:rsidRPr="003C560E">
              <w:rPr>
                <w:szCs w:val="22"/>
              </w:rPr>
              <w:tab/>
            </w:r>
          </w:p>
        </w:tc>
        <w:tc>
          <w:tcPr>
            <w:tcW w:w="1710" w:type="dxa"/>
            <w:tcBorders>
              <w:top w:val="single" w:sz="6" w:space="0" w:color="auto"/>
              <w:left w:val="single" w:sz="6" w:space="0" w:color="auto"/>
              <w:right w:val="double" w:sz="6" w:space="0" w:color="auto"/>
            </w:tcBorders>
          </w:tcPr>
          <w:p w:rsidR="006F7AD6" w:rsidRPr="003C560E" w:rsidP="00886011" w14:paraId="03CA0372" w14:textId="77777777">
            <w:pPr>
              <w:tabs>
                <w:tab w:val="left" w:pos="-1440"/>
                <w:tab w:val="left" w:pos="-720"/>
              </w:tabs>
              <w:suppressAutoHyphens/>
              <w:spacing w:before="90" w:after="54"/>
              <w:jc w:val="center"/>
              <w:rPr>
                <w:szCs w:val="22"/>
              </w:rPr>
            </w:pPr>
            <w:r w:rsidRPr="003C560E">
              <w:rPr>
                <w:szCs w:val="22"/>
              </w:rPr>
              <w:t>12,475</w:t>
            </w:r>
          </w:p>
        </w:tc>
      </w:tr>
      <w:tr w14:paraId="42AADC0C" w14:textId="77777777" w:rsidTr="00886011">
        <w:tblPrEx>
          <w:tblW w:w="8550" w:type="dxa"/>
          <w:tblInd w:w="210" w:type="dxa"/>
          <w:tblLayout w:type="fixed"/>
          <w:tblCellMar>
            <w:left w:w="120" w:type="dxa"/>
            <w:right w:w="120" w:type="dxa"/>
          </w:tblCellMar>
          <w:tblLook w:val="0000"/>
        </w:tblPrEx>
        <w:tc>
          <w:tcPr>
            <w:tcW w:w="6840" w:type="dxa"/>
            <w:tcBorders>
              <w:top w:val="single" w:sz="6" w:space="0" w:color="auto"/>
              <w:left w:val="double" w:sz="6" w:space="0" w:color="auto"/>
            </w:tcBorders>
          </w:tcPr>
          <w:p w:rsidR="006F7AD6" w:rsidRPr="003C560E" w:rsidP="00886011" w14:paraId="3D5B6A4B" w14:textId="77777777">
            <w:pPr>
              <w:tabs>
                <w:tab w:val="left" w:pos="-1440"/>
                <w:tab w:val="left" w:pos="-720"/>
                <w:tab w:val="left" w:pos="0"/>
              </w:tabs>
              <w:suppressAutoHyphens/>
              <w:spacing w:before="90" w:after="54"/>
              <w:ind w:left="720" w:hanging="720"/>
              <w:rPr>
                <w:szCs w:val="22"/>
              </w:rPr>
            </w:pPr>
            <w:r w:rsidRPr="003C560E">
              <w:rPr>
                <w:szCs w:val="22"/>
              </w:rPr>
              <w:tab/>
              <w:t>Remaining Markets</w:t>
            </w:r>
          </w:p>
        </w:tc>
        <w:tc>
          <w:tcPr>
            <w:tcW w:w="1710" w:type="dxa"/>
            <w:tcBorders>
              <w:top w:val="single" w:sz="6" w:space="0" w:color="auto"/>
              <w:left w:val="single" w:sz="6" w:space="0" w:color="auto"/>
              <w:right w:val="double" w:sz="6" w:space="0" w:color="auto"/>
            </w:tcBorders>
          </w:tcPr>
          <w:p w:rsidR="006F7AD6" w:rsidRPr="003C560E" w:rsidP="00886011" w14:paraId="7709811B" w14:textId="77777777">
            <w:pPr>
              <w:tabs>
                <w:tab w:val="left" w:pos="-1440"/>
                <w:tab w:val="left" w:pos="-720"/>
              </w:tabs>
              <w:suppressAutoHyphens/>
              <w:spacing w:before="90" w:after="54"/>
              <w:jc w:val="center"/>
              <w:rPr>
                <w:szCs w:val="22"/>
              </w:rPr>
            </w:pPr>
            <w:r w:rsidRPr="003C560E">
              <w:rPr>
                <w:szCs w:val="22"/>
              </w:rPr>
              <w:t>4,100</w:t>
            </w:r>
          </w:p>
        </w:tc>
      </w:tr>
      <w:tr w14:paraId="7D01C15C" w14:textId="77777777" w:rsidTr="00886011">
        <w:tblPrEx>
          <w:tblW w:w="8550" w:type="dxa"/>
          <w:tblInd w:w="210" w:type="dxa"/>
          <w:tblLayout w:type="fixed"/>
          <w:tblCellMar>
            <w:left w:w="120" w:type="dxa"/>
            <w:right w:w="120" w:type="dxa"/>
          </w:tblCellMar>
          <w:tblLook w:val="0000"/>
        </w:tblPrEx>
        <w:tc>
          <w:tcPr>
            <w:tcW w:w="6840" w:type="dxa"/>
            <w:tcBorders>
              <w:top w:val="single" w:sz="6" w:space="0" w:color="auto"/>
              <w:left w:val="double" w:sz="6" w:space="0" w:color="auto"/>
            </w:tcBorders>
          </w:tcPr>
          <w:p w:rsidR="006F7AD6" w:rsidRPr="003C560E" w:rsidP="00886011" w14:paraId="2FC8A049" w14:textId="77777777">
            <w:pPr>
              <w:tabs>
                <w:tab w:val="left" w:pos="-1440"/>
                <w:tab w:val="left" w:pos="-720"/>
                <w:tab w:val="left" w:pos="0"/>
              </w:tabs>
              <w:suppressAutoHyphens/>
              <w:spacing w:before="90" w:after="54"/>
              <w:ind w:left="720" w:hanging="720"/>
              <w:rPr>
                <w:szCs w:val="22"/>
              </w:rPr>
            </w:pPr>
            <w:r w:rsidRPr="003C560E">
              <w:rPr>
                <w:szCs w:val="22"/>
              </w:rPr>
              <w:tab/>
              <w:t>Construction Permits</w:t>
            </w:r>
          </w:p>
        </w:tc>
        <w:tc>
          <w:tcPr>
            <w:tcW w:w="1710" w:type="dxa"/>
            <w:tcBorders>
              <w:top w:val="single" w:sz="6" w:space="0" w:color="auto"/>
              <w:left w:val="single" w:sz="6" w:space="0" w:color="auto"/>
              <w:right w:val="double" w:sz="6" w:space="0" w:color="auto"/>
            </w:tcBorders>
          </w:tcPr>
          <w:p w:rsidR="006F7AD6" w:rsidRPr="003C560E" w:rsidP="00886011" w14:paraId="3EB9E7E3" w14:textId="77777777">
            <w:pPr>
              <w:tabs>
                <w:tab w:val="left" w:pos="-1440"/>
                <w:tab w:val="left" w:pos="-720"/>
              </w:tabs>
              <w:suppressAutoHyphens/>
              <w:spacing w:before="90" w:after="54"/>
              <w:jc w:val="center"/>
              <w:rPr>
                <w:szCs w:val="22"/>
              </w:rPr>
            </w:pPr>
            <w:r w:rsidRPr="003C560E">
              <w:rPr>
                <w:szCs w:val="22"/>
              </w:rPr>
              <w:t>4,100</w:t>
            </w:r>
          </w:p>
        </w:tc>
      </w:tr>
      <w:tr w14:paraId="622BE4A1" w14:textId="77777777" w:rsidTr="00886011">
        <w:tblPrEx>
          <w:tblW w:w="8550" w:type="dxa"/>
          <w:tblInd w:w="210" w:type="dxa"/>
          <w:tblLayout w:type="fixed"/>
          <w:tblCellMar>
            <w:left w:w="120" w:type="dxa"/>
            <w:right w:w="120" w:type="dxa"/>
          </w:tblCellMar>
          <w:tblLook w:val="0000"/>
        </w:tblPrEx>
        <w:tc>
          <w:tcPr>
            <w:tcW w:w="6840" w:type="dxa"/>
            <w:tcBorders>
              <w:top w:val="single" w:sz="6" w:space="0" w:color="auto"/>
              <w:left w:val="double" w:sz="6" w:space="0" w:color="auto"/>
              <w:bottom w:val="single" w:sz="6" w:space="0" w:color="auto"/>
            </w:tcBorders>
          </w:tcPr>
          <w:p w:rsidR="006F7AD6" w:rsidRPr="003C560E" w:rsidP="00886011" w14:paraId="4763D4B7" w14:textId="77777777">
            <w:pPr>
              <w:tabs>
                <w:tab w:val="left" w:pos="-1440"/>
                <w:tab w:val="left" w:pos="-720"/>
              </w:tabs>
              <w:suppressAutoHyphens/>
              <w:spacing w:before="90" w:after="54"/>
              <w:rPr>
                <w:szCs w:val="22"/>
              </w:rPr>
            </w:pPr>
            <w:r w:rsidRPr="003C560E">
              <w:rPr>
                <w:szCs w:val="22"/>
              </w:rPr>
              <w:t xml:space="preserve">Satellite Television Stations (All Markets)  </w:t>
            </w:r>
          </w:p>
        </w:tc>
        <w:tc>
          <w:tcPr>
            <w:tcW w:w="1710" w:type="dxa"/>
            <w:tcBorders>
              <w:top w:val="single" w:sz="6" w:space="0" w:color="auto"/>
              <w:left w:val="single" w:sz="6" w:space="0" w:color="auto"/>
              <w:bottom w:val="single" w:sz="6" w:space="0" w:color="auto"/>
              <w:right w:val="double" w:sz="6" w:space="0" w:color="auto"/>
            </w:tcBorders>
          </w:tcPr>
          <w:p w:rsidR="006F7AD6" w:rsidRPr="003C560E" w:rsidP="00886011" w14:paraId="5BE458B4" w14:textId="77777777">
            <w:pPr>
              <w:tabs>
                <w:tab w:val="left" w:pos="-1440"/>
                <w:tab w:val="left" w:pos="-720"/>
              </w:tabs>
              <w:suppressAutoHyphens/>
              <w:spacing w:before="90" w:after="54"/>
              <w:jc w:val="center"/>
              <w:rPr>
                <w:szCs w:val="22"/>
              </w:rPr>
            </w:pPr>
            <w:r w:rsidRPr="003C560E">
              <w:rPr>
                <w:szCs w:val="22"/>
              </w:rPr>
              <w:t>1,500</w:t>
            </w:r>
          </w:p>
        </w:tc>
      </w:tr>
      <w:tr w14:paraId="1B7D807E" w14:textId="77777777" w:rsidTr="00886011">
        <w:tblPrEx>
          <w:tblW w:w="8550" w:type="dxa"/>
          <w:tblInd w:w="210" w:type="dxa"/>
          <w:tblLayout w:type="fixed"/>
          <w:tblCellMar>
            <w:left w:w="120" w:type="dxa"/>
            <w:right w:w="120" w:type="dxa"/>
          </w:tblCellMar>
          <w:tblLook w:val="0000"/>
        </w:tblPrEx>
        <w:tc>
          <w:tcPr>
            <w:tcW w:w="6840" w:type="dxa"/>
            <w:tcBorders>
              <w:top w:val="single" w:sz="6" w:space="0" w:color="auto"/>
              <w:left w:val="double" w:sz="6" w:space="0" w:color="auto"/>
              <w:bottom w:val="double" w:sz="4" w:space="0" w:color="auto"/>
            </w:tcBorders>
          </w:tcPr>
          <w:p w:rsidR="006F7AD6" w:rsidRPr="003C560E" w:rsidP="00886011" w14:paraId="48EEDC44" w14:textId="77777777">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Cs w:val="22"/>
              </w:rPr>
            </w:pPr>
            <w:r w:rsidRPr="003C560E">
              <w:rPr>
                <w:szCs w:val="22"/>
              </w:rPr>
              <w:t>Low Power TV, Class A TV, TV/FM Trans. &amp; Boosters (47 CFR part 74)</w:t>
            </w:r>
          </w:p>
        </w:tc>
        <w:tc>
          <w:tcPr>
            <w:tcW w:w="1710" w:type="dxa"/>
            <w:tcBorders>
              <w:top w:val="single" w:sz="6" w:space="0" w:color="auto"/>
              <w:left w:val="single" w:sz="6" w:space="0" w:color="auto"/>
              <w:bottom w:val="double" w:sz="4" w:space="0" w:color="auto"/>
              <w:right w:val="double" w:sz="6" w:space="0" w:color="auto"/>
            </w:tcBorders>
          </w:tcPr>
          <w:p w:rsidR="006F7AD6" w:rsidRPr="003C560E" w:rsidP="00886011" w14:paraId="0E84E623" w14:textId="77777777">
            <w:pPr>
              <w:tabs>
                <w:tab w:val="left" w:pos="-1440"/>
                <w:tab w:val="left" w:pos="-720"/>
              </w:tabs>
              <w:suppressAutoHyphens/>
              <w:spacing w:before="90" w:after="54"/>
              <w:jc w:val="center"/>
              <w:rPr>
                <w:szCs w:val="22"/>
              </w:rPr>
            </w:pPr>
            <w:r w:rsidRPr="003C560E">
              <w:rPr>
                <w:szCs w:val="22"/>
              </w:rPr>
              <w:t>380</w:t>
            </w:r>
          </w:p>
        </w:tc>
      </w:tr>
      <w:tr w14:paraId="6D5B455E" w14:textId="77777777" w:rsidTr="00886011">
        <w:tblPrEx>
          <w:tblW w:w="8550" w:type="dxa"/>
          <w:tblInd w:w="210" w:type="dxa"/>
          <w:tblLayout w:type="fixed"/>
          <w:tblCellMar>
            <w:left w:w="120" w:type="dxa"/>
            <w:right w:w="120" w:type="dxa"/>
          </w:tblCellMar>
          <w:tblLook w:val="0000"/>
        </w:tblPrEx>
        <w:tc>
          <w:tcPr>
            <w:tcW w:w="6840" w:type="dxa"/>
            <w:tcBorders>
              <w:top w:val="double" w:sz="4" w:space="0" w:color="auto"/>
              <w:left w:val="double" w:sz="6" w:space="0" w:color="auto"/>
            </w:tcBorders>
          </w:tcPr>
          <w:p w:rsidR="006F7AD6" w:rsidRPr="003C560E" w:rsidP="00886011" w14:paraId="38B728F5" w14:textId="77777777">
            <w:pPr>
              <w:tabs>
                <w:tab w:val="left" w:pos="-1440"/>
                <w:tab w:val="left" w:pos="-720"/>
                <w:tab w:val="left" w:pos="0"/>
                <w:tab w:val="left" w:pos="720"/>
                <w:tab w:val="left" w:pos="1440"/>
                <w:tab w:val="left" w:pos="2160"/>
                <w:tab w:val="left" w:pos="2880"/>
                <w:tab w:val="left" w:pos="3600"/>
              </w:tabs>
              <w:suppressAutoHyphens/>
              <w:spacing w:before="90" w:after="54"/>
              <w:ind w:left="4320" w:hanging="4320"/>
              <w:rPr>
                <w:szCs w:val="22"/>
              </w:rPr>
            </w:pPr>
            <w:r w:rsidRPr="003C560E">
              <w:rPr>
                <w:szCs w:val="22"/>
              </w:rPr>
              <w:t>CARS (47 CFR part 78)</w:t>
            </w:r>
            <w:r w:rsidRPr="003C560E">
              <w:rPr>
                <w:szCs w:val="22"/>
              </w:rPr>
              <w:tab/>
            </w:r>
          </w:p>
        </w:tc>
        <w:tc>
          <w:tcPr>
            <w:tcW w:w="1710" w:type="dxa"/>
            <w:tcBorders>
              <w:top w:val="double" w:sz="4" w:space="0" w:color="auto"/>
              <w:left w:val="single" w:sz="6" w:space="0" w:color="auto"/>
              <w:right w:val="double" w:sz="6" w:space="0" w:color="auto"/>
            </w:tcBorders>
          </w:tcPr>
          <w:p w:rsidR="006F7AD6" w:rsidRPr="003C560E" w:rsidP="00886011" w14:paraId="65AB07E8" w14:textId="77777777">
            <w:pPr>
              <w:tabs>
                <w:tab w:val="left" w:pos="-1440"/>
                <w:tab w:val="left" w:pos="-720"/>
              </w:tabs>
              <w:suppressAutoHyphens/>
              <w:spacing w:before="90" w:after="54"/>
              <w:jc w:val="center"/>
              <w:rPr>
                <w:szCs w:val="22"/>
              </w:rPr>
            </w:pPr>
            <w:r w:rsidRPr="003C560E">
              <w:rPr>
                <w:szCs w:val="22"/>
              </w:rPr>
              <w:t>1,075</w:t>
            </w:r>
          </w:p>
        </w:tc>
      </w:tr>
      <w:tr w14:paraId="65073D84" w14:textId="77777777" w:rsidTr="00886011">
        <w:tblPrEx>
          <w:tblW w:w="8550" w:type="dxa"/>
          <w:tblInd w:w="210" w:type="dxa"/>
          <w:tblLayout w:type="fixed"/>
          <w:tblCellMar>
            <w:left w:w="120" w:type="dxa"/>
            <w:right w:w="120" w:type="dxa"/>
          </w:tblCellMar>
          <w:tblLook w:val="0000"/>
        </w:tblPrEx>
        <w:tc>
          <w:tcPr>
            <w:tcW w:w="6840" w:type="dxa"/>
            <w:tcBorders>
              <w:top w:val="single" w:sz="6" w:space="0" w:color="auto"/>
              <w:left w:val="double" w:sz="6" w:space="0" w:color="auto"/>
            </w:tcBorders>
          </w:tcPr>
          <w:p w:rsidR="006F7AD6" w:rsidRPr="003C560E" w:rsidP="00886011" w14:paraId="61810B2D" w14:textId="77777777">
            <w:pPr>
              <w:tabs>
                <w:tab w:val="left" w:pos="-1440"/>
                <w:tab w:val="left" w:pos="-720"/>
              </w:tabs>
              <w:suppressAutoHyphens/>
              <w:spacing w:before="90" w:after="54"/>
              <w:rPr>
                <w:szCs w:val="22"/>
              </w:rPr>
            </w:pPr>
            <w:r w:rsidRPr="003C560E">
              <w:rPr>
                <w:szCs w:val="22"/>
              </w:rPr>
              <w:t>Cable Television Systems (per subscriber) (47 CFR part 76), Including IPTV</w:t>
            </w:r>
          </w:p>
        </w:tc>
        <w:tc>
          <w:tcPr>
            <w:tcW w:w="1710" w:type="dxa"/>
            <w:tcBorders>
              <w:top w:val="single" w:sz="6" w:space="0" w:color="auto"/>
              <w:left w:val="single" w:sz="6" w:space="0" w:color="auto"/>
              <w:right w:val="double" w:sz="6" w:space="0" w:color="auto"/>
            </w:tcBorders>
          </w:tcPr>
          <w:p w:rsidR="006F7AD6" w:rsidRPr="003C560E" w:rsidP="00886011" w14:paraId="2E96AA12" w14:textId="77777777">
            <w:pPr>
              <w:tabs>
                <w:tab w:val="left" w:pos="-1440"/>
                <w:tab w:val="left" w:pos="-720"/>
              </w:tabs>
              <w:suppressAutoHyphens/>
              <w:spacing w:before="90" w:after="54"/>
              <w:jc w:val="center"/>
              <w:rPr>
                <w:szCs w:val="22"/>
              </w:rPr>
            </w:pPr>
            <w:r w:rsidRPr="003C560E">
              <w:rPr>
                <w:szCs w:val="22"/>
              </w:rPr>
              <w:t>.77</w:t>
            </w:r>
          </w:p>
        </w:tc>
      </w:tr>
      <w:tr w14:paraId="446E0DDF" w14:textId="77777777" w:rsidTr="00886011">
        <w:tblPrEx>
          <w:tblW w:w="8550" w:type="dxa"/>
          <w:tblInd w:w="210" w:type="dxa"/>
          <w:tblLayout w:type="fixed"/>
          <w:tblCellMar>
            <w:left w:w="120" w:type="dxa"/>
            <w:right w:w="120" w:type="dxa"/>
          </w:tblCellMar>
          <w:tblLook w:val="0000"/>
        </w:tblPrEx>
        <w:tc>
          <w:tcPr>
            <w:tcW w:w="6840" w:type="dxa"/>
            <w:tcBorders>
              <w:top w:val="single" w:sz="6" w:space="0" w:color="auto"/>
              <w:left w:val="double" w:sz="6" w:space="0" w:color="auto"/>
            </w:tcBorders>
          </w:tcPr>
          <w:p w:rsidR="006F7AD6" w:rsidRPr="003C560E" w:rsidP="00886011" w14:paraId="61CFEE02" w14:textId="77777777">
            <w:pPr>
              <w:tabs>
                <w:tab w:val="left" w:pos="-1440"/>
                <w:tab w:val="left" w:pos="-720"/>
              </w:tabs>
              <w:suppressAutoHyphens/>
              <w:spacing w:before="90" w:after="54"/>
              <w:rPr>
                <w:szCs w:val="22"/>
              </w:rPr>
            </w:pPr>
            <w:r w:rsidRPr="003C560E">
              <w:rPr>
                <w:szCs w:val="22"/>
              </w:rPr>
              <w:t>Direct Broadcast Service (DBS) (per subscriber) (as defined by section 602(13) of the Act)</w:t>
            </w:r>
          </w:p>
        </w:tc>
        <w:tc>
          <w:tcPr>
            <w:tcW w:w="1710" w:type="dxa"/>
            <w:tcBorders>
              <w:top w:val="single" w:sz="6" w:space="0" w:color="auto"/>
              <w:left w:val="single" w:sz="6" w:space="0" w:color="auto"/>
              <w:right w:val="double" w:sz="6" w:space="0" w:color="auto"/>
            </w:tcBorders>
          </w:tcPr>
          <w:p w:rsidR="006F7AD6" w:rsidRPr="003C560E" w:rsidP="00886011" w14:paraId="00EAA2A4" w14:textId="77777777">
            <w:pPr>
              <w:tabs>
                <w:tab w:val="left" w:pos="-1440"/>
                <w:tab w:val="left" w:pos="-720"/>
              </w:tabs>
              <w:suppressAutoHyphens/>
              <w:spacing w:before="90" w:after="54"/>
              <w:jc w:val="center"/>
              <w:rPr>
                <w:szCs w:val="22"/>
              </w:rPr>
            </w:pPr>
            <w:r w:rsidRPr="003C560E">
              <w:rPr>
                <w:szCs w:val="22"/>
              </w:rPr>
              <w:t>.48</w:t>
            </w:r>
          </w:p>
        </w:tc>
      </w:tr>
      <w:tr w14:paraId="5218692E" w14:textId="77777777" w:rsidTr="00886011">
        <w:tblPrEx>
          <w:tblW w:w="8550" w:type="dxa"/>
          <w:tblInd w:w="210" w:type="dxa"/>
          <w:tblLayout w:type="fixed"/>
          <w:tblCellMar>
            <w:left w:w="120" w:type="dxa"/>
            <w:right w:w="120" w:type="dxa"/>
          </w:tblCellMar>
          <w:tblLook w:val="0000"/>
        </w:tblPrEx>
        <w:tc>
          <w:tcPr>
            <w:tcW w:w="6840" w:type="dxa"/>
            <w:tcBorders>
              <w:top w:val="single" w:sz="6" w:space="0" w:color="auto"/>
              <w:left w:val="double" w:sz="6" w:space="0" w:color="auto"/>
            </w:tcBorders>
          </w:tcPr>
          <w:p w:rsidR="006F7AD6" w:rsidRPr="003C560E" w:rsidP="00886011" w14:paraId="4D1708DE" w14:textId="77777777">
            <w:pPr>
              <w:tabs>
                <w:tab w:val="left" w:pos="-1440"/>
                <w:tab w:val="left" w:pos="-720"/>
              </w:tabs>
              <w:suppressAutoHyphens/>
              <w:spacing w:before="90" w:after="54"/>
              <w:rPr>
                <w:szCs w:val="22"/>
              </w:rPr>
            </w:pPr>
            <w:r w:rsidRPr="003C560E">
              <w:rPr>
                <w:szCs w:val="22"/>
              </w:rPr>
              <w:t>Interstate Telecommunication Service Providers (per revenue dollar)</w:t>
            </w:r>
          </w:p>
        </w:tc>
        <w:tc>
          <w:tcPr>
            <w:tcW w:w="1710" w:type="dxa"/>
            <w:tcBorders>
              <w:top w:val="single" w:sz="6" w:space="0" w:color="auto"/>
              <w:left w:val="single" w:sz="6" w:space="0" w:color="auto"/>
              <w:right w:val="double" w:sz="6" w:space="0" w:color="auto"/>
            </w:tcBorders>
          </w:tcPr>
          <w:p w:rsidR="006F7AD6" w:rsidRPr="003C560E" w:rsidP="00886011" w14:paraId="07BBFE53" w14:textId="77777777">
            <w:pPr>
              <w:tabs>
                <w:tab w:val="left" w:pos="-1440"/>
                <w:tab w:val="left" w:pos="-720"/>
              </w:tabs>
              <w:suppressAutoHyphens/>
              <w:spacing w:before="90" w:after="54"/>
              <w:jc w:val="center"/>
              <w:rPr>
                <w:szCs w:val="22"/>
              </w:rPr>
            </w:pPr>
            <w:r w:rsidRPr="003C560E">
              <w:rPr>
                <w:szCs w:val="22"/>
              </w:rPr>
              <w:t>.00291</w:t>
            </w:r>
          </w:p>
        </w:tc>
      </w:tr>
      <w:tr w14:paraId="0B163288" w14:textId="77777777" w:rsidTr="00886011">
        <w:tblPrEx>
          <w:tblW w:w="8550" w:type="dxa"/>
          <w:tblInd w:w="210" w:type="dxa"/>
          <w:tblLayout w:type="fixed"/>
          <w:tblCellMar>
            <w:left w:w="120" w:type="dxa"/>
            <w:right w:w="120" w:type="dxa"/>
          </w:tblCellMar>
          <w:tblLook w:val="0000"/>
        </w:tblPrEx>
        <w:tc>
          <w:tcPr>
            <w:tcW w:w="6840" w:type="dxa"/>
            <w:tcBorders>
              <w:top w:val="single" w:sz="6" w:space="0" w:color="auto"/>
              <w:left w:val="double" w:sz="6" w:space="0" w:color="auto"/>
            </w:tcBorders>
          </w:tcPr>
          <w:p w:rsidR="006F7AD6" w:rsidRPr="003C560E" w:rsidP="00886011" w14:paraId="0D87D7F1" w14:textId="77777777">
            <w:pPr>
              <w:tabs>
                <w:tab w:val="left" w:pos="-1440"/>
                <w:tab w:val="left" w:pos="-720"/>
              </w:tabs>
              <w:suppressAutoHyphens/>
              <w:spacing w:before="90" w:after="54"/>
              <w:rPr>
                <w:szCs w:val="22"/>
              </w:rPr>
            </w:pPr>
            <w:r w:rsidRPr="003C560E">
              <w:rPr>
                <w:szCs w:val="22"/>
              </w:rPr>
              <w:t>Toll Free (per toll free subscriber) (47 C.F.R. section 52.101 (f) of the rules)</w:t>
            </w:r>
          </w:p>
        </w:tc>
        <w:tc>
          <w:tcPr>
            <w:tcW w:w="1710" w:type="dxa"/>
            <w:tcBorders>
              <w:top w:val="single" w:sz="6" w:space="0" w:color="auto"/>
              <w:left w:val="single" w:sz="6" w:space="0" w:color="auto"/>
              <w:right w:val="double" w:sz="6" w:space="0" w:color="auto"/>
            </w:tcBorders>
          </w:tcPr>
          <w:p w:rsidR="006F7AD6" w:rsidRPr="003C560E" w:rsidP="00886011" w14:paraId="2F73DDF1" w14:textId="77777777">
            <w:pPr>
              <w:tabs>
                <w:tab w:val="left" w:pos="-1440"/>
                <w:tab w:val="left" w:pos="-720"/>
              </w:tabs>
              <w:suppressAutoHyphens/>
              <w:spacing w:before="90" w:after="54"/>
              <w:jc w:val="center"/>
              <w:rPr>
                <w:szCs w:val="22"/>
              </w:rPr>
            </w:pPr>
            <w:r w:rsidRPr="003C560E">
              <w:rPr>
                <w:szCs w:val="22"/>
              </w:rPr>
              <w:t>.10</w:t>
            </w:r>
          </w:p>
        </w:tc>
      </w:tr>
      <w:tr w14:paraId="5030A80A" w14:textId="77777777" w:rsidTr="00886011">
        <w:tblPrEx>
          <w:tblW w:w="8550" w:type="dxa"/>
          <w:tblInd w:w="210" w:type="dxa"/>
          <w:tblLayout w:type="fixed"/>
          <w:tblCellMar>
            <w:left w:w="120" w:type="dxa"/>
            <w:right w:w="120" w:type="dxa"/>
          </w:tblCellMar>
          <w:tblLook w:val="0000"/>
        </w:tblPrEx>
        <w:tc>
          <w:tcPr>
            <w:tcW w:w="6840" w:type="dxa"/>
            <w:tcBorders>
              <w:top w:val="single" w:sz="6" w:space="0" w:color="auto"/>
              <w:left w:val="double" w:sz="6" w:space="0" w:color="auto"/>
            </w:tcBorders>
          </w:tcPr>
          <w:p w:rsidR="006F7AD6" w:rsidRPr="003C560E" w:rsidP="00886011" w14:paraId="6D9D45EC" w14:textId="77777777">
            <w:pPr>
              <w:tabs>
                <w:tab w:val="left" w:pos="-1440"/>
                <w:tab w:val="left" w:pos="-720"/>
              </w:tabs>
              <w:suppressAutoHyphens/>
              <w:spacing w:before="90" w:after="54"/>
              <w:rPr>
                <w:szCs w:val="22"/>
              </w:rPr>
            </w:pPr>
            <w:r w:rsidRPr="003C560E">
              <w:rPr>
                <w:szCs w:val="22"/>
              </w:rPr>
              <w:t>Earth Stations (47 CFR part 25)</w:t>
            </w:r>
          </w:p>
        </w:tc>
        <w:tc>
          <w:tcPr>
            <w:tcW w:w="1710" w:type="dxa"/>
            <w:tcBorders>
              <w:top w:val="single" w:sz="6" w:space="0" w:color="auto"/>
              <w:left w:val="single" w:sz="6" w:space="0" w:color="auto"/>
              <w:right w:val="double" w:sz="6" w:space="0" w:color="auto"/>
            </w:tcBorders>
          </w:tcPr>
          <w:p w:rsidR="006F7AD6" w:rsidRPr="003C560E" w:rsidP="00886011" w14:paraId="4590699E" w14:textId="77777777">
            <w:pPr>
              <w:tabs>
                <w:tab w:val="left" w:pos="-1440"/>
                <w:tab w:val="left" w:pos="-720"/>
              </w:tabs>
              <w:suppressAutoHyphens/>
              <w:spacing w:before="90" w:after="54"/>
              <w:jc w:val="center"/>
              <w:rPr>
                <w:szCs w:val="22"/>
              </w:rPr>
            </w:pPr>
            <w:r w:rsidRPr="003C560E">
              <w:rPr>
                <w:szCs w:val="22"/>
              </w:rPr>
              <w:t>325</w:t>
            </w:r>
          </w:p>
        </w:tc>
      </w:tr>
      <w:tr w14:paraId="18513AB5" w14:textId="77777777" w:rsidTr="00886011">
        <w:tblPrEx>
          <w:tblW w:w="8550" w:type="dxa"/>
          <w:tblInd w:w="210" w:type="dxa"/>
          <w:tblLayout w:type="fixed"/>
          <w:tblCellMar>
            <w:left w:w="120" w:type="dxa"/>
            <w:right w:w="120" w:type="dxa"/>
          </w:tblCellMar>
          <w:tblLook w:val="0000"/>
        </w:tblPrEx>
        <w:tc>
          <w:tcPr>
            <w:tcW w:w="6840" w:type="dxa"/>
            <w:tcBorders>
              <w:top w:val="single" w:sz="6" w:space="0" w:color="auto"/>
              <w:left w:val="double" w:sz="6" w:space="0" w:color="auto"/>
            </w:tcBorders>
          </w:tcPr>
          <w:p w:rsidR="006F7AD6" w:rsidRPr="003C560E" w:rsidP="00886011" w14:paraId="75AB7912" w14:textId="77777777">
            <w:pPr>
              <w:tabs>
                <w:tab w:val="left" w:pos="-1440"/>
                <w:tab w:val="left" w:pos="-720"/>
              </w:tabs>
              <w:suppressAutoHyphens/>
              <w:spacing w:before="90" w:after="54"/>
              <w:rPr>
                <w:szCs w:val="22"/>
              </w:rPr>
            </w:pPr>
            <w:r w:rsidRPr="003C560E">
              <w:rPr>
                <w:szCs w:val="22"/>
              </w:rPr>
              <w:t>Space Stations (per operational station in geostationary orbit) (47 CFR part 25) also includes DBS Service (per operational station) (47 CFR part 100)</w:t>
            </w:r>
          </w:p>
        </w:tc>
        <w:tc>
          <w:tcPr>
            <w:tcW w:w="1710" w:type="dxa"/>
            <w:tcBorders>
              <w:top w:val="single" w:sz="6" w:space="0" w:color="auto"/>
              <w:left w:val="single" w:sz="6" w:space="0" w:color="auto"/>
              <w:right w:val="double" w:sz="6" w:space="0" w:color="auto"/>
            </w:tcBorders>
          </w:tcPr>
          <w:p w:rsidR="006F7AD6" w:rsidRPr="003C560E" w:rsidP="00886011" w14:paraId="4E50A7E4" w14:textId="77777777">
            <w:pPr>
              <w:tabs>
                <w:tab w:val="left" w:pos="-1440"/>
                <w:tab w:val="left" w:pos="-720"/>
              </w:tabs>
              <w:suppressAutoHyphens/>
              <w:spacing w:before="90"/>
              <w:jc w:val="center"/>
              <w:rPr>
                <w:szCs w:val="22"/>
              </w:rPr>
            </w:pPr>
          </w:p>
          <w:p w:rsidR="006F7AD6" w:rsidRPr="003C560E" w:rsidP="00886011" w14:paraId="0745B584" w14:textId="77777777">
            <w:pPr>
              <w:tabs>
                <w:tab w:val="left" w:pos="-1440"/>
                <w:tab w:val="left" w:pos="-720"/>
              </w:tabs>
              <w:suppressAutoHyphens/>
              <w:spacing w:after="54"/>
              <w:jc w:val="center"/>
              <w:rPr>
                <w:szCs w:val="22"/>
              </w:rPr>
            </w:pPr>
            <w:r w:rsidRPr="003C560E">
              <w:rPr>
                <w:szCs w:val="22"/>
              </w:rPr>
              <w:t>127,850</w:t>
            </w:r>
          </w:p>
        </w:tc>
      </w:tr>
      <w:tr w14:paraId="71C8253B" w14:textId="77777777" w:rsidTr="00886011">
        <w:tblPrEx>
          <w:tblW w:w="8550" w:type="dxa"/>
          <w:tblInd w:w="210" w:type="dxa"/>
          <w:tblLayout w:type="fixed"/>
          <w:tblCellMar>
            <w:left w:w="120" w:type="dxa"/>
            <w:right w:w="120" w:type="dxa"/>
          </w:tblCellMar>
          <w:tblLook w:val="0000"/>
        </w:tblPrEx>
        <w:tc>
          <w:tcPr>
            <w:tcW w:w="6840" w:type="dxa"/>
            <w:tcBorders>
              <w:top w:val="single" w:sz="6" w:space="0" w:color="auto"/>
              <w:left w:val="double" w:sz="6" w:space="0" w:color="auto"/>
            </w:tcBorders>
          </w:tcPr>
          <w:p w:rsidR="006F7AD6" w:rsidRPr="003C560E" w:rsidP="00886011" w14:paraId="7F45FC9B" w14:textId="77777777">
            <w:pPr>
              <w:tabs>
                <w:tab w:val="left" w:pos="-1440"/>
                <w:tab w:val="left" w:pos="-720"/>
              </w:tabs>
              <w:suppressAutoHyphens/>
              <w:spacing w:before="90" w:after="54"/>
              <w:rPr>
                <w:szCs w:val="22"/>
              </w:rPr>
            </w:pPr>
            <w:r w:rsidRPr="003C560E">
              <w:rPr>
                <w:szCs w:val="22"/>
              </w:rPr>
              <w:t>Space Stations (per operational system in non-geostationary orbit) (47 CFR part 25)</w:t>
            </w:r>
          </w:p>
        </w:tc>
        <w:tc>
          <w:tcPr>
            <w:tcW w:w="1710" w:type="dxa"/>
            <w:tcBorders>
              <w:top w:val="single" w:sz="6" w:space="0" w:color="auto"/>
              <w:left w:val="single" w:sz="6" w:space="0" w:color="auto"/>
              <w:right w:val="double" w:sz="6" w:space="0" w:color="auto"/>
            </w:tcBorders>
          </w:tcPr>
          <w:p w:rsidR="006F7AD6" w:rsidRPr="003C560E" w:rsidP="00886011" w14:paraId="3AF8B1C2" w14:textId="77777777">
            <w:pPr>
              <w:tabs>
                <w:tab w:val="left" w:pos="-1440"/>
                <w:tab w:val="left" w:pos="-720"/>
              </w:tabs>
              <w:suppressAutoHyphens/>
              <w:spacing w:before="90" w:after="54"/>
              <w:jc w:val="center"/>
              <w:rPr>
                <w:szCs w:val="22"/>
              </w:rPr>
            </w:pPr>
            <w:r w:rsidRPr="003C560E">
              <w:rPr>
                <w:szCs w:val="22"/>
              </w:rPr>
              <w:t>122,775</w:t>
            </w:r>
          </w:p>
        </w:tc>
      </w:tr>
      <w:tr w14:paraId="11C26B96" w14:textId="77777777" w:rsidTr="00886011">
        <w:tblPrEx>
          <w:tblW w:w="8550" w:type="dxa"/>
          <w:tblInd w:w="210" w:type="dxa"/>
          <w:tblLayout w:type="fixed"/>
          <w:tblCellMar>
            <w:left w:w="120" w:type="dxa"/>
            <w:right w:w="120" w:type="dxa"/>
          </w:tblCellMar>
          <w:tblLook w:val="0000"/>
        </w:tblPrEx>
        <w:tc>
          <w:tcPr>
            <w:tcW w:w="6840" w:type="dxa"/>
            <w:tcBorders>
              <w:top w:val="single" w:sz="6" w:space="0" w:color="auto"/>
              <w:left w:val="double" w:sz="6" w:space="0" w:color="auto"/>
              <w:bottom w:val="single" w:sz="6" w:space="0" w:color="auto"/>
            </w:tcBorders>
          </w:tcPr>
          <w:p w:rsidR="006F7AD6" w:rsidRPr="003C560E" w:rsidP="00886011" w14:paraId="26494CC2" w14:textId="77777777">
            <w:pPr>
              <w:tabs>
                <w:tab w:val="left" w:pos="-1440"/>
                <w:tab w:val="left" w:pos="-720"/>
              </w:tabs>
              <w:suppressAutoHyphens/>
              <w:spacing w:before="90" w:after="54"/>
              <w:rPr>
                <w:szCs w:val="22"/>
              </w:rPr>
            </w:pPr>
            <w:r w:rsidRPr="003C560E">
              <w:rPr>
                <w:szCs w:val="22"/>
              </w:rPr>
              <w:t>International Bearer Circuits - Terrestrial/Satellites (per Gbps circuit)</w:t>
            </w:r>
            <w:r w:rsidRPr="003C560E">
              <w:rPr>
                <w:szCs w:val="22"/>
                <w:vertAlign w:val="superscript"/>
              </w:rPr>
              <w:t xml:space="preserve"> </w:t>
            </w:r>
            <w:r w:rsidRPr="003C560E">
              <w:rPr>
                <w:szCs w:val="22"/>
              </w:rPr>
              <w:t xml:space="preserve"> </w:t>
            </w:r>
          </w:p>
        </w:tc>
        <w:tc>
          <w:tcPr>
            <w:tcW w:w="1710" w:type="dxa"/>
            <w:tcBorders>
              <w:top w:val="single" w:sz="6" w:space="0" w:color="auto"/>
              <w:left w:val="single" w:sz="6" w:space="0" w:color="auto"/>
              <w:bottom w:val="single" w:sz="6" w:space="0" w:color="auto"/>
              <w:right w:val="double" w:sz="6" w:space="0" w:color="auto"/>
            </w:tcBorders>
          </w:tcPr>
          <w:p w:rsidR="006F7AD6" w:rsidRPr="003C560E" w:rsidP="00886011" w14:paraId="65127FEC" w14:textId="77777777">
            <w:pPr>
              <w:tabs>
                <w:tab w:val="left" w:pos="-1440"/>
                <w:tab w:val="left" w:pos="-720"/>
              </w:tabs>
              <w:suppressAutoHyphens/>
              <w:spacing w:before="90" w:after="54"/>
              <w:jc w:val="center"/>
              <w:rPr>
                <w:szCs w:val="22"/>
              </w:rPr>
            </w:pPr>
            <w:r w:rsidRPr="003C560E">
              <w:rPr>
                <w:szCs w:val="22"/>
              </w:rPr>
              <w:t>176</w:t>
            </w:r>
          </w:p>
        </w:tc>
      </w:tr>
      <w:tr w14:paraId="7D8FF67F" w14:textId="77777777" w:rsidTr="00886011">
        <w:tblPrEx>
          <w:tblW w:w="8550" w:type="dxa"/>
          <w:tblInd w:w="210" w:type="dxa"/>
          <w:tblLayout w:type="fixed"/>
          <w:tblCellMar>
            <w:left w:w="120" w:type="dxa"/>
            <w:right w:w="120" w:type="dxa"/>
          </w:tblCellMar>
          <w:tblLook w:val="0000"/>
        </w:tblPrEx>
        <w:tc>
          <w:tcPr>
            <w:tcW w:w="6840" w:type="dxa"/>
            <w:tcBorders>
              <w:top w:val="single" w:sz="6" w:space="0" w:color="auto"/>
              <w:left w:val="double" w:sz="6" w:space="0" w:color="auto"/>
              <w:bottom w:val="double" w:sz="4" w:space="0" w:color="auto"/>
            </w:tcBorders>
          </w:tcPr>
          <w:p w:rsidR="006F7AD6" w:rsidRPr="003C560E" w:rsidP="00886011" w14:paraId="6AA60DB7" w14:textId="77777777">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Cs w:val="22"/>
              </w:rPr>
            </w:pPr>
            <w:r w:rsidRPr="003C560E">
              <w:rPr>
                <w:szCs w:val="22"/>
              </w:rPr>
              <w:t xml:space="preserve">Submarine Cable Landing Licenses Fee (per cable system) </w:t>
            </w:r>
          </w:p>
        </w:tc>
        <w:tc>
          <w:tcPr>
            <w:tcW w:w="1710" w:type="dxa"/>
            <w:tcBorders>
              <w:top w:val="single" w:sz="6" w:space="0" w:color="auto"/>
              <w:left w:val="single" w:sz="6" w:space="0" w:color="auto"/>
              <w:bottom w:val="double" w:sz="4" w:space="0" w:color="auto"/>
              <w:right w:val="double" w:sz="6" w:space="0" w:color="auto"/>
            </w:tcBorders>
          </w:tcPr>
          <w:p w:rsidR="006F7AD6" w:rsidRPr="003C560E" w:rsidP="00886011" w14:paraId="7F691678" w14:textId="77777777">
            <w:pPr>
              <w:tabs>
                <w:tab w:val="left" w:pos="-1440"/>
                <w:tab w:val="left" w:pos="-720"/>
              </w:tabs>
              <w:suppressAutoHyphens/>
              <w:spacing w:before="90" w:after="54"/>
              <w:jc w:val="center"/>
              <w:rPr>
                <w:szCs w:val="22"/>
              </w:rPr>
            </w:pPr>
            <w:r w:rsidRPr="003C560E">
              <w:rPr>
                <w:szCs w:val="22"/>
              </w:rPr>
              <w:t>See Table Below</w:t>
            </w:r>
          </w:p>
        </w:tc>
      </w:tr>
    </w:tbl>
    <w:p w:rsidR="006F7AD6" w:rsidRPr="003C560E" w:rsidP="006F7AD6" w14:paraId="16F05E8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outlineLvl w:val="0"/>
        <w:rPr>
          <w:b/>
          <w:szCs w:val="22"/>
        </w:rPr>
      </w:pPr>
    </w:p>
    <w:p w:rsidR="006F7AD6" w:rsidRPr="003C560E" w:rsidP="006F7AD6" w14:paraId="1E67F6C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outlineLvl w:val="0"/>
        <w:rPr>
          <w:b/>
          <w:szCs w:val="22"/>
        </w:rPr>
      </w:pPr>
    </w:p>
    <w:p w:rsidR="006F7AD6" w:rsidRPr="003C560E" w:rsidP="006F7AD6" w14:paraId="1573FD6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outlineLvl w:val="0"/>
        <w:rPr>
          <w:b/>
          <w:szCs w:val="22"/>
        </w:rPr>
      </w:pPr>
      <w:r w:rsidRPr="003C560E">
        <w:rPr>
          <w:szCs w:val="22"/>
        </w:rPr>
        <w:br w:type="page"/>
      </w:r>
    </w:p>
    <w:tbl>
      <w:tblPr>
        <w:tblW w:w="8550" w:type="dxa"/>
        <w:tblInd w:w="152" w:type="dxa"/>
        <w:tblLayout w:type="fixed"/>
        <w:tblCellMar>
          <w:left w:w="62" w:type="dxa"/>
          <w:right w:w="62" w:type="dxa"/>
        </w:tblCellMar>
        <w:tblLook w:val="0000"/>
      </w:tblPr>
      <w:tblGrid>
        <w:gridCol w:w="1890"/>
        <w:gridCol w:w="1080"/>
        <w:gridCol w:w="990"/>
        <w:gridCol w:w="900"/>
        <w:gridCol w:w="900"/>
        <w:gridCol w:w="1440"/>
        <w:gridCol w:w="1350"/>
      </w:tblGrid>
      <w:tr w14:paraId="0419AE8E" w14:textId="77777777" w:rsidTr="00886011">
        <w:tblPrEx>
          <w:tblW w:w="8550" w:type="dxa"/>
          <w:tblInd w:w="152" w:type="dxa"/>
          <w:tblLayout w:type="fixed"/>
          <w:tblCellMar>
            <w:left w:w="62" w:type="dxa"/>
            <w:right w:w="62" w:type="dxa"/>
          </w:tblCellMar>
          <w:tblLook w:val="0000"/>
        </w:tblPrEx>
        <w:tc>
          <w:tcPr>
            <w:tcW w:w="8550" w:type="dxa"/>
            <w:gridSpan w:val="7"/>
            <w:tcBorders>
              <w:top w:val="double" w:sz="6" w:space="0" w:color="auto"/>
              <w:left w:val="double" w:sz="6" w:space="0" w:color="auto"/>
              <w:right w:val="double" w:sz="6" w:space="0" w:color="auto"/>
            </w:tcBorders>
          </w:tcPr>
          <w:p w:rsidR="006F7AD6" w:rsidRPr="003C560E" w:rsidP="00886011" w14:paraId="1DCE081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Cs w:val="22"/>
              </w:rPr>
            </w:pPr>
            <w:r w:rsidRPr="003C560E">
              <w:rPr>
                <w:b/>
                <w:szCs w:val="22"/>
              </w:rPr>
              <w:t xml:space="preserve">FY 2018 </w:t>
            </w:r>
            <w:r>
              <w:rPr>
                <w:b/>
                <w:szCs w:val="22"/>
              </w:rPr>
              <w:fldChar w:fldCharType="begin"/>
            </w:r>
            <w:r w:rsidRPr="003C560E">
              <w:rPr>
                <w:b/>
                <w:szCs w:val="22"/>
              </w:rPr>
              <w:instrText xml:space="preserve">PRIVATE </w:instrText>
            </w:r>
            <w:r>
              <w:rPr>
                <w:b/>
                <w:szCs w:val="22"/>
              </w:rPr>
              <w:fldChar w:fldCharType="end"/>
            </w:r>
            <w:r w:rsidRPr="003C560E">
              <w:rPr>
                <w:b/>
                <w:szCs w:val="22"/>
              </w:rPr>
              <w:t>RADIO STATION REGULATORY FEES</w:t>
            </w:r>
          </w:p>
        </w:tc>
      </w:tr>
      <w:tr w14:paraId="4D7E27F4" w14:textId="77777777" w:rsidTr="00886011">
        <w:tblPrEx>
          <w:tblW w:w="8550" w:type="dxa"/>
          <w:tblInd w:w="152" w:type="dxa"/>
          <w:tblLayout w:type="fixed"/>
          <w:tblCellMar>
            <w:left w:w="62" w:type="dxa"/>
            <w:right w:w="62" w:type="dxa"/>
          </w:tblCellMar>
          <w:tblLook w:val="0000"/>
        </w:tblPrEx>
        <w:tc>
          <w:tcPr>
            <w:tcW w:w="1890" w:type="dxa"/>
            <w:tcBorders>
              <w:top w:val="single" w:sz="6" w:space="0" w:color="auto"/>
              <w:left w:val="double" w:sz="6" w:space="0" w:color="auto"/>
            </w:tcBorders>
          </w:tcPr>
          <w:p w:rsidR="006F7AD6" w:rsidRPr="003C560E" w:rsidP="00886011" w14:paraId="684A40A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jc w:val="center"/>
              <w:rPr>
                <w:b/>
                <w:szCs w:val="22"/>
              </w:rPr>
            </w:pPr>
            <w:r w:rsidRPr="003C560E">
              <w:rPr>
                <w:b/>
                <w:szCs w:val="22"/>
              </w:rPr>
              <w:t xml:space="preserve">Population </w:t>
            </w:r>
          </w:p>
          <w:p w:rsidR="006F7AD6" w:rsidRPr="003C560E" w:rsidP="00886011" w14:paraId="039EE99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04"/>
              <w:jc w:val="center"/>
              <w:rPr>
                <w:b/>
                <w:szCs w:val="22"/>
              </w:rPr>
            </w:pPr>
            <w:r w:rsidRPr="003C560E">
              <w:rPr>
                <w:b/>
                <w:szCs w:val="22"/>
              </w:rPr>
              <w:t>Served</w:t>
            </w:r>
          </w:p>
        </w:tc>
        <w:tc>
          <w:tcPr>
            <w:tcW w:w="1080" w:type="dxa"/>
            <w:tcBorders>
              <w:top w:val="single" w:sz="6" w:space="0" w:color="auto"/>
              <w:left w:val="single" w:sz="6" w:space="0" w:color="auto"/>
            </w:tcBorders>
          </w:tcPr>
          <w:p w:rsidR="006F7AD6" w:rsidRPr="003C560E" w:rsidP="00886011" w14:paraId="0273EBB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Cs w:val="22"/>
              </w:rPr>
            </w:pPr>
            <w:r w:rsidRPr="003C560E">
              <w:rPr>
                <w:b/>
                <w:szCs w:val="22"/>
              </w:rPr>
              <w:t>AM Class A</w:t>
            </w:r>
          </w:p>
        </w:tc>
        <w:tc>
          <w:tcPr>
            <w:tcW w:w="990" w:type="dxa"/>
            <w:tcBorders>
              <w:top w:val="single" w:sz="6" w:space="0" w:color="auto"/>
              <w:left w:val="single" w:sz="6" w:space="0" w:color="auto"/>
            </w:tcBorders>
          </w:tcPr>
          <w:p w:rsidR="006F7AD6" w:rsidRPr="003C560E" w:rsidP="00886011" w14:paraId="3425DB1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Cs w:val="22"/>
              </w:rPr>
            </w:pPr>
            <w:r w:rsidRPr="003C560E">
              <w:rPr>
                <w:b/>
                <w:szCs w:val="22"/>
              </w:rPr>
              <w:t>AM Class B</w:t>
            </w:r>
          </w:p>
        </w:tc>
        <w:tc>
          <w:tcPr>
            <w:tcW w:w="900" w:type="dxa"/>
            <w:tcBorders>
              <w:top w:val="single" w:sz="6" w:space="0" w:color="auto"/>
              <w:left w:val="single" w:sz="6" w:space="0" w:color="auto"/>
            </w:tcBorders>
          </w:tcPr>
          <w:p w:rsidR="006F7AD6" w:rsidRPr="003C560E" w:rsidP="00886011" w14:paraId="2B52C98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Cs w:val="22"/>
              </w:rPr>
            </w:pPr>
            <w:r w:rsidRPr="003C560E">
              <w:rPr>
                <w:b/>
                <w:szCs w:val="22"/>
              </w:rPr>
              <w:t>AM Class C</w:t>
            </w:r>
          </w:p>
        </w:tc>
        <w:tc>
          <w:tcPr>
            <w:tcW w:w="900" w:type="dxa"/>
            <w:tcBorders>
              <w:top w:val="single" w:sz="6" w:space="0" w:color="auto"/>
              <w:left w:val="single" w:sz="6" w:space="0" w:color="auto"/>
            </w:tcBorders>
          </w:tcPr>
          <w:p w:rsidR="006F7AD6" w:rsidRPr="003C560E" w:rsidP="00886011" w14:paraId="2209945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Cs w:val="22"/>
              </w:rPr>
            </w:pPr>
            <w:r w:rsidRPr="003C560E">
              <w:rPr>
                <w:b/>
                <w:szCs w:val="22"/>
              </w:rPr>
              <w:t>AM Class D</w:t>
            </w:r>
          </w:p>
        </w:tc>
        <w:tc>
          <w:tcPr>
            <w:tcW w:w="1440" w:type="dxa"/>
            <w:tcBorders>
              <w:top w:val="single" w:sz="6" w:space="0" w:color="auto"/>
              <w:left w:val="single" w:sz="6" w:space="0" w:color="auto"/>
            </w:tcBorders>
          </w:tcPr>
          <w:p w:rsidR="006F7AD6" w:rsidRPr="003C560E" w:rsidP="00886011" w14:paraId="648D6B3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jc w:val="center"/>
              <w:rPr>
                <w:b/>
                <w:szCs w:val="22"/>
                <w:lang w:val="pt-BR"/>
              </w:rPr>
            </w:pPr>
            <w:r w:rsidRPr="003C560E">
              <w:rPr>
                <w:b/>
                <w:szCs w:val="22"/>
                <w:lang w:val="pt-BR"/>
              </w:rPr>
              <w:t>FM Classes</w:t>
            </w:r>
          </w:p>
          <w:p w:rsidR="006F7AD6" w:rsidRPr="003C560E" w:rsidP="00886011" w14:paraId="2057A02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04"/>
              <w:jc w:val="center"/>
              <w:rPr>
                <w:b/>
                <w:szCs w:val="22"/>
                <w:lang w:val="pt-BR"/>
              </w:rPr>
            </w:pPr>
            <w:r w:rsidRPr="003C560E">
              <w:rPr>
                <w:b/>
                <w:szCs w:val="22"/>
                <w:lang w:val="pt-BR"/>
              </w:rPr>
              <w:t>A, B1 &amp; C3</w:t>
            </w:r>
          </w:p>
        </w:tc>
        <w:tc>
          <w:tcPr>
            <w:tcW w:w="1350" w:type="dxa"/>
            <w:tcBorders>
              <w:top w:val="single" w:sz="6" w:space="0" w:color="auto"/>
              <w:left w:val="single" w:sz="6" w:space="0" w:color="auto"/>
              <w:right w:val="double" w:sz="6" w:space="0" w:color="auto"/>
            </w:tcBorders>
          </w:tcPr>
          <w:p w:rsidR="006F7AD6" w:rsidRPr="003C560E" w:rsidP="00886011" w14:paraId="5CA803A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jc w:val="center"/>
              <w:rPr>
                <w:b/>
                <w:szCs w:val="22"/>
                <w:lang w:val="pt-BR"/>
              </w:rPr>
            </w:pPr>
            <w:r w:rsidRPr="003C560E">
              <w:rPr>
                <w:b/>
                <w:szCs w:val="22"/>
                <w:lang w:val="pt-BR"/>
              </w:rPr>
              <w:t>FM Classes</w:t>
            </w:r>
          </w:p>
          <w:p w:rsidR="006F7AD6" w:rsidRPr="003C560E" w:rsidP="00886011" w14:paraId="34A232A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04"/>
              <w:jc w:val="center"/>
              <w:rPr>
                <w:b/>
                <w:szCs w:val="22"/>
                <w:lang w:val="pt-BR"/>
              </w:rPr>
            </w:pPr>
            <w:r w:rsidRPr="003C560E">
              <w:rPr>
                <w:b/>
                <w:szCs w:val="22"/>
                <w:lang w:val="pt-BR"/>
              </w:rPr>
              <w:t>B, C, C0, C1 &amp; C2</w:t>
            </w:r>
          </w:p>
        </w:tc>
      </w:tr>
      <w:tr w14:paraId="5FC85C8A" w14:textId="77777777" w:rsidTr="00886011">
        <w:tblPrEx>
          <w:tblW w:w="8550" w:type="dxa"/>
          <w:tblInd w:w="152" w:type="dxa"/>
          <w:tblLayout w:type="fixed"/>
          <w:tblCellMar>
            <w:left w:w="62" w:type="dxa"/>
            <w:right w:w="62" w:type="dxa"/>
          </w:tblCellMar>
          <w:tblLook w:val="0000"/>
        </w:tblPrEx>
        <w:tc>
          <w:tcPr>
            <w:tcW w:w="1890" w:type="dxa"/>
            <w:tcBorders>
              <w:top w:val="single" w:sz="6" w:space="0" w:color="auto"/>
              <w:left w:val="double" w:sz="6" w:space="0" w:color="auto"/>
            </w:tcBorders>
          </w:tcPr>
          <w:p w:rsidR="006F7AD6" w:rsidRPr="003C560E" w:rsidP="00886011" w14:paraId="7BCF9C1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Cs w:val="22"/>
              </w:rPr>
            </w:pPr>
            <w:r w:rsidRPr="003C560E">
              <w:rPr>
                <w:b/>
                <w:szCs w:val="22"/>
              </w:rPr>
              <w:t>&lt;=25,000</w:t>
            </w:r>
          </w:p>
        </w:tc>
        <w:tc>
          <w:tcPr>
            <w:tcW w:w="1080" w:type="dxa"/>
            <w:tcBorders>
              <w:top w:val="single" w:sz="6" w:space="0" w:color="auto"/>
              <w:left w:val="single" w:sz="6" w:space="0" w:color="auto"/>
            </w:tcBorders>
          </w:tcPr>
          <w:p w:rsidR="006F7AD6" w:rsidRPr="003C560E" w:rsidP="00886011" w14:paraId="66A355F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3C560E">
              <w:rPr>
                <w:szCs w:val="22"/>
              </w:rPr>
              <w:t>$880</w:t>
            </w:r>
          </w:p>
        </w:tc>
        <w:tc>
          <w:tcPr>
            <w:tcW w:w="990" w:type="dxa"/>
            <w:tcBorders>
              <w:top w:val="single" w:sz="6" w:space="0" w:color="auto"/>
              <w:left w:val="single" w:sz="6" w:space="0" w:color="auto"/>
            </w:tcBorders>
          </w:tcPr>
          <w:p w:rsidR="006F7AD6" w:rsidRPr="003C560E" w:rsidP="00886011" w14:paraId="23261FF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3C560E">
              <w:rPr>
                <w:szCs w:val="22"/>
              </w:rPr>
              <w:t>$635</w:t>
            </w:r>
          </w:p>
        </w:tc>
        <w:tc>
          <w:tcPr>
            <w:tcW w:w="900" w:type="dxa"/>
            <w:tcBorders>
              <w:top w:val="single" w:sz="6" w:space="0" w:color="auto"/>
              <w:left w:val="single" w:sz="6" w:space="0" w:color="auto"/>
            </w:tcBorders>
          </w:tcPr>
          <w:p w:rsidR="006F7AD6" w:rsidRPr="003C560E" w:rsidP="00886011" w14:paraId="08A5909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3C560E">
              <w:rPr>
                <w:szCs w:val="22"/>
              </w:rPr>
              <w:t>$550</w:t>
            </w:r>
          </w:p>
        </w:tc>
        <w:tc>
          <w:tcPr>
            <w:tcW w:w="900" w:type="dxa"/>
            <w:tcBorders>
              <w:top w:val="single" w:sz="6" w:space="0" w:color="auto"/>
              <w:left w:val="single" w:sz="6" w:space="0" w:color="auto"/>
            </w:tcBorders>
          </w:tcPr>
          <w:p w:rsidR="006F7AD6" w:rsidRPr="003C560E" w:rsidP="00886011" w14:paraId="52A8B15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3C560E">
              <w:rPr>
                <w:szCs w:val="22"/>
              </w:rPr>
              <w:t>$605</w:t>
            </w:r>
          </w:p>
        </w:tc>
        <w:tc>
          <w:tcPr>
            <w:tcW w:w="1440" w:type="dxa"/>
            <w:tcBorders>
              <w:top w:val="single" w:sz="6" w:space="0" w:color="auto"/>
              <w:left w:val="single" w:sz="6" w:space="0" w:color="auto"/>
            </w:tcBorders>
          </w:tcPr>
          <w:p w:rsidR="006F7AD6" w:rsidRPr="003C560E" w:rsidP="00886011" w14:paraId="2CA94C0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3C560E">
              <w:rPr>
                <w:szCs w:val="22"/>
              </w:rPr>
              <w:t>$965</w:t>
            </w:r>
          </w:p>
        </w:tc>
        <w:tc>
          <w:tcPr>
            <w:tcW w:w="1350" w:type="dxa"/>
            <w:tcBorders>
              <w:top w:val="single" w:sz="6" w:space="0" w:color="auto"/>
              <w:left w:val="single" w:sz="6" w:space="0" w:color="auto"/>
              <w:right w:val="double" w:sz="6" w:space="0" w:color="auto"/>
            </w:tcBorders>
          </w:tcPr>
          <w:p w:rsidR="006F7AD6" w:rsidRPr="003C560E" w:rsidP="00886011" w14:paraId="75D74D9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3C560E">
              <w:rPr>
                <w:szCs w:val="22"/>
              </w:rPr>
              <w:t>$1,100</w:t>
            </w:r>
          </w:p>
        </w:tc>
      </w:tr>
      <w:tr w14:paraId="2FE01B94" w14:textId="77777777" w:rsidTr="00886011">
        <w:tblPrEx>
          <w:tblW w:w="8550" w:type="dxa"/>
          <w:tblInd w:w="152" w:type="dxa"/>
          <w:tblLayout w:type="fixed"/>
          <w:tblCellMar>
            <w:left w:w="62" w:type="dxa"/>
            <w:right w:w="62" w:type="dxa"/>
          </w:tblCellMar>
          <w:tblLook w:val="0000"/>
        </w:tblPrEx>
        <w:tc>
          <w:tcPr>
            <w:tcW w:w="1890" w:type="dxa"/>
            <w:tcBorders>
              <w:top w:val="single" w:sz="6" w:space="0" w:color="auto"/>
              <w:left w:val="double" w:sz="6" w:space="0" w:color="auto"/>
            </w:tcBorders>
          </w:tcPr>
          <w:p w:rsidR="006F7AD6" w:rsidRPr="003C560E" w:rsidP="00886011" w14:paraId="24930D7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Cs w:val="22"/>
              </w:rPr>
            </w:pPr>
            <w:r w:rsidRPr="003C560E">
              <w:rPr>
                <w:b/>
                <w:szCs w:val="22"/>
              </w:rPr>
              <w:t>25,001 – 75,000</w:t>
            </w:r>
          </w:p>
        </w:tc>
        <w:tc>
          <w:tcPr>
            <w:tcW w:w="1080" w:type="dxa"/>
            <w:tcBorders>
              <w:top w:val="single" w:sz="6" w:space="0" w:color="auto"/>
              <w:left w:val="single" w:sz="6" w:space="0" w:color="auto"/>
            </w:tcBorders>
          </w:tcPr>
          <w:p w:rsidR="006F7AD6" w:rsidRPr="003C560E" w:rsidP="00886011" w14:paraId="3877BD2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3C560E">
              <w:rPr>
                <w:szCs w:val="22"/>
              </w:rPr>
              <w:t>$1,325</w:t>
            </w:r>
          </w:p>
        </w:tc>
        <w:tc>
          <w:tcPr>
            <w:tcW w:w="990" w:type="dxa"/>
            <w:tcBorders>
              <w:top w:val="single" w:sz="6" w:space="0" w:color="auto"/>
              <w:left w:val="single" w:sz="6" w:space="0" w:color="auto"/>
            </w:tcBorders>
          </w:tcPr>
          <w:p w:rsidR="006F7AD6" w:rsidRPr="003C560E" w:rsidP="00886011" w14:paraId="64A0933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3C560E">
              <w:rPr>
                <w:szCs w:val="22"/>
              </w:rPr>
              <w:t>$950</w:t>
            </w:r>
          </w:p>
        </w:tc>
        <w:tc>
          <w:tcPr>
            <w:tcW w:w="900" w:type="dxa"/>
            <w:tcBorders>
              <w:top w:val="single" w:sz="6" w:space="0" w:color="auto"/>
              <w:left w:val="single" w:sz="6" w:space="0" w:color="auto"/>
            </w:tcBorders>
          </w:tcPr>
          <w:p w:rsidR="006F7AD6" w:rsidRPr="003C560E" w:rsidP="00886011" w14:paraId="7F3C0C6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3C560E">
              <w:rPr>
                <w:szCs w:val="22"/>
              </w:rPr>
              <w:t>$825</w:t>
            </w:r>
          </w:p>
        </w:tc>
        <w:tc>
          <w:tcPr>
            <w:tcW w:w="900" w:type="dxa"/>
            <w:tcBorders>
              <w:top w:val="single" w:sz="6" w:space="0" w:color="auto"/>
              <w:left w:val="single" w:sz="6" w:space="0" w:color="auto"/>
            </w:tcBorders>
          </w:tcPr>
          <w:p w:rsidR="006F7AD6" w:rsidRPr="003C560E" w:rsidP="00886011" w14:paraId="3DB4B57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3C560E">
              <w:rPr>
                <w:szCs w:val="22"/>
              </w:rPr>
              <w:t>$910</w:t>
            </w:r>
          </w:p>
        </w:tc>
        <w:tc>
          <w:tcPr>
            <w:tcW w:w="1440" w:type="dxa"/>
            <w:tcBorders>
              <w:top w:val="single" w:sz="6" w:space="0" w:color="auto"/>
              <w:left w:val="single" w:sz="6" w:space="0" w:color="auto"/>
            </w:tcBorders>
          </w:tcPr>
          <w:p w:rsidR="006F7AD6" w:rsidRPr="003C560E" w:rsidP="00886011" w14:paraId="58A18AC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3C560E">
              <w:rPr>
                <w:szCs w:val="22"/>
              </w:rPr>
              <w:t>$1,450</w:t>
            </w:r>
          </w:p>
        </w:tc>
        <w:tc>
          <w:tcPr>
            <w:tcW w:w="1350" w:type="dxa"/>
            <w:tcBorders>
              <w:top w:val="single" w:sz="6" w:space="0" w:color="auto"/>
              <w:left w:val="single" w:sz="6" w:space="0" w:color="auto"/>
              <w:right w:val="double" w:sz="6" w:space="0" w:color="auto"/>
            </w:tcBorders>
          </w:tcPr>
          <w:p w:rsidR="006F7AD6" w:rsidRPr="003C560E" w:rsidP="00886011" w14:paraId="48563FF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3C560E">
              <w:rPr>
                <w:szCs w:val="22"/>
              </w:rPr>
              <w:t>$1,650</w:t>
            </w:r>
          </w:p>
        </w:tc>
      </w:tr>
      <w:tr w14:paraId="3E93514C" w14:textId="77777777" w:rsidTr="00886011">
        <w:tblPrEx>
          <w:tblW w:w="8550" w:type="dxa"/>
          <w:tblInd w:w="152" w:type="dxa"/>
          <w:tblLayout w:type="fixed"/>
          <w:tblCellMar>
            <w:left w:w="62" w:type="dxa"/>
            <w:right w:w="62" w:type="dxa"/>
          </w:tblCellMar>
          <w:tblLook w:val="0000"/>
        </w:tblPrEx>
        <w:tc>
          <w:tcPr>
            <w:tcW w:w="1890" w:type="dxa"/>
            <w:tcBorders>
              <w:top w:val="single" w:sz="6" w:space="0" w:color="auto"/>
              <w:left w:val="double" w:sz="6" w:space="0" w:color="auto"/>
            </w:tcBorders>
          </w:tcPr>
          <w:p w:rsidR="006F7AD6" w:rsidRPr="003C560E" w:rsidP="00886011" w14:paraId="438ECF7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Cs w:val="22"/>
              </w:rPr>
            </w:pPr>
            <w:r w:rsidRPr="003C560E">
              <w:rPr>
                <w:b/>
                <w:szCs w:val="22"/>
              </w:rPr>
              <w:t>75,001 – 150,000</w:t>
            </w:r>
          </w:p>
        </w:tc>
        <w:tc>
          <w:tcPr>
            <w:tcW w:w="1080" w:type="dxa"/>
            <w:tcBorders>
              <w:top w:val="single" w:sz="6" w:space="0" w:color="auto"/>
              <w:left w:val="single" w:sz="6" w:space="0" w:color="auto"/>
            </w:tcBorders>
          </w:tcPr>
          <w:p w:rsidR="006F7AD6" w:rsidRPr="003C560E" w:rsidP="00886011" w14:paraId="58BAB64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3C560E">
              <w:rPr>
                <w:szCs w:val="22"/>
              </w:rPr>
              <w:t>$1,975</w:t>
            </w:r>
          </w:p>
        </w:tc>
        <w:tc>
          <w:tcPr>
            <w:tcW w:w="990" w:type="dxa"/>
            <w:tcBorders>
              <w:top w:val="single" w:sz="6" w:space="0" w:color="auto"/>
              <w:left w:val="single" w:sz="6" w:space="0" w:color="auto"/>
            </w:tcBorders>
          </w:tcPr>
          <w:p w:rsidR="006F7AD6" w:rsidRPr="003C560E" w:rsidP="00886011" w14:paraId="0DEF2FF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3C560E">
              <w:rPr>
                <w:szCs w:val="22"/>
              </w:rPr>
              <w:t>$1,425</w:t>
            </w:r>
          </w:p>
        </w:tc>
        <w:tc>
          <w:tcPr>
            <w:tcW w:w="900" w:type="dxa"/>
            <w:tcBorders>
              <w:top w:val="single" w:sz="6" w:space="0" w:color="auto"/>
              <w:left w:val="single" w:sz="6" w:space="0" w:color="auto"/>
            </w:tcBorders>
          </w:tcPr>
          <w:p w:rsidR="006F7AD6" w:rsidRPr="003C560E" w:rsidP="00886011" w14:paraId="2C0FC15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3C560E">
              <w:rPr>
                <w:szCs w:val="22"/>
              </w:rPr>
              <w:t>$1,250</w:t>
            </w:r>
          </w:p>
        </w:tc>
        <w:tc>
          <w:tcPr>
            <w:tcW w:w="900" w:type="dxa"/>
            <w:tcBorders>
              <w:top w:val="single" w:sz="6" w:space="0" w:color="auto"/>
              <w:left w:val="single" w:sz="6" w:space="0" w:color="auto"/>
            </w:tcBorders>
          </w:tcPr>
          <w:p w:rsidR="006F7AD6" w:rsidRPr="003C560E" w:rsidP="00886011" w14:paraId="7379F42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3C560E">
              <w:rPr>
                <w:szCs w:val="22"/>
              </w:rPr>
              <w:t>$1,350</w:t>
            </w:r>
          </w:p>
        </w:tc>
        <w:tc>
          <w:tcPr>
            <w:tcW w:w="1440" w:type="dxa"/>
            <w:tcBorders>
              <w:top w:val="single" w:sz="6" w:space="0" w:color="auto"/>
              <w:left w:val="single" w:sz="6" w:space="0" w:color="auto"/>
            </w:tcBorders>
          </w:tcPr>
          <w:p w:rsidR="006F7AD6" w:rsidRPr="003C560E" w:rsidP="00886011" w14:paraId="2899A26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3C560E">
              <w:rPr>
                <w:szCs w:val="22"/>
              </w:rPr>
              <w:t>$2,175</w:t>
            </w:r>
          </w:p>
        </w:tc>
        <w:tc>
          <w:tcPr>
            <w:tcW w:w="1350" w:type="dxa"/>
            <w:tcBorders>
              <w:top w:val="single" w:sz="6" w:space="0" w:color="auto"/>
              <w:left w:val="single" w:sz="6" w:space="0" w:color="auto"/>
              <w:right w:val="double" w:sz="6" w:space="0" w:color="auto"/>
            </w:tcBorders>
          </w:tcPr>
          <w:p w:rsidR="006F7AD6" w:rsidRPr="003C560E" w:rsidP="00886011" w14:paraId="28F79EC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3C560E">
              <w:rPr>
                <w:szCs w:val="22"/>
              </w:rPr>
              <w:t>$2,475</w:t>
            </w:r>
          </w:p>
        </w:tc>
      </w:tr>
      <w:tr w14:paraId="05909361" w14:textId="77777777" w:rsidTr="00886011">
        <w:tblPrEx>
          <w:tblW w:w="8550" w:type="dxa"/>
          <w:tblInd w:w="152" w:type="dxa"/>
          <w:tblLayout w:type="fixed"/>
          <w:tblCellMar>
            <w:left w:w="62" w:type="dxa"/>
            <w:right w:w="62" w:type="dxa"/>
          </w:tblCellMar>
          <w:tblLook w:val="0000"/>
        </w:tblPrEx>
        <w:tc>
          <w:tcPr>
            <w:tcW w:w="1890" w:type="dxa"/>
            <w:tcBorders>
              <w:top w:val="single" w:sz="6" w:space="0" w:color="auto"/>
              <w:left w:val="double" w:sz="6" w:space="0" w:color="auto"/>
            </w:tcBorders>
          </w:tcPr>
          <w:p w:rsidR="006F7AD6" w:rsidRPr="003C560E" w:rsidP="00886011" w14:paraId="34A2A70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Cs w:val="22"/>
              </w:rPr>
            </w:pPr>
            <w:r w:rsidRPr="003C560E">
              <w:rPr>
                <w:b/>
                <w:szCs w:val="22"/>
              </w:rPr>
              <w:t>150,001 – 500,000</w:t>
            </w:r>
          </w:p>
        </w:tc>
        <w:tc>
          <w:tcPr>
            <w:tcW w:w="1080" w:type="dxa"/>
            <w:tcBorders>
              <w:top w:val="single" w:sz="6" w:space="0" w:color="auto"/>
              <w:left w:val="single" w:sz="6" w:space="0" w:color="auto"/>
            </w:tcBorders>
          </w:tcPr>
          <w:p w:rsidR="006F7AD6" w:rsidRPr="003C560E" w:rsidP="00886011" w14:paraId="5EED956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3C560E">
              <w:rPr>
                <w:szCs w:val="22"/>
              </w:rPr>
              <w:t>$2,975</w:t>
            </w:r>
          </w:p>
        </w:tc>
        <w:tc>
          <w:tcPr>
            <w:tcW w:w="990" w:type="dxa"/>
            <w:tcBorders>
              <w:top w:val="single" w:sz="6" w:space="0" w:color="auto"/>
              <w:left w:val="single" w:sz="6" w:space="0" w:color="auto"/>
            </w:tcBorders>
          </w:tcPr>
          <w:p w:rsidR="006F7AD6" w:rsidRPr="003C560E" w:rsidP="00886011" w14:paraId="5B89413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3C560E">
              <w:rPr>
                <w:szCs w:val="22"/>
              </w:rPr>
              <w:t>$2,150</w:t>
            </w:r>
          </w:p>
        </w:tc>
        <w:tc>
          <w:tcPr>
            <w:tcW w:w="900" w:type="dxa"/>
            <w:tcBorders>
              <w:top w:val="single" w:sz="6" w:space="0" w:color="auto"/>
              <w:left w:val="single" w:sz="6" w:space="0" w:color="auto"/>
            </w:tcBorders>
          </w:tcPr>
          <w:p w:rsidR="006F7AD6" w:rsidRPr="003C560E" w:rsidP="00886011" w14:paraId="3B96FE8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3C560E">
              <w:rPr>
                <w:szCs w:val="22"/>
              </w:rPr>
              <w:t>$1,850</w:t>
            </w:r>
          </w:p>
        </w:tc>
        <w:tc>
          <w:tcPr>
            <w:tcW w:w="900" w:type="dxa"/>
            <w:tcBorders>
              <w:top w:val="single" w:sz="6" w:space="0" w:color="auto"/>
              <w:left w:val="single" w:sz="6" w:space="0" w:color="auto"/>
            </w:tcBorders>
          </w:tcPr>
          <w:p w:rsidR="006F7AD6" w:rsidRPr="003C560E" w:rsidP="00886011" w14:paraId="2AAF089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3C560E">
              <w:rPr>
                <w:szCs w:val="22"/>
              </w:rPr>
              <w:t>$2,050</w:t>
            </w:r>
          </w:p>
        </w:tc>
        <w:tc>
          <w:tcPr>
            <w:tcW w:w="1440" w:type="dxa"/>
            <w:tcBorders>
              <w:top w:val="single" w:sz="6" w:space="0" w:color="auto"/>
              <w:left w:val="single" w:sz="6" w:space="0" w:color="auto"/>
            </w:tcBorders>
          </w:tcPr>
          <w:p w:rsidR="006F7AD6" w:rsidRPr="003C560E" w:rsidP="00886011" w14:paraId="17EA2FC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3C560E">
              <w:rPr>
                <w:szCs w:val="22"/>
              </w:rPr>
              <w:t>$3,250</w:t>
            </w:r>
          </w:p>
        </w:tc>
        <w:tc>
          <w:tcPr>
            <w:tcW w:w="1350" w:type="dxa"/>
            <w:tcBorders>
              <w:top w:val="single" w:sz="6" w:space="0" w:color="auto"/>
              <w:left w:val="single" w:sz="6" w:space="0" w:color="auto"/>
              <w:right w:val="double" w:sz="6" w:space="0" w:color="auto"/>
            </w:tcBorders>
          </w:tcPr>
          <w:p w:rsidR="006F7AD6" w:rsidRPr="003C560E" w:rsidP="00886011" w14:paraId="0E37966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3C560E">
              <w:rPr>
                <w:szCs w:val="22"/>
              </w:rPr>
              <w:t>$3,725</w:t>
            </w:r>
          </w:p>
        </w:tc>
      </w:tr>
      <w:tr w14:paraId="27B655A8" w14:textId="77777777" w:rsidTr="00886011">
        <w:tblPrEx>
          <w:tblW w:w="8550" w:type="dxa"/>
          <w:tblInd w:w="152" w:type="dxa"/>
          <w:tblLayout w:type="fixed"/>
          <w:tblCellMar>
            <w:left w:w="62" w:type="dxa"/>
            <w:right w:w="62" w:type="dxa"/>
          </w:tblCellMar>
          <w:tblLook w:val="0000"/>
        </w:tblPrEx>
        <w:tc>
          <w:tcPr>
            <w:tcW w:w="1890" w:type="dxa"/>
            <w:tcBorders>
              <w:top w:val="single" w:sz="6" w:space="0" w:color="auto"/>
              <w:left w:val="double" w:sz="6" w:space="0" w:color="auto"/>
            </w:tcBorders>
          </w:tcPr>
          <w:p w:rsidR="006F7AD6" w:rsidRPr="003C560E" w:rsidP="00886011" w14:paraId="1672B40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Cs w:val="22"/>
              </w:rPr>
            </w:pPr>
            <w:r w:rsidRPr="003C560E">
              <w:rPr>
                <w:b/>
                <w:szCs w:val="22"/>
              </w:rPr>
              <w:t>500,001 – 1,200,000</w:t>
            </w:r>
          </w:p>
        </w:tc>
        <w:tc>
          <w:tcPr>
            <w:tcW w:w="1080" w:type="dxa"/>
            <w:tcBorders>
              <w:top w:val="single" w:sz="6" w:space="0" w:color="auto"/>
              <w:left w:val="single" w:sz="6" w:space="0" w:color="auto"/>
            </w:tcBorders>
          </w:tcPr>
          <w:p w:rsidR="006F7AD6" w:rsidRPr="003C560E" w:rsidP="00886011" w14:paraId="497218F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3C560E">
              <w:rPr>
                <w:szCs w:val="22"/>
              </w:rPr>
              <w:t>$4,450</w:t>
            </w:r>
          </w:p>
        </w:tc>
        <w:tc>
          <w:tcPr>
            <w:tcW w:w="990" w:type="dxa"/>
            <w:tcBorders>
              <w:top w:val="single" w:sz="6" w:space="0" w:color="auto"/>
              <w:left w:val="single" w:sz="6" w:space="0" w:color="auto"/>
            </w:tcBorders>
          </w:tcPr>
          <w:p w:rsidR="006F7AD6" w:rsidRPr="003C560E" w:rsidP="00886011" w14:paraId="39345EB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3C560E">
              <w:rPr>
                <w:szCs w:val="22"/>
              </w:rPr>
              <w:t>$3,225</w:t>
            </w:r>
          </w:p>
        </w:tc>
        <w:tc>
          <w:tcPr>
            <w:tcW w:w="900" w:type="dxa"/>
            <w:tcBorders>
              <w:top w:val="single" w:sz="6" w:space="0" w:color="auto"/>
              <w:left w:val="single" w:sz="6" w:space="0" w:color="auto"/>
            </w:tcBorders>
          </w:tcPr>
          <w:p w:rsidR="006F7AD6" w:rsidRPr="003C560E" w:rsidP="00886011" w14:paraId="2922B26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3C560E">
              <w:rPr>
                <w:szCs w:val="22"/>
              </w:rPr>
              <w:t>$2,775</w:t>
            </w:r>
          </w:p>
        </w:tc>
        <w:tc>
          <w:tcPr>
            <w:tcW w:w="900" w:type="dxa"/>
            <w:tcBorders>
              <w:top w:val="single" w:sz="6" w:space="0" w:color="auto"/>
              <w:left w:val="single" w:sz="6" w:space="0" w:color="auto"/>
            </w:tcBorders>
          </w:tcPr>
          <w:p w:rsidR="006F7AD6" w:rsidRPr="003C560E" w:rsidP="00886011" w14:paraId="3321FE8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3C560E">
              <w:rPr>
                <w:szCs w:val="22"/>
              </w:rPr>
              <w:t>$3,050</w:t>
            </w:r>
          </w:p>
        </w:tc>
        <w:tc>
          <w:tcPr>
            <w:tcW w:w="1440" w:type="dxa"/>
            <w:tcBorders>
              <w:top w:val="single" w:sz="6" w:space="0" w:color="auto"/>
              <w:left w:val="single" w:sz="6" w:space="0" w:color="auto"/>
            </w:tcBorders>
          </w:tcPr>
          <w:p w:rsidR="006F7AD6" w:rsidRPr="003C560E" w:rsidP="00886011" w14:paraId="3A2EE30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3C560E">
              <w:rPr>
                <w:szCs w:val="22"/>
              </w:rPr>
              <w:t>$4,875</w:t>
            </w:r>
          </w:p>
        </w:tc>
        <w:tc>
          <w:tcPr>
            <w:tcW w:w="1350" w:type="dxa"/>
            <w:tcBorders>
              <w:top w:val="single" w:sz="6" w:space="0" w:color="auto"/>
              <w:left w:val="single" w:sz="6" w:space="0" w:color="auto"/>
              <w:right w:val="double" w:sz="6" w:space="0" w:color="auto"/>
            </w:tcBorders>
          </w:tcPr>
          <w:p w:rsidR="006F7AD6" w:rsidRPr="003C560E" w:rsidP="00886011" w14:paraId="33C856C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3C560E">
              <w:rPr>
                <w:szCs w:val="22"/>
              </w:rPr>
              <w:t>$5,575</w:t>
            </w:r>
          </w:p>
        </w:tc>
      </w:tr>
      <w:tr w14:paraId="798DD3B0" w14:textId="77777777" w:rsidTr="00886011">
        <w:tblPrEx>
          <w:tblW w:w="8550" w:type="dxa"/>
          <w:tblInd w:w="152" w:type="dxa"/>
          <w:tblLayout w:type="fixed"/>
          <w:tblCellMar>
            <w:left w:w="62" w:type="dxa"/>
            <w:right w:w="62" w:type="dxa"/>
          </w:tblCellMar>
          <w:tblLook w:val="0000"/>
        </w:tblPrEx>
        <w:trPr>
          <w:trHeight w:val="361"/>
        </w:trPr>
        <w:tc>
          <w:tcPr>
            <w:tcW w:w="1890" w:type="dxa"/>
            <w:tcBorders>
              <w:top w:val="single" w:sz="6" w:space="0" w:color="auto"/>
              <w:left w:val="double" w:sz="6" w:space="0" w:color="auto"/>
              <w:bottom w:val="single" w:sz="6" w:space="0" w:color="auto"/>
            </w:tcBorders>
          </w:tcPr>
          <w:p w:rsidR="006F7AD6" w:rsidRPr="003C560E" w:rsidP="00886011" w14:paraId="1900D27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Cs w:val="22"/>
              </w:rPr>
            </w:pPr>
            <w:r w:rsidRPr="003C560E">
              <w:rPr>
                <w:b/>
                <w:szCs w:val="22"/>
              </w:rPr>
              <w:t>1,200,001 – 3,000,00</w:t>
            </w:r>
          </w:p>
        </w:tc>
        <w:tc>
          <w:tcPr>
            <w:tcW w:w="1080" w:type="dxa"/>
            <w:tcBorders>
              <w:top w:val="single" w:sz="6" w:space="0" w:color="auto"/>
              <w:left w:val="single" w:sz="6" w:space="0" w:color="auto"/>
              <w:bottom w:val="single" w:sz="6" w:space="0" w:color="auto"/>
            </w:tcBorders>
          </w:tcPr>
          <w:p w:rsidR="006F7AD6" w:rsidRPr="003C560E" w:rsidP="00886011" w14:paraId="4F960CA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3C560E">
              <w:rPr>
                <w:szCs w:val="22"/>
              </w:rPr>
              <w:t>$6,700</w:t>
            </w:r>
          </w:p>
        </w:tc>
        <w:tc>
          <w:tcPr>
            <w:tcW w:w="990" w:type="dxa"/>
            <w:tcBorders>
              <w:top w:val="single" w:sz="6" w:space="0" w:color="auto"/>
              <w:left w:val="single" w:sz="6" w:space="0" w:color="auto"/>
              <w:bottom w:val="single" w:sz="6" w:space="0" w:color="auto"/>
            </w:tcBorders>
          </w:tcPr>
          <w:p w:rsidR="006F7AD6" w:rsidRPr="003C560E" w:rsidP="00886011" w14:paraId="4A70F13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3C560E">
              <w:rPr>
                <w:szCs w:val="22"/>
              </w:rPr>
              <w:t>$4,825</w:t>
            </w:r>
          </w:p>
        </w:tc>
        <w:tc>
          <w:tcPr>
            <w:tcW w:w="900" w:type="dxa"/>
            <w:tcBorders>
              <w:top w:val="single" w:sz="6" w:space="0" w:color="auto"/>
              <w:left w:val="single" w:sz="6" w:space="0" w:color="auto"/>
              <w:bottom w:val="single" w:sz="6" w:space="0" w:color="auto"/>
            </w:tcBorders>
          </w:tcPr>
          <w:p w:rsidR="006F7AD6" w:rsidRPr="003C560E" w:rsidP="00886011" w14:paraId="69E360F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3C560E">
              <w:rPr>
                <w:szCs w:val="22"/>
              </w:rPr>
              <w:t>$4,175</w:t>
            </w:r>
          </w:p>
        </w:tc>
        <w:tc>
          <w:tcPr>
            <w:tcW w:w="900" w:type="dxa"/>
            <w:tcBorders>
              <w:top w:val="single" w:sz="6" w:space="0" w:color="auto"/>
              <w:left w:val="single" w:sz="6" w:space="0" w:color="auto"/>
              <w:bottom w:val="single" w:sz="6" w:space="0" w:color="auto"/>
            </w:tcBorders>
          </w:tcPr>
          <w:p w:rsidR="006F7AD6" w:rsidRPr="003C560E" w:rsidP="00886011" w14:paraId="530BB93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3C560E">
              <w:rPr>
                <w:szCs w:val="22"/>
              </w:rPr>
              <w:t>$4,600</w:t>
            </w:r>
          </w:p>
        </w:tc>
        <w:tc>
          <w:tcPr>
            <w:tcW w:w="1440" w:type="dxa"/>
            <w:tcBorders>
              <w:top w:val="single" w:sz="6" w:space="0" w:color="auto"/>
              <w:left w:val="single" w:sz="6" w:space="0" w:color="auto"/>
              <w:bottom w:val="single" w:sz="6" w:space="0" w:color="auto"/>
            </w:tcBorders>
          </w:tcPr>
          <w:p w:rsidR="006F7AD6" w:rsidRPr="003C560E" w:rsidP="00886011" w14:paraId="03CDA33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3C560E">
              <w:rPr>
                <w:szCs w:val="22"/>
              </w:rPr>
              <w:t>$7,325</w:t>
            </w:r>
          </w:p>
        </w:tc>
        <w:tc>
          <w:tcPr>
            <w:tcW w:w="1350" w:type="dxa"/>
            <w:tcBorders>
              <w:top w:val="single" w:sz="6" w:space="0" w:color="auto"/>
              <w:left w:val="single" w:sz="6" w:space="0" w:color="auto"/>
              <w:bottom w:val="single" w:sz="6" w:space="0" w:color="auto"/>
              <w:right w:val="double" w:sz="6" w:space="0" w:color="auto"/>
            </w:tcBorders>
          </w:tcPr>
          <w:p w:rsidR="006F7AD6" w:rsidRPr="003C560E" w:rsidP="00886011" w14:paraId="02FB30D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3C560E">
              <w:rPr>
                <w:szCs w:val="22"/>
              </w:rPr>
              <w:t>$8,350</w:t>
            </w:r>
          </w:p>
        </w:tc>
      </w:tr>
      <w:tr w14:paraId="2E997278" w14:textId="77777777" w:rsidTr="00886011">
        <w:tblPrEx>
          <w:tblW w:w="8550" w:type="dxa"/>
          <w:tblInd w:w="152" w:type="dxa"/>
          <w:tblLayout w:type="fixed"/>
          <w:tblCellMar>
            <w:left w:w="62" w:type="dxa"/>
            <w:right w:w="62" w:type="dxa"/>
          </w:tblCellMar>
          <w:tblLook w:val="0000"/>
        </w:tblPrEx>
        <w:tc>
          <w:tcPr>
            <w:tcW w:w="1890" w:type="dxa"/>
            <w:tcBorders>
              <w:top w:val="single" w:sz="6" w:space="0" w:color="auto"/>
              <w:left w:val="double" w:sz="6" w:space="0" w:color="auto"/>
              <w:bottom w:val="single" w:sz="6" w:space="0" w:color="auto"/>
            </w:tcBorders>
          </w:tcPr>
          <w:p w:rsidR="006F7AD6" w:rsidRPr="003C560E" w:rsidP="00886011" w14:paraId="50FF057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Cs w:val="22"/>
              </w:rPr>
            </w:pPr>
            <w:r w:rsidRPr="003C560E">
              <w:rPr>
                <w:b/>
                <w:szCs w:val="22"/>
              </w:rPr>
              <w:t>3,000,001 – 6,000,00</w:t>
            </w:r>
          </w:p>
        </w:tc>
        <w:tc>
          <w:tcPr>
            <w:tcW w:w="1080" w:type="dxa"/>
            <w:tcBorders>
              <w:top w:val="single" w:sz="6" w:space="0" w:color="auto"/>
              <w:left w:val="single" w:sz="6" w:space="0" w:color="auto"/>
              <w:bottom w:val="single" w:sz="6" w:space="0" w:color="auto"/>
            </w:tcBorders>
          </w:tcPr>
          <w:p w:rsidR="006F7AD6" w:rsidRPr="003C560E" w:rsidP="00886011" w14:paraId="62829B9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3C560E">
              <w:rPr>
                <w:szCs w:val="22"/>
              </w:rPr>
              <w:t>$10,025</w:t>
            </w:r>
          </w:p>
        </w:tc>
        <w:tc>
          <w:tcPr>
            <w:tcW w:w="990" w:type="dxa"/>
            <w:tcBorders>
              <w:top w:val="single" w:sz="6" w:space="0" w:color="auto"/>
              <w:left w:val="single" w:sz="6" w:space="0" w:color="auto"/>
              <w:bottom w:val="single" w:sz="6" w:space="0" w:color="auto"/>
            </w:tcBorders>
          </w:tcPr>
          <w:p w:rsidR="006F7AD6" w:rsidRPr="003C560E" w:rsidP="00886011" w14:paraId="47981AD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3C560E">
              <w:rPr>
                <w:szCs w:val="22"/>
              </w:rPr>
              <w:t>$7,225</w:t>
            </w:r>
          </w:p>
        </w:tc>
        <w:tc>
          <w:tcPr>
            <w:tcW w:w="900" w:type="dxa"/>
            <w:tcBorders>
              <w:top w:val="single" w:sz="6" w:space="0" w:color="auto"/>
              <w:left w:val="single" w:sz="6" w:space="0" w:color="auto"/>
              <w:bottom w:val="single" w:sz="6" w:space="0" w:color="auto"/>
            </w:tcBorders>
          </w:tcPr>
          <w:p w:rsidR="006F7AD6" w:rsidRPr="003C560E" w:rsidP="00886011" w14:paraId="314A974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3C560E">
              <w:rPr>
                <w:szCs w:val="22"/>
              </w:rPr>
              <w:t>$6,275</w:t>
            </w:r>
          </w:p>
        </w:tc>
        <w:tc>
          <w:tcPr>
            <w:tcW w:w="900" w:type="dxa"/>
            <w:tcBorders>
              <w:top w:val="single" w:sz="6" w:space="0" w:color="auto"/>
              <w:left w:val="single" w:sz="6" w:space="0" w:color="auto"/>
              <w:bottom w:val="single" w:sz="6" w:space="0" w:color="auto"/>
            </w:tcBorders>
          </w:tcPr>
          <w:p w:rsidR="006F7AD6" w:rsidRPr="003C560E" w:rsidP="00886011" w14:paraId="159A4B3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3C560E">
              <w:rPr>
                <w:szCs w:val="22"/>
              </w:rPr>
              <w:t>$6,900</w:t>
            </w:r>
          </w:p>
        </w:tc>
        <w:tc>
          <w:tcPr>
            <w:tcW w:w="1440" w:type="dxa"/>
            <w:tcBorders>
              <w:top w:val="single" w:sz="6" w:space="0" w:color="auto"/>
              <w:left w:val="single" w:sz="6" w:space="0" w:color="auto"/>
              <w:bottom w:val="single" w:sz="6" w:space="0" w:color="auto"/>
            </w:tcBorders>
          </w:tcPr>
          <w:p w:rsidR="006F7AD6" w:rsidRPr="003C560E" w:rsidP="00886011" w14:paraId="5B4487A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3C560E">
              <w:rPr>
                <w:szCs w:val="22"/>
              </w:rPr>
              <w:t>$11,000</w:t>
            </w:r>
          </w:p>
        </w:tc>
        <w:tc>
          <w:tcPr>
            <w:tcW w:w="1350" w:type="dxa"/>
            <w:tcBorders>
              <w:top w:val="single" w:sz="6" w:space="0" w:color="auto"/>
              <w:left w:val="single" w:sz="6" w:space="0" w:color="auto"/>
              <w:bottom w:val="single" w:sz="6" w:space="0" w:color="auto"/>
              <w:right w:val="double" w:sz="6" w:space="0" w:color="auto"/>
            </w:tcBorders>
          </w:tcPr>
          <w:p w:rsidR="006F7AD6" w:rsidRPr="003C560E" w:rsidP="00886011" w14:paraId="6F15B3A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3C560E">
              <w:rPr>
                <w:szCs w:val="22"/>
              </w:rPr>
              <w:t>$12,525</w:t>
            </w:r>
          </w:p>
        </w:tc>
      </w:tr>
      <w:tr w14:paraId="7D3B7143" w14:textId="77777777" w:rsidTr="00886011">
        <w:tblPrEx>
          <w:tblW w:w="8550" w:type="dxa"/>
          <w:tblInd w:w="152" w:type="dxa"/>
          <w:tblLayout w:type="fixed"/>
          <w:tblCellMar>
            <w:left w:w="62" w:type="dxa"/>
            <w:right w:w="62" w:type="dxa"/>
          </w:tblCellMar>
          <w:tblLook w:val="0000"/>
        </w:tblPrEx>
        <w:tc>
          <w:tcPr>
            <w:tcW w:w="1890" w:type="dxa"/>
            <w:tcBorders>
              <w:top w:val="single" w:sz="6" w:space="0" w:color="auto"/>
              <w:left w:val="double" w:sz="6" w:space="0" w:color="auto"/>
              <w:bottom w:val="double" w:sz="6" w:space="0" w:color="auto"/>
            </w:tcBorders>
          </w:tcPr>
          <w:p w:rsidR="006F7AD6" w:rsidRPr="003C560E" w:rsidP="00886011" w14:paraId="4FC941F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Cs w:val="22"/>
              </w:rPr>
            </w:pPr>
            <w:r w:rsidRPr="003C560E">
              <w:rPr>
                <w:b/>
                <w:szCs w:val="22"/>
              </w:rPr>
              <w:t>&gt;6,000,000</w:t>
            </w:r>
          </w:p>
        </w:tc>
        <w:tc>
          <w:tcPr>
            <w:tcW w:w="1080" w:type="dxa"/>
            <w:tcBorders>
              <w:top w:val="single" w:sz="6" w:space="0" w:color="auto"/>
              <w:left w:val="single" w:sz="6" w:space="0" w:color="auto"/>
              <w:bottom w:val="double" w:sz="6" w:space="0" w:color="auto"/>
            </w:tcBorders>
          </w:tcPr>
          <w:p w:rsidR="006F7AD6" w:rsidRPr="003C560E" w:rsidP="00886011" w14:paraId="76F5129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3C560E">
              <w:rPr>
                <w:szCs w:val="22"/>
              </w:rPr>
              <w:t>$15,050</w:t>
            </w:r>
          </w:p>
        </w:tc>
        <w:tc>
          <w:tcPr>
            <w:tcW w:w="990" w:type="dxa"/>
            <w:tcBorders>
              <w:top w:val="single" w:sz="6" w:space="0" w:color="auto"/>
              <w:left w:val="single" w:sz="6" w:space="0" w:color="auto"/>
              <w:bottom w:val="double" w:sz="6" w:space="0" w:color="auto"/>
            </w:tcBorders>
          </w:tcPr>
          <w:p w:rsidR="006F7AD6" w:rsidRPr="003C560E" w:rsidP="00886011" w14:paraId="32D75E4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3C560E">
              <w:rPr>
                <w:szCs w:val="22"/>
              </w:rPr>
              <w:t>$10,850</w:t>
            </w:r>
          </w:p>
        </w:tc>
        <w:tc>
          <w:tcPr>
            <w:tcW w:w="900" w:type="dxa"/>
            <w:tcBorders>
              <w:top w:val="single" w:sz="6" w:space="0" w:color="auto"/>
              <w:left w:val="single" w:sz="6" w:space="0" w:color="auto"/>
              <w:bottom w:val="double" w:sz="6" w:space="0" w:color="auto"/>
            </w:tcBorders>
          </w:tcPr>
          <w:p w:rsidR="006F7AD6" w:rsidRPr="003C560E" w:rsidP="00886011" w14:paraId="0B49D7B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3C560E">
              <w:rPr>
                <w:szCs w:val="22"/>
              </w:rPr>
              <w:t>$9,400</w:t>
            </w:r>
          </w:p>
        </w:tc>
        <w:tc>
          <w:tcPr>
            <w:tcW w:w="900" w:type="dxa"/>
            <w:tcBorders>
              <w:top w:val="single" w:sz="6" w:space="0" w:color="auto"/>
              <w:left w:val="single" w:sz="6" w:space="0" w:color="auto"/>
              <w:bottom w:val="double" w:sz="6" w:space="0" w:color="auto"/>
            </w:tcBorders>
          </w:tcPr>
          <w:p w:rsidR="006F7AD6" w:rsidRPr="003C560E" w:rsidP="00886011" w14:paraId="2AE63BB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3C560E">
              <w:rPr>
                <w:szCs w:val="22"/>
              </w:rPr>
              <w:t>$10,325</w:t>
            </w:r>
          </w:p>
        </w:tc>
        <w:tc>
          <w:tcPr>
            <w:tcW w:w="1440" w:type="dxa"/>
            <w:tcBorders>
              <w:top w:val="single" w:sz="6" w:space="0" w:color="auto"/>
              <w:left w:val="single" w:sz="6" w:space="0" w:color="auto"/>
              <w:bottom w:val="double" w:sz="6" w:space="0" w:color="auto"/>
            </w:tcBorders>
          </w:tcPr>
          <w:p w:rsidR="006F7AD6" w:rsidRPr="003C560E" w:rsidP="00886011" w14:paraId="5D8E7F7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3C560E">
              <w:rPr>
                <w:szCs w:val="22"/>
              </w:rPr>
              <w:t>$16,500</w:t>
            </w:r>
          </w:p>
        </w:tc>
        <w:tc>
          <w:tcPr>
            <w:tcW w:w="1350" w:type="dxa"/>
            <w:tcBorders>
              <w:top w:val="single" w:sz="6" w:space="0" w:color="auto"/>
              <w:left w:val="single" w:sz="6" w:space="0" w:color="auto"/>
              <w:bottom w:val="double" w:sz="6" w:space="0" w:color="auto"/>
              <w:right w:val="double" w:sz="6" w:space="0" w:color="auto"/>
            </w:tcBorders>
          </w:tcPr>
          <w:p w:rsidR="006F7AD6" w:rsidRPr="003C560E" w:rsidP="00886011" w14:paraId="3EBD3F8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3C560E">
              <w:rPr>
                <w:szCs w:val="22"/>
              </w:rPr>
              <w:t>$18,800</w:t>
            </w:r>
          </w:p>
        </w:tc>
      </w:tr>
    </w:tbl>
    <w:p w:rsidR="006F7AD6" w:rsidRPr="003C560E" w:rsidP="006F7AD6" w14:paraId="6C751943" w14:textId="77777777">
      <w:pPr>
        <w:tabs>
          <w:tab w:val="right" w:pos="10080"/>
        </w:tabs>
        <w:suppressAutoHyphens/>
        <w:ind w:left="450"/>
        <w:jc w:val="center"/>
        <w:outlineLvl w:val="0"/>
        <w:rPr>
          <w:b/>
          <w:szCs w:val="22"/>
        </w:rPr>
      </w:pPr>
    </w:p>
    <w:p w:rsidR="006F7AD6" w:rsidRPr="003C560E" w:rsidP="006F7AD6" w14:paraId="63571E57" w14:textId="77777777">
      <w:pPr>
        <w:tabs>
          <w:tab w:val="right" w:pos="10080"/>
        </w:tabs>
        <w:suppressAutoHyphens/>
        <w:ind w:left="450"/>
        <w:jc w:val="center"/>
        <w:outlineLvl w:val="0"/>
        <w:rPr>
          <w:b/>
          <w:szCs w:val="22"/>
        </w:rPr>
      </w:pPr>
    </w:p>
    <w:p w:rsidR="006F7AD6" w:rsidRPr="003C560E" w:rsidP="006F7AD6" w14:paraId="2033EB50" w14:textId="77777777">
      <w:pPr>
        <w:tabs>
          <w:tab w:val="right" w:pos="10080"/>
        </w:tabs>
        <w:suppressAutoHyphens/>
        <w:ind w:left="450"/>
        <w:jc w:val="center"/>
        <w:outlineLvl w:val="0"/>
        <w:rPr>
          <w:b/>
          <w:szCs w:val="22"/>
        </w:rPr>
      </w:pPr>
      <w:bookmarkStart w:id="39" w:name="_Toc491865058"/>
      <w:bookmarkStart w:id="40" w:name="_Toc491865473"/>
      <w:r w:rsidRPr="003C560E">
        <w:rPr>
          <w:b/>
          <w:szCs w:val="22"/>
        </w:rPr>
        <w:t>FY 2018 International Bearer Circuits - Submarine Cable</w:t>
      </w:r>
      <w:bookmarkEnd w:id="39"/>
      <w:bookmarkEnd w:id="40"/>
    </w:p>
    <w:p w:rsidR="006F7AD6" w:rsidRPr="003C560E" w:rsidP="006F7AD6" w14:paraId="02D731A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zCs w:val="2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3780"/>
      </w:tblGrid>
      <w:tr w14:paraId="6AB9C58D" w14:textId="77777777" w:rsidTr="00886011">
        <w:tblPrEx>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860" w:type="dxa"/>
          </w:tcPr>
          <w:p w:rsidR="006F7AD6" w:rsidRPr="003C560E" w:rsidP="00886011" w14:paraId="1497D7F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r w:rsidRPr="003C560E">
              <w:rPr>
                <w:spacing w:val="-3"/>
                <w:szCs w:val="22"/>
              </w:rPr>
              <w:t>Submarine Cable Systems</w:t>
            </w:r>
          </w:p>
          <w:p w:rsidR="006F7AD6" w:rsidRPr="003C560E" w:rsidP="00886011" w14:paraId="2044D67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r w:rsidRPr="003C560E">
              <w:rPr>
                <w:szCs w:val="22"/>
              </w:rPr>
              <w:t>(capacity as of December 31, 2017)</w:t>
            </w:r>
          </w:p>
        </w:tc>
        <w:tc>
          <w:tcPr>
            <w:tcW w:w="3780" w:type="dxa"/>
          </w:tcPr>
          <w:p w:rsidR="006F7AD6" w:rsidRPr="003C560E" w:rsidP="00886011" w14:paraId="0BE4FC9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r w:rsidRPr="003C560E">
              <w:rPr>
                <w:spacing w:val="-3"/>
                <w:szCs w:val="22"/>
              </w:rPr>
              <w:t>Fee amount for FY 2018</w:t>
            </w:r>
          </w:p>
        </w:tc>
      </w:tr>
      <w:tr w14:paraId="69238472" w14:textId="77777777" w:rsidTr="00886011">
        <w:tblPrEx>
          <w:tblW w:w="0" w:type="auto"/>
          <w:tblInd w:w="175" w:type="dxa"/>
          <w:tblLook w:val="01E0"/>
        </w:tblPrEx>
        <w:trPr>
          <w:trHeight w:val="1034"/>
        </w:trPr>
        <w:tc>
          <w:tcPr>
            <w:tcW w:w="4860" w:type="dxa"/>
          </w:tcPr>
          <w:p w:rsidR="006F7AD6" w:rsidRPr="003C560E" w:rsidP="00886011" w14:paraId="73DC96A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zCs w:val="22"/>
              </w:rPr>
            </w:pPr>
          </w:p>
          <w:p w:rsidR="006F7AD6" w:rsidRPr="003C560E" w:rsidP="00886011" w14:paraId="708B613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pacing w:val="-3"/>
                <w:szCs w:val="22"/>
              </w:rPr>
            </w:pPr>
            <w:r w:rsidRPr="003C560E">
              <w:rPr>
                <w:b/>
                <w:szCs w:val="22"/>
              </w:rPr>
              <w:t>&lt; 50 Gbps</w:t>
            </w:r>
          </w:p>
        </w:tc>
        <w:tc>
          <w:tcPr>
            <w:tcW w:w="3780" w:type="dxa"/>
            <w:vAlign w:val="center"/>
          </w:tcPr>
          <w:p w:rsidR="006F7AD6" w:rsidRPr="003C560E" w:rsidP="00886011" w14:paraId="2E1EA81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r w:rsidRPr="003C560E">
              <w:rPr>
                <w:bCs/>
                <w:szCs w:val="22"/>
              </w:rPr>
              <w:t>$9,850</w:t>
            </w:r>
          </w:p>
        </w:tc>
      </w:tr>
      <w:tr w14:paraId="3221EF0B" w14:textId="77777777" w:rsidTr="00886011">
        <w:tblPrEx>
          <w:tblW w:w="0" w:type="auto"/>
          <w:tblInd w:w="175" w:type="dxa"/>
          <w:tblLook w:val="01E0"/>
        </w:tblPrEx>
        <w:trPr>
          <w:trHeight w:val="1034"/>
        </w:trPr>
        <w:tc>
          <w:tcPr>
            <w:tcW w:w="4860" w:type="dxa"/>
          </w:tcPr>
          <w:p w:rsidR="006F7AD6" w:rsidRPr="003C560E" w:rsidP="00886011" w14:paraId="129D008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b/>
                <w:szCs w:val="22"/>
              </w:rPr>
            </w:pPr>
          </w:p>
          <w:p w:rsidR="006F7AD6" w:rsidRPr="003C560E" w:rsidP="00886011" w14:paraId="2C2AF3B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b/>
                <w:spacing w:val="-3"/>
                <w:szCs w:val="22"/>
              </w:rPr>
            </w:pPr>
            <w:r w:rsidRPr="003C560E">
              <w:rPr>
                <w:b/>
                <w:szCs w:val="22"/>
              </w:rPr>
              <w:t>50 Gbps or greater, but less than 250 Gbps</w:t>
            </w:r>
          </w:p>
        </w:tc>
        <w:tc>
          <w:tcPr>
            <w:tcW w:w="3780" w:type="dxa"/>
            <w:vAlign w:val="center"/>
          </w:tcPr>
          <w:p w:rsidR="006F7AD6" w:rsidRPr="003C560E" w:rsidP="00886011" w14:paraId="06D4B329" w14:textId="77777777">
            <w:pPr>
              <w:jc w:val="center"/>
              <w:rPr>
                <w:bCs/>
                <w:szCs w:val="22"/>
              </w:rPr>
            </w:pPr>
            <w:r w:rsidRPr="003C560E">
              <w:rPr>
                <w:bCs/>
                <w:szCs w:val="22"/>
              </w:rPr>
              <w:t>$19,725</w:t>
            </w:r>
          </w:p>
          <w:p w:rsidR="006F7AD6" w:rsidRPr="003C560E" w:rsidP="00886011" w14:paraId="28E9F32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p>
        </w:tc>
      </w:tr>
      <w:tr w14:paraId="22F93595" w14:textId="77777777" w:rsidTr="00886011">
        <w:tblPrEx>
          <w:tblW w:w="0" w:type="auto"/>
          <w:tblInd w:w="175" w:type="dxa"/>
          <w:tblLook w:val="01E0"/>
        </w:tblPrEx>
        <w:tc>
          <w:tcPr>
            <w:tcW w:w="4860" w:type="dxa"/>
          </w:tcPr>
          <w:p w:rsidR="006F7AD6" w:rsidRPr="003C560E" w:rsidP="00886011" w14:paraId="5ADC449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b/>
                <w:szCs w:val="22"/>
              </w:rPr>
            </w:pPr>
          </w:p>
          <w:p w:rsidR="006F7AD6" w:rsidRPr="003C560E" w:rsidP="00886011" w14:paraId="4F4085F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b/>
                <w:szCs w:val="22"/>
              </w:rPr>
            </w:pPr>
            <w:r w:rsidRPr="003C560E">
              <w:rPr>
                <w:b/>
                <w:szCs w:val="22"/>
              </w:rPr>
              <w:t>250 Gbps or greater, but less than 1,000 Gbps</w:t>
            </w:r>
          </w:p>
          <w:p w:rsidR="006F7AD6" w:rsidRPr="003C560E" w:rsidP="00886011" w14:paraId="7960FDA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b/>
                <w:spacing w:val="-3"/>
                <w:szCs w:val="22"/>
              </w:rPr>
            </w:pPr>
          </w:p>
        </w:tc>
        <w:tc>
          <w:tcPr>
            <w:tcW w:w="3780" w:type="dxa"/>
            <w:vAlign w:val="center"/>
          </w:tcPr>
          <w:p w:rsidR="006F7AD6" w:rsidRPr="003C560E" w:rsidP="00886011" w14:paraId="18F08342" w14:textId="77777777">
            <w:pPr>
              <w:jc w:val="center"/>
              <w:rPr>
                <w:bCs/>
                <w:szCs w:val="22"/>
              </w:rPr>
            </w:pPr>
          </w:p>
          <w:p w:rsidR="006F7AD6" w:rsidRPr="003C560E" w:rsidP="00886011" w14:paraId="5DE83173" w14:textId="77777777">
            <w:pPr>
              <w:jc w:val="center"/>
              <w:rPr>
                <w:bCs/>
                <w:szCs w:val="22"/>
              </w:rPr>
            </w:pPr>
            <w:r w:rsidRPr="003C560E">
              <w:rPr>
                <w:bCs/>
                <w:szCs w:val="22"/>
              </w:rPr>
              <w:t xml:space="preserve"> $39,425</w:t>
            </w:r>
          </w:p>
          <w:p w:rsidR="006F7AD6" w:rsidRPr="003C560E" w:rsidP="00886011" w14:paraId="2FBDE4A4" w14:textId="77777777">
            <w:pPr>
              <w:jc w:val="center"/>
              <w:rPr>
                <w:spacing w:val="-3"/>
                <w:szCs w:val="22"/>
              </w:rPr>
            </w:pPr>
          </w:p>
        </w:tc>
      </w:tr>
      <w:tr w14:paraId="6519C34A" w14:textId="77777777" w:rsidTr="00886011">
        <w:tblPrEx>
          <w:tblW w:w="0" w:type="auto"/>
          <w:tblInd w:w="175" w:type="dxa"/>
          <w:tblLook w:val="01E0"/>
        </w:tblPrEx>
        <w:trPr>
          <w:trHeight w:val="998"/>
        </w:trPr>
        <w:tc>
          <w:tcPr>
            <w:tcW w:w="4860" w:type="dxa"/>
          </w:tcPr>
          <w:p w:rsidR="006F7AD6" w:rsidRPr="003C560E" w:rsidP="00886011" w14:paraId="4D894BF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b/>
                <w:szCs w:val="22"/>
              </w:rPr>
            </w:pPr>
          </w:p>
          <w:p w:rsidR="006F7AD6" w:rsidRPr="003C560E" w:rsidP="00886011" w14:paraId="27348E2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b/>
                <w:szCs w:val="22"/>
              </w:rPr>
            </w:pPr>
            <w:r w:rsidRPr="003C560E">
              <w:rPr>
                <w:b/>
                <w:szCs w:val="22"/>
              </w:rPr>
              <w:t>1,000 Gbps or greater, but less than 4,000 Gbps</w:t>
            </w:r>
          </w:p>
          <w:p w:rsidR="006F7AD6" w:rsidRPr="003C560E" w:rsidP="00886011" w14:paraId="263E9AA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b/>
                <w:spacing w:val="-3"/>
                <w:szCs w:val="22"/>
              </w:rPr>
            </w:pPr>
          </w:p>
        </w:tc>
        <w:tc>
          <w:tcPr>
            <w:tcW w:w="3780" w:type="dxa"/>
            <w:vAlign w:val="center"/>
          </w:tcPr>
          <w:p w:rsidR="006F7AD6" w:rsidRPr="003C560E" w:rsidP="00886011" w14:paraId="4ABFD7C0" w14:textId="77777777">
            <w:pPr>
              <w:jc w:val="center"/>
              <w:rPr>
                <w:bCs/>
                <w:szCs w:val="22"/>
              </w:rPr>
            </w:pPr>
            <w:r w:rsidRPr="003C560E">
              <w:rPr>
                <w:bCs/>
                <w:szCs w:val="22"/>
              </w:rPr>
              <w:t>$78,875</w:t>
            </w:r>
          </w:p>
          <w:p w:rsidR="006F7AD6" w:rsidRPr="003C560E" w:rsidP="00886011" w14:paraId="3CC4CDD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p>
        </w:tc>
      </w:tr>
      <w:tr w14:paraId="46EBD8B0" w14:textId="77777777" w:rsidTr="00886011">
        <w:tblPrEx>
          <w:tblW w:w="0" w:type="auto"/>
          <w:tblInd w:w="175" w:type="dxa"/>
          <w:tblLook w:val="01E0"/>
        </w:tblPrEx>
        <w:trPr>
          <w:trHeight w:val="998"/>
        </w:trPr>
        <w:tc>
          <w:tcPr>
            <w:tcW w:w="4860" w:type="dxa"/>
          </w:tcPr>
          <w:p w:rsidR="006F7AD6" w:rsidRPr="003C560E" w:rsidP="00886011" w14:paraId="2865D65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b/>
                <w:szCs w:val="22"/>
              </w:rPr>
            </w:pPr>
          </w:p>
          <w:p w:rsidR="006F7AD6" w:rsidRPr="003C560E" w:rsidP="00886011" w14:paraId="65DC5CA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b/>
                <w:szCs w:val="22"/>
              </w:rPr>
            </w:pPr>
            <w:r w:rsidRPr="003C560E">
              <w:rPr>
                <w:b/>
                <w:szCs w:val="22"/>
              </w:rPr>
              <w:t>4000 Gbps or greater</w:t>
            </w:r>
          </w:p>
          <w:p w:rsidR="006F7AD6" w:rsidRPr="003C560E" w:rsidP="00886011" w14:paraId="51DB9AC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b/>
                <w:szCs w:val="22"/>
              </w:rPr>
            </w:pPr>
          </w:p>
        </w:tc>
        <w:tc>
          <w:tcPr>
            <w:tcW w:w="3780" w:type="dxa"/>
            <w:vAlign w:val="center"/>
          </w:tcPr>
          <w:p w:rsidR="006F7AD6" w:rsidRPr="003C560E" w:rsidP="00886011" w14:paraId="70CEC1C0" w14:textId="77777777">
            <w:pPr>
              <w:jc w:val="center"/>
              <w:rPr>
                <w:szCs w:val="22"/>
              </w:rPr>
            </w:pPr>
            <w:r w:rsidRPr="003C560E">
              <w:rPr>
                <w:bCs/>
                <w:szCs w:val="22"/>
              </w:rPr>
              <w:t>$157,750</w:t>
            </w:r>
          </w:p>
        </w:tc>
      </w:tr>
    </w:tbl>
    <w:p w:rsidR="006F7AD6" w:rsidRPr="003C560E" w:rsidP="006F7AD6" w14:paraId="60E4AE2E" w14:textId="77777777">
      <w:pPr>
        <w:tabs>
          <w:tab w:val="left" w:pos="3629"/>
        </w:tabs>
        <w:jc w:val="center"/>
        <w:rPr>
          <w:b/>
          <w:szCs w:val="22"/>
        </w:rPr>
        <w:sectPr w:rsidSect="00886011">
          <w:endnotePr>
            <w:numFmt w:val="decimal"/>
          </w:endnotePr>
          <w:pgSz w:w="12240" w:h="15840"/>
          <w:pgMar w:top="1440" w:right="1440" w:bottom="720" w:left="1440" w:header="720" w:footer="720" w:gutter="0"/>
          <w:cols w:space="720"/>
          <w:noEndnote/>
          <w:titlePg/>
        </w:sectPr>
      </w:pPr>
    </w:p>
    <w:p w:rsidR="006F7AD6" w:rsidRPr="007A2458" w:rsidP="006F7AD6" w14:paraId="3FFAF72C" w14:textId="77777777">
      <w:pPr>
        <w:tabs>
          <w:tab w:val="left" w:pos="3629"/>
        </w:tabs>
        <w:jc w:val="center"/>
        <w:rPr>
          <w:b/>
        </w:rPr>
      </w:pPr>
      <w:r w:rsidRPr="00AF4245">
        <w:rPr>
          <w:b/>
        </w:rPr>
        <w:t>APPENDIX H</w:t>
      </w:r>
    </w:p>
    <w:p w:rsidR="006F7AD6" w:rsidRPr="00AF4245" w:rsidP="006F7AD6" w14:paraId="19E9325F" w14:textId="77777777">
      <w:pPr>
        <w:tabs>
          <w:tab w:val="left" w:pos="3629"/>
        </w:tabs>
        <w:jc w:val="center"/>
        <w:rPr>
          <w:b/>
        </w:rPr>
      </w:pPr>
    </w:p>
    <w:p w:rsidR="006F7AD6" w:rsidP="006F7AD6" w14:paraId="223E22C2" w14:textId="77777777">
      <w:pPr>
        <w:rPr>
          <w:b/>
          <w:color w:val="212121"/>
        </w:rPr>
      </w:pPr>
      <w:r w:rsidRPr="00AA01B6">
        <w:rPr>
          <w:b/>
          <w:color w:val="212121"/>
        </w:rPr>
        <w:t>R</w:t>
      </w:r>
      <w:r>
        <w:rPr>
          <w:b/>
          <w:color w:val="212121"/>
        </w:rPr>
        <w:t>AY BAUM’S</w:t>
      </w:r>
      <w:r w:rsidRPr="00AA01B6">
        <w:rPr>
          <w:b/>
          <w:color w:val="212121"/>
        </w:rPr>
        <w:t xml:space="preserve"> Act of 2018, Title I, FCC Reauthorization, Public Law No. 115-141, § 102, 132 Stat. 348, 1082-86 (2018) (codified at 47 U.S.C. §§ 159, 159A).</w:t>
      </w:r>
    </w:p>
    <w:p w:rsidR="006F7AD6" w:rsidP="006F7AD6" w14:paraId="44C82173" w14:textId="77777777">
      <w:pPr>
        <w:rPr>
          <w:b/>
          <w:color w:val="212121"/>
        </w:rPr>
      </w:pPr>
    </w:p>
    <w:p w:rsidR="006F7AD6" w:rsidRPr="00AA01B6" w:rsidP="006F7AD6" w14:paraId="4CB822BA" w14:textId="77777777">
      <w:pPr>
        <w:rPr>
          <w:b/>
        </w:rPr>
      </w:pPr>
      <w:r w:rsidRPr="00AA01B6">
        <w:rPr>
          <w:b/>
          <w:color w:val="212121"/>
        </w:rPr>
        <w:t>§ 159</w:t>
      </w:r>
      <w:r>
        <w:rPr>
          <w:b/>
          <w:color w:val="212121"/>
        </w:rPr>
        <w:t xml:space="preserve"> </w:t>
      </w:r>
      <w:r w:rsidRPr="00AA01B6">
        <w:rPr>
          <w:b/>
          <w:color w:val="212121"/>
        </w:rPr>
        <w:t>Regulatory fees</w:t>
      </w:r>
    </w:p>
    <w:p w:rsidR="006F7AD6" w:rsidP="006F7AD6" w14:paraId="4F190D44" w14:textId="77777777">
      <w:pPr>
        <w:ind w:left="360"/>
        <w:rPr>
          <w:b/>
        </w:rPr>
      </w:pPr>
    </w:p>
    <w:p w:rsidR="006F7AD6" w:rsidRPr="00AA01B6" w:rsidP="006F7AD6" w14:paraId="0F1EBF6D" w14:textId="77777777">
      <w:pPr>
        <w:ind w:left="360"/>
        <w:rPr>
          <w:b/>
        </w:rPr>
      </w:pPr>
      <w:r w:rsidRPr="00AA01B6">
        <w:rPr>
          <w:b/>
        </w:rPr>
        <w:t>(a) General authority</w:t>
      </w:r>
    </w:p>
    <w:p w:rsidR="006F7AD6" w:rsidRPr="00AA01B6" w:rsidP="006F7AD6" w14:paraId="29A26448" w14:textId="77777777">
      <w:pPr>
        <w:ind w:left="360"/>
      </w:pPr>
      <w:r w:rsidRPr="00AA01B6">
        <w:t>The Commission shall assess and collect regulatory fees to recover the costs of carrying out the activities described in section 156(a) of this title only to the extent, and in the total amounts, provided for in Appropriations Acts.</w:t>
      </w:r>
    </w:p>
    <w:p w:rsidR="006F7AD6" w:rsidP="006F7AD6" w14:paraId="55EDF406" w14:textId="77777777">
      <w:pPr>
        <w:ind w:left="360"/>
        <w:rPr>
          <w:b/>
        </w:rPr>
      </w:pPr>
    </w:p>
    <w:p w:rsidR="006F7AD6" w:rsidRPr="00AA01B6" w:rsidP="006F7AD6" w14:paraId="24B76A2A" w14:textId="77777777">
      <w:pPr>
        <w:ind w:left="360"/>
        <w:rPr>
          <w:b/>
        </w:rPr>
      </w:pPr>
      <w:r w:rsidRPr="00AA01B6">
        <w:rPr>
          <w:b/>
        </w:rPr>
        <w:t>(b) Establishment of schedule</w:t>
      </w:r>
    </w:p>
    <w:p w:rsidR="006F7AD6" w:rsidRPr="00AA01B6" w:rsidP="006F7AD6" w14:paraId="2B709AE3" w14:textId="77777777">
      <w:pPr>
        <w:ind w:left="360"/>
      </w:pPr>
      <w:r w:rsidRPr="00AA01B6">
        <w:t>The Commission shall assess and collect regulatory fees at such rates as the Commission shall establish in a schedule of regulatory fees that will result in the collection, in each fiscal year, of an amount that can reasonably be expected to equal the amounts described in subsection (a) with respect to such fiscal year.</w:t>
      </w:r>
    </w:p>
    <w:p w:rsidR="006F7AD6" w:rsidP="006F7AD6" w14:paraId="19F2B0D6" w14:textId="77777777">
      <w:pPr>
        <w:ind w:left="360"/>
        <w:rPr>
          <w:b/>
        </w:rPr>
      </w:pPr>
    </w:p>
    <w:p w:rsidR="006F7AD6" w:rsidRPr="00AA01B6" w:rsidP="006F7AD6" w14:paraId="0E76C854" w14:textId="77777777">
      <w:pPr>
        <w:ind w:left="360"/>
        <w:rPr>
          <w:b/>
        </w:rPr>
      </w:pPr>
      <w:r w:rsidRPr="00AA01B6">
        <w:rPr>
          <w:b/>
        </w:rPr>
        <w:t>(c) Adjustment of schedule</w:t>
      </w:r>
    </w:p>
    <w:p w:rsidR="006F7AD6" w:rsidP="006F7AD6" w14:paraId="7DEFF609" w14:textId="77777777">
      <w:pPr>
        <w:ind w:left="360"/>
        <w:rPr>
          <w:b/>
        </w:rPr>
      </w:pPr>
    </w:p>
    <w:p w:rsidR="006F7AD6" w:rsidRPr="00AA01B6" w:rsidP="006F7AD6" w14:paraId="79BEA7F5" w14:textId="77777777">
      <w:pPr>
        <w:ind w:left="360"/>
        <w:rPr>
          <w:b/>
        </w:rPr>
      </w:pPr>
      <w:r w:rsidRPr="00AA01B6">
        <w:rPr>
          <w:b/>
        </w:rPr>
        <w:t>(1) In general</w:t>
      </w:r>
    </w:p>
    <w:p w:rsidR="006F7AD6" w:rsidRPr="00AA01B6" w:rsidP="006F7AD6" w14:paraId="223E6967" w14:textId="77777777">
      <w:pPr>
        <w:ind w:left="360"/>
      </w:pPr>
      <w:r w:rsidRPr="00AA01B6">
        <w:t>For each fiscal year, the Commission shall by rule adjust the schedule of regulatory fees established under this section to-</w:t>
      </w:r>
    </w:p>
    <w:p w:rsidR="006F7AD6" w:rsidP="006F7AD6" w14:paraId="4F5E5096" w14:textId="77777777">
      <w:pPr>
        <w:ind w:left="360"/>
        <w:rPr>
          <w:b/>
        </w:rPr>
      </w:pPr>
    </w:p>
    <w:p w:rsidR="006F7AD6" w:rsidRPr="00AA01B6" w:rsidP="006F7AD6" w14:paraId="70465EDC" w14:textId="77777777">
      <w:pPr>
        <w:ind w:left="360"/>
      </w:pPr>
      <w:r w:rsidRPr="00AA01B6">
        <w:rPr>
          <w:b/>
        </w:rPr>
        <w:t>(A)</w:t>
      </w:r>
      <w:r w:rsidRPr="00AA01B6">
        <w:t xml:space="preserve"> reflect unexpected increases or decreases in the number of units subject to the payment of such fees; and</w:t>
      </w:r>
    </w:p>
    <w:p w:rsidR="006F7AD6" w:rsidP="006F7AD6" w14:paraId="56B20BFE" w14:textId="77777777">
      <w:pPr>
        <w:ind w:left="360"/>
        <w:rPr>
          <w:b/>
        </w:rPr>
      </w:pPr>
    </w:p>
    <w:p w:rsidR="006F7AD6" w:rsidRPr="00AA01B6" w:rsidP="006F7AD6" w14:paraId="0782E2AC" w14:textId="77777777">
      <w:pPr>
        <w:ind w:left="360"/>
      </w:pPr>
      <w:r w:rsidRPr="00AA01B6">
        <w:rPr>
          <w:b/>
        </w:rPr>
        <w:t>(B)</w:t>
      </w:r>
      <w:r w:rsidRPr="00AA01B6">
        <w:t xml:space="preserve"> result in the collection of the amount required by subsection (b).</w:t>
      </w:r>
    </w:p>
    <w:p w:rsidR="006F7AD6" w:rsidP="006F7AD6" w14:paraId="433E9A54" w14:textId="77777777">
      <w:pPr>
        <w:ind w:left="360"/>
        <w:rPr>
          <w:b/>
        </w:rPr>
      </w:pPr>
    </w:p>
    <w:p w:rsidR="006F7AD6" w:rsidRPr="00AA01B6" w:rsidP="006F7AD6" w14:paraId="53B36B0C" w14:textId="77777777">
      <w:pPr>
        <w:ind w:left="360"/>
        <w:rPr>
          <w:b/>
        </w:rPr>
      </w:pPr>
      <w:r w:rsidRPr="00AA01B6">
        <w:rPr>
          <w:b/>
        </w:rPr>
        <w:t>(2) Rounding</w:t>
      </w:r>
    </w:p>
    <w:p w:rsidR="006F7AD6" w:rsidRPr="00AA01B6" w:rsidP="006F7AD6" w14:paraId="251E7FBB" w14:textId="77777777">
      <w:pPr>
        <w:ind w:left="360"/>
      </w:pPr>
      <w:r w:rsidRPr="00AA01B6">
        <w:t>In making adjustments under this subsection, the Commission may round fees to the nearest $5 increment.</w:t>
      </w:r>
    </w:p>
    <w:p w:rsidR="006F7AD6" w:rsidP="006F7AD6" w14:paraId="1E16F0A4" w14:textId="77777777">
      <w:pPr>
        <w:ind w:left="360"/>
        <w:rPr>
          <w:b/>
        </w:rPr>
      </w:pPr>
    </w:p>
    <w:p w:rsidR="006F7AD6" w:rsidRPr="00AA01B6" w:rsidP="006F7AD6" w14:paraId="711A96E5" w14:textId="77777777">
      <w:pPr>
        <w:ind w:left="360"/>
        <w:rPr>
          <w:b/>
        </w:rPr>
      </w:pPr>
      <w:r w:rsidRPr="00AA01B6">
        <w:rPr>
          <w:b/>
        </w:rPr>
        <w:t>(d) Amendments to schedule</w:t>
      </w:r>
    </w:p>
    <w:p w:rsidR="006F7AD6" w:rsidRPr="00AA01B6" w:rsidP="006F7AD6" w14:paraId="241BCECC" w14:textId="77777777">
      <w:pPr>
        <w:ind w:left="360"/>
      </w:pPr>
      <w:r w:rsidRPr="00AA01B6">
        <w:t>In addition to the adjustments required by subsection (c), the Commission shall by rule amend the schedule of regulatory fees established under this section if the Commission determines that the schedule requires amendment so that such fees</w:t>
      </w:r>
      <w:r>
        <w:t xml:space="preserve"> </w:t>
      </w:r>
      <w:r w:rsidRPr="00AA01B6">
        <w:t>reflect the full-time equivalent number of employees within the bureaus and offices of the Commission, adjusted to take into account factors that are reasonably related to the benefits provided to the payor of the fee by the Commission's activities. In making an amendment under this subsection, the Commission may not change the total amount of regulatory fees required by subsection (b) to be collected in a fiscal year.</w:t>
      </w:r>
    </w:p>
    <w:p w:rsidR="006F7AD6" w:rsidP="006F7AD6" w14:paraId="59D92879" w14:textId="77777777">
      <w:pPr>
        <w:ind w:left="360"/>
        <w:rPr>
          <w:b/>
        </w:rPr>
      </w:pPr>
    </w:p>
    <w:p w:rsidR="006F7AD6" w:rsidRPr="00AA01B6" w:rsidP="006F7AD6" w14:paraId="7AF284EB" w14:textId="77777777">
      <w:pPr>
        <w:ind w:left="360"/>
        <w:rPr>
          <w:b/>
        </w:rPr>
      </w:pPr>
      <w:r w:rsidRPr="00AA01B6">
        <w:rPr>
          <w:b/>
        </w:rPr>
        <w:t>(e) Exceptions</w:t>
      </w:r>
    </w:p>
    <w:p w:rsidR="006F7AD6" w:rsidP="006F7AD6" w14:paraId="44E218D7" w14:textId="77777777">
      <w:pPr>
        <w:ind w:left="360"/>
        <w:rPr>
          <w:b/>
        </w:rPr>
      </w:pPr>
    </w:p>
    <w:p w:rsidR="006F7AD6" w:rsidRPr="00AA01B6" w:rsidP="006F7AD6" w14:paraId="30DFD87B" w14:textId="77777777">
      <w:pPr>
        <w:ind w:left="360"/>
        <w:rPr>
          <w:b/>
        </w:rPr>
      </w:pPr>
      <w:r w:rsidRPr="00AA01B6">
        <w:rPr>
          <w:b/>
        </w:rPr>
        <w:t>(1) Parties to which fees are not applicable</w:t>
      </w:r>
    </w:p>
    <w:p w:rsidR="006F7AD6" w:rsidRPr="00AA01B6" w:rsidP="006F7AD6" w14:paraId="1680C180" w14:textId="77777777">
      <w:pPr>
        <w:ind w:left="360"/>
      </w:pPr>
      <w:r w:rsidRPr="00AA01B6">
        <w:t>The regulatory fees established under this section shall not be applicable to-</w:t>
      </w:r>
    </w:p>
    <w:p w:rsidR="006F7AD6" w:rsidP="006F7AD6" w14:paraId="648C04AB" w14:textId="77777777">
      <w:pPr>
        <w:ind w:left="360"/>
        <w:rPr>
          <w:b/>
        </w:rPr>
      </w:pPr>
    </w:p>
    <w:p w:rsidR="006F7AD6" w:rsidRPr="00AA01B6" w:rsidP="006F7AD6" w14:paraId="6A9C04A9" w14:textId="77777777">
      <w:pPr>
        <w:ind w:left="360"/>
      </w:pPr>
      <w:r w:rsidRPr="00AA01B6">
        <w:rPr>
          <w:b/>
        </w:rPr>
        <w:t>(A)</w:t>
      </w:r>
      <w:r w:rsidRPr="00AA01B6">
        <w:t xml:space="preserve"> a governmental entity or nonprofit entity;</w:t>
      </w:r>
    </w:p>
    <w:p w:rsidR="006F7AD6" w:rsidP="006F7AD6" w14:paraId="7E6BC0DA" w14:textId="77777777">
      <w:pPr>
        <w:ind w:left="360"/>
        <w:rPr>
          <w:b/>
        </w:rPr>
      </w:pPr>
    </w:p>
    <w:p w:rsidR="006F7AD6" w:rsidRPr="00AA01B6" w:rsidP="006F7AD6" w14:paraId="06D255E6" w14:textId="77777777">
      <w:pPr>
        <w:ind w:left="360"/>
      </w:pPr>
      <w:r w:rsidRPr="00AA01B6">
        <w:rPr>
          <w:b/>
        </w:rPr>
        <w:t>(B)</w:t>
      </w:r>
      <w:r w:rsidRPr="00AA01B6">
        <w:t xml:space="preserve"> an amateur radio operator licensee under part 97 of the Commission's rules (47 CFR part 97); or</w:t>
      </w:r>
    </w:p>
    <w:p w:rsidR="006F7AD6" w:rsidP="006F7AD6" w14:paraId="4E35FED8" w14:textId="77777777">
      <w:pPr>
        <w:ind w:left="360"/>
        <w:rPr>
          <w:b/>
        </w:rPr>
      </w:pPr>
    </w:p>
    <w:p w:rsidR="006F7AD6" w:rsidRPr="00AA01B6" w:rsidP="006F7AD6" w14:paraId="087E7758" w14:textId="77777777">
      <w:pPr>
        <w:ind w:left="360"/>
      </w:pPr>
      <w:r w:rsidRPr="00AA01B6">
        <w:rPr>
          <w:b/>
        </w:rPr>
        <w:t>(C)</w:t>
      </w:r>
      <w:r w:rsidRPr="00AA01B6">
        <w:t xml:space="preserve"> a noncommercial radio station or noncommercial television station.</w:t>
      </w:r>
    </w:p>
    <w:p w:rsidR="006F7AD6" w:rsidP="006F7AD6" w14:paraId="76B51A65" w14:textId="77777777">
      <w:pPr>
        <w:ind w:left="360"/>
        <w:rPr>
          <w:b/>
        </w:rPr>
      </w:pPr>
    </w:p>
    <w:p w:rsidR="006F7AD6" w:rsidRPr="00AA01B6" w:rsidP="006F7AD6" w14:paraId="1CC29412" w14:textId="77777777">
      <w:pPr>
        <w:ind w:left="360"/>
      </w:pPr>
      <w:r w:rsidRPr="00AA01B6">
        <w:rPr>
          <w:b/>
        </w:rPr>
        <w:t>(2)</w:t>
      </w:r>
      <w:r w:rsidRPr="00AA01B6">
        <w:t xml:space="preserve"> Cost of collection</w:t>
      </w:r>
    </w:p>
    <w:p w:rsidR="006F7AD6" w:rsidRPr="00AA01B6" w:rsidP="006F7AD6" w14:paraId="6FB74849" w14:textId="77777777">
      <w:pPr>
        <w:ind w:left="360"/>
      </w:pPr>
      <w:r w:rsidRPr="00AA01B6">
        <w:t>If, in the judgment of the Commission, the cost of collecting a regulatory fee established under this section from a party would exceed the amount collected from such party, the Commission may exempt such party from paying such fee.</w:t>
      </w:r>
    </w:p>
    <w:p w:rsidR="006F7AD6" w:rsidP="006F7AD6" w14:paraId="655CF8E0" w14:textId="77777777">
      <w:pPr>
        <w:ind w:left="360"/>
        <w:rPr>
          <w:b/>
        </w:rPr>
      </w:pPr>
    </w:p>
    <w:p w:rsidR="006F7AD6" w:rsidRPr="00AA01B6" w:rsidP="006F7AD6" w14:paraId="3AC499FE" w14:textId="77777777">
      <w:pPr>
        <w:ind w:left="360"/>
        <w:rPr>
          <w:b/>
        </w:rPr>
      </w:pPr>
      <w:r w:rsidRPr="00AA01B6">
        <w:rPr>
          <w:b/>
        </w:rPr>
        <w:t>(f) Deposit of collections</w:t>
      </w:r>
    </w:p>
    <w:p w:rsidR="006F7AD6" w:rsidP="006F7AD6" w14:paraId="23547F57" w14:textId="77777777">
      <w:pPr>
        <w:ind w:left="360"/>
        <w:rPr>
          <w:b/>
        </w:rPr>
      </w:pPr>
    </w:p>
    <w:p w:rsidR="006F7AD6" w:rsidRPr="00AA01B6" w:rsidP="006F7AD6" w14:paraId="7BA5ECD1" w14:textId="77777777">
      <w:pPr>
        <w:ind w:left="360"/>
        <w:rPr>
          <w:b/>
        </w:rPr>
      </w:pPr>
      <w:r w:rsidRPr="00AA01B6">
        <w:rPr>
          <w:b/>
        </w:rPr>
        <w:t>(1) In general</w:t>
      </w:r>
    </w:p>
    <w:p w:rsidR="006F7AD6" w:rsidRPr="00AA01B6" w:rsidP="006F7AD6" w14:paraId="277B0151" w14:textId="77777777">
      <w:pPr>
        <w:ind w:left="360"/>
      </w:pPr>
      <w:r w:rsidRPr="00AA01B6">
        <w:t>Amounts received from fees authorized by this section shall be deposited as an offsetting collection in, and credited to, the account through which funds are made available to carry out the activities described in section 156(a) of this title.</w:t>
      </w:r>
    </w:p>
    <w:p w:rsidR="006F7AD6" w:rsidP="006F7AD6" w14:paraId="34EE4FC7" w14:textId="77777777">
      <w:pPr>
        <w:ind w:left="360"/>
        <w:rPr>
          <w:b/>
        </w:rPr>
      </w:pPr>
    </w:p>
    <w:p w:rsidR="006F7AD6" w:rsidRPr="00AA01B6" w:rsidP="006F7AD6" w14:paraId="3577467B" w14:textId="77777777">
      <w:pPr>
        <w:ind w:left="360"/>
        <w:rPr>
          <w:b/>
        </w:rPr>
      </w:pPr>
      <w:r w:rsidRPr="00AA01B6">
        <w:rPr>
          <w:b/>
        </w:rPr>
        <w:t>(2) Deposit of excess collections</w:t>
      </w:r>
    </w:p>
    <w:p w:rsidR="006F7AD6" w:rsidP="006F7AD6" w14:paraId="3BD7B792" w14:textId="77777777">
      <w:pPr>
        <w:ind w:left="360"/>
      </w:pPr>
      <w:r w:rsidRPr="00AA01B6">
        <w:t>Any regulatory fees collected in excess of the total amount of fees provided for in Appropriations Acts for a fiscal year shall be deposited in the general fund of the Treasury of the United States for the sole purpose of deficit reduction.</w:t>
      </w:r>
    </w:p>
    <w:p w:rsidR="006F7AD6" w:rsidP="006F7AD6" w14:paraId="5DAA428A" w14:textId="77777777">
      <w:pPr>
        <w:rPr>
          <w:b/>
        </w:rPr>
      </w:pPr>
    </w:p>
    <w:p w:rsidR="006F7AD6" w:rsidRPr="00AA01B6" w:rsidP="006F7AD6" w14:paraId="67C7948D" w14:textId="77777777">
      <w:pPr>
        <w:rPr>
          <w:b/>
        </w:rPr>
      </w:pPr>
      <w:r w:rsidRPr="00AA01B6">
        <w:rPr>
          <w:b/>
        </w:rPr>
        <w:t>§ 159a. Provisions applicable to application and regulatory fees</w:t>
      </w:r>
    </w:p>
    <w:p w:rsidR="006F7AD6" w:rsidP="006F7AD6" w14:paraId="6E9ADF0E" w14:textId="77777777">
      <w:pPr>
        <w:rPr>
          <w:b/>
        </w:rPr>
      </w:pPr>
    </w:p>
    <w:p w:rsidR="006F7AD6" w:rsidRPr="00AA01B6" w:rsidP="006F7AD6" w14:paraId="466C0343" w14:textId="77777777">
      <w:pPr>
        <w:ind w:left="360"/>
        <w:rPr>
          <w:b/>
        </w:rPr>
      </w:pPr>
      <w:r w:rsidRPr="00AA01B6">
        <w:rPr>
          <w:b/>
        </w:rPr>
        <w:t>(a) Judicial review prohibited</w:t>
      </w:r>
    </w:p>
    <w:p w:rsidR="006F7AD6" w:rsidRPr="00AA01B6" w:rsidP="006F7AD6" w14:paraId="38C5FFD3" w14:textId="77777777">
      <w:pPr>
        <w:ind w:left="360"/>
      </w:pPr>
      <w:r w:rsidRPr="00AA01B6">
        <w:t>Any adjustment or amendment to a schedule of fees under subsection (b) or (c) of section 158 of this title or subsection (c) or (d) of section 159 of this title is not subject to judicial review.</w:t>
      </w:r>
    </w:p>
    <w:p w:rsidR="006F7AD6" w:rsidP="006F7AD6" w14:paraId="1EF41D5E" w14:textId="77777777">
      <w:pPr>
        <w:ind w:left="360"/>
        <w:rPr>
          <w:b/>
        </w:rPr>
      </w:pPr>
    </w:p>
    <w:p w:rsidR="006F7AD6" w:rsidRPr="00AA01B6" w:rsidP="006F7AD6" w14:paraId="16175F37" w14:textId="77777777">
      <w:pPr>
        <w:ind w:left="360"/>
        <w:rPr>
          <w:b/>
        </w:rPr>
      </w:pPr>
      <w:r w:rsidRPr="00AA01B6">
        <w:rPr>
          <w:b/>
        </w:rPr>
        <w:t>(b) Notice to Congress</w:t>
      </w:r>
    </w:p>
    <w:p w:rsidR="006F7AD6" w:rsidRPr="00AA01B6" w:rsidP="006F7AD6" w14:paraId="19AC8013" w14:textId="77777777">
      <w:pPr>
        <w:ind w:left="360"/>
      </w:pPr>
      <w:r w:rsidRPr="00AA01B6">
        <w:t>The Commission shall transmit to Congress notification-</w:t>
      </w:r>
    </w:p>
    <w:p w:rsidR="006F7AD6" w:rsidP="006F7AD6" w14:paraId="09BA0A22" w14:textId="77777777">
      <w:pPr>
        <w:ind w:left="360"/>
        <w:rPr>
          <w:b/>
        </w:rPr>
      </w:pPr>
    </w:p>
    <w:p w:rsidR="006F7AD6" w:rsidRPr="00AA01B6" w:rsidP="006F7AD6" w14:paraId="41237ACA" w14:textId="77777777">
      <w:pPr>
        <w:ind w:left="360"/>
      </w:pPr>
      <w:r w:rsidRPr="009D7DC0">
        <w:rPr>
          <w:b/>
        </w:rPr>
        <w:t>(1)</w:t>
      </w:r>
      <w:r w:rsidRPr="00AA01B6">
        <w:t xml:space="preserve"> of any adjustment under section 158(b) or 159(c) of this title immediately upon the adoption of such adjustment; and</w:t>
      </w:r>
    </w:p>
    <w:p w:rsidR="006F7AD6" w:rsidP="006F7AD6" w14:paraId="092A7951" w14:textId="77777777">
      <w:pPr>
        <w:ind w:left="360"/>
        <w:rPr>
          <w:b/>
        </w:rPr>
      </w:pPr>
    </w:p>
    <w:p w:rsidR="006F7AD6" w:rsidRPr="00AA01B6" w:rsidP="006F7AD6" w14:paraId="3D7CDB6A" w14:textId="77777777">
      <w:pPr>
        <w:ind w:left="360"/>
      </w:pPr>
      <w:r w:rsidRPr="009D7DC0">
        <w:rPr>
          <w:b/>
        </w:rPr>
        <w:t>(2)</w:t>
      </w:r>
      <w:r w:rsidRPr="00AA01B6">
        <w:t xml:space="preserve"> of any amendment under section 158(c) or 159(d) of this title not later than 90 days before the effective date of such amendment.</w:t>
      </w:r>
    </w:p>
    <w:p w:rsidR="006F7AD6" w:rsidP="006F7AD6" w14:paraId="79FA33D1" w14:textId="77777777">
      <w:pPr>
        <w:ind w:left="360"/>
        <w:rPr>
          <w:b/>
        </w:rPr>
      </w:pPr>
    </w:p>
    <w:p w:rsidR="006F7AD6" w:rsidRPr="009D7DC0" w:rsidP="006F7AD6" w14:paraId="0EA2CF9E" w14:textId="77777777">
      <w:pPr>
        <w:ind w:left="360"/>
        <w:rPr>
          <w:b/>
        </w:rPr>
      </w:pPr>
      <w:r w:rsidRPr="009D7DC0">
        <w:rPr>
          <w:b/>
        </w:rPr>
        <w:t>(c) Enforcement</w:t>
      </w:r>
    </w:p>
    <w:p w:rsidR="006F7AD6" w:rsidP="006F7AD6" w14:paraId="17038916" w14:textId="77777777">
      <w:pPr>
        <w:ind w:left="360"/>
        <w:rPr>
          <w:b/>
        </w:rPr>
      </w:pPr>
    </w:p>
    <w:p w:rsidR="006F7AD6" w:rsidRPr="009D7DC0" w:rsidP="006F7AD6" w14:paraId="7DAEDCAB" w14:textId="77777777">
      <w:pPr>
        <w:ind w:left="360"/>
        <w:rPr>
          <w:b/>
        </w:rPr>
      </w:pPr>
      <w:r w:rsidRPr="009D7DC0">
        <w:rPr>
          <w:b/>
        </w:rPr>
        <w:t>(1) Penalties for late payment</w:t>
      </w:r>
    </w:p>
    <w:p w:rsidR="006F7AD6" w:rsidRPr="00AA01B6" w:rsidP="006F7AD6" w14:paraId="3854777E" w14:textId="77777777">
      <w:pPr>
        <w:ind w:left="360"/>
      </w:pPr>
      <w:r w:rsidRPr="00AA01B6">
        <w:t>The Commission shall by rule prescribe an additional penalty for late payment of fees under section 158 or 159 of this title. Such additional penalty shall be 25 percent of the amount of the fee that was not paid in a timely manner.</w:t>
      </w:r>
    </w:p>
    <w:p w:rsidR="006F7AD6" w:rsidP="006F7AD6" w14:paraId="1B7901DB" w14:textId="77777777">
      <w:pPr>
        <w:ind w:left="360"/>
        <w:rPr>
          <w:b/>
        </w:rPr>
      </w:pPr>
    </w:p>
    <w:p w:rsidR="006F7AD6" w:rsidRPr="009D7DC0" w:rsidP="006F7AD6" w14:paraId="0C48E350" w14:textId="77777777">
      <w:pPr>
        <w:ind w:left="360"/>
        <w:rPr>
          <w:b/>
        </w:rPr>
      </w:pPr>
      <w:r w:rsidRPr="009D7DC0">
        <w:rPr>
          <w:b/>
        </w:rPr>
        <w:t>(2) Interest on unpaid fees and penalties</w:t>
      </w:r>
    </w:p>
    <w:p w:rsidR="006F7AD6" w:rsidRPr="00AA01B6" w:rsidP="006F7AD6" w14:paraId="634522BE" w14:textId="77777777">
      <w:pPr>
        <w:ind w:left="360"/>
      </w:pPr>
      <w:r w:rsidRPr="00AA01B6">
        <w:t>The Commission shall charge interest, at a rate determined under section 3717 of Title 31, on a fee under section 158 or 159 of this title or an additional penalty under this subsection that is not paid in a timely manner. Such section 3717 shall not otherwise apply with respect to such a fee or penalty.</w:t>
      </w:r>
    </w:p>
    <w:p w:rsidR="006F7AD6" w:rsidP="006F7AD6" w14:paraId="6E52B314" w14:textId="77777777">
      <w:pPr>
        <w:ind w:left="360"/>
        <w:rPr>
          <w:b/>
        </w:rPr>
      </w:pPr>
    </w:p>
    <w:p w:rsidR="006F7AD6" w:rsidP="006F7AD6" w14:paraId="75AD0138" w14:textId="77777777">
      <w:pPr>
        <w:ind w:left="360"/>
        <w:rPr>
          <w:b/>
        </w:rPr>
      </w:pPr>
      <w:r w:rsidRPr="009D7DC0">
        <w:rPr>
          <w:b/>
        </w:rPr>
        <w:t>(3) Dismissal of applications or filings</w:t>
      </w:r>
    </w:p>
    <w:p w:rsidR="006F7AD6" w:rsidRPr="009D7DC0" w:rsidP="006F7AD6" w14:paraId="0914C466" w14:textId="77777777">
      <w:pPr>
        <w:ind w:left="360"/>
        <w:rPr>
          <w:b/>
        </w:rPr>
      </w:pPr>
      <w:r w:rsidRPr="00AA01B6">
        <w:t>The Commission may dismiss any application or other filing for failure to pay in a timely manner any fee under section 158 or 159 of this title or any interest or additional penalty under this subsection.</w:t>
      </w:r>
    </w:p>
    <w:p w:rsidR="006F7AD6" w:rsidP="006F7AD6" w14:paraId="7CBF24B0" w14:textId="77777777">
      <w:pPr>
        <w:ind w:left="360"/>
        <w:rPr>
          <w:b/>
        </w:rPr>
      </w:pPr>
    </w:p>
    <w:p w:rsidR="006F7AD6" w:rsidRPr="009D7DC0" w:rsidP="00BF6A95" w14:paraId="4BEF7783" w14:textId="77777777">
      <w:pPr>
        <w:keepNext/>
        <w:widowControl/>
        <w:ind w:left="360"/>
        <w:rPr>
          <w:b/>
        </w:rPr>
      </w:pPr>
      <w:r w:rsidRPr="009D7DC0">
        <w:rPr>
          <w:b/>
        </w:rPr>
        <w:t>(4) Revocations</w:t>
      </w:r>
    </w:p>
    <w:p w:rsidR="006F7AD6" w:rsidP="006F7AD6" w14:paraId="3CC8B4EE" w14:textId="77777777">
      <w:pPr>
        <w:ind w:left="360"/>
        <w:rPr>
          <w:b/>
        </w:rPr>
      </w:pPr>
    </w:p>
    <w:p w:rsidR="006F7AD6" w:rsidRPr="009D7DC0" w:rsidP="006F7AD6" w14:paraId="7AD1EE37" w14:textId="77777777">
      <w:pPr>
        <w:ind w:left="360"/>
        <w:rPr>
          <w:b/>
        </w:rPr>
      </w:pPr>
      <w:r w:rsidRPr="009D7DC0">
        <w:rPr>
          <w:b/>
        </w:rPr>
        <w:t>(A) In general</w:t>
      </w:r>
    </w:p>
    <w:p w:rsidR="006F7AD6" w:rsidRPr="00AA01B6" w:rsidP="006F7AD6" w14:paraId="62ACB96D" w14:textId="77777777">
      <w:pPr>
        <w:ind w:left="360"/>
      </w:pPr>
      <w:r w:rsidRPr="00AA01B6">
        <w:t>In addition to or in lieu of the penalties and dismissals authorized by this subsection, the Commission may revoke any instrument of authorization held by any licensee that has not paid in a timely manner a regulatory fee assessed under section 159 of this title or any related interest or penalty.</w:t>
      </w:r>
    </w:p>
    <w:p w:rsidR="006F7AD6" w:rsidP="006F7AD6" w14:paraId="175277C5" w14:textId="77777777">
      <w:pPr>
        <w:ind w:left="360"/>
        <w:rPr>
          <w:b/>
        </w:rPr>
      </w:pPr>
    </w:p>
    <w:p w:rsidR="006F7AD6" w:rsidRPr="009D7DC0" w:rsidP="006F7AD6" w14:paraId="51C98CFE" w14:textId="77777777">
      <w:pPr>
        <w:ind w:left="360"/>
        <w:rPr>
          <w:b/>
        </w:rPr>
      </w:pPr>
      <w:r w:rsidRPr="009D7DC0">
        <w:rPr>
          <w:b/>
        </w:rPr>
        <w:t>(B) Notice</w:t>
      </w:r>
    </w:p>
    <w:p w:rsidR="006F7AD6" w:rsidRPr="00AA01B6" w:rsidP="006F7AD6" w14:paraId="3C32D09A" w14:textId="77777777">
      <w:pPr>
        <w:ind w:left="360"/>
      </w:pPr>
      <w:r w:rsidRPr="00AA01B6">
        <w:t>Revocation action may be taken by the Commission under this paragraph after notice of the Commission's intent to take such action is sent to the licensee by registered mail, return receipt requested, at the licensee's last known address. The notice shall provide the licensee at least 30 days to either pay the fee, interest, and any penalty or show cause why the fee, interest, or penalty does not apply to the licensee or should otherwise be waived or payment deferred.</w:t>
      </w:r>
    </w:p>
    <w:p w:rsidR="006F7AD6" w:rsidP="006F7AD6" w14:paraId="0479861B" w14:textId="77777777">
      <w:pPr>
        <w:ind w:left="360"/>
        <w:rPr>
          <w:b/>
        </w:rPr>
      </w:pPr>
    </w:p>
    <w:p w:rsidR="006F7AD6" w:rsidRPr="009D7DC0" w:rsidP="006F7AD6" w14:paraId="451A6B56" w14:textId="77777777">
      <w:pPr>
        <w:ind w:left="360"/>
        <w:rPr>
          <w:b/>
        </w:rPr>
      </w:pPr>
      <w:r w:rsidRPr="009D7DC0">
        <w:rPr>
          <w:b/>
        </w:rPr>
        <w:t>(C) Hearing</w:t>
      </w:r>
    </w:p>
    <w:p w:rsidR="006F7AD6" w:rsidP="006F7AD6" w14:paraId="21949E8E" w14:textId="77777777">
      <w:pPr>
        <w:ind w:left="360"/>
        <w:rPr>
          <w:b/>
        </w:rPr>
      </w:pPr>
    </w:p>
    <w:p w:rsidR="006F7AD6" w:rsidRPr="00AA01B6" w:rsidP="006F7AD6" w14:paraId="5D937F08" w14:textId="77777777">
      <w:pPr>
        <w:ind w:left="360"/>
      </w:pPr>
      <w:r w:rsidRPr="009D7DC0">
        <w:rPr>
          <w:b/>
        </w:rPr>
        <w:t>(i)</w:t>
      </w:r>
      <w:r w:rsidRPr="00AA01B6">
        <w:t xml:space="preserve"> Generally not required</w:t>
      </w:r>
    </w:p>
    <w:p w:rsidR="006F7AD6" w:rsidRPr="00AA01B6" w:rsidP="006F7AD6" w14:paraId="7E7D40C0" w14:textId="77777777">
      <w:pPr>
        <w:ind w:left="360"/>
      </w:pPr>
      <w:r w:rsidRPr="00AA01B6">
        <w:t>A hearing is not required under this paragraph unless the licensee's response presents a substantial and material question of fact.</w:t>
      </w:r>
    </w:p>
    <w:p w:rsidR="006F7AD6" w:rsidP="006F7AD6" w14:paraId="262A06B4" w14:textId="77777777">
      <w:pPr>
        <w:ind w:left="360"/>
        <w:rPr>
          <w:b/>
        </w:rPr>
      </w:pPr>
    </w:p>
    <w:p w:rsidR="006F7AD6" w:rsidRPr="00AA01B6" w:rsidP="006F7AD6" w14:paraId="354FF218" w14:textId="77777777">
      <w:pPr>
        <w:ind w:left="360"/>
      </w:pPr>
      <w:r w:rsidRPr="009D7DC0">
        <w:rPr>
          <w:b/>
        </w:rPr>
        <w:t>(ii)</w:t>
      </w:r>
      <w:r w:rsidRPr="00AA01B6">
        <w:t xml:space="preserve"> Evidence and burdens</w:t>
      </w:r>
    </w:p>
    <w:p w:rsidR="006F7AD6" w:rsidRPr="00AA01B6" w:rsidP="006F7AD6" w14:paraId="5707603A" w14:textId="77777777">
      <w:pPr>
        <w:ind w:left="360"/>
      </w:pPr>
      <w:r w:rsidRPr="00AA01B6">
        <w:t>In any case where a hearing is conducted under this paragraph, the hearing shall be based on written evidence only, and the burden of proceeding with the introduction of evidence and the burden of proof shall be on the licensee.</w:t>
      </w:r>
    </w:p>
    <w:p w:rsidR="006F7AD6" w:rsidP="006F7AD6" w14:paraId="51038549" w14:textId="77777777">
      <w:pPr>
        <w:ind w:left="360"/>
        <w:rPr>
          <w:b/>
        </w:rPr>
      </w:pPr>
    </w:p>
    <w:p w:rsidR="006F7AD6" w:rsidRPr="00AA01B6" w:rsidP="006F7AD6" w14:paraId="0F1D10CC" w14:textId="77777777">
      <w:pPr>
        <w:ind w:left="360"/>
      </w:pPr>
      <w:r w:rsidRPr="009D7DC0">
        <w:rPr>
          <w:b/>
        </w:rPr>
        <w:t>(iii)</w:t>
      </w:r>
      <w:r w:rsidRPr="00AA01B6">
        <w:t xml:space="preserve"> Costs</w:t>
      </w:r>
    </w:p>
    <w:p w:rsidR="006F7AD6" w:rsidRPr="00AA01B6" w:rsidP="006F7AD6" w14:paraId="691A1C54" w14:textId="77777777">
      <w:pPr>
        <w:ind w:left="360"/>
      </w:pPr>
      <w:r w:rsidRPr="00AA01B6">
        <w:t>Unless the licensee substantially prevails in the hearing, the Commission may assess the licensee for the costs of such hearing.</w:t>
      </w:r>
    </w:p>
    <w:p w:rsidR="006F7AD6" w:rsidP="006F7AD6" w14:paraId="29BDA187" w14:textId="77777777">
      <w:pPr>
        <w:ind w:left="360"/>
        <w:rPr>
          <w:b/>
        </w:rPr>
      </w:pPr>
    </w:p>
    <w:p w:rsidR="006F7AD6" w:rsidRPr="009D7DC0" w:rsidP="006F7AD6" w14:paraId="6AEA77CE" w14:textId="77777777">
      <w:pPr>
        <w:ind w:left="360"/>
        <w:rPr>
          <w:b/>
        </w:rPr>
      </w:pPr>
      <w:r w:rsidRPr="009D7DC0">
        <w:rPr>
          <w:b/>
        </w:rPr>
        <w:t>(D) Opportunity to pay prior to revocation</w:t>
      </w:r>
    </w:p>
    <w:p w:rsidR="006F7AD6" w:rsidRPr="00AA01B6" w:rsidP="006F7AD6" w14:paraId="400309C7" w14:textId="77777777">
      <w:pPr>
        <w:ind w:left="360"/>
      </w:pPr>
      <w:r w:rsidRPr="00AA01B6">
        <w:t>Any Commission order adopted under this paragraph shall determine the amount due, if any, and provide the licensee with at least 30 days to pay that amount or have its authorization revoked.</w:t>
      </w:r>
    </w:p>
    <w:p w:rsidR="006F7AD6" w:rsidP="006F7AD6" w14:paraId="4F9AFF85" w14:textId="77777777">
      <w:pPr>
        <w:ind w:left="360"/>
        <w:rPr>
          <w:b/>
        </w:rPr>
      </w:pPr>
    </w:p>
    <w:p w:rsidR="006F7AD6" w:rsidRPr="009D7DC0" w:rsidP="006F7AD6" w14:paraId="08495E32" w14:textId="77777777">
      <w:pPr>
        <w:ind w:left="360"/>
        <w:rPr>
          <w:b/>
        </w:rPr>
      </w:pPr>
      <w:r w:rsidRPr="009D7DC0">
        <w:rPr>
          <w:b/>
        </w:rPr>
        <w:t>(E) Finality</w:t>
      </w:r>
    </w:p>
    <w:p w:rsidR="006F7AD6" w:rsidRPr="00AA01B6" w:rsidP="006F7AD6" w14:paraId="01AF6595" w14:textId="77777777">
      <w:pPr>
        <w:ind w:left="360"/>
      </w:pPr>
      <w:r w:rsidRPr="00AA01B6">
        <w:t>No order of revocation under this paragraph shall become final until the licensee has exhausted its right to judicial review of such order under 402(b)(5) of this title.</w:t>
      </w:r>
    </w:p>
    <w:p w:rsidR="006F7AD6" w:rsidP="006F7AD6" w14:paraId="40D8A832" w14:textId="77777777">
      <w:pPr>
        <w:ind w:left="360"/>
        <w:rPr>
          <w:b/>
        </w:rPr>
      </w:pPr>
    </w:p>
    <w:p w:rsidR="006F7AD6" w:rsidRPr="00BE7716" w:rsidP="006F7AD6" w14:paraId="52B9604E" w14:textId="77777777">
      <w:pPr>
        <w:ind w:left="360"/>
        <w:rPr>
          <w:b/>
        </w:rPr>
      </w:pPr>
      <w:r w:rsidRPr="00BE7716">
        <w:rPr>
          <w:b/>
        </w:rPr>
        <w:t>(d) Waiver, reduction, and deferment</w:t>
      </w:r>
    </w:p>
    <w:p w:rsidR="006F7AD6" w:rsidRPr="00AA01B6" w:rsidP="006F7AD6" w14:paraId="2CB06E86" w14:textId="77777777">
      <w:pPr>
        <w:ind w:left="360"/>
      </w:pPr>
      <w:r w:rsidRPr="00AA01B6">
        <w:t>The Commission may waive, reduce, or defer payment of a fee under section 158 or 159 of this title or an interest charge or penalty under this section in any specific instance for good cause shown, where such action would promote the public interest.</w:t>
      </w:r>
    </w:p>
    <w:p w:rsidR="006F7AD6" w:rsidP="006F7AD6" w14:paraId="078CCA86" w14:textId="77777777">
      <w:pPr>
        <w:ind w:left="360"/>
        <w:rPr>
          <w:b/>
        </w:rPr>
      </w:pPr>
    </w:p>
    <w:p w:rsidR="006F7AD6" w:rsidRPr="00BE7716" w:rsidP="006F7AD6" w14:paraId="3F4220DD" w14:textId="77777777">
      <w:pPr>
        <w:ind w:left="360"/>
        <w:rPr>
          <w:b/>
        </w:rPr>
      </w:pPr>
      <w:r w:rsidRPr="00BE7716">
        <w:rPr>
          <w:b/>
        </w:rPr>
        <w:t>(e) Payment rules</w:t>
      </w:r>
    </w:p>
    <w:p w:rsidR="006F7AD6" w:rsidRPr="00AA01B6" w:rsidP="006F7AD6" w14:paraId="66F3A23D" w14:textId="77777777">
      <w:pPr>
        <w:ind w:left="360"/>
      </w:pPr>
      <w:r w:rsidRPr="00AA01B6">
        <w:t>The Commission shall by rule permit payment-</w:t>
      </w:r>
    </w:p>
    <w:p w:rsidR="006F7AD6" w:rsidP="006F7AD6" w14:paraId="2BA3E3D7" w14:textId="77777777">
      <w:pPr>
        <w:ind w:left="360"/>
        <w:rPr>
          <w:b/>
        </w:rPr>
      </w:pPr>
    </w:p>
    <w:p w:rsidR="006F7AD6" w:rsidRPr="00AA01B6" w:rsidP="006F7AD6" w14:paraId="4968753D" w14:textId="77777777">
      <w:pPr>
        <w:ind w:left="360"/>
      </w:pPr>
      <w:r w:rsidRPr="00BE7716">
        <w:rPr>
          <w:b/>
        </w:rPr>
        <w:t>(1)</w:t>
      </w:r>
      <w:r w:rsidRPr="00AA01B6">
        <w:t xml:space="preserve"> in the case of fees under section 158 or 159 of this title in large amounts, by installments; and</w:t>
      </w:r>
    </w:p>
    <w:p w:rsidR="006F7AD6" w:rsidP="006F7AD6" w14:paraId="47667F99" w14:textId="77777777">
      <w:pPr>
        <w:ind w:left="360"/>
        <w:rPr>
          <w:b/>
        </w:rPr>
      </w:pPr>
    </w:p>
    <w:p w:rsidR="006F7AD6" w:rsidRPr="00AA01B6" w:rsidP="006F7AD6" w14:paraId="4239F3A3" w14:textId="77777777">
      <w:pPr>
        <w:ind w:left="360"/>
      </w:pPr>
      <w:r w:rsidRPr="00BE7716">
        <w:rPr>
          <w:b/>
        </w:rPr>
        <w:t>(2)</w:t>
      </w:r>
      <w:r w:rsidRPr="00AA01B6">
        <w:t xml:space="preserve"> in the case of fees under section 158 or 159 of this title in small amounts, in advance for a number of years not to exceed the term of the license held by the payor.</w:t>
      </w:r>
    </w:p>
    <w:p w:rsidR="006F7AD6" w:rsidP="006F7AD6" w14:paraId="44449300" w14:textId="77777777">
      <w:pPr>
        <w:ind w:left="360"/>
        <w:rPr>
          <w:b/>
        </w:rPr>
      </w:pPr>
    </w:p>
    <w:p w:rsidR="006F7AD6" w:rsidRPr="00BE7716" w:rsidP="00BF6A95" w14:paraId="15C8383A" w14:textId="77777777">
      <w:pPr>
        <w:widowControl/>
        <w:ind w:left="360"/>
        <w:rPr>
          <w:b/>
        </w:rPr>
      </w:pPr>
      <w:r w:rsidRPr="00BE7716">
        <w:rPr>
          <w:b/>
        </w:rPr>
        <w:t>(f) Accounting system</w:t>
      </w:r>
    </w:p>
    <w:p w:rsidR="006F7AD6" w:rsidP="00BF6A95" w14:paraId="3D21B8A6" w14:textId="77777777">
      <w:pPr>
        <w:widowControl/>
        <w:pBdr>
          <w:bottom w:val="double" w:sz="6" w:space="1" w:color="auto"/>
        </w:pBdr>
        <w:ind w:left="360"/>
      </w:pPr>
      <w:r w:rsidRPr="00AA01B6">
        <w:t>The Commission shall develop accounting systems necessary to make the amendments authorized by sections 158(c) and 159(d) of this title.</w:t>
      </w:r>
    </w:p>
    <w:p w:rsidR="006F7AD6" w:rsidP="006F7AD6" w14:paraId="51B59F41" w14:textId="77777777">
      <w:pPr>
        <w:pBdr>
          <w:bottom w:val="double" w:sz="6" w:space="1" w:color="auto"/>
        </w:pBdr>
        <w:ind w:left="360"/>
      </w:pPr>
    </w:p>
    <w:p w:rsidR="006F7AD6" w:rsidP="006F7AD6" w14:paraId="3FAB707B" w14:textId="77777777">
      <w:pPr>
        <w:rPr>
          <w:b/>
        </w:rPr>
      </w:pPr>
    </w:p>
    <w:p w:rsidR="006F7AD6" w:rsidRPr="00EE5190" w:rsidP="006F7AD6" w14:paraId="2F06FFCB" w14:textId="77777777">
      <w:pPr>
        <w:rPr>
          <w:b/>
          <w:color w:val="212121"/>
        </w:rPr>
      </w:pPr>
      <w:r w:rsidRPr="00EE5190">
        <w:rPr>
          <w:b/>
        </w:rPr>
        <w:t>SEC. 9. [47 U.S.C. 159] REGULATORY FEES.</w:t>
      </w:r>
      <w:r>
        <w:rPr>
          <w:b/>
        </w:rPr>
        <w:t xml:space="preserve"> This section is no longer is effect as it has been amended by </w:t>
      </w:r>
      <w:r w:rsidRPr="00AA01B6">
        <w:rPr>
          <w:b/>
          <w:color w:val="212121"/>
        </w:rPr>
        <w:t>R</w:t>
      </w:r>
      <w:r>
        <w:rPr>
          <w:b/>
          <w:color w:val="212121"/>
        </w:rPr>
        <w:t>AY BAUM’S</w:t>
      </w:r>
      <w:r w:rsidRPr="00AA01B6">
        <w:rPr>
          <w:b/>
          <w:color w:val="212121"/>
        </w:rPr>
        <w:t xml:space="preserve"> Act of 2018, Title I, FCC Reauthorization, Public Law No. 115-141, § 102, 132 Stat. 348, 1082-86 (2018) (codified at 47 U.S.C. §§ 159, 159A).</w:t>
      </w:r>
    </w:p>
    <w:p w:rsidR="006F7AD6" w:rsidP="006F7AD6" w14:paraId="3A8FD1CF" w14:textId="77777777">
      <w:pPr>
        <w:rPr>
          <w:b/>
        </w:rPr>
      </w:pPr>
    </w:p>
    <w:p w:rsidR="006F7AD6" w:rsidRPr="00FC257F" w:rsidP="006F7AD6" w14:paraId="3A70BB7B" w14:textId="77777777">
      <w:pPr>
        <w:rPr>
          <w:b/>
        </w:rPr>
      </w:pPr>
      <w:r w:rsidRPr="00FC257F">
        <w:rPr>
          <w:b/>
        </w:rPr>
        <w:t>(a) GENERAL AUTHORITY.—</w:t>
      </w:r>
    </w:p>
    <w:p w:rsidR="006F7AD6" w:rsidP="006F7AD6" w14:paraId="11D529E4" w14:textId="77777777">
      <w:pPr>
        <w:rPr>
          <w:b/>
        </w:rPr>
      </w:pPr>
    </w:p>
    <w:p w:rsidR="006F7AD6" w:rsidRPr="00FC257F" w:rsidP="006F7AD6" w14:paraId="39B4B8E4" w14:textId="77777777">
      <w:r w:rsidRPr="00FC257F">
        <w:rPr>
          <w:b/>
        </w:rPr>
        <w:t>(1) RECOVERY OF COSTS.</w:t>
      </w:r>
      <w:bookmarkStart w:id="41" w:name="_Hlk6397085"/>
      <w:r w:rsidRPr="00FC257F">
        <w:rPr>
          <w:b/>
        </w:rPr>
        <w:t>—</w:t>
      </w:r>
      <w:bookmarkEnd w:id="41"/>
      <w:r w:rsidRPr="00FC257F">
        <w:t>The Commission, in accordance with this section, shall assess and collect regulatory fees to recover the costs of the following regulatory activities of the Commission: enforcement activities, policy and rulemaking activities, user information services, and international activities.</w:t>
      </w:r>
    </w:p>
    <w:p w:rsidR="006F7AD6" w:rsidP="006F7AD6" w14:paraId="6525CAFB" w14:textId="77777777">
      <w:pPr>
        <w:rPr>
          <w:b/>
        </w:rPr>
      </w:pPr>
    </w:p>
    <w:p w:rsidR="006F7AD6" w:rsidRPr="00FC257F" w:rsidP="006F7AD6" w14:paraId="75E8FC50" w14:textId="77777777">
      <w:r w:rsidRPr="00FC257F">
        <w:rPr>
          <w:b/>
        </w:rPr>
        <w:t>(2) FEES CONTINGENT ON APPROPRIATIONS.—</w:t>
      </w:r>
      <w:r w:rsidRPr="00FC257F">
        <w:t xml:space="preserve">The fees described in paragraph (1) of this subsection shall be collected only if, and only in the total amounts, required in Appropriations Acts. </w:t>
      </w:r>
    </w:p>
    <w:p w:rsidR="006F7AD6" w:rsidP="006F7AD6" w14:paraId="06246FF1" w14:textId="77777777">
      <w:pPr>
        <w:rPr>
          <w:b/>
        </w:rPr>
      </w:pPr>
    </w:p>
    <w:p w:rsidR="006F7AD6" w:rsidRPr="00FC257F" w:rsidP="006F7AD6" w14:paraId="3EE7332A" w14:textId="77777777">
      <w:pPr>
        <w:rPr>
          <w:b/>
        </w:rPr>
      </w:pPr>
      <w:r w:rsidRPr="00FC257F">
        <w:rPr>
          <w:b/>
        </w:rPr>
        <w:t>(b) ESTABLISHMENT AND ADJUSTMENT OF REGULATORY FEES.—</w:t>
      </w:r>
    </w:p>
    <w:p w:rsidR="006F7AD6" w:rsidP="006F7AD6" w14:paraId="46A29817" w14:textId="77777777">
      <w:pPr>
        <w:rPr>
          <w:b/>
        </w:rPr>
      </w:pPr>
    </w:p>
    <w:p w:rsidR="006F7AD6" w:rsidRPr="00FC257F" w:rsidP="006F7AD6" w14:paraId="66B18F48" w14:textId="77777777">
      <w:r w:rsidRPr="00FC257F">
        <w:rPr>
          <w:b/>
        </w:rPr>
        <w:t>(1) IN GENERAL.—</w:t>
      </w:r>
      <w:r w:rsidRPr="00FC257F">
        <w:t>The fees assessed under subsection (a) shall—</w:t>
      </w:r>
    </w:p>
    <w:p w:rsidR="006F7AD6" w:rsidP="006F7AD6" w14:paraId="44D2B0B2" w14:textId="77777777">
      <w:pPr>
        <w:rPr>
          <w:b/>
        </w:rPr>
      </w:pPr>
    </w:p>
    <w:p w:rsidR="006F7AD6" w:rsidRPr="00FC257F" w:rsidP="006F7AD6" w14:paraId="61D179F3" w14:textId="77777777">
      <w:r w:rsidRPr="00FC257F">
        <w:rPr>
          <w:b/>
        </w:rPr>
        <w:t>(A)</w:t>
      </w:r>
      <w:r w:rsidRPr="00FC257F">
        <w:t xml:space="preserve"> be derived by determining the full-time equivalent number of employees performing the activities described in subsection (a) within the Private Radio Bureau, Mass Media Bureau, Common Carrier Bureau, and other offices of the Commission, adjusted to take into account factors that are reasonably related to the benefits provided to the payor of the fee by the Commission's activities, including such factors as service area coverage, shared use versus exclusive use, and other factors that the Commission determines are necessary in the public interest; </w:t>
      </w:r>
    </w:p>
    <w:p w:rsidR="006F7AD6" w:rsidP="006F7AD6" w14:paraId="3C403E96" w14:textId="77777777">
      <w:pPr>
        <w:rPr>
          <w:b/>
        </w:rPr>
      </w:pPr>
    </w:p>
    <w:p w:rsidR="006F7AD6" w:rsidRPr="00FC257F" w:rsidP="006F7AD6" w14:paraId="07ADDC22" w14:textId="77777777">
      <w:r w:rsidRPr="00FC257F">
        <w:rPr>
          <w:b/>
        </w:rPr>
        <w:t>(B)</w:t>
      </w:r>
      <w:r w:rsidRPr="00FC257F">
        <w:t xml:space="preserve"> be established at amounts that will result in collection, during each fiscal year, of an amount that can reasonably be expected to equal the amount appropriated for such fiscal year for the performance of the activities described in subsection (a); and </w:t>
      </w:r>
    </w:p>
    <w:p w:rsidR="006F7AD6" w:rsidP="006F7AD6" w14:paraId="33E2BD73" w14:textId="77777777">
      <w:pPr>
        <w:rPr>
          <w:b/>
        </w:rPr>
      </w:pPr>
    </w:p>
    <w:p w:rsidR="006F7AD6" w:rsidRPr="00FC257F" w:rsidP="006F7AD6" w14:paraId="1C8AA7FE" w14:textId="77777777">
      <w:r w:rsidRPr="00FC257F">
        <w:rPr>
          <w:b/>
        </w:rPr>
        <w:t>(C)</w:t>
      </w:r>
      <w:r w:rsidRPr="00FC257F">
        <w:t xml:space="preserve"> until adjusted or amended by the Commission pursuant to paragraph (2) or (3), be the fees established by the Schedule of Regulatory Fees in subsection (g). </w:t>
      </w:r>
    </w:p>
    <w:p w:rsidR="006F7AD6" w:rsidP="006F7AD6" w14:paraId="0E5B6C21" w14:textId="77777777">
      <w:pPr>
        <w:rPr>
          <w:b/>
        </w:rPr>
      </w:pPr>
    </w:p>
    <w:p w:rsidR="006F7AD6" w:rsidRPr="00FC257F" w:rsidP="006F7AD6" w14:paraId="644FF1F2" w14:textId="77777777">
      <w:r w:rsidRPr="00FC257F">
        <w:rPr>
          <w:b/>
        </w:rPr>
        <w:t>(2) MANDATORY ADJUSTMENT OF SCHEDULE.—</w:t>
      </w:r>
      <w:r w:rsidRPr="00FC257F">
        <w:t>For any fiscal year after fiscal year 1994, the Commission shall, by rule, revise the Schedule of Regulatory Fees by proportionate increases or decreases to reflect, in accordance with paragraph (1)(B), changes in the amount appropriated for the performance of the activities described in subsection (a) for such fiscal year. Such proportionate increases or decreases shall—</w:t>
      </w:r>
    </w:p>
    <w:p w:rsidR="006F7AD6" w:rsidP="006F7AD6" w14:paraId="6A01C773" w14:textId="77777777">
      <w:pPr>
        <w:rPr>
          <w:b/>
        </w:rPr>
      </w:pPr>
    </w:p>
    <w:p w:rsidR="006F7AD6" w:rsidRPr="00FC257F" w:rsidP="006F7AD6" w14:paraId="614D6E40" w14:textId="77777777">
      <w:r w:rsidRPr="00FC257F">
        <w:rPr>
          <w:b/>
        </w:rPr>
        <w:t>(A)</w:t>
      </w:r>
      <w:r w:rsidRPr="00FC257F">
        <w:t xml:space="preserve"> be adjusted to reflect, within the overall amounts described in appropriations Acts under the authority of paragraph (1)(A), unexpected increases or decreases in the number of licensees or units subject to payment of such fees; and </w:t>
      </w:r>
    </w:p>
    <w:p w:rsidR="006F7AD6" w:rsidP="006F7AD6" w14:paraId="728B8788" w14:textId="77777777">
      <w:pPr>
        <w:rPr>
          <w:b/>
        </w:rPr>
      </w:pPr>
    </w:p>
    <w:p w:rsidR="006F7AD6" w:rsidRPr="00FC257F" w:rsidP="006F7AD6" w14:paraId="6DDB5707" w14:textId="77777777">
      <w:r w:rsidRPr="00FC257F">
        <w:rPr>
          <w:b/>
        </w:rPr>
        <w:t>(B)</w:t>
      </w:r>
      <w:r w:rsidRPr="00FC257F">
        <w:t xml:space="preserve"> be established at amounts that will result in collection of an aggregate amount of fees pursuant to this section that can reasonably be expected to equal the aggregate amount of fees that are required to be collected by appropriations Acts pursuant to paragraph (1)(B).</w:t>
      </w:r>
    </w:p>
    <w:p w:rsidR="006F7AD6" w:rsidRPr="00FC257F" w:rsidP="006F7AD6" w14:paraId="12A693AB" w14:textId="77777777">
      <w:r w:rsidRPr="00FC257F">
        <w:t xml:space="preserve">Increases or decreases in fees made by adjustments pursuant to this paragraph shall not be subject to </w:t>
      </w:r>
      <w:r w:rsidRPr="00FC257F">
        <w:t xml:space="preserve">judicial review. In making adjustments pursuant to this paragraph the Commission may round such fees to the nearest $5 in the case of fees under $1,000, or to the nearest $25 in the case of fees of $1,000 or more. </w:t>
      </w:r>
    </w:p>
    <w:p w:rsidR="006F7AD6" w:rsidP="006F7AD6" w14:paraId="1B7BBECC" w14:textId="77777777">
      <w:pPr>
        <w:rPr>
          <w:b/>
        </w:rPr>
      </w:pPr>
    </w:p>
    <w:p w:rsidR="006F7AD6" w:rsidRPr="00FC257F" w:rsidP="006F7AD6" w14:paraId="75534A02" w14:textId="77777777">
      <w:r w:rsidRPr="00FC257F">
        <w:rPr>
          <w:b/>
        </w:rPr>
        <w:t>(3) PERMITTED AMENDMENTS.—</w:t>
      </w:r>
      <w:r w:rsidRPr="00FC257F">
        <w:t xml:space="preserve">In addition to the adjustments required by paragraph (2), the Commission shall, by regulation, amend the Schedule of Regulatory Fees if the Commission determines that the Schedule requires amendment to comply with the requirements of paragraph (1)(A). In making such amendments, the Commission shall add, delete, or reclassify services in the Schedule to reflect additions, deletions, or changes in the nature of its services as a consequence of Commission rulemaking proceedings or changes in law. Increases or decreases in fees made by amendments pursuant to this paragraph shall not be subject to judicial review. </w:t>
      </w:r>
    </w:p>
    <w:p w:rsidR="006F7AD6" w:rsidP="006F7AD6" w14:paraId="174B2DE2" w14:textId="77777777">
      <w:pPr>
        <w:rPr>
          <w:b/>
        </w:rPr>
      </w:pPr>
    </w:p>
    <w:p w:rsidR="006F7AD6" w:rsidRPr="00FC257F" w:rsidP="006F7AD6" w14:paraId="3A2BF405" w14:textId="77777777">
      <w:r w:rsidRPr="00FC257F">
        <w:rPr>
          <w:b/>
        </w:rPr>
        <w:t>(4) NOTICE TO CONGRESS.—</w:t>
      </w:r>
      <w:r w:rsidRPr="00FC257F">
        <w:t>The Commission shall—</w:t>
      </w:r>
    </w:p>
    <w:p w:rsidR="006F7AD6" w:rsidP="006F7AD6" w14:paraId="433D3124" w14:textId="77777777">
      <w:pPr>
        <w:rPr>
          <w:b/>
        </w:rPr>
      </w:pPr>
    </w:p>
    <w:p w:rsidR="006F7AD6" w:rsidRPr="00FC257F" w:rsidP="006F7AD6" w14:paraId="1D931D4E" w14:textId="77777777">
      <w:r w:rsidRPr="00FC257F">
        <w:rPr>
          <w:b/>
        </w:rPr>
        <w:t>(A)</w:t>
      </w:r>
      <w:r w:rsidRPr="00FC257F">
        <w:t xml:space="preserve"> transmit to the Congress notification of any adjustment made pursuant to paragraph (2) immediately upon the adoption of such adjustment; and </w:t>
      </w:r>
    </w:p>
    <w:p w:rsidR="006F7AD6" w:rsidP="006F7AD6" w14:paraId="2FD7EA0A" w14:textId="77777777">
      <w:pPr>
        <w:rPr>
          <w:b/>
        </w:rPr>
      </w:pPr>
    </w:p>
    <w:p w:rsidR="006F7AD6" w:rsidRPr="00FC257F" w:rsidP="006F7AD6" w14:paraId="093A5E06" w14:textId="77777777">
      <w:r w:rsidRPr="00FC257F">
        <w:rPr>
          <w:b/>
        </w:rPr>
        <w:t>(B)</w:t>
      </w:r>
      <w:r w:rsidRPr="00FC257F">
        <w:t xml:space="preserve"> transmit to the Congress notification of any amendment made pursuant to paragraph (3) not later than 90 days before the effective date of such amendment. </w:t>
      </w:r>
    </w:p>
    <w:p w:rsidR="006F7AD6" w:rsidP="006F7AD6" w14:paraId="1F35BE3C" w14:textId="77777777">
      <w:pPr>
        <w:rPr>
          <w:b/>
        </w:rPr>
      </w:pPr>
    </w:p>
    <w:p w:rsidR="006F7AD6" w:rsidRPr="00FC257F" w:rsidP="006F7AD6" w14:paraId="6BCFC428" w14:textId="77777777">
      <w:pPr>
        <w:rPr>
          <w:b/>
        </w:rPr>
      </w:pPr>
      <w:r w:rsidRPr="00FC257F">
        <w:rPr>
          <w:b/>
        </w:rPr>
        <w:t>(c) ENFORCEMENT.—</w:t>
      </w:r>
    </w:p>
    <w:p w:rsidR="006F7AD6" w:rsidP="006F7AD6" w14:paraId="1CA533DC" w14:textId="77777777">
      <w:pPr>
        <w:rPr>
          <w:b/>
        </w:rPr>
      </w:pPr>
    </w:p>
    <w:p w:rsidR="006F7AD6" w:rsidRPr="00FC257F" w:rsidP="006F7AD6" w14:paraId="08C3462F" w14:textId="77777777">
      <w:r w:rsidRPr="00FC257F">
        <w:rPr>
          <w:b/>
        </w:rPr>
        <w:t>(1) PENALTIES FOR LATE PAYMENT.—</w:t>
      </w:r>
      <w:r w:rsidRPr="00FC257F">
        <w:t xml:space="preserve">The Commission shall prescribe by regulation an additional charge which shall be assessed as a penalty for late payment of fees required by subsection (a) of this section. Such penalty shall be 25 percent of the amount of the fee which was not paid in a timely manner. </w:t>
      </w:r>
    </w:p>
    <w:p w:rsidR="006F7AD6" w:rsidP="006F7AD6" w14:paraId="46682296" w14:textId="77777777">
      <w:pPr>
        <w:rPr>
          <w:b/>
        </w:rPr>
      </w:pPr>
    </w:p>
    <w:p w:rsidR="006F7AD6" w:rsidRPr="00FC257F" w:rsidP="006F7AD6" w14:paraId="2403A019" w14:textId="77777777">
      <w:r w:rsidRPr="00FC257F">
        <w:rPr>
          <w:b/>
        </w:rPr>
        <w:t>(2) DISMISSAL OF APPLICATIONS FOR FILINGS.—</w:t>
      </w:r>
      <w:r w:rsidRPr="00FC257F">
        <w:t xml:space="preserve">The Commission may dismiss any application or other filing for failure to pay in a timely manner any fee or penalty under this section. </w:t>
      </w:r>
    </w:p>
    <w:p w:rsidR="006F7AD6" w:rsidP="006F7AD6" w14:paraId="3A219D20" w14:textId="77777777">
      <w:pPr>
        <w:rPr>
          <w:b/>
        </w:rPr>
      </w:pPr>
    </w:p>
    <w:p w:rsidR="006F7AD6" w:rsidRPr="00FC257F" w:rsidP="006F7AD6" w14:paraId="36959763" w14:textId="77777777">
      <w:r w:rsidRPr="00FC257F">
        <w:rPr>
          <w:b/>
        </w:rPr>
        <w:t>(3) REVOCATIONS.—</w:t>
      </w:r>
      <w:r w:rsidRPr="00FC257F">
        <w:t xml:space="preserve">In addition to or in lieu of the penalties and dismissals authorized by paragraphs (1) and (2), the Commission may revoke any instrument of authorization held by any entity that has failed to make payment of a regulatory fee assessed pursuant to this section. Such revocation action may be taken by the Commission after notice of the Commission's intent to take such action is sent to the licensee by registered mail, return receipt requested, at the licensee's last known address. The notice will provide the licensee at least 30 days to either pay the fee or show cause why the fee does not apply to the licensee or should otherwise be waived or payment deferred. A hearing is not required under this subsection unless the licensee's response presents a substantial and material question of fact. In any case where a hearing is conducted pursuant to this section, the hearing shall be based on written evidence only, and the burden of proceeding with the introduction of evidence and the burden of proof shall be on the licensee. Unless the licensee substantially prevails in the hearing, the Commission may assess the licensee for the costs of such hearing. Any Commission order adopted pursuant to this subsection shall determine the amount due, if any, and provide the licensee with at least 30 days to pay that amount or have its authorization revoked. No order of revocation under this subsection shall become final until the licensee has exhausted its right to judicial review of such order under section 402(b)(5) of this title. </w:t>
      </w:r>
    </w:p>
    <w:p w:rsidR="006F7AD6" w:rsidP="006F7AD6" w14:paraId="23DD84BD" w14:textId="77777777">
      <w:pPr>
        <w:rPr>
          <w:b/>
        </w:rPr>
      </w:pPr>
    </w:p>
    <w:p w:rsidR="006F7AD6" w:rsidRPr="00FC257F" w:rsidP="006F7AD6" w14:paraId="0439FCFD" w14:textId="77777777">
      <w:r w:rsidRPr="00FC257F">
        <w:rPr>
          <w:b/>
        </w:rPr>
        <w:t>(d) WAIVER, REDUCTION, AND DEFERMENT.—</w:t>
      </w:r>
      <w:r w:rsidRPr="00FC257F">
        <w:t xml:space="preserve">The Commission may waive, reduce, or defer payment of a fee in any specific instance for good cause shown, where such action would promote the public interest. </w:t>
      </w:r>
    </w:p>
    <w:p w:rsidR="006F7AD6" w:rsidP="006F7AD6" w14:paraId="3FAB1D79" w14:textId="77777777">
      <w:pPr>
        <w:rPr>
          <w:b/>
        </w:rPr>
      </w:pPr>
    </w:p>
    <w:p w:rsidR="006F7AD6" w:rsidRPr="00FC257F" w:rsidP="006F7AD6" w14:paraId="22968134" w14:textId="77777777">
      <w:r w:rsidRPr="00FC257F">
        <w:rPr>
          <w:b/>
        </w:rPr>
        <w:t>(e) DEPOSIT OF COLLECTIONS.—</w:t>
      </w:r>
      <w:r w:rsidRPr="00FC257F">
        <w:t xml:space="preserve">Moneys received from fees established under this section shall be deposited as an offsetting collection in, and credited to, the account providing appropriations to carry out the functions of the Commission. </w:t>
      </w:r>
    </w:p>
    <w:p w:rsidR="006F7AD6" w:rsidP="006F7AD6" w14:paraId="02E75DFE" w14:textId="77777777">
      <w:pPr>
        <w:rPr>
          <w:b/>
        </w:rPr>
      </w:pPr>
    </w:p>
    <w:p w:rsidR="006F7AD6" w:rsidRPr="00FC257F" w:rsidP="006F7AD6" w14:paraId="010D924C" w14:textId="77777777">
      <w:pPr>
        <w:rPr>
          <w:b/>
        </w:rPr>
      </w:pPr>
      <w:r w:rsidRPr="00FC257F">
        <w:rPr>
          <w:b/>
        </w:rPr>
        <w:t>(f) REGULATIONS.—</w:t>
      </w:r>
    </w:p>
    <w:p w:rsidR="006F7AD6" w:rsidP="006F7AD6" w14:paraId="00B229DC" w14:textId="77777777">
      <w:pPr>
        <w:rPr>
          <w:b/>
        </w:rPr>
      </w:pPr>
    </w:p>
    <w:p w:rsidR="006F7AD6" w:rsidRPr="00FC257F" w:rsidP="006F7AD6" w14:paraId="4DFC8288" w14:textId="77777777">
      <w:r w:rsidRPr="00FC257F">
        <w:rPr>
          <w:b/>
        </w:rPr>
        <w:t>(1) IN GENERAL.—</w:t>
      </w:r>
      <w:r w:rsidRPr="00FC257F">
        <w:t xml:space="preserve">The Commission shall prescribe appropriate rules and regulations to carry out the provisions of this section. </w:t>
      </w:r>
    </w:p>
    <w:p w:rsidR="006F7AD6" w:rsidP="006F7AD6" w14:paraId="6B286929" w14:textId="77777777">
      <w:pPr>
        <w:rPr>
          <w:b/>
        </w:rPr>
      </w:pPr>
    </w:p>
    <w:p w:rsidR="006F7AD6" w:rsidRPr="00FC257F" w:rsidP="006F7AD6" w14:paraId="0857406F" w14:textId="77777777">
      <w:r w:rsidRPr="00FC257F">
        <w:rPr>
          <w:b/>
        </w:rPr>
        <w:t>(2) INSTALLMENT PAYMENTS.—</w:t>
      </w:r>
      <w:r w:rsidRPr="00FC257F">
        <w:t>Such rules and regulations shall permit payment by installments in the case of fees in large amounts, and in the case of fees in small amounts, shall require the payment of the fee in advance for a number of years not to exceed the term of the license held by the payor.</w:t>
      </w:r>
    </w:p>
    <w:p w:rsidR="006F7AD6" w:rsidP="006F7AD6" w14:paraId="164FA397" w14:textId="77777777">
      <w:pPr>
        <w:rPr>
          <w:b/>
        </w:rPr>
      </w:pPr>
    </w:p>
    <w:p w:rsidR="006F7AD6" w:rsidRPr="00FC257F" w:rsidP="006F7AD6" w14:paraId="0843935A" w14:textId="77777777">
      <w:r w:rsidRPr="00FC257F">
        <w:rPr>
          <w:b/>
        </w:rPr>
        <w:t>(g) SCHEDULE.—</w:t>
      </w:r>
      <w:r w:rsidRPr="00FC257F">
        <w:t xml:space="preserve">Until amended by the Commission pursuant to subsection (b), the Schedule of Regulatory Fees which the Federal Communications Commission shall, subject to subsection (a)(2), assess and collect shall be as follows: </w:t>
      </w:r>
    </w:p>
    <w:p w:rsidR="006F7AD6" w:rsidP="006F7AD6" w14:paraId="23789FB7" w14:textId="77777777">
      <w:pPr>
        <w:rPr>
          <w:b/>
        </w:rPr>
      </w:pPr>
    </w:p>
    <w:p w:rsidR="006F7AD6" w:rsidRPr="002716F1" w:rsidP="006F7AD6" w14:paraId="6593F5E9" w14:textId="77777777">
      <w:pPr>
        <w:rPr>
          <w:b/>
        </w:rPr>
      </w:pPr>
      <w:r w:rsidRPr="002716F1">
        <w:rPr>
          <w:b/>
        </w:rPr>
        <w:t>SCHEDULE OF REGULATORY FEES</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25"/>
        <w:gridCol w:w="3960"/>
      </w:tblGrid>
      <w:tr w14:paraId="29BA55D6" w14:textId="77777777" w:rsidTr="00886011">
        <w:tblPrEx>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025" w:type="dxa"/>
            <w:shd w:val="clear" w:color="auto" w:fill="auto"/>
          </w:tcPr>
          <w:p w:rsidR="006F7AD6" w:rsidRPr="00A211A0" w:rsidP="00886011" w14:paraId="784DE1F4" w14:textId="77777777">
            <w:pPr>
              <w:pStyle w:val="ParaNum"/>
              <w:numPr>
                <w:ilvl w:val="0"/>
                <w:numId w:val="7"/>
              </w:numPr>
              <w:rPr>
                <w:rFonts w:ascii="Calibri" w:eastAsia="Calibri" w:hAnsi="Calibri"/>
                <w:b/>
                <w:sz w:val="20"/>
                <w:szCs w:val="22"/>
              </w:rPr>
            </w:pPr>
            <w:r w:rsidRPr="00A211A0">
              <w:rPr>
                <w:rFonts w:ascii="Calibri" w:eastAsia="Calibri" w:hAnsi="Calibri"/>
                <w:b/>
                <w:szCs w:val="22"/>
              </w:rPr>
              <w:tab/>
            </w:r>
            <w:r w:rsidRPr="00A211A0">
              <w:rPr>
                <w:rFonts w:ascii="Calibri" w:eastAsia="Calibri" w:hAnsi="Calibri"/>
                <w:b/>
                <w:sz w:val="20"/>
                <w:szCs w:val="22"/>
              </w:rPr>
              <w:t>Bureau/Category</w:t>
            </w:r>
          </w:p>
        </w:tc>
        <w:tc>
          <w:tcPr>
            <w:tcW w:w="3960" w:type="dxa"/>
            <w:shd w:val="clear" w:color="auto" w:fill="auto"/>
          </w:tcPr>
          <w:p w:rsidR="006F7AD6" w:rsidRPr="00A211A0" w:rsidP="00886011" w14:paraId="5EE24693" w14:textId="77777777">
            <w:pPr>
              <w:rPr>
                <w:rFonts w:ascii="Calibri" w:eastAsia="Calibri" w:hAnsi="Calibri"/>
                <w:b/>
                <w:sz w:val="20"/>
                <w:szCs w:val="22"/>
              </w:rPr>
            </w:pPr>
            <w:r w:rsidRPr="00A211A0">
              <w:rPr>
                <w:rFonts w:ascii="Calibri" w:eastAsia="Calibri" w:hAnsi="Calibri"/>
                <w:b/>
                <w:sz w:val="20"/>
                <w:szCs w:val="22"/>
              </w:rPr>
              <w:t>Annual Regulatory Fee</w:t>
            </w:r>
          </w:p>
        </w:tc>
      </w:tr>
      <w:tr w14:paraId="0F0EC9BC" w14:textId="77777777" w:rsidTr="00886011">
        <w:tblPrEx>
          <w:tblW w:w="9985" w:type="dxa"/>
          <w:tblLook w:val="04A0"/>
        </w:tblPrEx>
        <w:tc>
          <w:tcPr>
            <w:tcW w:w="6025" w:type="dxa"/>
            <w:shd w:val="clear" w:color="auto" w:fill="auto"/>
          </w:tcPr>
          <w:p w:rsidR="006F7AD6" w:rsidRPr="00A211A0" w:rsidP="00886011" w14:paraId="6C7BC3D0" w14:textId="77777777">
            <w:pPr>
              <w:rPr>
                <w:rFonts w:ascii="Calibri" w:eastAsia="Calibri" w:hAnsi="Calibri"/>
                <w:b/>
                <w:sz w:val="20"/>
                <w:szCs w:val="22"/>
                <w:u w:val="single"/>
              </w:rPr>
            </w:pPr>
            <w:r w:rsidRPr="00A211A0">
              <w:rPr>
                <w:rFonts w:ascii="Calibri" w:eastAsia="Calibri" w:hAnsi="Calibri"/>
                <w:b/>
                <w:sz w:val="20"/>
                <w:szCs w:val="22"/>
                <w:u w:val="single"/>
              </w:rPr>
              <w:t>Private Radio Bureau</w:t>
            </w:r>
          </w:p>
        </w:tc>
        <w:tc>
          <w:tcPr>
            <w:tcW w:w="3960" w:type="dxa"/>
            <w:shd w:val="clear" w:color="auto" w:fill="auto"/>
          </w:tcPr>
          <w:p w:rsidR="006F7AD6" w:rsidRPr="00A211A0" w:rsidP="00886011" w14:paraId="6313F0EE" w14:textId="77777777">
            <w:pPr>
              <w:rPr>
                <w:rFonts w:ascii="Calibri" w:eastAsia="Calibri" w:hAnsi="Calibri"/>
                <w:sz w:val="20"/>
                <w:szCs w:val="22"/>
              </w:rPr>
            </w:pPr>
          </w:p>
        </w:tc>
      </w:tr>
      <w:tr w14:paraId="050B8319" w14:textId="77777777" w:rsidTr="00886011">
        <w:tblPrEx>
          <w:tblW w:w="9985" w:type="dxa"/>
          <w:tblLook w:val="04A0"/>
        </w:tblPrEx>
        <w:tc>
          <w:tcPr>
            <w:tcW w:w="6025" w:type="dxa"/>
            <w:shd w:val="clear" w:color="auto" w:fill="auto"/>
          </w:tcPr>
          <w:p w:rsidR="006F7AD6" w:rsidRPr="00A211A0" w:rsidP="00886011" w14:paraId="455DDAA8" w14:textId="77777777">
            <w:pPr>
              <w:rPr>
                <w:rFonts w:ascii="Calibri" w:eastAsia="Calibri" w:hAnsi="Calibri"/>
                <w:sz w:val="20"/>
                <w:szCs w:val="22"/>
              </w:rPr>
            </w:pPr>
            <w:r w:rsidRPr="00A211A0">
              <w:rPr>
                <w:rFonts w:ascii="Calibri" w:eastAsia="Calibri" w:hAnsi="Calibri"/>
                <w:sz w:val="20"/>
                <w:szCs w:val="22"/>
              </w:rPr>
              <w:t>Exclusive use services (per license) Land Mobile (above 470 MHz, Base Station and SMRS) (47 C.F.R. Part 90)</w:t>
            </w:r>
          </w:p>
        </w:tc>
        <w:tc>
          <w:tcPr>
            <w:tcW w:w="3960" w:type="dxa"/>
            <w:shd w:val="clear" w:color="auto" w:fill="auto"/>
          </w:tcPr>
          <w:p w:rsidR="006F7AD6" w:rsidRPr="00A211A0" w:rsidP="00886011" w14:paraId="3C9A4310" w14:textId="77777777">
            <w:pPr>
              <w:rPr>
                <w:rFonts w:ascii="Calibri" w:eastAsia="Calibri" w:hAnsi="Calibri"/>
                <w:sz w:val="20"/>
                <w:szCs w:val="22"/>
              </w:rPr>
            </w:pPr>
            <w:r w:rsidRPr="00A211A0">
              <w:rPr>
                <w:rFonts w:ascii="Calibri" w:eastAsia="Calibri" w:hAnsi="Calibri"/>
                <w:sz w:val="20"/>
                <w:szCs w:val="22"/>
              </w:rPr>
              <w:t>$16</w:t>
            </w:r>
          </w:p>
        </w:tc>
      </w:tr>
      <w:tr w14:paraId="1FF0DFF1" w14:textId="77777777" w:rsidTr="00886011">
        <w:tblPrEx>
          <w:tblW w:w="9985" w:type="dxa"/>
          <w:tblLook w:val="04A0"/>
        </w:tblPrEx>
        <w:tc>
          <w:tcPr>
            <w:tcW w:w="6025" w:type="dxa"/>
            <w:shd w:val="clear" w:color="auto" w:fill="auto"/>
          </w:tcPr>
          <w:p w:rsidR="006F7AD6" w:rsidRPr="00A211A0" w:rsidP="00886011" w14:paraId="25B11819" w14:textId="77777777">
            <w:pPr>
              <w:rPr>
                <w:rFonts w:ascii="Calibri" w:eastAsia="Calibri" w:hAnsi="Calibri"/>
                <w:sz w:val="20"/>
                <w:szCs w:val="22"/>
              </w:rPr>
            </w:pPr>
            <w:r w:rsidRPr="00A211A0">
              <w:rPr>
                <w:rFonts w:ascii="Calibri" w:eastAsia="Calibri" w:hAnsi="Calibri"/>
                <w:sz w:val="20"/>
                <w:szCs w:val="22"/>
              </w:rPr>
              <w:t>Microwave (47 C.F.R. Part 94)</w:t>
            </w:r>
          </w:p>
        </w:tc>
        <w:tc>
          <w:tcPr>
            <w:tcW w:w="3960" w:type="dxa"/>
            <w:shd w:val="clear" w:color="auto" w:fill="auto"/>
          </w:tcPr>
          <w:p w:rsidR="006F7AD6" w:rsidRPr="00A211A0" w:rsidP="00886011" w14:paraId="15F62B89" w14:textId="77777777">
            <w:pPr>
              <w:rPr>
                <w:rFonts w:ascii="Calibri" w:eastAsia="Calibri" w:hAnsi="Calibri"/>
                <w:sz w:val="20"/>
                <w:szCs w:val="22"/>
              </w:rPr>
            </w:pPr>
            <w:r w:rsidRPr="00A211A0">
              <w:rPr>
                <w:rFonts w:ascii="Calibri" w:eastAsia="Calibri" w:hAnsi="Calibri"/>
                <w:sz w:val="20"/>
                <w:szCs w:val="22"/>
              </w:rPr>
              <w:t>16</w:t>
            </w:r>
          </w:p>
        </w:tc>
      </w:tr>
      <w:tr w14:paraId="70F78650" w14:textId="77777777" w:rsidTr="00886011">
        <w:tblPrEx>
          <w:tblW w:w="9985" w:type="dxa"/>
          <w:tblLook w:val="04A0"/>
        </w:tblPrEx>
        <w:tc>
          <w:tcPr>
            <w:tcW w:w="6025" w:type="dxa"/>
            <w:shd w:val="clear" w:color="auto" w:fill="auto"/>
          </w:tcPr>
          <w:p w:rsidR="006F7AD6" w:rsidRPr="00A211A0" w:rsidP="00886011" w14:paraId="76CBEABA" w14:textId="77777777">
            <w:pPr>
              <w:rPr>
                <w:rFonts w:ascii="Calibri" w:eastAsia="Calibri" w:hAnsi="Calibri"/>
                <w:sz w:val="20"/>
                <w:szCs w:val="22"/>
              </w:rPr>
            </w:pPr>
            <w:r w:rsidRPr="00A211A0">
              <w:rPr>
                <w:rFonts w:ascii="Calibri" w:eastAsia="Calibri" w:hAnsi="Calibri"/>
                <w:sz w:val="20"/>
                <w:szCs w:val="22"/>
              </w:rPr>
              <w:t>Interactive Video Data Service (47 C.F.R. Part 95)</w:t>
            </w:r>
          </w:p>
        </w:tc>
        <w:tc>
          <w:tcPr>
            <w:tcW w:w="3960" w:type="dxa"/>
            <w:shd w:val="clear" w:color="auto" w:fill="auto"/>
          </w:tcPr>
          <w:p w:rsidR="006F7AD6" w:rsidRPr="00A211A0" w:rsidP="00886011" w14:paraId="07F8DB08" w14:textId="77777777">
            <w:pPr>
              <w:rPr>
                <w:rFonts w:ascii="Calibri" w:eastAsia="Calibri" w:hAnsi="Calibri"/>
                <w:sz w:val="20"/>
                <w:szCs w:val="22"/>
              </w:rPr>
            </w:pPr>
            <w:r w:rsidRPr="00A211A0">
              <w:rPr>
                <w:rFonts w:ascii="Calibri" w:eastAsia="Calibri" w:hAnsi="Calibri"/>
                <w:sz w:val="20"/>
                <w:szCs w:val="22"/>
              </w:rPr>
              <w:t>16</w:t>
            </w:r>
          </w:p>
        </w:tc>
      </w:tr>
      <w:tr w14:paraId="1FDBE457" w14:textId="77777777" w:rsidTr="00886011">
        <w:tblPrEx>
          <w:tblW w:w="9985" w:type="dxa"/>
          <w:tblLook w:val="04A0"/>
        </w:tblPrEx>
        <w:tc>
          <w:tcPr>
            <w:tcW w:w="6025" w:type="dxa"/>
            <w:shd w:val="clear" w:color="auto" w:fill="auto"/>
          </w:tcPr>
          <w:p w:rsidR="006F7AD6" w:rsidRPr="00A211A0" w:rsidP="00886011" w14:paraId="62E8A50B" w14:textId="77777777">
            <w:pPr>
              <w:rPr>
                <w:rFonts w:ascii="Calibri" w:eastAsia="Calibri" w:hAnsi="Calibri"/>
                <w:sz w:val="20"/>
                <w:szCs w:val="22"/>
              </w:rPr>
            </w:pPr>
            <w:r w:rsidRPr="00A211A0">
              <w:rPr>
                <w:rFonts w:ascii="Calibri" w:eastAsia="Calibri" w:hAnsi="Calibri"/>
                <w:sz w:val="20"/>
                <w:szCs w:val="22"/>
              </w:rPr>
              <w:t>Shared use services (per license unless otherwise noted)</w:t>
            </w:r>
          </w:p>
        </w:tc>
        <w:tc>
          <w:tcPr>
            <w:tcW w:w="3960" w:type="dxa"/>
            <w:shd w:val="clear" w:color="auto" w:fill="auto"/>
          </w:tcPr>
          <w:p w:rsidR="006F7AD6" w:rsidRPr="00A211A0" w:rsidP="00886011" w14:paraId="12108C1D" w14:textId="77777777">
            <w:pPr>
              <w:rPr>
                <w:rFonts w:ascii="Calibri" w:eastAsia="Calibri" w:hAnsi="Calibri"/>
                <w:sz w:val="20"/>
                <w:szCs w:val="22"/>
              </w:rPr>
            </w:pPr>
            <w:r w:rsidRPr="00A211A0">
              <w:rPr>
                <w:rFonts w:ascii="Calibri" w:eastAsia="Calibri" w:hAnsi="Calibri"/>
                <w:sz w:val="20"/>
                <w:szCs w:val="22"/>
              </w:rPr>
              <w:t>7</w:t>
            </w:r>
          </w:p>
        </w:tc>
      </w:tr>
      <w:tr w14:paraId="7F98C1B8" w14:textId="77777777" w:rsidTr="00886011">
        <w:tblPrEx>
          <w:tblW w:w="9985" w:type="dxa"/>
          <w:tblLook w:val="04A0"/>
        </w:tblPrEx>
        <w:tc>
          <w:tcPr>
            <w:tcW w:w="6025" w:type="dxa"/>
            <w:shd w:val="clear" w:color="auto" w:fill="auto"/>
          </w:tcPr>
          <w:p w:rsidR="006F7AD6" w:rsidRPr="00A211A0" w:rsidP="00886011" w14:paraId="51D3B319" w14:textId="77777777">
            <w:pPr>
              <w:rPr>
                <w:rFonts w:ascii="Calibri" w:eastAsia="Calibri" w:hAnsi="Calibri"/>
                <w:b/>
                <w:sz w:val="20"/>
                <w:szCs w:val="22"/>
                <w:u w:val="single"/>
              </w:rPr>
            </w:pPr>
            <w:r w:rsidRPr="00A211A0">
              <w:rPr>
                <w:rFonts w:ascii="Calibri" w:eastAsia="Calibri" w:hAnsi="Calibri"/>
                <w:sz w:val="20"/>
                <w:szCs w:val="22"/>
              </w:rPr>
              <w:t>Amateur vanity call-signs</w:t>
            </w:r>
          </w:p>
        </w:tc>
        <w:tc>
          <w:tcPr>
            <w:tcW w:w="3960" w:type="dxa"/>
            <w:shd w:val="clear" w:color="auto" w:fill="auto"/>
          </w:tcPr>
          <w:p w:rsidR="006F7AD6" w:rsidRPr="00A211A0" w:rsidP="00886011" w14:paraId="418AA996" w14:textId="77777777">
            <w:pPr>
              <w:rPr>
                <w:rFonts w:ascii="Calibri" w:eastAsia="Calibri" w:hAnsi="Calibri"/>
                <w:sz w:val="20"/>
                <w:szCs w:val="22"/>
              </w:rPr>
            </w:pPr>
            <w:r w:rsidRPr="00A211A0">
              <w:rPr>
                <w:rFonts w:ascii="Calibri" w:eastAsia="Calibri" w:hAnsi="Calibri"/>
                <w:sz w:val="20"/>
                <w:szCs w:val="22"/>
              </w:rPr>
              <w:t>7</w:t>
            </w:r>
          </w:p>
        </w:tc>
      </w:tr>
      <w:tr w14:paraId="536B18B6" w14:textId="77777777" w:rsidTr="00886011">
        <w:tblPrEx>
          <w:tblW w:w="9985" w:type="dxa"/>
          <w:tblLook w:val="04A0"/>
        </w:tblPrEx>
        <w:tc>
          <w:tcPr>
            <w:tcW w:w="6025" w:type="dxa"/>
            <w:shd w:val="clear" w:color="auto" w:fill="auto"/>
          </w:tcPr>
          <w:p w:rsidR="006F7AD6" w:rsidRPr="00A211A0" w:rsidP="00886011" w14:paraId="224CB512" w14:textId="77777777">
            <w:pPr>
              <w:rPr>
                <w:rFonts w:ascii="Calibri" w:eastAsia="Calibri" w:hAnsi="Calibri"/>
                <w:b/>
                <w:sz w:val="20"/>
                <w:szCs w:val="22"/>
                <w:u w:val="single"/>
              </w:rPr>
            </w:pPr>
            <w:r w:rsidRPr="00A211A0">
              <w:rPr>
                <w:rFonts w:ascii="Calibri" w:eastAsia="Calibri" w:hAnsi="Calibri"/>
                <w:b/>
                <w:sz w:val="20"/>
                <w:szCs w:val="22"/>
                <w:u w:val="single"/>
              </w:rPr>
              <w:t>Mass Media Bureau (per license)</w:t>
            </w:r>
          </w:p>
        </w:tc>
        <w:tc>
          <w:tcPr>
            <w:tcW w:w="3960" w:type="dxa"/>
            <w:shd w:val="clear" w:color="auto" w:fill="auto"/>
          </w:tcPr>
          <w:p w:rsidR="006F7AD6" w:rsidRPr="00A211A0" w:rsidP="00886011" w14:paraId="73CB2583" w14:textId="77777777">
            <w:pPr>
              <w:rPr>
                <w:rFonts w:ascii="Calibri" w:eastAsia="Calibri" w:hAnsi="Calibri"/>
                <w:sz w:val="20"/>
                <w:szCs w:val="22"/>
              </w:rPr>
            </w:pPr>
          </w:p>
        </w:tc>
      </w:tr>
      <w:tr w14:paraId="005DC55E" w14:textId="77777777" w:rsidTr="00886011">
        <w:tblPrEx>
          <w:tblW w:w="9985" w:type="dxa"/>
          <w:tblLook w:val="04A0"/>
        </w:tblPrEx>
        <w:tc>
          <w:tcPr>
            <w:tcW w:w="6025" w:type="dxa"/>
            <w:shd w:val="clear" w:color="auto" w:fill="auto"/>
          </w:tcPr>
          <w:p w:rsidR="006F7AD6" w:rsidRPr="00A211A0" w:rsidP="00886011" w14:paraId="4E9FDD5A" w14:textId="77777777">
            <w:pPr>
              <w:rPr>
                <w:rFonts w:ascii="Calibri" w:eastAsia="Calibri" w:hAnsi="Calibri"/>
                <w:b/>
                <w:i/>
                <w:sz w:val="20"/>
                <w:szCs w:val="22"/>
              </w:rPr>
            </w:pPr>
            <w:r w:rsidRPr="00A211A0">
              <w:rPr>
                <w:rFonts w:ascii="Calibri" w:eastAsia="Calibri" w:hAnsi="Calibri"/>
                <w:b/>
                <w:i/>
                <w:sz w:val="20"/>
                <w:szCs w:val="22"/>
              </w:rPr>
              <w:t>AM radio (47 C.F.R. Part 73)</w:t>
            </w:r>
          </w:p>
        </w:tc>
        <w:tc>
          <w:tcPr>
            <w:tcW w:w="3960" w:type="dxa"/>
            <w:shd w:val="clear" w:color="auto" w:fill="auto"/>
          </w:tcPr>
          <w:p w:rsidR="006F7AD6" w:rsidRPr="00A211A0" w:rsidP="00886011" w14:paraId="65FB9A5D" w14:textId="77777777">
            <w:pPr>
              <w:rPr>
                <w:rFonts w:ascii="Calibri" w:eastAsia="Calibri" w:hAnsi="Calibri"/>
                <w:sz w:val="20"/>
                <w:szCs w:val="22"/>
              </w:rPr>
            </w:pPr>
          </w:p>
        </w:tc>
      </w:tr>
      <w:tr w14:paraId="6437AE78" w14:textId="77777777" w:rsidTr="00886011">
        <w:tblPrEx>
          <w:tblW w:w="9985" w:type="dxa"/>
          <w:tblLook w:val="04A0"/>
        </w:tblPrEx>
        <w:tc>
          <w:tcPr>
            <w:tcW w:w="6025" w:type="dxa"/>
            <w:shd w:val="clear" w:color="auto" w:fill="auto"/>
          </w:tcPr>
          <w:p w:rsidR="006F7AD6" w:rsidRPr="00A211A0" w:rsidP="00886011" w14:paraId="286969FC" w14:textId="77777777">
            <w:pPr>
              <w:rPr>
                <w:rFonts w:ascii="Calibri" w:eastAsia="Calibri" w:hAnsi="Calibri"/>
                <w:sz w:val="20"/>
                <w:szCs w:val="22"/>
              </w:rPr>
            </w:pPr>
            <w:r w:rsidRPr="00A211A0">
              <w:rPr>
                <w:rFonts w:ascii="Calibri" w:eastAsia="Calibri" w:hAnsi="Calibri"/>
                <w:sz w:val="20"/>
                <w:szCs w:val="22"/>
              </w:rPr>
              <w:t>Class D Daytime</w:t>
            </w:r>
          </w:p>
        </w:tc>
        <w:tc>
          <w:tcPr>
            <w:tcW w:w="3960" w:type="dxa"/>
            <w:shd w:val="clear" w:color="auto" w:fill="auto"/>
          </w:tcPr>
          <w:p w:rsidR="006F7AD6" w:rsidRPr="00A211A0" w:rsidP="00886011" w14:paraId="6F13C349" w14:textId="77777777">
            <w:pPr>
              <w:rPr>
                <w:rFonts w:ascii="Calibri" w:eastAsia="Calibri" w:hAnsi="Calibri"/>
                <w:sz w:val="20"/>
                <w:szCs w:val="22"/>
              </w:rPr>
            </w:pPr>
            <w:r w:rsidRPr="00A211A0">
              <w:rPr>
                <w:rFonts w:ascii="Calibri" w:eastAsia="Calibri" w:hAnsi="Calibri"/>
                <w:sz w:val="20"/>
                <w:szCs w:val="22"/>
              </w:rPr>
              <w:t>250</w:t>
            </w:r>
          </w:p>
        </w:tc>
      </w:tr>
      <w:tr w14:paraId="2DDEE9AA" w14:textId="77777777" w:rsidTr="00886011">
        <w:tblPrEx>
          <w:tblW w:w="9985" w:type="dxa"/>
          <w:tblLook w:val="04A0"/>
        </w:tblPrEx>
        <w:tc>
          <w:tcPr>
            <w:tcW w:w="6025" w:type="dxa"/>
            <w:shd w:val="clear" w:color="auto" w:fill="auto"/>
          </w:tcPr>
          <w:p w:rsidR="006F7AD6" w:rsidRPr="00A211A0" w:rsidP="00886011" w14:paraId="472D219D" w14:textId="77777777">
            <w:pPr>
              <w:rPr>
                <w:rFonts w:ascii="Calibri" w:eastAsia="Calibri" w:hAnsi="Calibri"/>
                <w:sz w:val="20"/>
                <w:szCs w:val="22"/>
              </w:rPr>
            </w:pPr>
            <w:r w:rsidRPr="00A211A0">
              <w:rPr>
                <w:rFonts w:ascii="Calibri" w:eastAsia="Calibri" w:hAnsi="Calibri"/>
                <w:sz w:val="20"/>
                <w:szCs w:val="22"/>
              </w:rPr>
              <w:t>Class A Fulltime</w:t>
            </w:r>
          </w:p>
        </w:tc>
        <w:tc>
          <w:tcPr>
            <w:tcW w:w="3960" w:type="dxa"/>
            <w:shd w:val="clear" w:color="auto" w:fill="auto"/>
          </w:tcPr>
          <w:p w:rsidR="006F7AD6" w:rsidRPr="00A211A0" w:rsidP="00886011" w14:paraId="296F4CB8" w14:textId="77777777">
            <w:pPr>
              <w:rPr>
                <w:rFonts w:ascii="Calibri" w:eastAsia="Calibri" w:hAnsi="Calibri"/>
                <w:sz w:val="20"/>
                <w:szCs w:val="22"/>
              </w:rPr>
            </w:pPr>
            <w:r w:rsidRPr="00A211A0">
              <w:rPr>
                <w:rFonts w:ascii="Calibri" w:eastAsia="Calibri" w:hAnsi="Calibri"/>
                <w:sz w:val="20"/>
                <w:szCs w:val="22"/>
              </w:rPr>
              <w:t>900</w:t>
            </w:r>
          </w:p>
        </w:tc>
      </w:tr>
      <w:tr w14:paraId="01246B14" w14:textId="77777777" w:rsidTr="00886011">
        <w:tblPrEx>
          <w:tblW w:w="9985" w:type="dxa"/>
          <w:tblLook w:val="04A0"/>
        </w:tblPrEx>
        <w:tc>
          <w:tcPr>
            <w:tcW w:w="6025" w:type="dxa"/>
            <w:shd w:val="clear" w:color="auto" w:fill="auto"/>
          </w:tcPr>
          <w:p w:rsidR="006F7AD6" w:rsidRPr="00A211A0" w:rsidP="00886011" w14:paraId="5BB6E8C9" w14:textId="77777777">
            <w:pPr>
              <w:rPr>
                <w:rFonts w:ascii="Calibri" w:eastAsia="Calibri" w:hAnsi="Calibri"/>
                <w:sz w:val="20"/>
                <w:szCs w:val="22"/>
              </w:rPr>
            </w:pPr>
            <w:r w:rsidRPr="00A211A0">
              <w:rPr>
                <w:rFonts w:ascii="Calibri" w:eastAsia="Calibri" w:hAnsi="Calibri"/>
                <w:sz w:val="20"/>
                <w:szCs w:val="22"/>
              </w:rPr>
              <w:t>Class B Fulltime</w:t>
            </w:r>
          </w:p>
        </w:tc>
        <w:tc>
          <w:tcPr>
            <w:tcW w:w="3960" w:type="dxa"/>
            <w:shd w:val="clear" w:color="auto" w:fill="auto"/>
          </w:tcPr>
          <w:p w:rsidR="006F7AD6" w:rsidRPr="00A211A0" w:rsidP="00886011" w14:paraId="130D528B" w14:textId="77777777">
            <w:pPr>
              <w:rPr>
                <w:rFonts w:ascii="Calibri" w:eastAsia="Calibri" w:hAnsi="Calibri"/>
                <w:sz w:val="20"/>
                <w:szCs w:val="22"/>
              </w:rPr>
            </w:pPr>
            <w:r w:rsidRPr="00A211A0">
              <w:rPr>
                <w:rFonts w:ascii="Calibri" w:eastAsia="Calibri" w:hAnsi="Calibri"/>
                <w:sz w:val="20"/>
                <w:szCs w:val="22"/>
              </w:rPr>
              <w:t>500</w:t>
            </w:r>
          </w:p>
        </w:tc>
      </w:tr>
      <w:tr w14:paraId="49055CEE" w14:textId="77777777" w:rsidTr="00886011">
        <w:tblPrEx>
          <w:tblW w:w="9985" w:type="dxa"/>
          <w:tblLook w:val="04A0"/>
        </w:tblPrEx>
        <w:tc>
          <w:tcPr>
            <w:tcW w:w="6025" w:type="dxa"/>
            <w:shd w:val="clear" w:color="auto" w:fill="auto"/>
          </w:tcPr>
          <w:p w:rsidR="006F7AD6" w:rsidRPr="00A211A0" w:rsidP="00886011" w14:paraId="6D2C83CD" w14:textId="77777777">
            <w:pPr>
              <w:rPr>
                <w:rFonts w:ascii="Calibri" w:eastAsia="Calibri" w:hAnsi="Calibri"/>
                <w:sz w:val="20"/>
                <w:szCs w:val="22"/>
              </w:rPr>
            </w:pPr>
            <w:r w:rsidRPr="00A211A0">
              <w:rPr>
                <w:rFonts w:ascii="Calibri" w:eastAsia="Calibri" w:hAnsi="Calibri"/>
                <w:sz w:val="20"/>
                <w:szCs w:val="22"/>
              </w:rPr>
              <w:t>Class C Fulltime</w:t>
            </w:r>
          </w:p>
        </w:tc>
        <w:tc>
          <w:tcPr>
            <w:tcW w:w="3960" w:type="dxa"/>
            <w:shd w:val="clear" w:color="auto" w:fill="auto"/>
          </w:tcPr>
          <w:p w:rsidR="006F7AD6" w:rsidRPr="00A211A0" w:rsidP="00886011" w14:paraId="5FC94FC0" w14:textId="77777777">
            <w:pPr>
              <w:rPr>
                <w:rFonts w:ascii="Calibri" w:eastAsia="Calibri" w:hAnsi="Calibri"/>
                <w:sz w:val="20"/>
                <w:szCs w:val="22"/>
              </w:rPr>
            </w:pPr>
            <w:r w:rsidRPr="00A211A0">
              <w:rPr>
                <w:rFonts w:ascii="Calibri" w:eastAsia="Calibri" w:hAnsi="Calibri"/>
                <w:sz w:val="20"/>
                <w:szCs w:val="22"/>
              </w:rPr>
              <w:t>200</w:t>
            </w:r>
          </w:p>
        </w:tc>
      </w:tr>
      <w:tr w14:paraId="59660C9B" w14:textId="77777777" w:rsidTr="00886011">
        <w:tblPrEx>
          <w:tblW w:w="9985" w:type="dxa"/>
          <w:tblLook w:val="04A0"/>
        </w:tblPrEx>
        <w:tc>
          <w:tcPr>
            <w:tcW w:w="6025" w:type="dxa"/>
            <w:shd w:val="clear" w:color="auto" w:fill="auto"/>
          </w:tcPr>
          <w:p w:rsidR="006F7AD6" w:rsidRPr="00A211A0" w:rsidP="00886011" w14:paraId="6DCAEAAE" w14:textId="77777777">
            <w:pPr>
              <w:rPr>
                <w:rFonts w:ascii="Calibri" w:eastAsia="Calibri" w:hAnsi="Calibri"/>
                <w:sz w:val="20"/>
                <w:szCs w:val="22"/>
              </w:rPr>
            </w:pPr>
            <w:r w:rsidRPr="00A211A0">
              <w:rPr>
                <w:rFonts w:ascii="Calibri" w:eastAsia="Calibri" w:hAnsi="Calibri"/>
                <w:sz w:val="20"/>
                <w:szCs w:val="22"/>
              </w:rPr>
              <w:t>Construction permits</w:t>
            </w:r>
          </w:p>
        </w:tc>
        <w:tc>
          <w:tcPr>
            <w:tcW w:w="3960" w:type="dxa"/>
            <w:shd w:val="clear" w:color="auto" w:fill="auto"/>
          </w:tcPr>
          <w:p w:rsidR="006F7AD6" w:rsidRPr="00A211A0" w:rsidP="00886011" w14:paraId="1C99F559" w14:textId="77777777">
            <w:pPr>
              <w:rPr>
                <w:rFonts w:ascii="Calibri" w:eastAsia="Calibri" w:hAnsi="Calibri"/>
                <w:sz w:val="20"/>
                <w:szCs w:val="22"/>
              </w:rPr>
            </w:pPr>
            <w:r w:rsidRPr="00A211A0">
              <w:rPr>
                <w:rFonts w:ascii="Calibri" w:eastAsia="Calibri" w:hAnsi="Calibri"/>
                <w:sz w:val="20"/>
                <w:szCs w:val="22"/>
              </w:rPr>
              <w:t>100</w:t>
            </w:r>
          </w:p>
        </w:tc>
      </w:tr>
      <w:tr w14:paraId="3961AE83" w14:textId="77777777" w:rsidTr="00886011">
        <w:tblPrEx>
          <w:tblW w:w="9985" w:type="dxa"/>
          <w:tblLook w:val="04A0"/>
        </w:tblPrEx>
        <w:tc>
          <w:tcPr>
            <w:tcW w:w="6025" w:type="dxa"/>
            <w:shd w:val="clear" w:color="auto" w:fill="auto"/>
          </w:tcPr>
          <w:p w:rsidR="006F7AD6" w:rsidRPr="00A211A0" w:rsidP="00886011" w14:paraId="3AFE75C5" w14:textId="77777777">
            <w:pPr>
              <w:rPr>
                <w:rFonts w:ascii="Calibri" w:eastAsia="Calibri" w:hAnsi="Calibri"/>
                <w:b/>
                <w:i/>
                <w:sz w:val="20"/>
                <w:szCs w:val="22"/>
              </w:rPr>
            </w:pPr>
            <w:r w:rsidRPr="00A211A0">
              <w:rPr>
                <w:rFonts w:ascii="Calibri" w:eastAsia="Calibri" w:hAnsi="Calibri"/>
                <w:b/>
                <w:i/>
                <w:sz w:val="20"/>
                <w:szCs w:val="22"/>
              </w:rPr>
              <w:t>FM radio (47 C.F.R. Part 73)</w:t>
            </w:r>
          </w:p>
        </w:tc>
        <w:tc>
          <w:tcPr>
            <w:tcW w:w="3960" w:type="dxa"/>
            <w:shd w:val="clear" w:color="auto" w:fill="auto"/>
          </w:tcPr>
          <w:p w:rsidR="006F7AD6" w:rsidRPr="00A211A0" w:rsidP="00886011" w14:paraId="4EF8C9C7" w14:textId="77777777">
            <w:pPr>
              <w:rPr>
                <w:rFonts w:ascii="Calibri" w:eastAsia="Calibri" w:hAnsi="Calibri"/>
                <w:sz w:val="20"/>
                <w:szCs w:val="22"/>
              </w:rPr>
            </w:pPr>
          </w:p>
        </w:tc>
      </w:tr>
      <w:tr w14:paraId="6B0F4A51" w14:textId="77777777" w:rsidTr="00886011">
        <w:tblPrEx>
          <w:tblW w:w="9985" w:type="dxa"/>
          <w:tblLook w:val="04A0"/>
        </w:tblPrEx>
        <w:tc>
          <w:tcPr>
            <w:tcW w:w="6025" w:type="dxa"/>
            <w:shd w:val="clear" w:color="auto" w:fill="auto"/>
          </w:tcPr>
          <w:p w:rsidR="006F7AD6" w:rsidRPr="00A211A0" w:rsidP="00886011" w14:paraId="73709B8C" w14:textId="77777777">
            <w:pPr>
              <w:rPr>
                <w:rFonts w:ascii="Calibri" w:eastAsia="Calibri" w:hAnsi="Calibri"/>
                <w:b/>
                <w:sz w:val="20"/>
                <w:szCs w:val="22"/>
              </w:rPr>
            </w:pPr>
            <w:r w:rsidRPr="00A211A0">
              <w:rPr>
                <w:rFonts w:ascii="Calibri" w:eastAsia="Calibri" w:hAnsi="Calibri"/>
                <w:sz w:val="20"/>
                <w:szCs w:val="22"/>
              </w:rPr>
              <w:t>Classes C, C1, C2, B</w:t>
            </w:r>
          </w:p>
        </w:tc>
        <w:tc>
          <w:tcPr>
            <w:tcW w:w="3960" w:type="dxa"/>
            <w:shd w:val="clear" w:color="auto" w:fill="auto"/>
          </w:tcPr>
          <w:p w:rsidR="006F7AD6" w:rsidRPr="00A211A0" w:rsidP="00886011" w14:paraId="420C4065" w14:textId="77777777">
            <w:pPr>
              <w:rPr>
                <w:rFonts w:ascii="Calibri" w:eastAsia="Calibri" w:hAnsi="Calibri"/>
                <w:sz w:val="20"/>
                <w:szCs w:val="22"/>
              </w:rPr>
            </w:pPr>
            <w:r w:rsidRPr="00A211A0">
              <w:rPr>
                <w:rFonts w:ascii="Calibri" w:eastAsia="Calibri" w:hAnsi="Calibri"/>
                <w:sz w:val="20"/>
                <w:szCs w:val="22"/>
              </w:rPr>
              <w:t>900</w:t>
            </w:r>
          </w:p>
        </w:tc>
      </w:tr>
      <w:tr w14:paraId="77BB0F4E" w14:textId="77777777" w:rsidTr="00886011">
        <w:tblPrEx>
          <w:tblW w:w="9985" w:type="dxa"/>
          <w:tblLook w:val="04A0"/>
        </w:tblPrEx>
        <w:tc>
          <w:tcPr>
            <w:tcW w:w="6025" w:type="dxa"/>
            <w:shd w:val="clear" w:color="auto" w:fill="auto"/>
          </w:tcPr>
          <w:p w:rsidR="006F7AD6" w:rsidRPr="00A211A0" w:rsidP="00886011" w14:paraId="44A2E748" w14:textId="77777777">
            <w:pPr>
              <w:rPr>
                <w:rFonts w:ascii="Calibri" w:eastAsia="Calibri" w:hAnsi="Calibri"/>
                <w:sz w:val="20"/>
                <w:szCs w:val="22"/>
              </w:rPr>
            </w:pPr>
            <w:r w:rsidRPr="00A211A0">
              <w:rPr>
                <w:rFonts w:ascii="Calibri" w:eastAsia="Calibri" w:hAnsi="Calibri"/>
                <w:sz w:val="20"/>
                <w:szCs w:val="22"/>
              </w:rPr>
              <w:t>Classes A, B1, C3</w:t>
            </w:r>
          </w:p>
        </w:tc>
        <w:tc>
          <w:tcPr>
            <w:tcW w:w="3960" w:type="dxa"/>
            <w:shd w:val="clear" w:color="auto" w:fill="auto"/>
          </w:tcPr>
          <w:p w:rsidR="006F7AD6" w:rsidRPr="00A211A0" w:rsidP="00886011" w14:paraId="388F97B0" w14:textId="77777777">
            <w:pPr>
              <w:rPr>
                <w:rFonts w:ascii="Calibri" w:eastAsia="Calibri" w:hAnsi="Calibri"/>
                <w:sz w:val="20"/>
                <w:szCs w:val="22"/>
              </w:rPr>
            </w:pPr>
            <w:r w:rsidRPr="00A211A0">
              <w:rPr>
                <w:rFonts w:ascii="Calibri" w:eastAsia="Calibri" w:hAnsi="Calibri"/>
                <w:sz w:val="20"/>
                <w:szCs w:val="22"/>
              </w:rPr>
              <w:t>600</w:t>
            </w:r>
          </w:p>
        </w:tc>
      </w:tr>
      <w:tr w14:paraId="58551C8E" w14:textId="77777777" w:rsidTr="00886011">
        <w:tblPrEx>
          <w:tblW w:w="9985" w:type="dxa"/>
          <w:tblLook w:val="04A0"/>
        </w:tblPrEx>
        <w:tc>
          <w:tcPr>
            <w:tcW w:w="6025" w:type="dxa"/>
            <w:shd w:val="clear" w:color="auto" w:fill="auto"/>
          </w:tcPr>
          <w:p w:rsidR="006F7AD6" w:rsidRPr="00A211A0" w:rsidP="00886011" w14:paraId="5E471167" w14:textId="77777777">
            <w:pPr>
              <w:rPr>
                <w:rFonts w:ascii="Calibri" w:eastAsia="Calibri" w:hAnsi="Calibri"/>
                <w:sz w:val="20"/>
                <w:szCs w:val="22"/>
              </w:rPr>
            </w:pPr>
            <w:r w:rsidRPr="00A211A0">
              <w:rPr>
                <w:rFonts w:ascii="Calibri" w:eastAsia="Calibri" w:hAnsi="Calibri"/>
                <w:sz w:val="20"/>
                <w:szCs w:val="22"/>
              </w:rPr>
              <w:t>Construction permits</w:t>
            </w:r>
          </w:p>
        </w:tc>
        <w:tc>
          <w:tcPr>
            <w:tcW w:w="3960" w:type="dxa"/>
            <w:shd w:val="clear" w:color="auto" w:fill="auto"/>
          </w:tcPr>
          <w:p w:rsidR="006F7AD6" w:rsidRPr="00A211A0" w:rsidP="00886011" w14:paraId="6773962D" w14:textId="77777777">
            <w:pPr>
              <w:rPr>
                <w:rFonts w:ascii="Calibri" w:eastAsia="Calibri" w:hAnsi="Calibri"/>
                <w:sz w:val="20"/>
                <w:szCs w:val="22"/>
              </w:rPr>
            </w:pPr>
            <w:r w:rsidRPr="00A211A0">
              <w:rPr>
                <w:rFonts w:ascii="Calibri" w:eastAsia="Calibri" w:hAnsi="Calibri"/>
                <w:sz w:val="20"/>
                <w:szCs w:val="22"/>
              </w:rPr>
              <w:t>500</w:t>
            </w:r>
          </w:p>
        </w:tc>
      </w:tr>
      <w:tr w14:paraId="2B12CBC6" w14:textId="77777777" w:rsidTr="00886011">
        <w:tblPrEx>
          <w:tblW w:w="9985" w:type="dxa"/>
          <w:tblLook w:val="04A0"/>
        </w:tblPrEx>
        <w:tc>
          <w:tcPr>
            <w:tcW w:w="6025" w:type="dxa"/>
            <w:shd w:val="clear" w:color="auto" w:fill="auto"/>
          </w:tcPr>
          <w:p w:rsidR="006F7AD6" w:rsidRPr="00A211A0" w:rsidP="00886011" w14:paraId="5435561E" w14:textId="77777777">
            <w:pPr>
              <w:rPr>
                <w:rFonts w:ascii="Calibri" w:eastAsia="Calibri" w:hAnsi="Calibri"/>
                <w:b/>
                <w:i/>
                <w:sz w:val="20"/>
                <w:szCs w:val="22"/>
              </w:rPr>
            </w:pPr>
            <w:r w:rsidRPr="00A211A0">
              <w:rPr>
                <w:rFonts w:ascii="Calibri" w:eastAsia="Calibri" w:hAnsi="Calibri"/>
                <w:b/>
                <w:i/>
                <w:sz w:val="20"/>
                <w:szCs w:val="22"/>
              </w:rPr>
              <w:t>TV (47 C.F.R. Part 73)</w:t>
            </w:r>
          </w:p>
        </w:tc>
        <w:tc>
          <w:tcPr>
            <w:tcW w:w="3960" w:type="dxa"/>
            <w:shd w:val="clear" w:color="auto" w:fill="auto"/>
          </w:tcPr>
          <w:p w:rsidR="006F7AD6" w:rsidRPr="00A211A0" w:rsidP="00886011" w14:paraId="1D359145" w14:textId="77777777">
            <w:pPr>
              <w:rPr>
                <w:rFonts w:ascii="Calibri" w:eastAsia="Calibri" w:hAnsi="Calibri"/>
                <w:sz w:val="20"/>
                <w:szCs w:val="22"/>
              </w:rPr>
            </w:pPr>
          </w:p>
        </w:tc>
      </w:tr>
      <w:tr w14:paraId="12FD0011" w14:textId="77777777" w:rsidTr="00886011">
        <w:tblPrEx>
          <w:tblW w:w="9985" w:type="dxa"/>
          <w:tblLook w:val="04A0"/>
        </w:tblPrEx>
        <w:tc>
          <w:tcPr>
            <w:tcW w:w="6025" w:type="dxa"/>
            <w:shd w:val="clear" w:color="auto" w:fill="auto"/>
          </w:tcPr>
          <w:p w:rsidR="006F7AD6" w:rsidRPr="00A211A0" w:rsidP="00886011" w14:paraId="0B203E41" w14:textId="77777777">
            <w:pPr>
              <w:rPr>
                <w:rFonts w:ascii="Calibri" w:eastAsia="Calibri" w:hAnsi="Calibri"/>
                <w:sz w:val="20"/>
                <w:szCs w:val="22"/>
              </w:rPr>
            </w:pPr>
            <w:r w:rsidRPr="00A211A0">
              <w:rPr>
                <w:rFonts w:ascii="Calibri" w:eastAsia="Calibri" w:hAnsi="Calibri"/>
                <w:sz w:val="20"/>
                <w:szCs w:val="22"/>
              </w:rPr>
              <w:t>VHF Commercial</w:t>
            </w:r>
          </w:p>
        </w:tc>
        <w:tc>
          <w:tcPr>
            <w:tcW w:w="3960" w:type="dxa"/>
            <w:shd w:val="clear" w:color="auto" w:fill="auto"/>
          </w:tcPr>
          <w:p w:rsidR="006F7AD6" w:rsidRPr="00A211A0" w:rsidP="00886011" w14:paraId="6F00F67D" w14:textId="77777777">
            <w:pPr>
              <w:rPr>
                <w:rFonts w:ascii="Calibri" w:eastAsia="Calibri" w:hAnsi="Calibri"/>
                <w:sz w:val="20"/>
                <w:szCs w:val="22"/>
              </w:rPr>
            </w:pPr>
          </w:p>
        </w:tc>
      </w:tr>
      <w:tr w14:paraId="616E624E" w14:textId="77777777" w:rsidTr="00886011">
        <w:tblPrEx>
          <w:tblW w:w="9985" w:type="dxa"/>
          <w:tblLook w:val="04A0"/>
        </w:tblPrEx>
        <w:tc>
          <w:tcPr>
            <w:tcW w:w="6025" w:type="dxa"/>
            <w:shd w:val="clear" w:color="auto" w:fill="auto"/>
          </w:tcPr>
          <w:p w:rsidR="006F7AD6" w:rsidRPr="00A211A0" w:rsidP="00886011" w14:paraId="0EF839F6" w14:textId="77777777">
            <w:pPr>
              <w:ind w:firstLine="330"/>
              <w:rPr>
                <w:rFonts w:ascii="Calibri" w:eastAsia="Calibri" w:hAnsi="Calibri"/>
                <w:sz w:val="20"/>
                <w:szCs w:val="22"/>
              </w:rPr>
            </w:pPr>
            <w:r w:rsidRPr="00A211A0">
              <w:rPr>
                <w:rFonts w:ascii="Calibri" w:eastAsia="Calibri" w:hAnsi="Calibri"/>
                <w:sz w:val="20"/>
                <w:szCs w:val="22"/>
              </w:rPr>
              <w:t>Markets 1 thru 10</w:t>
            </w:r>
          </w:p>
        </w:tc>
        <w:tc>
          <w:tcPr>
            <w:tcW w:w="3960" w:type="dxa"/>
            <w:shd w:val="clear" w:color="auto" w:fill="auto"/>
          </w:tcPr>
          <w:p w:rsidR="006F7AD6" w:rsidRPr="00A211A0" w:rsidP="00886011" w14:paraId="63D4452B" w14:textId="77777777">
            <w:pPr>
              <w:rPr>
                <w:rFonts w:ascii="Calibri" w:eastAsia="Calibri" w:hAnsi="Calibri"/>
                <w:sz w:val="20"/>
                <w:szCs w:val="22"/>
              </w:rPr>
            </w:pPr>
            <w:r w:rsidRPr="00A211A0">
              <w:rPr>
                <w:rFonts w:ascii="Calibri" w:eastAsia="Calibri" w:hAnsi="Calibri"/>
                <w:sz w:val="20"/>
                <w:szCs w:val="22"/>
              </w:rPr>
              <w:t>18,000</w:t>
            </w:r>
          </w:p>
        </w:tc>
      </w:tr>
      <w:tr w14:paraId="3413A9B9" w14:textId="77777777" w:rsidTr="00886011">
        <w:tblPrEx>
          <w:tblW w:w="9985" w:type="dxa"/>
          <w:tblLook w:val="04A0"/>
        </w:tblPrEx>
        <w:tc>
          <w:tcPr>
            <w:tcW w:w="6025" w:type="dxa"/>
            <w:shd w:val="clear" w:color="auto" w:fill="auto"/>
          </w:tcPr>
          <w:p w:rsidR="006F7AD6" w:rsidRPr="00A211A0" w:rsidP="00886011" w14:paraId="62BE2273" w14:textId="77777777">
            <w:pPr>
              <w:ind w:firstLine="330"/>
              <w:rPr>
                <w:rFonts w:ascii="Calibri" w:eastAsia="Calibri" w:hAnsi="Calibri"/>
                <w:sz w:val="20"/>
                <w:szCs w:val="22"/>
              </w:rPr>
            </w:pPr>
            <w:r w:rsidRPr="00A211A0">
              <w:rPr>
                <w:rFonts w:ascii="Calibri" w:eastAsia="Calibri" w:hAnsi="Calibri"/>
                <w:sz w:val="20"/>
                <w:szCs w:val="22"/>
              </w:rPr>
              <w:t>Markets 11 thru 25</w:t>
            </w:r>
          </w:p>
        </w:tc>
        <w:tc>
          <w:tcPr>
            <w:tcW w:w="3960" w:type="dxa"/>
            <w:shd w:val="clear" w:color="auto" w:fill="auto"/>
          </w:tcPr>
          <w:p w:rsidR="006F7AD6" w:rsidRPr="00A211A0" w:rsidP="00886011" w14:paraId="333C86FF" w14:textId="77777777">
            <w:pPr>
              <w:rPr>
                <w:rFonts w:ascii="Calibri" w:eastAsia="Calibri" w:hAnsi="Calibri"/>
                <w:sz w:val="20"/>
                <w:szCs w:val="22"/>
              </w:rPr>
            </w:pPr>
            <w:r w:rsidRPr="00A211A0">
              <w:rPr>
                <w:rFonts w:ascii="Calibri" w:eastAsia="Calibri" w:hAnsi="Calibri"/>
                <w:sz w:val="20"/>
                <w:szCs w:val="22"/>
              </w:rPr>
              <w:t>16,000</w:t>
            </w:r>
          </w:p>
        </w:tc>
      </w:tr>
      <w:tr w14:paraId="6C5A7BD0" w14:textId="77777777" w:rsidTr="00886011">
        <w:tblPrEx>
          <w:tblW w:w="9985" w:type="dxa"/>
          <w:tblLook w:val="04A0"/>
        </w:tblPrEx>
        <w:tc>
          <w:tcPr>
            <w:tcW w:w="6025" w:type="dxa"/>
            <w:shd w:val="clear" w:color="auto" w:fill="auto"/>
          </w:tcPr>
          <w:p w:rsidR="006F7AD6" w:rsidRPr="00A211A0" w:rsidP="00886011" w14:paraId="7162E3D0" w14:textId="77777777">
            <w:pPr>
              <w:ind w:firstLine="330"/>
              <w:rPr>
                <w:rFonts w:ascii="Calibri" w:eastAsia="Calibri" w:hAnsi="Calibri"/>
                <w:sz w:val="20"/>
                <w:szCs w:val="22"/>
              </w:rPr>
            </w:pPr>
            <w:r w:rsidRPr="00A211A0">
              <w:rPr>
                <w:rFonts w:ascii="Calibri" w:eastAsia="Calibri" w:hAnsi="Calibri"/>
                <w:sz w:val="20"/>
                <w:szCs w:val="22"/>
              </w:rPr>
              <w:t>Markets 26 thru 50</w:t>
            </w:r>
          </w:p>
        </w:tc>
        <w:tc>
          <w:tcPr>
            <w:tcW w:w="3960" w:type="dxa"/>
            <w:shd w:val="clear" w:color="auto" w:fill="auto"/>
          </w:tcPr>
          <w:p w:rsidR="006F7AD6" w:rsidRPr="00A211A0" w:rsidP="00886011" w14:paraId="79CA98F2" w14:textId="77777777">
            <w:pPr>
              <w:rPr>
                <w:rFonts w:ascii="Calibri" w:eastAsia="Calibri" w:hAnsi="Calibri"/>
                <w:sz w:val="20"/>
                <w:szCs w:val="22"/>
              </w:rPr>
            </w:pPr>
            <w:r w:rsidRPr="00A211A0">
              <w:rPr>
                <w:rFonts w:ascii="Calibri" w:eastAsia="Calibri" w:hAnsi="Calibri"/>
                <w:sz w:val="20"/>
                <w:szCs w:val="22"/>
              </w:rPr>
              <w:t>12,000</w:t>
            </w:r>
          </w:p>
        </w:tc>
      </w:tr>
      <w:tr w14:paraId="3ABB2123" w14:textId="77777777" w:rsidTr="00886011">
        <w:tblPrEx>
          <w:tblW w:w="9985" w:type="dxa"/>
          <w:tblLook w:val="04A0"/>
        </w:tblPrEx>
        <w:tc>
          <w:tcPr>
            <w:tcW w:w="6025" w:type="dxa"/>
            <w:shd w:val="clear" w:color="auto" w:fill="auto"/>
          </w:tcPr>
          <w:p w:rsidR="006F7AD6" w:rsidRPr="00A211A0" w:rsidP="00886011" w14:paraId="664CDD29" w14:textId="77777777">
            <w:pPr>
              <w:ind w:firstLine="330"/>
              <w:rPr>
                <w:rFonts w:ascii="Calibri" w:eastAsia="Calibri" w:hAnsi="Calibri"/>
                <w:sz w:val="20"/>
                <w:szCs w:val="22"/>
              </w:rPr>
            </w:pPr>
            <w:r w:rsidRPr="00A211A0">
              <w:rPr>
                <w:rFonts w:ascii="Calibri" w:eastAsia="Calibri" w:hAnsi="Calibri"/>
                <w:sz w:val="20"/>
                <w:szCs w:val="22"/>
              </w:rPr>
              <w:t>Markets 51 thru 100</w:t>
            </w:r>
          </w:p>
        </w:tc>
        <w:tc>
          <w:tcPr>
            <w:tcW w:w="3960" w:type="dxa"/>
            <w:shd w:val="clear" w:color="auto" w:fill="auto"/>
          </w:tcPr>
          <w:p w:rsidR="006F7AD6" w:rsidRPr="00A211A0" w:rsidP="00886011" w14:paraId="2DCD5ED0" w14:textId="77777777">
            <w:pPr>
              <w:rPr>
                <w:rFonts w:ascii="Calibri" w:eastAsia="Calibri" w:hAnsi="Calibri"/>
                <w:sz w:val="20"/>
                <w:szCs w:val="22"/>
              </w:rPr>
            </w:pPr>
            <w:r w:rsidRPr="00A211A0">
              <w:rPr>
                <w:rFonts w:ascii="Calibri" w:eastAsia="Calibri" w:hAnsi="Calibri"/>
                <w:sz w:val="20"/>
                <w:szCs w:val="22"/>
              </w:rPr>
              <w:t>8,000</w:t>
            </w:r>
          </w:p>
        </w:tc>
      </w:tr>
      <w:tr w14:paraId="0BCBA0D6" w14:textId="77777777" w:rsidTr="00886011">
        <w:tblPrEx>
          <w:tblW w:w="9985" w:type="dxa"/>
          <w:tblLook w:val="04A0"/>
        </w:tblPrEx>
        <w:tc>
          <w:tcPr>
            <w:tcW w:w="6025" w:type="dxa"/>
            <w:shd w:val="clear" w:color="auto" w:fill="auto"/>
          </w:tcPr>
          <w:p w:rsidR="006F7AD6" w:rsidRPr="00A211A0" w:rsidP="00886011" w14:paraId="37F311CF" w14:textId="77777777">
            <w:pPr>
              <w:ind w:firstLine="330"/>
              <w:rPr>
                <w:rFonts w:ascii="Calibri" w:eastAsia="Calibri" w:hAnsi="Calibri"/>
                <w:sz w:val="20"/>
                <w:szCs w:val="22"/>
              </w:rPr>
            </w:pPr>
            <w:r w:rsidRPr="00A211A0">
              <w:rPr>
                <w:rFonts w:ascii="Calibri" w:eastAsia="Calibri" w:hAnsi="Calibri"/>
                <w:sz w:val="20"/>
                <w:szCs w:val="22"/>
              </w:rPr>
              <w:t>Remaining Markets</w:t>
            </w:r>
          </w:p>
        </w:tc>
        <w:tc>
          <w:tcPr>
            <w:tcW w:w="3960" w:type="dxa"/>
            <w:shd w:val="clear" w:color="auto" w:fill="auto"/>
          </w:tcPr>
          <w:p w:rsidR="006F7AD6" w:rsidRPr="00A211A0" w:rsidP="00886011" w14:paraId="02FF00BA" w14:textId="77777777">
            <w:pPr>
              <w:rPr>
                <w:rFonts w:ascii="Calibri" w:eastAsia="Calibri" w:hAnsi="Calibri"/>
                <w:sz w:val="20"/>
                <w:szCs w:val="22"/>
              </w:rPr>
            </w:pPr>
            <w:r w:rsidRPr="00A211A0">
              <w:rPr>
                <w:rFonts w:ascii="Calibri" w:eastAsia="Calibri" w:hAnsi="Calibri"/>
                <w:sz w:val="20"/>
                <w:szCs w:val="22"/>
              </w:rPr>
              <w:t>5,000</w:t>
            </w:r>
          </w:p>
        </w:tc>
      </w:tr>
      <w:tr w14:paraId="41383C77" w14:textId="77777777" w:rsidTr="00886011">
        <w:tblPrEx>
          <w:tblW w:w="9985" w:type="dxa"/>
          <w:tblLook w:val="04A0"/>
        </w:tblPrEx>
        <w:tc>
          <w:tcPr>
            <w:tcW w:w="6025" w:type="dxa"/>
            <w:shd w:val="clear" w:color="auto" w:fill="auto"/>
          </w:tcPr>
          <w:p w:rsidR="006F7AD6" w:rsidRPr="00A211A0" w:rsidP="00886011" w14:paraId="1DE5ED3D" w14:textId="77777777">
            <w:pPr>
              <w:ind w:firstLine="330"/>
              <w:rPr>
                <w:rFonts w:ascii="Calibri" w:eastAsia="Calibri" w:hAnsi="Calibri"/>
                <w:sz w:val="20"/>
                <w:szCs w:val="22"/>
              </w:rPr>
            </w:pPr>
            <w:r w:rsidRPr="00A211A0">
              <w:rPr>
                <w:rFonts w:ascii="Calibri" w:eastAsia="Calibri" w:hAnsi="Calibri"/>
                <w:sz w:val="20"/>
                <w:szCs w:val="22"/>
              </w:rPr>
              <w:t>Construction permits</w:t>
            </w:r>
          </w:p>
        </w:tc>
        <w:tc>
          <w:tcPr>
            <w:tcW w:w="3960" w:type="dxa"/>
            <w:shd w:val="clear" w:color="auto" w:fill="auto"/>
          </w:tcPr>
          <w:p w:rsidR="006F7AD6" w:rsidRPr="00A211A0" w:rsidP="00886011" w14:paraId="18CB102D" w14:textId="77777777">
            <w:pPr>
              <w:rPr>
                <w:rFonts w:ascii="Calibri" w:eastAsia="Calibri" w:hAnsi="Calibri"/>
                <w:sz w:val="20"/>
                <w:szCs w:val="22"/>
              </w:rPr>
            </w:pPr>
            <w:r w:rsidRPr="00A211A0">
              <w:rPr>
                <w:rFonts w:ascii="Calibri" w:eastAsia="Calibri" w:hAnsi="Calibri"/>
                <w:sz w:val="20"/>
                <w:szCs w:val="22"/>
              </w:rPr>
              <w:t>4,000</w:t>
            </w:r>
          </w:p>
        </w:tc>
      </w:tr>
      <w:tr w14:paraId="08CD662A" w14:textId="77777777" w:rsidTr="00886011">
        <w:tblPrEx>
          <w:tblW w:w="9985" w:type="dxa"/>
          <w:tblLook w:val="04A0"/>
        </w:tblPrEx>
        <w:tc>
          <w:tcPr>
            <w:tcW w:w="6025" w:type="dxa"/>
            <w:shd w:val="clear" w:color="auto" w:fill="auto"/>
          </w:tcPr>
          <w:p w:rsidR="006F7AD6" w:rsidRPr="00A211A0" w:rsidP="00886011" w14:paraId="25748693" w14:textId="77777777">
            <w:pPr>
              <w:rPr>
                <w:rFonts w:ascii="Calibri" w:eastAsia="Calibri" w:hAnsi="Calibri"/>
                <w:sz w:val="20"/>
                <w:szCs w:val="22"/>
              </w:rPr>
            </w:pPr>
            <w:r w:rsidRPr="00A211A0">
              <w:rPr>
                <w:rFonts w:ascii="Calibri" w:eastAsia="Calibri" w:hAnsi="Calibri"/>
                <w:sz w:val="20"/>
                <w:szCs w:val="22"/>
              </w:rPr>
              <w:t>UHF Commercial</w:t>
            </w:r>
          </w:p>
        </w:tc>
        <w:tc>
          <w:tcPr>
            <w:tcW w:w="3960" w:type="dxa"/>
            <w:shd w:val="clear" w:color="auto" w:fill="auto"/>
          </w:tcPr>
          <w:p w:rsidR="006F7AD6" w:rsidRPr="00A211A0" w:rsidP="00886011" w14:paraId="025B6F67" w14:textId="77777777">
            <w:pPr>
              <w:rPr>
                <w:rFonts w:ascii="Calibri" w:eastAsia="Calibri" w:hAnsi="Calibri"/>
                <w:sz w:val="20"/>
                <w:szCs w:val="22"/>
              </w:rPr>
            </w:pPr>
          </w:p>
        </w:tc>
      </w:tr>
      <w:tr w14:paraId="3CE2C2C7" w14:textId="77777777" w:rsidTr="00886011">
        <w:tblPrEx>
          <w:tblW w:w="9985" w:type="dxa"/>
          <w:tblLook w:val="04A0"/>
        </w:tblPrEx>
        <w:tc>
          <w:tcPr>
            <w:tcW w:w="6025" w:type="dxa"/>
            <w:shd w:val="clear" w:color="auto" w:fill="auto"/>
          </w:tcPr>
          <w:p w:rsidR="006F7AD6" w:rsidRPr="00A211A0" w:rsidP="00886011" w14:paraId="4AD4FF06" w14:textId="77777777">
            <w:pPr>
              <w:ind w:firstLine="330"/>
              <w:rPr>
                <w:rFonts w:ascii="Calibri" w:eastAsia="Calibri" w:hAnsi="Calibri"/>
                <w:sz w:val="20"/>
                <w:szCs w:val="22"/>
              </w:rPr>
            </w:pPr>
            <w:r w:rsidRPr="00A211A0">
              <w:rPr>
                <w:rFonts w:ascii="Calibri" w:eastAsia="Calibri" w:hAnsi="Calibri"/>
                <w:sz w:val="20"/>
                <w:szCs w:val="22"/>
              </w:rPr>
              <w:t>Markets 1 thru 10</w:t>
            </w:r>
          </w:p>
        </w:tc>
        <w:tc>
          <w:tcPr>
            <w:tcW w:w="3960" w:type="dxa"/>
            <w:shd w:val="clear" w:color="auto" w:fill="auto"/>
          </w:tcPr>
          <w:p w:rsidR="006F7AD6" w:rsidRPr="00A211A0" w:rsidP="00886011" w14:paraId="684868A0" w14:textId="77777777">
            <w:pPr>
              <w:rPr>
                <w:rFonts w:ascii="Calibri" w:eastAsia="Calibri" w:hAnsi="Calibri"/>
                <w:sz w:val="20"/>
                <w:szCs w:val="22"/>
              </w:rPr>
            </w:pPr>
            <w:r w:rsidRPr="00A211A0">
              <w:rPr>
                <w:rFonts w:ascii="Calibri" w:eastAsia="Calibri" w:hAnsi="Calibri"/>
                <w:sz w:val="20"/>
                <w:szCs w:val="22"/>
              </w:rPr>
              <w:t>14,400</w:t>
            </w:r>
          </w:p>
        </w:tc>
      </w:tr>
      <w:tr w14:paraId="5D728875" w14:textId="77777777" w:rsidTr="00886011">
        <w:tblPrEx>
          <w:tblW w:w="9985" w:type="dxa"/>
          <w:tblLook w:val="04A0"/>
        </w:tblPrEx>
        <w:tc>
          <w:tcPr>
            <w:tcW w:w="6025" w:type="dxa"/>
            <w:shd w:val="clear" w:color="auto" w:fill="auto"/>
          </w:tcPr>
          <w:p w:rsidR="006F7AD6" w:rsidRPr="00A211A0" w:rsidP="00886011" w14:paraId="62572169" w14:textId="77777777">
            <w:pPr>
              <w:ind w:firstLine="330"/>
              <w:rPr>
                <w:rFonts w:ascii="Calibri" w:eastAsia="Calibri" w:hAnsi="Calibri"/>
                <w:sz w:val="20"/>
                <w:szCs w:val="22"/>
              </w:rPr>
            </w:pPr>
            <w:r w:rsidRPr="00A211A0">
              <w:rPr>
                <w:rFonts w:ascii="Calibri" w:eastAsia="Calibri" w:hAnsi="Calibri"/>
                <w:sz w:val="20"/>
                <w:szCs w:val="22"/>
              </w:rPr>
              <w:t>Markets 11 thru 25</w:t>
            </w:r>
          </w:p>
        </w:tc>
        <w:tc>
          <w:tcPr>
            <w:tcW w:w="3960" w:type="dxa"/>
            <w:shd w:val="clear" w:color="auto" w:fill="auto"/>
          </w:tcPr>
          <w:p w:rsidR="006F7AD6" w:rsidRPr="00A211A0" w:rsidP="00886011" w14:paraId="43A9A02C" w14:textId="77777777">
            <w:pPr>
              <w:rPr>
                <w:rFonts w:ascii="Calibri" w:eastAsia="Calibri" w:hAnsi="Calibri"/>
                <w:sz w:val="20"/>
                <w:szCs w:val="22"/>
              </w:rPr>
            </w:pPr>
            <w:r w:rsidRPr="00A211A0">
              <w:rPr>
                <w:rFonts w:ascii="Calibri" w:eastAsia="Calibri" w:hAnsi="Calibri"/>
                <w:sz w:val="20"/>
                <w:szCs w:val="22"/>
              </w:rPr>
              <w:t>12,800</w:t>
            </w:r>
          </w:p>
        </w:tc>
      </w:tr>
      <w:tr w14:paraId="23FCC361" w14:textId="77777777" w:rsidTr="00886011">
        <w:tblPrEx>
          <w:tblW w:w="9985" w:type="dxa"/>
          <w:tblLook w:val="04A0"/>
        </w:tblPrEx>
        <w:tc>
          <w:tcPr>
            <w:tcW w:w="6025" w:type="dxa"/>
            <w:shd w:val="clear" w:color="auto" w:fill="auto"/>
          </w:tcPr>
          <w:p w:rsidR="006F7AD6" w:rsidRPr="00A211A0" w:rsidP="00886011" w14:paraId="0DE9CD7E" w14:textId="77777777">
            <w:pPr>
              <w:ind w:firstLine="330"/>
              <w:rPr>
                <w:rFonts w:ascii="Calibri" w:eastAsia="Calibri" w:hAnsi="Calibri"/>
                <w:sz w:val="20"/>
                <w:szCs w:val="22"/>
              </w:rPr>
            </w:pPr>
            <w:r w:rsidRPr="00A211A0">
              <w:rPr>
                <w:rFonts w:ascii="Calibri" w:eastAsia="Calibri" w:hAnsi="Calibri"/>
                <w:sz w:val="20"/>
                <w:szCs w:val="22"/>
              </w:rPr>
              <w:t>Markets 26 thru 50</w:t>
            </w:r>
          </w:p>
        </w:tc>
        <w:tc>
          <w:tcPr>
            <w:tcW w:w="3960" w:type="dxa"/>
            <w:shd w:val="clear" w:color="auto" w:fill="auto"/>
          </w:tcPr>
          <w:p w:rsidR="006F7AD6" w:rsidRPr="00A211A0" w:rsidP="00886011" w14:paraId="5D7D1E35" w14:textId="77777777">
            <w:pPr>
              <w:rPr>
                <w:rFonts w:ascii="Calibri" w:eastAsia="Calibri" w:hAnsi="Calibri"/>
                <w:sz w:val="20"/>
                <w:szCs w:val="22"/>
              </w:rPr>
            </w:pPr>
            <w:r w:rsidRPr="00A211A0">
              <w:rPr>
                <w:rFonts w:ascii="Calibri" w:eastAsia="Calibri" w:hAnsi="Calibri"/>
                <w:sz w:val="20"/>
                <w:szCs w:val="22"/>
              </w:rPr>
              <w:t>9,600</w:t>
            </w:r>
          </w:p>
        </w:tc>
      </w:tr>
      <w:tr w14:paraId="2FFBE28C" w14:textId="77777777" w:rsidTr="00886011">
        <w:tblPrEx>
          <w:tblW w:w="9985" w:type="dxa"/>
          <w:tblLook w:val="04A0"/>
        </w:tblPrEx>
        <w:tc>
          <w:tcPr>
            <w:tcW w:w="6025" w:type="dxa"/>
            <w:shd w:val="clear" w:color="auto" w:fill="auto"/>
          </w:tcPr>
          <w:p w:rsidR="006F7AD6" w:rsidRPr="00A211A0" w:rsidP="00886011" w14:paraId="32E017D6" w14:textId="77777777">
            <w:pPr>
              <w:ind w:firstLine="330"/>
              <w:rPr>
                <w:rFonts w:ascii="Calibri" w:eastAsia="Calibri" w:hAnsi="Calibri"/>
                <w:sz w:val="20"/>
                <w:szCs w:val="22"/>
              </w:rPr>
            </w:pPr>
            <w:r w:rsidRPr="00A211A0">
              <w:rPr>
                <w:rFonts w:ascii="Calibri" w:eastAsia="Calibri" w:hAnsi="Calibri"/>
                <w:sz w:val="20"/>
                <w:szCs w:val="22"/>
              </w:rPr>
              <w:t>Markets 51 thru 100</w:t>
            </w:r>
          </w:p>
        </w:tc>
        <w:tc>
          <w:tcPr>
            <w:tcW w:w="3960" w:type="dxa"/>
            <w:shd w:val="clear" w:color="auto" w:fill="auto"/>
          </w:tcPr>
          <w:p w:rsidR="006F7AD6" w:rsidRPr="00A211A0" w:rsidP="00886011" w14:paraId="59FF3E0A" w14:textId="77777777">
            <w:pPr>
              <w:rPr>
                <w:rFonts w:ascii="Calibri" w:eastAsia="Calibri" w:hAnsi="Calibri"/>
                <w:sz w:val="20"/>
                <w:szCs w:val="22"/>
              </w:rPr>
            </w:pPr>
            <w:r w:rsidRPr="00A211A0">
              <w:rPr>
                <w:rFonts w:ascii="Calibri" w:eastAsia="Calibri" w:hAnsi="Calibri"/>
                <w:sz w:val="20"/>
                <w:szCs w:val="22"/>
              </w:rPr>
              <w:t>6,400</w:t>
            </w:r>
          </w:p>
        </w:tc>
      </w:tr>
      <w:tr w14:paraId="70A2F96D" w14:textId="77777777" w:rsidTr="00886011">
        <w:tblPrEx>
          <w:tblW w:w="9985" w:type="dxa"/>
          <w:tblLook w:val="04A0"/>
        </w:tblPrEx>
        <w:trPr>
          <w:trHeight w:val="143"/>
        </w:trPr>
        <w:tc>
          <w:tcPr>
            <w:tcW w:w="6025" w:type="dxa"/>
            <w:shd w:val="clear" w:color="auto" w:fill="auto"/>
          </w:tcPr>
          <w:p w:rsidR="006F7AD6" w:rsidRPr="00A211A0" w:rsidP="00886011" w14:paraId="6D2ED153" w14:textId="77777777">
            <w:pPr>
              <w:ind w:firstLine="330"/>
              <w:rPr>
                <w:rFonts w:ascii="Calibri" w:eastAsia="Calibri" w:hAnsi="Calibri"/>
                <w:sz w:val="20"/>
                <w:szCs w:val="22"/>
              </w:rPr>
            </w:pPr>
            <w:r w:rsidRPr="00A211A0">
              <w:rPr>
                <w:rFonts w:ascii="Calibri" w:eastAsia="Calibri" w:hAnsi="Calibri"/>
                <w:sz w:val="20"/>
                <w:szCs w:val="22"/>
              </w:rPr>
              <w:t>Remaining Markets</w:t>
            </w:r>
          </w:p>
        </w:tc>
        <w:tc>
          <w:tcPr>
            <w:tcW w:w="3960" w:type="dxa"/>
            <w:shd w:val="clear" w:color="auto" w:fill="auto"/>
          </w:tcPr>
          <w:p w:rsidR="006F7AD6" w:rsidRPr="00A211A0" w:rsidP="00886011" w14:paraId="38214D65" w14:textId="77777777">
            <w:pPr>
              <w:rPr>
                <w:rFonts w:ascii="Calibri" w:eastAsia="Calibri" w:hAnsi="Calibri"/>
                <w:sz w:val="20"/>
                <w:szCs w:val="22"/>
              </w:rPr>
            </w:pPr>
            <w:r w:rsidRPr="00A211A0">
              <w:rPr>
                <w:rFonts w:ascii="Calibri" w:eastAsia="Calibri" w:hAnsi="Calibri"/>
                <w:sz w:val="20"/>
                <w:szCs w:val="22"/>
              </w:rPr>
              <w:t>4,000</w:t>
            </w:r>
          </w:p>
        </w:tc>
      </w:tr>
      <w:tr w14:paraId="43CC518B" w14:textId="77777777" w:rsidTr="00886011">
        <w:tblPrEx>
          <w:tblW w:w="9985" w:type="dxa"/>
          <w:tblLook w:val="04A0"/>
        </w:tblPrEx>
        <w:tc>
          <w:tcPr>
            <w:tcW w:w="6025" w:type="dxa"/>
            <w:shd w:val="clear" w:color="auto" w:fill="auto"/>
          </w:tcPr>
          <w:p w:rsidR="006F7AD6" w:rsidRPr="00A211A0" w:rsidP="00886011" w14:paraId="3747AD5B" w14:textId="77777777">
            <w:pPr>
              <w:ind w:firstLine="330"/>
              <w:rPr>
                <w:rFonts w:ascii="Calibri" w:eastAsia="Calibri" w:hAnsi="Calibri"/>
                <w:sz w:val="20"/>
                <w:szCs w:val="22"/>
              </w:rPr>
            </w:pPr>
            <w:r w:rsidRPr="00A211A0">
              <w:rPr>
                <w:rFonts w:ascii="Calibri" w:eastAsia="Calibri" w:hAnsi="Calibri"/>
                <w:sz w:val="20"/>
                <w:szCs w:val="22"/>
              </w:rPr>
              <w:t>Construction permits</w:t>
            </w:r>
          </w:p>
        </w:tc>
        <w:tc>
          <w:tcPr>
            <w:tcW w:w="3960" w:type="dxa"/>
            <w:shd w:val="clear" w:color="auto" w:fill="auto"/>
          </w:tcPr>
          <w:p w:rsidR="006F7AD6" w:rsidRPr="00A211A0" w:rsidP="00886011" w14:paraId="53D23F1E" w14:textId="77777777">
            <w:pPr>
              <w:rPr>
                <w:rFonts w:ascii="Calibri" w:eastAsia="Calibri" w:hAnsi="Calibri"/>
                <w:sz w:val="20"/>
                <w:szCs w:val="22"/>
              </w:rPr>
            </w:pPr>
            <w:r w:rsidRPr="00A211A0">
              <w:rPr>
                <w:rFonts w:ascii="Calibri" w:eastAsia="Calibri" w:hAnsi="Calibri"/>
                <w:sz w:val="20"/>
                <w:szCs w:val="22"/>
              </w:rPr>
              <w:t>3,200</w:t>
            </w:r>
          </w:p>
        </w:tc>
      </w:tr>
      <w:tr w14:paraId="105C394D" w14:textId="77777777" w:rsidTr="00886011">
        <w:tblPrEx>
          <w:tblW w:w="9985" w:type="dxa"/>
          <w:tblLook w:val="04A0"/>
        </w:tblPrEx>
        <w:tc>
          <w:tcPr>
            <w:tcW w:w="6025" w:type="dxa"/>
            <w:shd w:val="clear" w:color="auto" w:fill="auto"/>
          </w:tcPr>
          <w:p w:rsidR="006F7AD6" w:rsidRPr="00A211A0" w:rsidP="00886011" w14:paraId="10610DB4" w14:textId="77777777">
            <w:pPr>
              <w:rPr>
                <w:rFonts w:ascii="Calibri" w:eastAsia="Calibri" w:hAnsi="Calibri"/>
                <w:sz w:val="20"/>
                <w:szCs w:val="22"/>
              </w:rPr>
            </w:pPr>
            <w:r w:rsidRPr="00A211A0">
              <w:rPr>
                <w:rFonts w:ascii="Calibri" w:eastAsia="Calibri" w:hAnsi="Calibri"/>
                <w:sz w:val="20"/>
                <w:szCs w:val="22"/>
              </w:rPr>
              <w:t>Low Power TV, TV Translator, and TV Booster (47 C.F.R. Part 74)</w:t>
            </w:r>
          </w:p>
        </w:tc>
        <w:tc>
          <w:tcPr>
            <w:tcW w:w="3960" w:type="dxa"/>
            <w:shd w:val="clear" w:color="auto" w:fill="auto"/>
          </w:tcPr>
          <w:p w:rsidR="006F7AD6" w:rsidRPr="00A211A0" w:rsidP="00886011" w14:paraId="76575B73" w14:textId="77777777">
            <w:pPr>
              <w:rPr>
                <w:rFonts w:ascii="Calibri" w:eastAsia="Calibri" w:hAnsi="Calibri"/>
                <w:sz w:val="20"/>
                <w:szCs w:val="22"/>
              </w:rPr>
            </w:pPr>
            <w:r w:rsidRPr="00A211A0">
              <w:rPr>
                <w:rFonts w:ascii="Calibri" w:eastAsia="Calibri" w:hAnsi="Calibri"/>
                <w:sz w:val="20"/>
                <w:szCs w:val="22"/>
              </w:rPr>
              <w:t>135</w:t>
            </w:r>
          </w:p>
        </w:tc>
      </w:tr>
      <w:tr w14:paraId="375C448B" w14:textId="77777777" w:rsidTr="00886011">
        <w:tblPrEx>
          <w:tblW w:w="9985" w:type="dxa"/>
          <w:tblLook w:val="04A0"/>
        </w:tblPrEx>
        <w:tc>
          <w:tcPr>
            <w:tcW w:w="6025" w:type="dxa"/>
            <w:shd w:val="clear" w:color="auto" w:fill="auto"/>
          </w:tcPr>
          <w:p w:rsidR="006F7AD6" w:rsidRPr="00A211A0" w:rsidP="00886011" w14:paraId="3D0EEF74" w14:textId="77777777">
            <w:pPr>
              <w:rPr>
                <w:rFonts w:ascii="Calibri" w:eastAsia="Calibri" w:hAnsi="Calibri"/>
                <w:sz w:val="20"/>
                <w:szCs w:val="22"/>
              </w:rPr>
            </w:pPr>
            <w:r w:rsidRPr="00A211A0">
              <w:rPr>
                <w:rFonts w:ascii="Calibri" w:eastAsia="Calibri" w:hAnsi="Calibri"/>
                <w:sz w:val="20"/>
                <w:szCs w:val="22"/>
              </w:rPr>
              <w:t>Broadcast Auxiliary (47 C.F.R. Part 74)</w:t>
            </w:r>
          </w:p>
        </w:tc>
        <w:tc>
          <w:tcPr>
            <w:tcW w:w="3960" w:type="dxa"/>
            <w:shd w:val="clear" w:color="auto" w:fill="auto"/>
          </w:tcPr>
          <w:p w:rsidR="006F7AD6" w:rsidRPr="00A211A0" w:rsidP="00886011" w14:paraId="0104FCA0" w14:textId="77777777">
            <w:pPr>
              <w:rPr>
                <w:rFonts w:ascii="Calibri" w:eastAsia="Calibri" w:hAnsi="Calibri"/>
                <w:sz w:val="20"/>
                <w:szCs w:val="22"/>
              </w:rPr>
            </w:pPr>
            <w:r w:rsidRPr="00A211A0">
              <w:rPr>
                <w:rFonts w:ascii="Calibri" w:eastAsia="Calibri" w:hAnsi="Calibri"/>
                <w:sz w:val="20"/>
                <w:szCs w:val="22"/>
              </w:rPr>
              <w:t>25</w:t>
            </w:r>
          </w:p>
        </w:tc>
      </w:tr>
      <w:tr w14:paraId="0D26356E" w14:textId="77777777" w:rsidTr="00886011">
        <w:tblPrEx>
          <w:tblW w:w="9985" w:type="dxa"/>
          <w:tblLook w:val="04A0"/>
        </w:tblPrEx>
        <w:tc>
          <w:tcPr>
            <w:tcW w:w="6025" w:type="dxa"/>
            <w:shd w:val="clear" w:color="auto" w:fill="auto"/>
          </w:tcPr>
          <w:p w:rsidR="006F7AD6" w:rsidRPr="00A211A0" w:rsidP="00886011" w14:paraId="69BE47BC" w14:textId="77777777">
            <w:pPr>
              <w:rPr>
                <w:rFonts w:ascii="Calibri" w:eastAsia="Calibri" w:hAnsi="Calibri"/>
                <w:sz w:val="20"/>
                <w:szCs w:val="22"/>
              </w:rPr>
            </w:pPr>
            <w:r w:rsidRPr="00A211A0">
              <w:rPr>
                <w:rFonts w:ascii="Calibri" w:eastAsia="Calibri" w:hAnsi="Calibri"/>
                <w:sz w:val="20"/>
                <w:szCs w:val="22"/>
              </w:rPr>
              <w:t>International (HF) Broadcast (47 C.F.R. Part 73)</w:t>
            </w:r>
          </w:p>
        </w:tc>
        <w:tc>
          <w:tcPr>
            <w:tcW w:w="3960" w:type="dxa"/>
            <w:shd w:val="clear" w:color="auto" w:fill="auto"/>
          </w:tcPr>
          <w:p w:rsidR="006F7AD6" w:rsidRPr="00A211A0" w:rsidP="00886011" w14:paraId="43D2E84A" w14:textId="77777777">
            <w:pPr>
              <w:rPr>
                <w:rFonts w:ascii="Calibri" w:eastAsia="Calibri" w:hAnsi="Calibri"/>
                <w:sz w:val="20"/>
                <w:szCs w:val="22"/>
              </w:rPr>
            </w:pPr>
            <w:r w:rsidRPr="00A211A0">
              <w:rPr>
                <w:rFonts w:ascii="Calibri" w:eastAsia="Calibri" w:hAnsi="Calibri"/>
                <w:sz w:val="20"/>
                <w:szCs w:val="22"/>
              </w:rPr>
              <w:t>200</w:t>
            </w:r>
          </w:p>
        </w:tc>
      </w:tr>
      <w:tr w14:paraId="4F9A164B" w14:textId="77777777" w:rsidTr="00886011">
        <w:tblPrEx>
          <w:tblW w:w="9985" w:type="dxa"/>
          <w:tblLook w:val="04A0"/>
        </w:tblPrEx>
        <w:tc>
          <w:tcPr>
            <w:tcW w:w="6025" w:type="dxa"/>
            <w:shd w:val="clear" w:color="auto" w:fill="auto"/>
          </w:tcPr>
          <w:p w:rsidR="006F7AD6" w:rsidRPr="00A211A0" w:rsidP="00886011" w14:paraId="0DDC6893" w14:textId="77777777">
            <w:pPr>
              <w:rPr>
                <w:rFonts w:ascii="Calibri" w:eastAsia="Calibri" w:hAnsi="Calibri"/>
                <w:sz w:val="20"/>
                <w:szCs w:val="22"/>
              </w:rPr>
            </w:pPr>
            <w:r w:rsidRPr="00A211A0">
              <w:rPr>
                <w:rFonts w:ascii="Calibri" w:eastAsia="Calibri" w:hAnsi="Calibri"/>
                <w:sz w:val="20"/>
                <w:szCs w:val="22"/>
              </w:rPr>
              <w:t>Cable Antenna Relay Service (47 C.F.R. Part 78)</w:t>
            </w:r>
          </w:p>
        </w:tc>
        <w:tc>
          <w:tcPr>
            <w:tcW w:w="3960" w:type="dxa"/>
            <w:shd w:val="clear" w:color="auto" w:fill="auto"/>
          </w:tcPr>
          <w:p w:rsidR="006F7AD6" w:rsidRPr="00A211A0" w:rsidP="00886011" w14:paraId="5BA477F0" w14:textId="77777777">
            <w:pPr>
              <w:rPr>
                <w:rFonts w:ascii="Calibri" w:eastAsia="Calibri" w:hAnsi="Calibri"/>
                <w:sz w:val="20"/>
                <w:szCs w:val="22"/>
              </w:rPr>
            </w:pPr>
            <w:r w:rsidRPr="00A211A0">
              <w:rPr>
                <w:rFonts w:ascii="Calibri" w:eastAsia="Calibri" w:hAnsi="Calibri"/>
                <w:sz w:val="20"/>
                <w:szCs w:val="22"/>
              </w:rPr>
              <w:t>220</w:t>
            </w:r>
          </w:p>
        </w:tc>
      </w:tr>
      <w:tr w14:paraId="3F30DB84" w14:textId="77777777" w:rsidTr="00886011">
        <w:tblPrEx>
          <w:tblW w:w="9985" w:type="dxa"/>
          <w:tblLook w:val="04A0"/>
        </w:tblPrEx>
        <w:tc>
          <w:tcPr>
            <w:tcW w:w="6025" w:type="dxa"/>
            <w:shd w:val="clear" w:color="auto" w:fill="auto"/>
          </w:tcPr>
          <w:p w:rsidR="006F7AD6" w:rsidRPr="00A211A0" w:rsidP="00886011" w14:paraId="6556087F" w14:textId="77777777">
            <w:pPr>
              <w:rPr>
                <w:rFonts w:ascii="Calibri" w:eastAsia="Calibri" w:hAnsi="Calibri"/>
                <w:sz w:val="20"/>
                <w:szCs w:val="22"/>
              </w:rPr>
            </w:pPr>
            <w:r w:rsidRPr="00A211A0">
              <w:rPr>
                <w:rFonts w:ascii="Calibri" w:eastAsia="Calibri" w:hAnsi="Calibri"/>
                <w:sz w:val="20"/>
                <w:szCs w:val="22"/>
              </w:rPr>
              <w:t>Cable Television System (per 1,000 subscribers) (47 C.F.R. Part 76).</w:t>
            </w:r>
          </w:p>
        </w:tc>
        <w:tc>
          <w:tcPr>
            <w:tcW w:w="3960" w:type="dxa"/>
            <w:shd w:val="clear" w:color="auto" w:fill="auto"/>
          </w:tcPr>
          <w:p w:rsidR="006F7AD6" w:rsidRPr="00A211A0" w:rsidP="00886011" w14:paraId="3090D464" w14:textId="77777777">
            <w:pPr>
              <w:rPr>
                <w:rFonts w:ascii="Calibri" w:eastAsia="Calibri" w:hAnsi="Calibri"/>
                <w:sz w:val="20"/>
                <w:szCs w:val="22"/>
              </w:rPr>
            </w:pPr>
            <w:r w:rsidRPr="00A211A0">
              <w:rPr>
                <w:rFonts w:ascii="Calibri" w:eastAsia="Calibri" w:hAnsi="Calibri"/>
                <w:sz w:val="20"/>
                <w:szCs w:val="22"/>
              </w:rPr>
              <w:t>370</w:t>
            </w:r>
          </w:p>
        </w:tc>
      </w:tr>
      <w:tr w14:paraId="4D61BA17" w14:textId="77777777" w:rsidTr="00886011">
        <w:tblPrEx>
          <w:tblW w:w="9985" w:type="dxa"/>
          <w:tblLook w:val="04A0"/>
        </w:tblPrEx>
        <w:tc>
          <w:tcPr>
            <w:tcW w:w="6025" w:type="dxa"/>
            <w:shd w:val="clear" w:color="auto" w:fill="auto"/>
          </w:tcPr>
          <w:p w:rsidR="006F7AD6" w:rsidRPr="00A211A0" w:rsidP="00886011" w14:paraId="506232F7" w14:textId="77777777">
            <w:pPr>
              <w:rPr>
                <w:rFonts w:ascii="Calibri" w:eastAsia="Calibri" w:hAnsi="Calibri"/>
                <w:b/>
                <w:sz w:val="20"/>
                <w:szCs w:val="22"/>
                <w:u w:val="single"/>
              </w:rPr>
            </w:pPr>
            <w:r w:rsidRPr="00A211A0">
              <w:rPr>
                <w:rFonts w:ascii="Calibri" w:eastAsia="Calibri" w:hAnsi="Calibri"/>
                <w:b/>
                <w:sz w:val="20"/>
                <w:szCs w:val="22"/>
                <w:u w:val="single"/>
              </w:rPr>
              <w:t>Common Carrier Bureau</w:t>
            </w:r>
          </w:p>
        </w:tc>
        <w:tc>
          <w:tcPr>
            <w:tcW w:w="3960" w:type="dxa"/>
            <w:shd w:val="clear" w:color="auto" w:fill="auto"/>
          </w:tcPr>
          <w:p w:rsidR="006F7AD6" w:rsidRPr="00A211A0" w:rsidP="00886011" w14:paraId="624A09AA" w14:textId="77777777">
            <w:pPr>
              <w:rPr>
                <w:rFonts w:ascii="Calibri" w:eastAsia="Calibri" w:hAnsi="Calibri"/>
                <w:sz w:val="20"/>
                <w:szCs w:val="22"/>
              </w:rPr>
            </w:pPr>
          </w:p>
        </w:tc>
      </w:tr>
      <w:tr w14:paraId="4CA7C939" w14:textId="77777777" w:rsidTr="00886011">
        <w:tblPrEx>
          <w:tblW w:w="9985" w:type="dxa"/>
          <w:tblLook w:val="04A0"/>
        </w:tblPrEx>
        <w:tc>
          <w:tcPr>
            <w:tcW w:w="6025" w:type="dxa"/>
            <w:shd w:val="clear" w:color="auto" w:fill="auto"/>
          </w:tcPr>
          <w:p w:rsidR="006F7AD6" w:rsidRPr="00A211A0" w:rsidP="00886011" w14:paraId="392CDD72" w14:textId="77777777">
            <w:pPr>
              <w:rPr>
                <w:rFonts w:ascii="Calibri" w:eastAsia="Calibri" w:hAnsi="Calibri"/>
                <w:b/>
                <w:i/>
                <w:sz w:val="20"/>
                <w:szCs w:val="22"/>
              </w:rPr>
            </w:pPr>
            <w:r w:rsidRPr="00A211A0">
              <w:rPr>
                <w:rFonts w:ascii="Calibri" w:eastAsia="Calibri" w:hAnsi="Calibri"/>
                <w:b/>
                <w:i/>
                <w:sz w:val="20"/>
                <w:szCs w:val="22"/>
              </w:rPr>
              <w:t>Radio Facilities</w:t>
            </w:r>
          </w:p>
        </w:tc>
        <w:tc>
          <w:tcPr>
            <w:tcW w:w="3960" w:type="dxa"/>
            <w:shd w:val="clear" w:color="auto" w:fill="auto"/>
          </w:tcPr>
          <w:p w:rsidR="006F7AD6" w:rsidRPr="00A211A0" w:rsidP="00886011" w14:paraId="09383722" w14:textId="77777777">
            <w:pPr>
              <w:rPr>
                <w:rFonts w:ascii="Calibri" w:eastAsia="Calibri" w:hAnsi="Calibri"/>
                <w:sz w:val="20"/>
                <w:szCs w:val="22"/>
              </w:rPr>
            </w:pPr>
          </w:p>
        </w:tc>
      </w:tr>
      <w:tr w14:paraId="230FC43B" w14:textId="77777777" w:rsidTr="00886011">
        <w:tblPrEx>
          <w:tblW w:w="9985" w:type="dxa"/>
          <w:tblLook w:val="04A0"/>
        </w:tblPrEx>
        <w:tc>
          <w:tcPr>
            <w:tcW w:w="6025" w:type="dxa"/>
            <w:shd w:val="clear" w:color="auto" w:fill="auto"/>
          </w:tcPr>
          <w:p w:rsidR="006F7AD6" w:rsidRPr="00A211A0" w:rsidP="00886011" w14:paraId="5BDF808C" w14:textId="77777777">
            <w:pPr>
              <w:rPr>
                <w:rFonts w:ascii="Calibri" w:eastAsia="Calibri" w:hAnsi="Calibri"/>
                <w:sz w:val="20"/>
                <w:szCs w:val="22"/>
              </w:rPr>
            </w:pPr>
            <w:r w:rsidRPr="00A211A0">
              <w:rPr>
                <w:rFonts w:ascii="Calibri" w:eastAsia="Calibri" w:hAnsi="Calibri"/>
                <w:sz w:val="20"/>
                <w:szCs w:val="22"/>
              </w:rPr>
              <w:t>Radio Facilities Cellular Radio (per 1,000 subscribers) (47 C.F.R. Part 22)</w:t>
            </w:r>
          </w:p>
        </w:tc>
        <w:tc>
          <w:tcPr>
            <w:tcW w:w="3960" w:type="dxa"/>
            <w:shd w:val="clear" w:color="auto" w:fill="auto"/>
          </w:tcPr>
          <w:p w:rsidR="006F7AD6" w:rsidRPr="00A211A0" w:rsidP="00886011" w14:paraId="285369D4" w14:textId="77777777">
            <w:pPr>
              <w:rPr>
                <w:rFonts w:ascii="Calibri" w:eastAsia="Calibri" w:hAnsi="Calibri"/>
                <w:sz w:val="20"/>
                <w:szCs w:val="22"/>
              </w:rPr>
            </w:pPr>
            <w:r w:rsidRPr="00A211A0">
              <w:rPr>
                <w:rFonts w:ascii="Calibri" w:eastAsia="Calibri" w:hAnsi="Calibri"/>
                <w:sz w:val="20"/>
                <w:szCs w:val="22"/>
              </w:rPr>
              <w:t>60</w:t>
            </w:r>
          </w:p>
        </w:tc>
      </w:tr>
      <w:tr w14:paraId="187DB7E5" w14:textId="77777777" w:rsidTr="00886011">
        <w:tblPrEx>
          <w:tblW w:w="9985" w:type="dxa"/>
          <w:tblLook w:val="04A0"/>
        </w:tblPrEx>
        <w:tc>
          <w:tcPr>
            <w:tcW w:w="6025" w:type="dxa"/>
            <w:shd w:val="clear" w:color="auto" w:fill="auto"/>
          </w:tcPr>
          <w:p w:rsidR="006F7AD6" w:rsidRPr="00A211A0" w:rsidP="00886011" w14:paraId="2EE7D996" w14:textId="77777777">
            <w:pPr>
              <w:rPr>
                <w:rFonts w:ascii="Calibri" w:eastAsia="Calibri" w:hAnsi="Calibri"/>
                <w:sz w:val="20"/>
                <w:szCs w:val="22"/>
              </w:rPr>
            </w:pPr>
            <w:r w:rsidRPr="00A211A0">
              <w:rPr>
                <w:rFonts w:ascii="Calibri" w:eastAsia="Calibri" w:hAnsi="Calibri"/>
                <w:sz w:val="20"/>
                <w:szCs w:val="22"/>
              </w:rPr>
              <w:t>Personal Communications (per 1,000 subscribers) (47 C.F.R.)</w:t>
            </w:r>
          </w:p>
        </w:tc>
        <w:tc>
          <w:tcPr>
            <w:tcW w:w="3960" w:type="dxa"/>
            <w:shd w:val="clear" w:color="auto" w:fill="auto"/>
          </w:tcPr>
          <w:p w:rsidR="006F7AD6" w:rsidRPr="00A211A0" w:rsidP="00886011" w14:paraId="0F931448" w14:textId="77777777">
            <w:pPr>
              <w:rPr>
                <w:rFonts w:ascii="Calibri" w:eastAsia="Calibri" w:hAnsi="Calibri"/>
                <w:sz w:val="20"/>
                <w:szCs w:val="22"/>
              </w:rPr>
            </w:pPr>
            <w:r w:rsidRPr="00A211A0">
              <w:rPr>
                <w:rFonts w:ascii="Calibri" w:eastAsia="Calibri" w:hAnsi="Calibri"/>
                <w:sz w:val="20"/>
                <w:szCs w:val="22"/>
              </w:rPr>
              <w:t>60</w:t>
            </w:r>
          </w:p>
        </w:tc>
      </w:tr>
      <w:tr w14:paraId="13ADD968" w14:textId="77777777" w:rsidTr="00886011">
        <w:tblPrEx>
          <w:tblW w:w="9985" w:type="dxa"/>
          <w:tblLook w:val="04A0"/>
        </w:tblPrEx>
        <w:tc>
          <w:tcPr>
            <w:tcW w:w="6025" w:type="dxa"/>
            <w:shd w:val="clear" w:color="auto" w:fill="auto"/>
          </w:tcPr>
          <w:p w:rsidR="006F7AD6" w:rsidRPr="00A211A0" w:rsidP="00886011" w14:paraId="2A048656" w14:textId="77777777">
            <w:pPr>
              <w:rPr>
                <w:rFonts w:ascii="Calibri" w:eastAsia="Calibri" w:hAnsi="Calibri"/>
                <w:sz w:val="20"/>
                <w:szCs w:val="22"/>
              </w:rPr>
            </w:pPr>
            <w:r w:rsidRPr="00A211A0">
              <w:rPr>
                <w:rFonts w:ascii="Calibri" w:eastAsia="Calibri" w:hAnsi="Calibri"/>
                <w:sz w:val="20"/>
                <w:szCs w:val="22"/>
              </w:rPr>
              <w:t>Space Station (per operational station in geosynchronous orbit) (47 C.F.R. Part 25)</w:t>
            </w:r>
          </w:p>
        </w:tc>
        <w:tc>
          <w:tcPr>
            <w:tcW w:w="3960" w:type="dxa"/>
            <w:shd w:val="clear" w:color="auto" w:fill="auto"/>
          </w:tcPr>
          <w:p w:rsidR="006F7AD6" w:rsidRPr="00A211A0" w:rsidP="00886011" w14:paraId="0AA26949" w14:textId="77777777">
            <w:pPr>
              <w:rPr>
                <w:rFonts w:ascii="Calibri" w:eastAsia="Calibri" w:hAnsi="Calibri"/>
                <w:sz w:val="20"/>
                <w:szCs w:val="22"/>
              </w:rPr>
            </w:pPr>
            <w:r w:rsidRPr="00A211A0">
              <w:rPr>
                <w:rFonts w:ascii="Calibri" w:eastAsia="Calibri" w:hAnsi="Calibri"/>
                <w:sz w:val="20"/>
                <w:szCs w:val="22"/>
              </w:rPr>
              <w:t>65,000</w:t>
            </w:r>
          </w:p>
        </w:tc>
      </w:tr>
      <w:tr w14:paraId="6E0EFCFC" w14:textId="77777777" w:rsidTr="00886011">
        <w:tblPrEx>
          <w:tblW w:w="9985" w:type="dxa"/>
          <w:tblLook w:val="04A0"/>
        </w:tblPrEx>
        <w:tc>
          <w:tcPr>
            <w:tcW w:w="6025" w:type="dxa"/>
            <w:shd w:val="clear" w:color="auto" w:fill="auto"/>
          </w:tcPr>
          <w:p w:rsidR="006F7AD6" w:rsidRPr="00A211A0" w:rsidP="00886011" w14:paraId="0F7A33FD" w14:textId="77777777">
            <w:pPr>
              <w:rPr>
                <w:rFonts w:ascii="Calibri" w:eastAsia="Calibri" w:hAnsi="Calibri"/>
                <w:sz w:val="20"/>
                <w:szCs w:val="22"/>
              </w:rPr>
            </w:pPr>
            <w:r w:rsidRPr="00A211A0">
              <w:rPr>
                <w:rFonts w:ascii="Calibri" w:eastAsia="Calibri" w:hAnsi="Calibri"/>
                <w:sz w:val="20"/>
                <w:szCs w:val="22"/>
              </w:rPr>
              <w:t>Space Station (per system in lowearth orbit) (47 C.F.R. Part 25)</w:t>
            </w:r>
          </w:p>
        </w:tc>
        <w:tc>
          <w:tcPr>
            <w:tcW w:w="3960" w:type="dxa"/>
            <w:shd w:val="clear" w:color="auto" w:fill="auto"/>
          </w:tcPr>
          <w:p w:rsidR="006F7AD6" w:rsidRPr="00A211A0" w:rsidP="00886011" w14:paraId="5E293624" w14:textId="77777777">
            <w:pPr>
              <w:rPr>
                <w:rFonts w:ascii="Calibri" w:eastAsia="Calibri" w:hAnsi="Calibri"/>
                <w:sz w:val="20"/>
                <w:szCs w:val="22"/>
              </w:rPr>
            </w:pPr>
            <w:r w:rsidRPr="00A211A0">
              <w:rPr>
                <w:rFonts w:ascii="Calibri" w:eastAsia="Calibri" w:hAnsi="Calibri"/>
                <w:sz w:val="20"/>
                <w:szCs w:val="22"/>
              </w:rPr>
              <w:t>90,000</w:t>
            </w:r>
          </w:p>
        </w:tc>
      </w:tr>
      <w:tr w14:paraId="365BFAB7" w14:textId="77777777" w:rsidTr="00886011">
        <w:tblPrEx>
          <w:tblW w:w="9985" w:type="dxa"/>
          <w:tblLook w:val="04A0"/>
        </w:tblPrEx>
        <w:tc>
          <w:tcPr>
            <w:tcW w:w="6025" w:type="dxa"/>
            <w:shd w:val="clear" w:color="auto" w:fill="auto"/>
          </w:tcPr>
          <w:p w:rsidR="006F7AD6" w:rsidRPr="00A211A0" w:rsidP="00886011" w14:paraId="500C3DB1" w14:textId="77777777">
            <w:pPr>
              <w:rPr>
                <w:rFonts w:ascii="Calibri" w:eastAsia="Calibri" w:hAnsi="Calibri"/>
                <w:sz w:val="20"/>
                <w:szCs w:val="22"/>
              </w:rPr>
            </w:pPr>
            <w:r w:rsidRPr="00A211A0">
              <w:rPr>
                <w:rFonts w:ascii="Calibri" w:eastAsia="Calibri" w:hAnsi="Calibri"/>
                <w:sz w:val="20"/>
                <w:szCs w:val="22"/>
              </w:rPr>
              <w:t>Public Mobile (per 1,000 subscribers) (47 C.F.R. Part 22)</w:t>
            </w:r>
          </w:p>
        </w:tc>
        <w:tc>
          <w:tcPr>
            <w:tcW w:w="3960" w:type="dxa"/>
            <w:shd w:val="clear" w:color="auto" w:fill="auto"/>
          </w:tcPr>
          <w:p w:rsidR="006F7AD6" w:rsidRPr="00A211A0" w:rsidP="00886011" w14:paraId="00A789BE" w14:textId="77777777">
            <w:pPr>
              <w:rPr>
                <w:rFonts w:ascii="Calibri" w:eastAsia="Calibri" w:hAnsi="Calibri"/>
                <w:sz w:val="20"/>
                <w:szCs w:val="22"/>
              </w:rPr>
            </w:pPr>
            <w:r w:rsidRPr="00A211A0">
              <w:rPr>
                <w:rFonts w:ascii="Calibri" w:eastAsia="Calibri" w:hAnsi="Calibri"/>
                <w:sz w:val="20"/>
                <w:szCs w:val="22"/>
              </w:rPr>
              <w:t>60</w:t>
            </w:r>
          </w:p>
        </w:tc>
      </w:tr>
      <w:tr w14:paraId="5E874841" w14:textId="77777777" w:rsidTr="00886011">
        <w:tblPrEx>
          <w:tblW w:w="9985" w:type="dxa"/>
          <w:tblLook w:val="04A0"/>
        </w:tblPrEx>
        <w:tc>
          <w:tcPr>
            <w:tcW w:w="6025" w:type="dxa"/>
            <w:shd w:val="clear" w:color="auto" w:fill="auto"/>
          </w:tcPr>
          <w:p w:rsidR="006F7AD6" w:rsidRPr="00A211A0" w:rsidP="00886011" w14:paraId="01AE1D45" w14:textId="77777777">
            <w:pPr>
              <w:rPr>
                <w:rFonts w:ascii="Calibri" w:eastAsia="Calibri" w:hAnsi="Calibri"/>
                <w:sz w:val="20"/>
                <w:szCs w:val="22"/>
              </w:rPr>
            </w:pPr>
            <w:r w:rsidRPr="00A211A0">
              <w:rPr>
                <w:rFonts w:ascii="Calibri" w:eastAsia="Calibri" w:hAnsi="Calibri"/>
                <w:sz w:val="20"/>
                <w:szCs w:val="22"/>
              </w:rPr>
              <w:t>Domestic Public Fixed (per call sign) (47 C.F.R. Part 21)</w:t>
            </w:r>
          </w:p>
        </w:tc>
        <w:tc>
          <w:tcPr>
            <w:tcW w:w="3960" w:type="dxa"/>
            <w:shd w:val="clear" w:color="auto" w:fill="auto"/>
          </w:tcPr>
          <w:p w:rsidR="006F7AD6" w:rsidRPr="00A211A0" w:rsidP="00886011" w14:paraId="0FA59665" w14:textId="77777777">
            <w:pPr>
              <w:rPr>
                <w:rFonts w:ascii="Calibri" w:eastAsia="Calibri" w:hAnsi="Calibri"/>
                <w:sz w:val="20"/>
                <w:szCs w:val="22"/>
              </w:rPr>
            </w:pPr>
            <w:r w:rsidRPr="00A211A0">
              <w:rPr>
                <w:rFonts w:ascii="Calibri" w:eastAsia="Calibri" w:hAnsi="Calibri"/>
                <w:sz w:val="20"/>
                <w:szCs w:val="22"/>
              </w:rPr>
              <w:t>55</w:t>
            </w:r>
          </w:p>
        </w:tc>
      </w:tr>
      <w:tr w14:paraId="7E0FA4A1" w14:textId="77777777" w:rsidTr="00886011">
        <w:tblPrEx>
          <w:tblW w:w="9985" w:type="dxa"/>
          <w:tblLook w:val="04A0"/>
        </w:tblPrEx>
        <w:tc>
          <w:tcPr>
            <w:tcW w:w="6025" w:type="dxa"/>
            <w:shd w:val="clear" w:color="auto" w:fill="auto"/>
          </w:tcPr>
          <w:p w:rsidR="006F7AD6" w:rsidRPr="00A211A0" w:rsidP="00886011" w14:paraId="06EBD2DD" w14:textId="77777777">
            <w:pPr>
              <w:rPr>
                <w:rFonts w:ascii="Calibri" w:eastAsia="Calibri" w:hAnsi="Calibri"/>
                <w:sz w:val="20"/>
                <w:szCs w:val="22"/>
              </w:rPr>
            </w:pPr>
            <w:r w:rsidRPr="00A211A0">
              <w:rPr>
                <w:rFonts w:ascii="Calibri" w:eastAsia="Calibri" w:hAnsi="Calibri"/>
                <w:sz w:val="20"/>
                <w:szCs w:val="22"/>
              </w:rPr>
              <w:t>International Public Fixed (per call sign) (47 C.F.R. Part 23)</w:t>
            </w:r>
          </w:p>
        </w:tc>
        <w:tc>
          <w:tcPr>
            <w:tcW w:w="3960" w:type="dxa"/>
            <w:shd w:val="clear" w:color="auto" w:fill="auto"/>
          </w:tcPr>
          <w:p w:rsidR="006F7AD6" w:rsidRPr="00A211A0" w:rsidP="00886011" w14:paraId="20051552" w14:textId="77777777">
            <w:pPr>
              <w:rPr>
                <w:rFonts w:ascii="Calibri" w:eastAsia="Calibri" w:hAnsi="Calibri"/>
                <w:sz w:val="20"/>
                <w:szCs w:val="22"/>
              </w:rPr>
            </w:pPr>
            <w:r w:rsidRPr="00A211A0">
              <w:rPr>
                <w:rFonts w:ascii="Calibri" w:eastAsia="Calibri" w:hAnsi="Calibri"/>
                <w:sz w:val="20"/>
                <w:szCs w:val="22"/>
              </w:rPr>
              <w:t>110</w:t>
            </w:r>
          </w:p>
        </w:tc>
      </w:tr>
      <w:tr w14:paraId="3A85F409" w14:textId="77777777" w:rsidTr="00886011">
        <w:tblPrEx>
          <w:tblW w:w="9985" w:type="dxa"/>
          <w:tblLook w:val="04A0"/>
        </w:tblPrEx>
        <w:tc>
          <w:tcPr>
            <w:tcW w:w="6025" w:type="dxa"/>
            <w:shd w:val="clear" w:color="auto" w:fill="auto"/>
          </w:tcPr>
          <w:p w:rsidR="006F7AD6" w:rsidRPr="00A211A0" w:rsidP="00886011" w14:paraId="392BBD62" w14:textId="77777777">
            <w:pPr>
              <w:rPr>
                <w:rFonts w:ascii="Calibri" w:eastAsia="Calibri" w:hAnsi="Calibri"/>
                <w:b/>
                <w:i/>
                <w:sz w:val="20"/>
                <w:szCs w:val="22"/>
              </w:rPr>
            </w:pPr>
            <w:r w:rsidRPr="00A211A0">
              <w:rPr>
                <w:rFonts w:ascii="Calibri" w:eastAsia="Calibri" w:hAnsi="Calibri"/>
                <w:b/>
                <w:i/>
                <w:sz w:val="20"/>
                <w:szCs w:val="22"/>
              </w:rPr>
              <w:t>Earth Stations (47 C.F.R. Part 25)</w:t>
            </w:r>
          </w:p>
        </w:tc>
        <w:tc>
          <w:tcPr>
            <w:tcW w:w="3960" w:type="dxa"/>
            <w:shd w:val="clear" w:color="auto" w:fill="auto"/>
          </w:tcPr>
          <w:p w:rsidR="006F7AD6" w:rsidRPr="00A211A0" w:rsidP="00886011" w14:paraId="5E0D2D0B" w14:textId="77777777">
            <w:pPr>
              <w:rPr>
                <w:rFonts w:ascii="Calibri" w:eastAsia="Calibri" w:hAnsi="Calibri"/>
                <w:sz w:val="20"/>
                <w:szCs w:val="22"/>
              </w:rPr>
            </w:pPr>
          </w:p>
        </w:tc>
      </w:tr>
      <w:tr w14:paraId="79C96161" w14:textId="77777777" w:rsidTr="00886011">
        <w:tblPrEx>
          <w:tblW w:w="9985" w:type="dxa"/>
          <w:tblLook w:val="04A0"/>
        </w:tblPrEx>
        <w:tc>
          <w:tcPr>
            <w:tcW w:w="6025" w:type="dxa"/>
            <w:shd w:val="clear" w:color="auto" w:fill="auto"/>
          </w:tcPr>
          <w:p w:rsidR="006F7AD6" w:rsidRPr="00A211A0" w:rsidP="00886011" w14:paraId="3FEFCC78" w14:textId="77777777">
            <w:pPr>
              <w:rPr>
                <w:rFonts w:ascii="Calibri" w:eastAsia="Calibri" w:hAnsi="Calibri"/>
                <w:sz w:val="20"/>
                <w:szCs w:val="22"/>
              </w:rPr>
            </w:pPr>
            <w:r w:rsidRPr="00A211A0">
              <w:rPr>
                <w:rFonts w:ascii="Calibri" w:eastAsia="Calibri" w:hAnsi="Calibri"/>
                <w:sz w:val="20"/>
                <w:szCs w:val="22"/>
              </w:rPr>
              <w:t>VSAT and equivalent C-Band antennas (per 100 antennas)</w:t>
            </w:r>
          </w:p>
        </w:tc>
        <w:tc>
          <w:tcPr>
            <w:tcW w:w="3960" w:type="dxa"/>
            <w:shd w:val="clear" w:color="auto" w:fill="auto"/>
          </w:tcPr>
          <w:p w:rsidR="006F7AD6" w:rsidRPr="00A211A0" w:rsidP="00886011" w14:paraId="6D83F135" w14:textId="77777777">
            <w:pPr>
              <w:rPr>
                <w:rFonts w:ascii="Calibri" w:eastAsia="Calibri" w:hAnsi="Calibri"/>
                <w:sz w:val="20"/>
                <w:szCs w:val="22"/>
              </w:rPr>
            </w:pPr>
            <w:r w:rsidRPr="00A211A0">
              <w:rPr>
                <w:rFonts w:ascii="Calibri" w:eastAsia="Calibri" w:hAnsi="Calibri"/>
                <w:sz w:val="20"/>
                <w:szCs w:val="22"/>
              </w:rPr>
              <w:t>6</w:t>
            </w:r>
          </w:p>
        </w:tc>
      </w:tr>
      <w:tr w14:paraId="46F6D6F9" w14:textId="77777777" w:rsidTr="00886011">
        <w:tblPrEx>
          <w:tblW w:w="9985" w:type="dxa"/>
          <w:tblLook w:val="04A0"/>
        </w:tblPrEx>
        <w:tc>
          <w:tcPr>
            <w:tcW w:w="6025" w:type="dxa"/>
            <w:shd w:val="clear" w:color="auto" w:fill="auto"/>
          </w:tcPr>
          <w:p w:rsidR="006F7AD6" w:rsidRPr="00A211A0" w:rsidP="00886011" w14:paraId="3DA9D26E" w14:textId="77777777">
            <w:pPr>
              <w:rPr>
                <w:rFonts w:ascii="Calibri" w:eastAsia="Calibri" w:hAnsi="Calibri"/>
                <w:sz w:val="20"/>
                <w:szCs w:val="22"/>
              </w:rPr>
            </w:pPr>
            <w:r w:rsidRPr="00A211A0">
              <w:rPr>
                <w:rFonts w:ascii="Calibri" w:eastAsia="Calibri" w:hAnsi="Calibri"/>
                <w:sz w:val="20"/>
                <w:szCs w:val="22"/>
              </w:rPr>
              <w:t>Mobile satellite earth stations (per 100 antennas)</w:t>
            </w:r>
          </w:p>
        </w:tc>
        <w:tc>
          <w:tcPr>
            <w:tcW w:w="3960" w:type="dxa"/>
            <w:shd w:val="clear" w:color="auto" w:fill="auto"/>
          </w:tcPr>
          <w:p w:rsidR="006F7AD6" w:rsidRPr="00A211A0" w:rsidP="00886011" w14:paraId="36FA9A1B" w14:textId="77777777">
            <w:pPr>
              <w:rPr>
                <w:rFonts w:ascii="Calibri" w:eastAsia="Calibri" w:hAnsi="Calibri"/>
                <w:sz w:val="20"/>
                <w:szCs w:val="22"/>
              </w:rPr>
            </w:pPr>
            <w:r w:rsidRPr="00A211A0">
              <w:rPr>
                <w:rFonts w:ascii="Calibri" w:eastAsia="Calibri" w:hAnsi="Calibri"/>
                <w:sz w:val="20"/>
                <w:szCs w:val="22"/>
              </w:rPr>
              <w:t>6</w:t>
            </w:r>
          </w:p>
        </w:tc>
      </w:tr>
      <w:tr w14:paraId="799C5004" w14:textId="77777777" w:rsidTr="00886011">
        <w:tblPrEx>
          <w:tblW w:w="9985" w:type="dxa"/>
          <w:tblLook w:val="04A0"/>
        </w:tblPrEx>
        <w:tc>
          <w:tcPr>
            <w:tcW w:w="6025" w:type="dxa"/>
            <w:shd w:val="clear" w:color="auto" w:fill="auto"/>
          </w:tcPr>
          <w:p w:rsidR="006F7AD6" w:rsidRPr="00A211A0" w:rsidP="00886011" w14:paraId="06A1EE25" w14:textId="77777777">
            <w:pPr>
              <w:rPr>
                <w:rFonts w:ascii="Calibri" w:eastAsia="Calibri" w:hAnsi="Calibri"/>
                <w:sz w:val="20"/>
                <w:szCs w:val="22"/>
              </w:rPr>
            </w:pPr>
            <w:r w:rsidRPr="00A211A0">
              <w:rPr>
                <w:rFonts w:ascii="Calibri" w:eastAsia="Calibri" w:hAnsi="Calibri"/>
                <w:sz w:val="20"/>
                <w:szCs w:val="22"/>
              </w:rPr>
              <w:t>Earth station antennas Less than 9 meters (per 100 antennas)</w:t>
            </w:r>
          </w:p>
        </w:tc>
        <w:tc>
          <w:tcPr>
            <w:tcW w:w="3960" w:type="dxa"/>
            <w:shd w:val="clear" w:color="auto" w:fill="auto"/>
          </w:tcPr>
          <w:p w:rsidR="006F7AD6" w:rsidRPr="00A211A0" w:rsidP="00886011" w14:paraId="0D39B332" w14:textId="77777777">
            <w:pPr>
              <w:rPr>
                <w:rFonts w:ascii="Calibri" w:eastAsia="Calibri" w:hAnsi="Calibri"/>
                <w:sz w:val="20"/>
                <w:szCs w:val="22"/>
              </w:rPr>
            </w:pPr>
            <w:r w:rsidRPr="00A211A0">
              <w:rPr>
                <w:rFonts w:ascii="Calibri" w:eastAsia="Calibri" w:hAnsi="Calibri"/>
                <w:sz w:val="20"/>
                <w:szCs w:val="22"/>
              </w:rPr>
              <w:t>6</w:t>
            </w:r>
          </w:p>
        </w:tc>
      </w:tr>
      <w:tr w14:paraId="26ADF5E2" w14:textId="77777777" w:rsidTr="00886011">
        <w:tblPrEx>
          <w:tblW w:w="9985" w:type="dxa"/>
          <w:tblLook w:val="04A0"/>
        </w:tblPrEx>
        <w:tc>
          <w:tcPr>
            <w:tcW w:w="6025" w:type="dxa"/>
            <w:shd w:val="clear" w:color="auto" w:fill="auto"/>
          </w:tcPr>
          <w:p w:rsidR="006F7AD6" w:rsidRPr="00A211A0" w:rsidP="00886011" w14:paraId="7CB694E6" w14:textId="77777777">
            <w:pPr>
              <w:rPr>
                <w:rFonts w:ascii="Calibri" w:eastAsia="Calibri" w:hAnsi="Calibri"/>
                <w:sz w:val="20"/>
                <w:szCs w:val="22"/>
              </w:rPr>
            </w:pPr>
            <w:r w:rsidRPr="00A211A0">
              <w:rPr>
                <w:rFonts w:ascii="Calibri" w:eastAsia="Calibri" w:hAnsi="Calibri"/>
                <w:sz w:val="20"/>
                <w:szCs w:val="22"/>
              </w:rPr>
              <w:t>9 Meters or more Transmit/Receive and Transmit Only (per meter)</w:t>
            </w:r>
          </w:p>
        </w:tc>
        <w:tc>
          <w:tcPr>
            <w:tcW w:w="3960" w:type="dxa"/>
            <w:shd w:val="clear" w:color="auto" w:fill="auto"/>
          </w:tcPr>
          <w:p w:rsidR="006F7AD6" w:rsidRPr="00A211A0" w:rsidP="00886011" w14:paraId="037B27AE" w14:textId="77777777">
            <w:pPr>
              <w:rPr>
                <w:rFonts w:ascii="Calibri" w:eastAsia="Calibri" w:hAnsi="Calibri"/>
                <w:sz w:val="20"/>
                <w:szCs w:val="22"/>
              </w:rPr>
            </w:pPr>
            <w:r w:rsidRPr="00A211A0">
              <w:rPr>
                <w:rFonts w:ascii="Calibri" w:eastAsia="Calibri" w:hAnsi="Calibri"/>
                <w:sz w:val="20"/>
                <w:szCs w:val="22"/>
              </w:rPr>
              <w:t>85</w:t>
            </w:r>
          </w:p>
        </w:tc>
      </w:tr>
      <w:tr w14:paraId="2925FF78" w14:textId="77777777" w:rsidTr="00886011">
        <w:tblPrEx>
          <w:tblW w:w="9985" w:type="dxa"/>
          <w:tblLook w:val="04A0"/>
        </w:tblPrEx>
        <w:tc>
          <w:tcPr>
            <w:tcW w:w="6025" w:type="dxa"/>
            <w:shd w:val="clear" w:color="auto" w:fill="auto"/>
          </w:tcPr>
          <w:p w:rsidR="006F7AD6" w:rsidRPr="00A211A0" w:rsidP="00886011" w14:paraId="7ABEB75D" w14:textId="77777777">
            <w:pPr>
              <w:rPr>
                <w:rFonts w:ascii="Calibri" w:eastAsia="Calibri" w:hAnsi="Calibri"/>
                <w:sz w:val="20"/>
                <w:szCs w:val="22"/>
              </w:rPr>
            </w:pPr>
            <w:r w:rsidRPr="00A211A0">
              <w:rPr>
                <w:rFonts w:ascii="Calibri" w:eastAsia="Calibri" w:hAnsi="Calibri"/>
                <w:sz w:val="20"/>
                <w:szCs w:val="22"/>
              </w:rPr>
              <w:t>Receive only (per meter)</w:t>
            </w:r>
          </w:p>
        </w:tc>
        <w:tc>
          <w:tcPr>
            <w:tcW w:w="3960" w:type="dxa"/>
            <w:shd w:val="clear" w:color="auto" w:fill="auto"/>
          </w:tcPr>
          <w:p w:rsidR="006F7AD6" w:rsidRPr="00A211A0" w:rsidP="00886011" w14:paraId="018D69F1" w14:textId="77777777">
            <w:pPr>
              <w:rPr>
                <w:rFonts w:ascii="Calibri" w:eastAsia="Calibri" w:hAnsi="Calibri"/>
                <w:sz w:val="20"/>
                <w:szCs w:val="22"/>
              </w:rPr>
            </w:pPr>
            <w:r w:rsidRPr="00A211A0">
              <w:rPr>
                <w:rFonts w:ascii="Calibri" w:eastAsia="Calibri" w:hAnsi="Calibri"/>
                <w:sz w:val="20"/>
                <w:szCs w:val="22"/>
              </w:rPr>
              <w:t>55</w:t>
            </w:r>
          </w:p>
        </w:tc>
      </w:tr>
      <w:tr w14:paraId="092E3770" w14:textId="77777777" w:rsidTr="00886011">
        <w:tblPrEx>
          <w:tblW w:w="9985" w:type="dxa"/>
          <w:tblLook w:val="04A0"/>
        </w:tblPrEx>
        <w:tc>
          <w:tcPr>
            <w:tcW w:w="6025" w:type="dxa"/>
            <w:shd w:val="clear" w:color="auto" w:fill="auto"/>
          </w:tcPr>
          <w:p w:rsidR="006F7AD6" w:rsidRPr="00A211A0" w:rsidP="00886011" w14:paraId="31C66BEC" w14:textId="77777777">
            <w:pPr>
              <w:rPr>
                <w:rFonts w:ascii="Calibri" w:eastAsia="Calibri" w:hAnsi="Calibri"/>
                <w:b/>
                <w:i/>
                <w:sz w:val="20"/>
                <w:szCs w:val="22"/>
              </w:rPr>
            </w:pPr>
            <w:r w:rsidRPr="00A211A0">
              <w:rPr>
                <w:rFonts w:ascii="Calibri" w:eastAsia="Calibri" w:hAnsi="Calibri"/>
                <w:b/>
                <w:i/>
                <w:sz w:val="20"/>
                <w:szCs w:val="22"/>
              </w:rPr>
              <w:t>Carriers</w:t>
            </w:r>
          </w:p>
        </w:tc>
        <w:tc>
          <w:tcPr>
            <w:tcW w:w="3960" w:type="dxa"/>
            <w:shd w:val="clear" w:color="auto" w:fill="auto"/>
          </w:tcPr>
          <w:p w:rsidR="006F7AD6" w:rsidRPr="00A211A0" w:rsidP="00886011" w14:paraId="24270D19" w14:textId="77777777">
            <w:pPr>
              <w:rPr>
                <w:rFonts w:ascii="Calibri" w:eastAsia="Calibri" w:hAnsi="Calibri"/>
                <w:sz w:val="20"/>
                <w:szCs w:val="22"/>
              </w:rPr>
            </w:pPr>
          </w:p>
        </w:tc>
      </w:tr>
      <w:tr w14:paraId="7BB8757E" w14:textId="77777777" w:rsidTr="00886011">
        <w:tblPrEx>
          <w:tblW w:w="9985" w:type="dxa"/>
          <w:tblLook w:val="04A0"/>
        </w:tblPrEx>
        <w:tc>
          <w:tcPr>
            <w:tcW w:w="6025" w:type="dxa"/>
            <w:shd w:val="clear" w:color="auto" w:fill="auto"/>
          </w:tcPr>
          <w:p w:rsidR="006F7AD6" w:rsidRPr="00A211A0" w:rsidP="00886011" w14:paraId="4D117A1F" w14:textId="77777777">
            <w:pPr>
              <w:rPr>
                <w:rFonts w:ascii="Calibri" w:eastAsia="Calibri" w:hAnsi="Calibri"/>
                <w:sz w:val="20"/>
                <w:szCs w:val="22"/>
              </w:rPr>
            </w:pPr>
            <w:r w:rsidRPr="00A211A0">
              <w:rPr>
                <w:rFonts w:ascii="Calibri" w:eastAsia="Calibri" w:hAnsi="Calibri"/>
                <w:sz w:val="20"/>
                <w:szCs w:val="22"/>
              </w:rPr>
              <w:t>Inter-Exchange Carrier (per 1,000 presubscribed access lines)</w:t>
            </w:r>
          </w:p>
        </w:tc>
        <w:tc>
          <w:tcPr>
            <w:tcW w:w="3960" w:type="dxa"/>
            <w:shd w:val="clear" w:color="auto" w:fill="auto"/>
          </w:tcPr>
          <w:p w:rsidR="006F7AD6" w:rsidRPr="00A211A0" w:rsidP="00886011" w14:paraId="3286E2D3" w14:textId="77777777">
            <w:pPr>
              <w:rPr>
                <w:rFonts w:ascii="Calibri" w:eastAsia="Calibri" w:hAnsi="Calibri"/>
                <w:sz w:val="20"/>
                <w:szCs w:val="22"/>
              </w:rPr>
            </w:pPr>
            <w:r w:rsidRPr="00A211A0">
              <w:rPr>
                <w:rFonts w:ascii="Calibri" w:eastAsia="Calibri" w:hAnsi="Calibri"/>
                <w:sz w:val="20"/>
                <w:szCs w:val="22"/>
              </w:rPr>
              <w:t>60</w:t>
            </w:r>
          </w:p>
        </w:tc>
      </w:tr>
      <w:tr w14:paraId="1CBA298A" w14:textId="77777777" w:rsidTr="00886011">
        <w:tblPrEx>
          <w:tblW w:w="9985" w:type="dxa"/>
          <w:tblLook w:val="04A0"/>
        </w:tblPrEx>
        <w:tc>
          <w:tcPr>
            <w:tcW w:w="6025" w:type="dxa"/>
            <w:shd w:val="clear" w:color="auto" w:fill="auto"/>
          </w:tcPr>
          <w:p w:rsidR="006F7AD6" w:rsidRPr="00A211A0" w:rsidP="00886011" w14:paraId="6E804F7E" w14:textId="77777777">
            <w:pPr>
              <w:rPr>
                <w:rFonts w:ascii="Calibri" w:eastAsia="Calibri" w:hAnsi="Calibri"/>
                <w:sz w:val="20"/>
                <w:szCs w:val="22"/>
              </w:rPr>
            </w:pPr>
            <w:r w:rsidRPr="00A211A0">
              <w:rPr>
                <w:rFonts w:ascii="Calibri" w:eastAsia="Calibri" w:hAnsi="Calibri"/>
                <w:sz w:val="20"/>
                <w:szCs w:val="22"/>
              </w:rPr>
              <w:t>Local Exchange Carrier (per 1,000 access lines)</w:t>
            </w:r>
          </w:p>
        </w:tc>
        <w:tc>
          <w:tcPr>
            <w:tcW w:w="3960" w:type="dxa"/>
            <w:shd w:val="clear" w:color="auto" w:fill="auto"/>
          </w:tcPr>
          <w:p w:rsidR="006F7AD6" w:rsidRPr="00A211A0" w:rsidP="00886011" w14:paraId="4B768431" w14:textId="77777777">
            <w:pPr>
              <w:rPr>
                <w:rFonts w:ascii="Calibri" w:eastAsia="Calibri" w:hAnsi="Calibri"/>
                <w:sz w:val="20"/>
                <w:szCs w:val="22"/>
              </w:rPr>
            </w:pPr>
            <w:r w:rsidRPr="00A211A0">
              <w:rPr>
                <w:rFonts w:ascii="Calibri" w:eastAsia="Calibri" w:hAnsi="Calibri"/>
                <w:sz w:val="20"/>
                <w:szCs w:val="22"/>
              </w:rPr>
              <w:t>60</w:t>
            </w:r>
          </w:p>
        </w:tc>
      </w:tr>
      <w:tr w14:paraId="34E46259" w14:textId="77777777" w:rsidTr="00886011">
        <w:tblPrEx>
          <w:tblW w:w="9985" w:type="dxa"/>
          <w:tblLook w:val="04A0"/>
        </w:tblPrEx>
        <w:tc>
          <w:tcPr>
            <w:tcW w:w="6025" w:type="dxa"/>
            <w:shd w:val="clear" w:color="auto" w:fill="auto"/>
          </w:tcPr>
          <w:p w:rsidR="006F7AD6" w:rsidRPr="00A211A0" w:rsidP="00886011" w14:paraId="2CD84F87" w14:textId="77777777">
            <w:pPr>
              <w:rPr>
                <w:rFonts w:ascii="Calibri" w:eastAsia="Calibri" w:hAnsi="Calibri"/>
                <w:sz w:val="20"/>
                <w:szCs w:val="22"/>
              </w:rPr>
            </w:pPr>
            <w:r w:rsidRPr="00A211A0">
              <w:rPr>
                <w:rFonts w:ascii="Calibri" w:eastAsia="Calibri" w:hAnsi="Calibri"/>
                <w:sz w:val="20"/>
                <w:szCs w:val="22"/>
              </w:rPr>
              <w:t>Competitive access provider (per 1,000 subscribers)</w:t>
            </w:r>
          </w:p>
        </w:tc>
        <w:tc>
          <w:tcPr>
            <w:tcW w:w="3960" w:type="dxa"/>
            <w:shd w:val="clear" w:color="auto" w:fill="auto"/>
          </w:tcPr>
          <w:p w:rsidR="006F7AD6" w:rsidRPr="00A211A0" w:rsidP="00886011" w14:paraId="016FB0F5" w14:textId="77777777">
            <w:pPr>
              <w:rPr>
                <w:rFonts w:ascii="Calibri" w:eastAsia="Calibri" w:hAnsi="Calibri"/>
                <w:sz w:val="20"/>
                <w:szCs w:val="22"/>
              </w:rPr>
            </w:pPr>
            <w:r w:rsidRPr="00A211A0">
              <w:rPr>
                <w:rFonts w:ascii="Calibri" w:eastAsia="Calibri" w:hAnsi="Calibri"/>
                <w:sz w:val="20"/>
                <w:szCs w:val="22"/>
              </w:rPr>
              <w:t>60</w:t>
            </w:r>
          </w:p>
        </w:tc>
      </w:tr>
      <w:tr w14:paraId="78BA3967" w14:textId="77777777" w:rsidTr="00886011">
        <w:tblPrEx>
          <w:tblW w:w="9985" w:type="dxa"/>
          <w:tblLook w:val="04A0"/>
        </w:tblPrEx>
        <w:tc>
          <w:tcPr>
            <w:tcW w:w="6025" w:type="dxa"/>
            <w:shd w:val="clear" w:color="auto" w:fill="auto"/>
          </w:tcPr>
          <w:p w:rsidR="006F7AD6" w:rsidRPr="00A211A0" w:rsidP="00886011" w14:paraId="389DC4C7" w14:textId="77777777">
            <w:pPr>
              <w:rPr>
                <w:rFonts w:ascii="Calibri" w:eastAsia="Calibri" w:hAnsi="Calibri"/>
                <w:sz w:val="20"/>
                <w:szCs w:val="22"/>
              </w:rPr>
            </w:pPr>
            <w:r w:rsidRPr="00A211A0">
              <w:rPr>
                <w:rFonts w:ascii="Calibri" w:eastAsia="Calibri" w:hAnsi="Calibri"/>
                <w:sz w:val="20"/>
                <w:szCs w:val="22"/>
              </w:rPr>
              <w:t>International circuits (per 100 active 64KB circuit or equivalent)</w:t>
            </w:r>
          </w:p>
        </w:tc>
        <w:tc>
          <w:tcPr>
            <w:tcW w:w="3960" w:type="dxa"/>
            <w:shd w:val="clear" w:color="auto" w:fill="auto"/>
          </w:tcPr>
          <w:p w:rsidR="006F7AD6" w:rsidRPr="00A211A0" w:rsidP="00886011" w14:paraId="1792E079" w14:textId="77777777">
            <w:pPr>
              <w:rPr>
                <w:rFonts w:ascii="Calibri" w:eastAsia="Calibri" w:hAnsi="Calibri"/>
                <w:sz w:val="20"/>
                <w:szCs w:val="22"/>
              </w:rPr>
            </w:pPr>
            <w:r w:rsidRPr="00A211A0">
              <w:rPr>
                <w:rFonts w:ascii="Calibri" w:eastAsia="Calibri" w:hAnsi="Calibri"/>
                <w:sz w:val="20"/>
                <w:szCs w:val="22"/>
              </w:rPr>
              <w:t>220</w:t>
            </w:r>
          </w:p>
        </w:tc>
      </w:tr>
    </w:tbl>
    <w:p w:rsidR="006F7AD6" w:rsidP="006F7AD6" w14:paraId="1B390E25" w14:textId="77777777"/>
    <w:p w:rsidR="006F7AD6" w:rsidRPr="002716F1" w:rsidP="006F7AD6" w14:paraId="76E0604E" w14:textId="77777777">
      <w:r w:rsidRPr="002716F1">
        <w:rPr>
          <w:b/>
        </w:rPr>
        <w:t>(h) E</w:t>
      </w:r>
      <w:r>
        <w:rPr>
          <w:b/>
        </w:rPr>
        <w:t>XCEPTIONS</w:t>
      </w:r>
      <w:r w:rsidRPr="002716F1">
        <w:rPr>
          <w:b/>
        </w:rPr>
        <w:t>.</w:t>
      </w:r>
      <w:r w:rsidRPr="00FC257F">
        <w:rPr>
          <w:b/>
        </w:rPr>
        <w:t>—</w:t>
      </w:r>
      <w:r w:rsidRPr="002716F1">
        <w:t>The charges established under this section shall not be applicable to (1) governmental entities or nonprofit entities; or (2) to amateur radio operator licenses under part 97 of the Commission’s regulations (47 C.F.R. Part 97).</w:t>
      </w:r>
    </w:p>
    <w:p w:rsidR="006F7AD6" w:rsidP="006F7AD6" w14:paraId="18DB7963" w14:textId="77777777">
      <w:pPr>
        <w:rPr>
          <w:b/>
        </w:rPr>
      </w:pPr>
    </w:p>
    <w:p w:rsidR="006F7AD6" w:rsidRPr="00747ACB" w:rsidP="00747ACB" w14:paraId="60CB65CB" w14:textId="289ED666">
      <w:r w:rsidRPr="002716F1">
        <w:rPr>
          <w:b/>
        </w:rPr>
        <w:t>(i) ACCOUNTING SYSTEM.</w:t>
      </w:r>
      <w:r w:rsidRPr="00FC257F">
        <w:rPr>
          <w:b/>
        </w:rPr>
        <w:t>—</w:t>
      </w:r>
      <w:r w:rsidRPr="002716F1">
        <w:t>The Commission shall develop accounting systems necessary to making the adjustments authorized by subsection (b)(3). In the Commission's annual report, the Commission shall prepare an analysis of its progress in developing such systems and shall afford interested persons the opportunity to submit comments concerning the allocation of the costs of performing the functions described in subsection (a) among the services in the Schedule.</w:t>
      </w:r>
    </w:p>
    <w:p w:rsidR="006F7AD6" w:rsidP="006F7AD6" w14:paraId="760D1587" w14:textId="77777777">
      <w:pPr>
        <w:pStyle w:val="ParaNum"/>
        <w:numPr>
          <w:ilvl w:val="0"/>
          <w:numId w:val="0"/>
        </w:numPr>
        <w:ind w:left="720"/>
        <w:jc w:val="center"/>
        <w:rPr>
          <w:b/>
          <w:szCs w:val="22"/>
        </w:rPr>
      </w:pPr>
    </w:p>
    <w:p w:rsidR="006F7AD6" w:rsidP="006F7AD6" w14:paraId="6EFFD4C0" w14:textId="77777777">
      <w:pPr>
        <w:pStyle w:val="ParaNum"/>
        <w:numPr>
          <w:ilvl w:val="0"/>
          <w:numId w:val="0"/>
        </w:numPr>
        <w:ind w:left="720"/>
        <w:jc w:val="center"/>
        <w:rPr>
          <w:b/>
          <w:szCs w:val="22"/>
        </w:rPr>
        <w:sectPr w:rsidSect="00886011">
          <w:endnotePr>
            <w:numFmt w:val="decimal"/>
          </w:endnotePr>
          <w:pgSz w:w="12240" w:h="15840"/>
          <w:pgMar w:top="1440" w:right="1440" w:bottom="720" w:left="1440" w:header="720" w:footer="720" w:gutter="0"/>
          <w:cols w:space="720"/>
          <w:noEndnote/>
          <w:titlePg/>
        </w:sectPr>
      </w:pPr>
    </w:p>
    <w:p w:rsidR="006F7AD6" w:rsidRPr="003C560E" w:rsidP="006F7AD6" w14:paraId="6791BB90" w14:textId="77777777">
      <w:pPr>
        <w:tabs>
          <w:tab w:val="left" w:pos="-1440"/>
          <w:tab w:val="left" w:pos="-720"/>
          <w:tab w:val="left" w:pos="720"/>
          <w:tab w:val="left" w:pos="1440"/>
          <w:tab w:val="left" w:pos="2160"/>
          <w:tab w:val="left" w:pos="2880"/>
          <w:tab w:val="left" w:pos="3600"/>
          <w:tab w:val="left" w:pos="4680"/>
          <w:tab w:val="left" w:pos="5040"/>
        </w:tabs>
        <w:suppressAutoHyphens/>
        <w:ind w:left="720" w:hanging="720"/>
        <w:jc w:val="center"/>
        <w:rPr>
          <w:b/>
          <w:color w:val="000000"/>
          <w:szCs w:val="22"/>
          <w:shd w:val="clear" w:color="auto" w:fill="FFFFFF"/>
        </w:rPr>
      </w:pPr>
      <w:r w:rsidRPr="003C560E">
        <w:rPr>
          <w:b/>
          <w:color w:val="000000"/>
          <w:szCs w:val="22"/>
          <w:shd w:val="clear" w:color="auto" w:fill="FFFFFF"/>
        </w:rPr>
        <w:t xml:space="preserve">APPENDIX </w:t>
      </w:r>
      <w:r>
        <w:rPr>
          <w:b/>
          <w:color w:val="000000"/>
          <w:szCs w:val="22"/>
          <w:shd w:val="clear" w:color="auto" w:fill="FFFFFF"/>
        </w:rPr>
        <w:t>I</w:t>
      </w:r>
    </w:p>
    <w:p w:rsidR="006F7AD6" w:rsidRPr="003C560E" w:rsidP="006F7AD6" w14:paraId="5CD58037" w14:textId="77777777">
      <w:pPr>
        <w:tabs>
          <w:tab w:val="left" w:pos="-1440"/>
          <w:tab w:val="left" w:pos="-720"/>
          <w:tab w:val="left" w:pos="720"/>
          <w:tab w:val="left" w:pos="1440"/>
          <w:tab w:val="left" w:pos="2160"/>
          <w:tab w:val="left" w:pos="2880"/>
          <w:tab w:val="left" w:pos="3600"/>
          <w:tab w:val="left" w:pos="4680"/>
          <w:tab w:val="left" w:pos="5040"/>
        </w:tabs>
        <w:suppressAutoHyphens/>
        <w:ind w:left="720"/>
        <w:jc w:val="center"/>
        <w:rPr>
          <w:b/>
          <w:color w:val="000000"/>
          <w:szCs w:val="22"/>
          <w:shd w:val="clear" w:color="auto" w:fill="FFFFFF"/>
        </w:rPr>
      </w:pPr>
    </w:p>
    <w:p w:rsidR="006F7AD6" w:rsidRPr="003C560E" w:rsidP="006F7AD6" w14:paraId="05A4B652" w14:textId="77777777">
      <w:pPr>
        <w:tabs>
          <w:tab w:val="left" w:pos="-1440"/>
          <w:tab w:val="left" w:pos="-720"/>
          <w:tab w:val="left" w:pos="720"/>
          <w:tab w:val="left" w:pos="1440"/>
          <w:tab w:val="left" w:pos="2160"/>
          <w:tab w:val="left" w:pos="2880"/>
          <w:tab w:val="left" w:pos="3600"/>
          <w:tab w:val="left" w:pos="4680"/>
          <w:tab w:val="left" w:pos="5040"/>
        </w:tabs>
        <w:suppressAutoHyphens/>
        <w:ind w:left="720" w:hanging="720"/>
        <w:jc w:val="center"/>
        <w:rPr>
          <w:b/>
          <w:szCs w:val="22"/>
        </w:rPr>
      </w:pPr>
      <w:r w:rsidRPr="003C560E">
        <w:rPr>
          <w:b/>
          <w:szCs w:val="22"/>
        </w:rPr>
        <w:t>Initial Regulatory Flexibility Analysis</w:t>
      </w:r>
    </w:p>
    <w:p w:rsidR="006F7AD6" w:rsidRPr="003C560E" w:rsidP="006F7AD6" w14:paraId="1AF31054" w14:textId="77777777">
      <w:pPr>
        <w:tabs>
          <w:tab w:val="left" w:pos="-1440"/>
          <w:tab w:val="left" w:pos="-720"/>
          <w:tab w:val="left" w:pos="720"/>
          <w:tab w:val="left" w:pos="1440"/>
          <w:tab w:val="left" w:pos="2160"/>
          <w:tab w:val="left" w:pos="2880"/>
          <w:tab w:val="left" w:pos="3600"/>
          <w:tab w:val="left" w:pos="4680"/>
          <w:tab w:val="left" w:pos="5040"/>
        </w:tabs>
        <w:suppressAutoHyphens/>
        <w:ind w:left="720"/>
        <w:jc w:val="center"/>
        <w:rPr>
          <w:b/>
          <w:szCs w:val="22"/>
        </w:rPr>
      </w:pPr>
    </w:p>
    <w:p w:rsidR="006F7AD6" w:rsidRPr="004C6CF9" w:rsidP="006F7AD6" w14:paraId="79C62441" w14:textId="77777777">
      <w:pPr>
        <w:pStyle w:val="ParaNum"/>
        <w:numPr>
          <w:ilvl w:val="0"/>
          <w:numId w:val="33"/>
        </w:numPr>
        <w:tabs>
          <w:tab w:val="left" w:pos="1440"/>
          <w:tab w:val="left" w:pos="1530"/>
        </w:tabs>
        <w:rPr>
          <w:szCs w:val="22"/>
        </w:rPr>
      </w:pPr>
      <w:r>
        <w:rPr>
          <w:szCs w:val="22"/>
        </w:rPr>
        <w:t xml:space="preserve">     </w:t>
      </w:r>
      <w:r w:rsidRPr="004C6CF9">
        <w:rPr>
          <w:szCs w:val="22"/>
        </w:rPr>
        <w:t>As required by the Regulatory Flexibility Act of 1980, as amended (RFA),</w:t>
      </w:r>
      <w:r>
        <w:rPr>
          <w:rStyle w:val="FootnoteReference"/>
          <w:spacing w:val="-2"/>
          <w:sz w:val="22"/>
          <w:szCs w:val="22"/>
        </w:rPr>
        <w:footnoteReference w:id="139"/>
      </w:r>
      <w:r w:rsidRPr="004C6CF9">
        <w:rPr>
          <w:szCs w:val="22"/>
        </w:rPr>
        <w:t xml:space="preserve"> the Commission prepared this Initial Regulatory Flexibility Analysis (IRFA) of the possible significant economic impact on small entities by the policies and rules proposed in the Notice of Proposed Rulemaking (</w:t>
      </w:r>
      <w:r w:rsidRPr="004C6CF9">
        <w:rPr>
          <w:i/>
          <w:szCs w:val="22"/>
        </w:rPr>
        <w:t>Notice</w:t>
      </w:r>
      <w:r w:rsidRPr="004C6CF9">
        <w:rPr>
          <w:szCs w:val="22"/>
        </w:rPr>
        <w:t xml:space="preserve">).  Written comments are requested on this IRFA.  Comments must be identified as responses to the IRFA and must be filed by the deadline for comments on this </w:t>
      </w:r>
      <w:r w:rsidRPr="004C6CF9">
        <w:rPr>
          <w:i/>
          <w:szCs w:val="22"/>
        </w:rPr>
        <w:t>Notice</w:t>
      </w:r>
      <w:r w:rsidRPr="004C6CF9">
        <w:rPr>
          <w:szCs w:val="22"/>
        </w:rPr>
        <w:t xml:space="preserve">.  The Commission will send a copy of the </w:t>
      </w:r>
      <w:r w:rsidRPr="004C6CF9">
        <w:rPr>
          <w:i/>
          <w:szCs w:val="22"/>
        </w:rPr>
        <w:t>Notice</w:t>
      </w:r>
      <w:r w:rsidRPr="004C6CF9">
        <w:rPr>
          <w:szCs w:val="22"/>
        </w:rPr>
        <w:t>, including the IRFA, to the Chief Counsel for Advocacy of the Small Business Administration (SBA).</w:t>
      </w:r>
      <w:r>
        <w:rPr>
          <w:rStyle w:val="FootnoteReference"/>
          <w:spacing w:val="-2"/>
          <w:sz w:val="22"/>
          <w:szCs w:val="22"/>
        </w:rPr>
        <w:footnoteReference w:id="140"/>
      </w:r>
      <w:r w:rsidRPr="004C6CF9">
        <w:rPr>
          <w:szCs w:val="22"/>
        </w:rPr>
        <w:t xml:space="preserve">  In addition, the </w:t>
      </w:r>
      <w:r w:rsidRPr="004C6CF9">
        <w:rPr>
          <w:i/>
          <w:szCs w:val="22"/>
        </w:rPr>
        <w:t>Notice</w:t>
      </w:r>
      <w:r w:rsidRPr="004C6CF9">
        <w:rPr>
          <w:szCs w:val="22"/>
        </w:rPr>
        <w:t xml:space="preserve"> and IRFA (or summaries thereof) will be published in the Federal Register.</w:t>
      </w:r>
      <w:r>
        <w:rPr>
          <w:rStyle w:val="FootnoteReference"/>
          <w:spacing w:val="-2"/>
          <w:sz w:val="22"/>
          <w:szCs w:val="22"/>
        </w:rPr>
        <w:footnoteReference w:id="141"/>
      </w:r>
      <w:r w:rsidRPr="004C6CF9">
        <w:rPr>
          <w:szCs w:val="22"/>
        </w:rPr>
        <w:t xml:space="preserve"> </w:t>
      </w:r>
    </w:p>
    <w:p w:rsidR="006F7AD6" w:rsidRPr="003C560E" w:rsidP="006F7AD6" w14:paraId="4169C53A" w14:textId="77777777">
      <w:pPr>
        <w:pStyle w:val="Heading2"/>
        <w:numPr>
          <w:ilvl w:val="1"/>
          <w:numId w:val="12"/>
        </w:numPr>
        <w:rPr>
          <w:szCs w:val="22"/>
        </w:rPr>
      </w:pPr>
      <w:bookmarkStart w:id="42" w:name="_Toc6326156"/>
      <w:r w:rsidRPr="003C560E">
        <w:rPr>
          <w:szCs w:val="22"/>
        </w:rPr>
        <w:t>Need for, and Objectives of, the Notice</w:t>
      </w:r>
      <w:bookmarkEnd w:id="42"/>
      <w:r w:rsidRPr="003C560E">
        <w:rPr>
          <w:szCs w:val="22"/>
        </w:rPr>
        <w:t xml:space="preserve">  </w:t>
      </w:r>
    </w:p>
    <w:p w:rsidR="006F7AD6" w:rsidRPr="003C560E" w:rsidP="006F7AD6" w14:paraId="11C02667" w14:textId="77777777">
      <w:pPr>
        <w:pStyle w:val="ParaNum"/>
        <w:rPr>
          <w:szCs w:val="22"/>
        </w:rPr>
      </w:pPr>
      <w:r w:rsidRPr="003C560E">
        <w:rPr>
          <w:szCs w:val="22"/>
        </w:rPr>
        <w:t xml:space="preserve">The </w:t>
      </w:r>
      <w:r w:rsidRPr="003C560E">
        <w:rPr>
          <w:i/>
          <w:szCs w:val="22"/>
        </w:rPr>
        <w:t xml:space="preserve">Notice </w:t>
      </w:r>
      <w:r w:rsidRPr="003C560E">
        <w:rPr>
          <w:szCs w:val="22"/>
        </w:rPr>
        <w:t xml:space="preserve">seeks comment regarding adopting proposed regulatory fees for Fiscal Year 2019.  The proposed regulatory fees are attached to the </w:t>
      </w:r>
      <w:r w:rsidRPr="003C560E">
        <w:rPr>
          <w:i/>
          <w:szCs w:val="22"/>
        </w:rPr>
        <w:t>Notice</w:t>
      </w:r>
      <w:r w:rsidRPr="003C560E">
        <w:rPr>
          <w:szCs w:val="22"/>
        </w:rPr>
        <w:t xml:space="preserve"> in Appendi</w:t>
      </w:r>
      <w:r>
        <w:rPr>
          <w:szCs w:val="22"/>
        </w:rPr>
        <w:t>ces</w:t>
      </w:r>
      <w:r w:rsidRPr="003C560E">
        <w:rPr>
          <w:szCs w:val="22"/>
        </w:rPr>
        <w:t xml:space="preserve"> B</w:t>
      </w:r>
      <w:r>
        <w:rPr>
          <w:szCs w:val="22"/>
        </w:rPr>
        <w:t xml:space="preserve"> and C</w:t>
      </w:r>
      <w:r w:rsidRPr="003C560E">
        <w:rPr>
          <w:szCs w:val="22"/>
        </w:rPr>
        <w:t xml:space="preserve">.  This regulatory fee </w:t>
      </w:r>
      <w:r w:rsidRPr="003C560E">
        <w:rPr>
          <w:i/>
          <w:szCs w:val="22"/>
        </w:rPr>
        <w:t>Notice</w:t>
      </w:r>
      <w:r w:rsidRPr="003C560E">
        <w:rPr>
          <w:szCs w:val="22"/>
        </w:rPr>
        <w:t xml:space="preserve"> is needed each year because the Commission is required by Congress to adopt regulatory fees each year “to recover the costs of </w:t>
      </w:r>
      <w:r>
        <w:rPr>
          <w:szCs w:val="22"/>
        </w:rPr>
        <w:t>carrying out the a</w:t>
      </w:r>
      <w:r w:rsidRPr="003C560E">
        <w:rPr>
          <w:szCs w:val="22"/>
        </w:rPr>
        <w:t>ctivities</w:t>
      </w:r>
      <w:r>
        <w:rPr>
          <w:szCs w:val="22"/>
        </w:rPr>
        <w:t xml:space="preserve"> described in section 6(a) only to the extent, and in the total amounts, provided for in Appropriation Acts</w:t>
      </w:r>
      <w:r w:rsidRPr="003C560E">
        <w:rPr>
          <w:szCs w:val="22"/>
        </w:rPr>
        <w:t>.”</w:t>
      </w:r>
      <w:r>
        <w:rPr>
          <w:rStyle w:val="FootnoteReference"/>
          <w:sz w:val="22"/>
          <w:szCs w:val="22"/>
        </w:rPr>
        <w:footnoteReference w:id="142"/>
      </w:r>
      <w:r w:rsidRPr="003C560E">
        <w:rPr>
          <w:szCs w:val="22"/>
        </w:rPr>
        <w:t xml:space="preserve">  The objective of the </w:t>
      </w:r>
      <w:r w:rsidRPr="003C560E">
        <w:rPr>
          <w:i/>
          <w:szCs w:val="22"/>
        </w:rPr>
        <w:t>Notice</w:t>
      </w:r>
      <w:r w:rsidRPr="003C560E">
        <w:rPr>
          <w:szCs w:val="22"/>
        </w:rPr>
        <w:t xml:space="preserve"> is to propose regulatory fees for fiscal year 201</w:t>
      </w:r>
      <w:r>
        <w:rPr>
          <w:szCs w:val="22"/>
        </w:rPr>
        <w:t>9</w:t>
      </w:r>
      <w:r w:rsidRPr="003C560E">
        <w:rPr>
          <w:szCs w:val="22"/>
        </w:rPr>
        <w:t xml:space="preserve"> and adopt regulatory fee reform to improve the regulatory fee process.  The </w:t>
      </w:r>
      <w:r w:rsidRPr="003C560E">
        <w:rPr>
          <w:i/>
          <w:szCs w:val="22"/>
        </w:rPr>
        <w:t>Notice</w:t>
      </w:r>
      <w:r w:rsidRPr="003C560E">
        <w:rPr>
          <w:szCs w:val="22"/>
        </w:rPr>
        <w:t xml:space="preserve"> seeks comment on the Commission’s proposed regulatory fees for fiscal year (FY) 2019.  The </w:t>
      </w:r>
      <w:r w:rsidRPr="003C560E">
        <w:rPr>
          <w:i/>
          <w:szCs w:val="22"/>
        </w:rPr>
        <w:t>Notice</w:t>
      </w:r>
      <w:r w:rsidRPr="003C560E">
        <w:rPr>
          <w:szCs w:val="22"/>
        </w:rPr>
        <w:t xml:space="preserve"> proposes to collect $</w:t>
      </w:r>
      <w:r>
        <w:rPr>
          <w:szCs w:val="22"/>
        </w:rPr>
        <w:t xml:space="preserve">339,000,000 </w:t>
      </w:r>
      <w:r w:rsidRPr="003C560E">
        <w:rPr>
          <w:szCs w:val="22"/>
        </w:rPr>
        <w:t>in regulatory fees for FY 2019, as detailed in the proposed fee schedules in Appendix B, including a</w:t>
      </w:r>
      <w:r>
        <w:rPr>
          <w:szCs w:val="22"/>
        </w:rPr>
        <w:t xml:space="preserve"> proposed</w:t>
      </w:r>
      <w:r w:rsidRPr="003C560E">
        <w:rPr>
          <w:szCs w:val="22"/>
        </w:rPr>
        <w:t xml:space="preserve"> increase in the DBS fee rate to </w:t>
      </w:r>
      <w:r>
        <w:rPr>
          <w:szCs w:val="22"/>
        </w:rPr>
        <w:t xml:space="preserve">60 </w:t>
      </w:r>
      <w:r w:rsidRPr="003C560E">
        <w:rPr>
          <w:szCs w:val="22"/>
        </w:rPr>
        <w:t>cents per subscriber</w:t>
      </w:r>
      <w:r>
        <w:rPr>
          <w:szCs w:val="22"/>
        </w:rPr>
        <w:t xml:space="preserve"> and proposed fees for full-power broadcast televisions using an average of the actual population covered by the station’s contour and the Nielsen Designated Market Area (DMA)-based fee, as set forth in Appendix C</w:t>
      </w:r>
      <w:r w:rsidRPr="003C560E">
        <w:rPr>
          <w:szCs w:val="22"/>
        </w:rPr>
        <w:t xml:space="preserve">.  </w:t>
      </w:r>
      <w:r>
        <w:rPr>
          <w:szCs w:val="22"/>
        </w:rPr>
        <w:t xml:space="preserve">Historically, the regulatory fee for full-power broadcast television stations was based on the DMA groupings 1-10, 11-25, 26-50, 51-100, and the remaining markets (101-210), as well as satellite stations that traditionally pay a much lower fee.  Additionally, the </w:t>
      </w:r>
      <w:r>
        <w:rPr>
          <w:i/>
          <w:szCs w:val="22"/>
        </w:rPr>
        <w:t xml:space="preserve">Notice </w:t>
      </w:r>
      <w:r>
        <w:rPr>
          <w:szCs w:val="22"/>
        </w:rPr>
        <w:t xml:space="preserve">seeks comment on </w:t>
      </w:r>
      <w:r>
        <w:t>replacing our existing annual de minimis threshold of $1000 with a new section 9(e)(2) annual regulatory fee exemption of $1,000.</w:t>
      </w:r>
      <w:r>
        <w:rPr>
          <w:szCs w:val="22"/>
        </w:rPr>
        <w:t xml:space="preserve"> </w:t>
      </w:r>
    </w:p>
    <w:p w:rsidR="006F7AD6" w:rsidRPr="003C560E" w:rsidP="006F7AD6" w14:paraId="138DF937" w14:textId="77777777">
      <w:pPr>
        <w:pStyle w:val="Heading2"/>
        <w:numPr>
          <w:ilvl w:val="1"/>
          <w:numId w:val="12"/>
        </w:numPr>
        <w:rPr>
          <w:szCs w:val="22"/>
        </w:rPr>
      </w:pPr>
      <w:bookmarkStart w:id="43" w:name="_Toc6326157"/>
      <w:r w:rsidRPr="003C560E">
        <w:rPr>
          <w:szCs w:val="22"/>
        </w:rPr>
        <w:t>Legal Basis</w:t>
      </w:r>
      <w:bookmarkEnd w:id="43"/>
    </w:p>
    <w:p w:rsidR="006F7AD6" w:rsidRPr="003C560E" w:rsidP="006F7AD6" w14:paraId="489E6482" w14:textId="77777777">
      <w:pPr>
        <w:pStyle w:val="ParaNum"/>
        <w:rPr>
          <w:szCs w:val="22"/>
        </w:rPr>
      </w:pPr>
      <w:r w:rsidRPr="003C560E">
        <w:rPr>
          <w:szCs w:val="22"/>
        </w:rPr>
        <w:t xml:space="preserve">This action, including publication of proposed rules, is authorized under sections (4)(i) and (j), 9, </w:t>
      </w:r>
      <w:r>
        <w:rPr>
          <w:szCs w:val="22"/>
        </w:rPr>
        <w:t xml:space="preserve">9A, </w:t>
      </w:r>
      <w:r w:rsidRPr="003C560E">
        <w:rPr>
          <w:szCs w:val="22"/>
        </w:rPr>
        <w:t>and 303(r) of the Communications Act of 1934, as amended.</w:t>
      </w:r>
      <w:r>
        <w:rPr>
          <w:rStyle w:val="FootnoteReference"/>
          <w:spacing w:val="-2"/>
          <w:sz w:val="22"/>
          <w:szCs w:val="22"/>
        </w:rPr>
        <w:footnoteReference w:id="143"/>
      </w:r>
      <w:r w:rsidRPr="003C560E">
        <w:rPr>
          <w:szCs w:val="22"/>
        </w:rPr>
        <w:t xml:space="preserve"> </w:t>
      </w:r>
    </w:p>
    <w:p w:rsidR="006F7AD6" w:rsidRPr="003C560E" w:rsidP="006F7AD6" w14:paraId="7F82AB89" w14:textId="77777777">
      <w:pPr>
        <w:pStyle w:val="Heading2"/>
        <w:numPr>
          <w:ilvl w:val="1"/>
          <w:numId w:val="12"/>
        </w:numPr>
        <w:rPr>
          <w:szCs w:val="22"/>
        </w:rPr>
      </w:pPr>
      <w:bookmarkStart w:id="44" w:name="_Toc6326158"/>
      <w:r w:rsidRPr="003C560E">
        <w:rPr>
          <w:szCs w:val="22"/>
        </w:rPr>
        <w:t>Description and Estimate of the Number of Small Entities to Which the Rules Will Apply</w:t>
      </w:r>
      <w:bookmarkEnd w:id="44"/>
    </w:p>
    <w:p w:rsidR="006F7AD6" w:rsidRPr="003C560E" w:rsidP="006F7AD6" w14:paraId="52FB9E94" w14:textId="77777777">
      <w:pPr>
        <w:pStyle w:val="ParaNum"/>
        <w:rPr>
          <w:szCs w:val="22"/>
        </w:rPr>
      </w:pPr>
      <w:r w:rsidRPr="003C560E">
        <w:rPr>
          <w:szCs w:val="22"/>
        </w:rPr>
        <w:t>The RFA directs agencies to provide a description of, and where feasible, an estimate of the number of small entities that may be affected by the proposed rules and policies, if adopted.</w:t>
      </w:r>
      <w:r>
        <w:rPr>
          <w:rStyle w:val="FootnoteReference"/>
          <w:spacing w:val="-2"/>
          <w:sz w:val="22"/>
          <w:szCs w:val="22"/>
        </w:rPr>
        <w:footnoteReference w:id="144"/>
      </w:r>
      <w:r w:rsidRPr="003C560E">
        <w:rPr>
          <w:szCs w:val="22"/>
        </w:rPr>
        <w:t xml:space="preserve">  The RFA generally defines the term “small entity” as having the same meaning as the terms “small business,” </w:t>
      </w:r>
      <w:r w:rsidRPr="003C560E">
        <w:rPr>
          <w:szCs w:val="22"/>
        </w:rPr>
        <w:t>“small organization,” and “small governmental jurisdiction.”</w:t>
      </w:r>
      <w:r>
        <w:rPr>
          <w:rStyle w:val="FootnoteReference"/>
          <w:spacing w:val="-2"/>
          <w:sz w:val="22"/>
          <w:szCs w:val="22"/>
        </w:rPr>
        <w:footnoteReference w:id="145"/>
      </w:r>
      <w:r w:rsidRPr="003C560E">
        <w:rPr>
          <w:szCs w:val="22"/>
        </w:rPr>
        <w:t xml:space="preserve">  In addition, the term “small business” has the same meaning as the term “small business concern” under the Small Business Act.</w:t>
      </w:r>
      <w:r>
        <w:rPr>
          <w:rStyle w:val="FootnoteReference"/>
          <w:spacing w:val="-2"/>
          <w:sz w:val="22"/>
          <w:szCs w:val="22"/>
        </w:rPr>
        <w:footnoteReference w:id="146"/>
      </w:r>
      <w:r w:rsidRPr="003C560E">
        <w:rPr>
          <w:szCs w:val="22"/>
        </w:rPr>
        <w:t xml:space="preserve">  A “small business concern” is one which: (1) is independently owned and operated; (2) is not dominant in its field of operation; and (3) satisfies any additional criteria established by the SBA.</w:t>
      </w:r>
      <w:r>
        <w:rPr>
          <w:rStyle w:val="FootnoteReference"/>
          <w:spacing w:val="-2"/>
          <w:sz w:val="22"/>
          <w:szCs w:val="22"/>
        </w:rPr>
        <w:footnoteReference w:id="147"/>
      </w:r>
      <w:r w:rsidRPr="003C560E">
        <w:rPr>
          <w:szCs w:val="22"/>
        </w:rPr>
        <w:t xml:space="preserve"> </w:t>
      </w:r>
    </w:p>
    <w:p w:rsidR="006F7AD6" w:rsidRPr="003C560E" w:rsidP="006F7AD6" w14:paraId="19FF7EB1" w14:textId="77777777">
      <w:pPr>
        <w:pStyle w:val="ParaNum"/>
        <w:rPr>
          <w:szCs w:val="22"/>
        </w:rPr>
      </w:pPr>
      <w:r w:rsidRPr="003C560E">
        <w:rPr>
          <w:b/>
          <w:szCs w:val="22"/>
        </w:rPr>
        <w:t>Small Entities</w:t>
      </w:r>
      <w:r w:rsidRPr="003C560E">
        <w:rPr>
          <w:szCs w:val="22"/>
        </w:rPr>
        <w:t>.  Our actions, over time, may affect small entities that are not easily categorized at present.  We therefore describe here, at the outset, three comprehensive small entity size standards that could be directly affected by the proposals under consideration.</w:t>
      </w:r>
      <w:r>
        <w:rPr>
          <w:rStyle w:val="FootnoteReference"/>
          <w:sz w:val="22"/>
          <w:szCs w:val="22"/>
        </w:rPr>
        <w:footnoteReference w:id="148"/>
      </w:r>
      <w:r w:rsidRPr="003C560E">
        <w:rPr>
          <w:szCs w:val="22"/>
        </w:rPr>
        <w:t xml:space="preserve">  As of 2009, small businesses represented 99.9 percent of the 27.5 million businesses in the United States, according to the SBA.</w:t>
      </w:r>
      <w:r>
        <w:rPr>
          <w:rStyle w:val="FootnoteReference"/>
          <w:sz w:val="22"/>
          <w:szCs w:val="22"/>
        </w:rPr>
        <w:footnoteReference w:id="149"/>
      </w:r>
      <w:r w:rsidRPr="003C560E">
        <w:rPr>
          <w:szCs w:val="22"/>
        </w:rPr>
        <w:t xml:space="preserve">  In addition, a “small organization is generally any not-for-profit enterprise which is independently owned and operated and not dominant in its field.</w:t>
      </w:r>
      <w:r>
        <w:rPr>
          <w:rStyle w:val="FootnoteReference"/>
          <w:sz w:val="22"/>
          <w:szCs w:val="22"/>
        </w:rPr>
        <w:footnoteReference w:id="150"/>
      </w:r>
      <w:r w:rsidRPr="003C560E">
        <w:rPr>
          <w:szCs w:val="22"/>
        </w:rPr>
        <w:t xml:space="preserve">  In addition, the term “small governmental jurisdiction” is defined generally as “governments of cities, towns, townships, villages, school districts, or special districts, with a population of less than fifty thousand.”</w:t>
      </w:r>
      <w:r>
        <w:rPr>
          <w:rStyle w:val="FootnoteReference"/>
          <w:sz w:val="22"/>
          <w:szCs w:val="22"/>
        </w:rPr>
        <w:footnoteReference w:id="151"/>
      </w:r>
      <w:r w:rsidRPr="003C560E">
        <w:rPr>
          <w:szCs w:val="22"/>
        </w:rPr>
        <w:t xml:space="preserve">  U.S. Census Bureau data for 2011 indicate that there were 90,056 local governmental jurisdictions in the United States.</w:t>
      </w:r>
      <w:r>
        <w:rPr>
          <w:rStyle w:val="FootnoteReference"/>
          <w:sz w:val="22"/>
          <w:szCs w:val="22"/>
        </w:rPr>
        <w:footnoteReference w:id="152"/>
      </w:r>
      <w:r w:rsidRPr="003C560E">
        <w:rPr>
          <w:szCs w:val="22"/>
        </w:rPr>
        <w:t xml:space="preserve">  We estimate that, of this total, as many as 89,327 entities may qualify as “small governmental jurisdictions.”</w:t>
      </w:r>
      <w:r>
        <w:rPr>
          <w:rStyle w:val="FootnoteReference"/>
          <w:sz w:val="22"/>
          <w:szCs w:val="22"/>
        </w:rPr>
        <w:footnoteReference w:id="153"/>
      </w:r>
      <w:r w:rsidRPr="003C560E">
        <w:rPr>
          <w:szCs w:val="22"/>
        </w:rPr>
        <w:t xml:space="preserve">  Thus, we estimate that most local government jurisdictions are small.  </w:t>
      </w:r>
    </w:p>
    <w:p w:rsidR="006F7AD6" w:rsidRPr="003C560E" w:rsidP="006F7AD6" w14:paraId="79AC077E" w14:textId="77777777">
      <w:pPr>
        <w:pStyle w:val="ParaNum"/>
        <w:rPr>
          <w:szCs w:val="22"/>
        </w:rPr>
      </w:pPr>
      <w:r w:rsidRPr="003C560E">
        <w:rPr>
          <w:b/>
          <w:szCs w:val="22"/>
        </w:rPr>
        <w:t>Wired Telecommunications Carriers</w:t>
      </w:r>
      <w:r w:rsidRPr="003C560E">
        <w:rPr>
          <w:szCs w:val="22"/>
        </w:rPr>
        <w:t>.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w:t>
      </w:r>
      <w:r>
        <w:rPr>
          <w:szCs w:val="22"/>
        </w:rPr>
        <w:t xml:space="preserve"> and IPTV</w:t>
      </w:r>
      <w:r w:rsidRPr="003C560E">
        <w:rPr>
          <w:szCs w:val="22"/>
        </w:rPr>
        <w:t>) audio and video programming distribution, and wired broadband internet services.  By exception, establishments providing satellite television distribution services using facilities and infrastructure that they operate are included in this industry.”</w:t>
      </w:r>
      <w:r>
        <w:rPr>
          <w:rStyle w:val="FootnoteReference"/>
          <w:sz w:val="22"/>
          <w:szCs w:val="22"/>
        </w:rPr>
        <w:footnoteReference w:id="154"/>
      </w:r>
      <w:r w:rsidRPr="003C560E">
        <w:rPr>
          <w:szCs w:val="22"/>
        </w:rPr>
        <w:t xml:space="preserve">  The SBA has developed a </w:t>
      </w:r>
      <w:r w:rsidRPr="003C560E">
        <w:rPr>
          <w:szCs w:val="22"/>
        </w:rPr>
        <w:t>small business size standard for Wired Telecommunications Carriers, which consists of all such companies having 1,500 or fewer employees.</w:t>
      </w:r>
      <w:r>
        <w:rPr>
          <w:rStyle w:val="FootnoteReference"/>
          <w:sz w:val="22"/>
          <w:szCs w:val="22"/>
        </w:rPr>
        <w:footnoteReference w:id="155"/>
      </w:r>
      <w:r w:rsidRPr="003C560E">
        <w:rPr>
          <w:szCs w:val="22"/>
        </w:rPr>
        <w:t xml:space="preserve">  Census data for 2012 shows that there were 3,117 firms that operated that year.  Of this total, 3,083 operated with fewer than 1,000 employees.</w:t>
      </w:r>
      <w:r>
        <w:rPr>
          <w:rStyle w:val="FootnoteReference"/>
          <w:sz w:val="22"/>
          <w:szCs w:val="22"/>
        </w:rPr>
        <w:footnoteReference w:id="156"/>
      </w:r>
      <w:r w:rsidRPr="003C560E">
        <w:rPr>
          <w:szCs w:val="22"/>
        </w:rPr>
        <w:t xml:space="preserve">  Thus, under this size standard, the majority of firms in this industry can be considered small.</w:t>
      </w:r>
    </w:p>
    <w:p w:rsidR="006F7AD6" w:rsidRPr="003C560E" w:rsidP="006F7AD6" w14:paraId="57A859A5" w14:textId="77777777">
      <w:pPr>
        <w:pStyle w:val="ParaNum"/>
        <w:rPr>
          <w:szCs w:val="22"/>
        </w:rPr>
      </w:pPr>
      <w:r w:rsidRPr="003C560E">
        <w:rPr>
          <w:b/>
          <w:szCs w:val="22"/>
        </w:rPr>
        <w:t>Local Exchange Carriers (LECs)</w:t>
      </w:r>
      <w:r w:rsidRPr="003C560E">
        <w:rPr>
          <w:szCs w:val="22"/>
        </w:rPr>
        <w:t>.  Neither the Commission nor the SBA has developed a size standard for small businesses specifically applicable to local exchange services.  The closest applicable NAICS code category is for Wired Telecommunications Carriers.  Under that size standard, such a business is small if it has 1,500 or fewer employees.</w:t>
      </w:r>
      <w:r>
        <w:rPr>
          <w:rStyle w:val="FootnoteReference"/>
          <w:spacing w:val="-2"/>
          <w:sz w:val="22"/>
          <w:szCs w:val="22"/>
        </w:rPr>
        <w:footnoteReference w:id="157"/>
      </w:r>
      <w:r w:rsidRPr="003C560E">
        <w:rPr>
          <w:szCs w:val="22"/>
        </w:rPr>
        <w:t xml:space="preserve">  According to census data from 2012, there were 3,117 establishments that operated that year.  Of this total, 3,083 operated with fewer than 1,000 employees.</w:t>
      </w:r>
      <w:r>
        <w:rPr>
          <w:rStyle w:val="FootnoteReference"/>
          <w:spacing w:val="-2"/>
          <w:sz w:val="22"/>
          <w:szCs w:val="22"/>
        </w:rPr>
        <w:footnoteReference w:id="158"/>
      </w:r>
      <w:r w:rsidRPr="003C560E">
        <w:rPr>
          <w:szCs w:val="22"/>
        </w:rPr>
        <w:t xml:space="preserve">  The Commission estimates that most providers of local exchange service are small entities that may be affected by the rules proposed in the </w:t>
      </w:r>
      <w:r w:rsidRPr="003C560E">
        <w:rPr>
          <w:i/>
          <w:szCs w:val="22"/>
        </w:rPr>
        <w:t>Notice</w:t>
      </w:r>
      <w:r w:rsidRPr="003C560E">
        <w:rPr>
          <w:szCs w:val="22"/>
        </w:rPr>
        <w:t>.</w:t>
      </w:r>
    </w:p>
    <w:p w:rsidR="006F7AD6" w:rsidRPr="003C560E" w:rsidP="006F7AD6" w14:paraId="7083E5EE" w14:textId="77777777">
      <w:pPr>
        <w:pStyle w:val="ParaNum"/>
        <w:rPr>
          <w:szCs w:val="22"/>
        </w:rPr>
      </w:pPr>
      <w:r w:rsidRPr="003C560E">
        <w:rPr>
          <w:b/>
          <w:szCs w:val="22"/>
        </w:rPr>
        <w:t>Incumbent LECs</w:t>
      </w:r>
      <w:r w:rsidRPr="003C560E">
        <w:rPr>
          <w:szCs w:val="22"/>
        </w:rPr>
        <w:t>.  Neither the Commission nor the SBA has developed a small business size standard specifically for incumbent local exchange services.  The closest applicable NAICS code category is Wired Telecommunications Carriers.  Under that size standard, such a business is small if it has 1,500 or fewer employees.</w:t>
      </w:r>
      <w:r>
        <w:rPr>
          <w:rStyle w:val="FootnoteReference"/>
          <w:spacing w:val="-2"/>
          <w:sz w:val="22"/>
          <w:szCs w:val="22"/>
        </w:rPr>
        <w:footnoteReference w:id="159"/>
      </w:r>
      <w:r w:rsidRPr="003C560E">
        <w:rPr>
          <w:szCs w:val="22"/>
        </w:rPr>
        <w:t xml:space="preserve">  According to census data from 2012, 3,117 firms operated in that year.  Of this total, 3,083 operated with fewer than 1,000 employees.</w:t>
      </w:r>
      <w:r>
        <w:rPr>
          <w:rStyle w:val="FootnoteReference"/>
          <w:sz w:val="22"/>
          <w:szCs w:val="22"/>
        </w:rPr>
        <w:footnoteReference w:id="160"/>
      </w:r>
      <w:r w:rsidRPr="003C560E">
        <w:rPr>
          <w:szCs w:val="22"/>
        </w:rPr>
        <w:t xml:space="preserve">  According to Commission data, 1,307 carriers reported that they were incumbent local exchange service providers.</w:t>
      </w:r>
      <w:r>
        <w:rPr>
          <w:rStyle w:val="FootnoteReference"/>
          <w:spacing w:val="-2"/>
          <w:sz w:val="22"/>
          <w:szCs w:val="22"/>
        </w:rPr>
        <w:footnoteReference w:id="161"/>
      </w:r>
      <w:r w:rsidRPr="003C560E">
        <w:rPr>
          <w:szCs w:val="22"/>
        </w:rPr>
        <w:t xml:space="preserve">  Of this total of 1,307 incumbent local exchange service providers, an estimated 1,006 operated with 1,500 or fewer employees.</w:t>
      </w:r>
      <w:r>
        <w:rPr>
          <w:rStyle w:val="FootnoteReference"/>
          <w:spacing w:val="-2"/>
          <w:sz w:val="22"/>
          <w:szCs w:val="22"/>
        </w:rPr>
        <w:footnoteReference w:id="162"/>
      </w:r>
      <w:r w:rsidRPr="003C560E">
        <w:rPr>
          <w:szCs w:val="22"/>
        </w:rPr>
        <w:t xml:space="preserve">  Consequently, the Commission estimates that most providers of incumbent local exchange service are small businesses that may be affected by the rules proposed in this </w:t>
      </w:r>
      <w:r w:rsidRPr="003C560E">
        <w:rPr>
          <w:i/>
          <w:szCs w:val="22"/>
        </w:rPr>
        <w:t>Notice</w:t>
      </w:r>
      <w:r w:rsidRPr="003C560E">
        <w:rPr>
          <w:szCs w:val="22"/>
        </w:rPr>
        <w:t xml:space="preserve">.  </w:t>
      </w:r>
    </w:p>
    <w:p w:rsidR="006F7AD6" w:rsidRPr="003C560E" w:rsidP="006F7AD6" w14:paraId="0F18D73F" w14:textId="77777777">
      <w:pPr>
        <w:pStyle w:val="ParaNum"/>
        <w:rPr>
          <w:szCs w:val="22"/>
        </w:rPr>
      </w:pPr>
      <w:r w:rsidRPr="003C560E">
        <w:rPr>
          <w:b/>
          <w:szCs w:val="22"/>
        </w:rPr>
        <w:t>Competitive Local Exchange Carriers (Competitive LECs), Competitive Access Providers (CAPs), Shared-Tenant Service Providers, and Other Local Service Providers</w:t>
      </w:r>
      <w:r w:rsidRPr="003C560E">
        <w:rPr>
          <w:szCs w:val="22"/>
        </w:rPr>
        <w:t>.  Neither the Commission nor the SBA has developed a small business size standard specifically for these service providers.  The appropriate NAICS code category is Wired Telecommunications Carriers.  Under that size standard, such a business is small if it has 1,500 or fewer employees.</w:t>
      </w:r>
      <w:r>
        <w:rPr>
          <w:rStyle w:val="FootnoteReference"/>
          <w:spacing w:val="-2"/>
          <w:sz w:val="22"/>
          <w:szCs w:val="22"/>
        </w:rPr>
        <w:footnoteReference w:id="163"/>
      </w:r>
      <w:r w:rsidRPr="003C560E">
        <w:rPr>
          <w:szCs w:val="22"/>
        </w:rPr>
        <w:t xml:space="preserve">  U.S. Census data for 2012 indicate that 3,117 firms operated during that year.  Of that number, 3,083 operated with fewer than 1,000 employees.</w:t>
      </w:r>
      <w:r>
        <w:rPr>
          <w:rStyle w:val="FootnoteReference"/>
          <w:sz w:val="22"/>
          <w:szCs w:val="22"/>
        </w:rPr>
        <w:footnoteReference w:id="164"/>
      </w:r>
      <w:r w:rsidRPr="003C560E">
        <w:rPr>
          <w:szCs w:val="22"/>
        </w:rPr>
        <w:t xml:space="preserve">  Based on this data, the Commission concludes that the majority of Competitive LECs, CAPs, Shared-Tenant Service Providers, and Other Local Service Providers are small entities.  According to the Commission data, 1,442 carriers reported that they were engaged in the provision of either competitive local exchange services or competitive access provider services.</w:t>
      </w:r>
      <w:r>
        <w:rPr>
          <w:rStyle w:val="FootnoteReference"/>
          <w:spacing w:val="-2"/>
          <w:sz w:val="22"/>
          <w:szCs w:val="22"/>
        </w:rPr>
        <w:footnoteReference w:id="165"/>
      </w:r>
      <w:r w:rsidRPr="003C560E">
        <w:rPr>
          <w:szCs w:val="22"/>
        </w:rPr>
        <w:t xml:space="preserve">  Of these 1,442 carriers, an estimated 1,256 have 1,500 or fewer employees.  In addition, 17 carriers have reported that they are Shared-Tenant Service Providers, and all 17 are estimated to have 1,500 or fewer employees.</w:t>
      </w:r>
      <w:r>
        <w:rPr>
          <w:rStyle w:val="FootnoteReference"/>
          <w:spacing w:val="-2"/>
          <w:sz w:val="22"/>
          <w:szCs w:val="22"/>
        </w:rPr>
        <w:footnoteReference w:id="166"/>
      </w:r>
      <w:r w:rsidRPr="003C560E">
        <w:rPr>
          <w:szCs w:val="22"/>
        </w:rPr>
        <w:t xml:space="preserve">   Also, 72 carriers have reported that they are Other Local Service Providers.</w:t>
      </w:r>
      <w:r>
        <w:rPr>
          <w:rStyle w:val="FootnoteReference"/>
          <w:spacing w:val="-2"/>
          <w:sz w:val="22"/>
          <w:szCs w:val="22"/>
        </w:rPr>
        <w:footnoteReference w:id="167"/>
      </w:r>
      <w:r w:rsidRPr="003C560E">
        <w:rPr>
          <w:szCs w:val="22"/>
        </w:rPr>
        <w:t xml:space="preserve">  Of this total, 70 have 1,500 or fewer employees.</w:t>
      </w:r>
      <w:r>
        <w:rPr>
          <w:rStyle w:val="FootnoteReference"/>
          <w:spacing w:val="-2"/>
          <w:sz w:val="22"/>
          <w:szCs w:val="22"/>
        </w:rPr>
        <w:footnoteReference w:id="168"/>
      </w:r>
      <w:r w:rsidRPr="003C560E">
        <w:rPr>
          <w:szCs w:val="22"/>
        </w:rPr>
        <w:t xml:space="preserve">  Consequently, the Commission estimates that most providers of competitive local exchange service, competitive access providers, Shared-Tenant Service Providers, and Other Local Service Providers are small entities that may be affected by rules proposed in this </w:t>
      </w:r>
      <w:r w:rsidRPr="003C560E">
        <w:rPr>
          <w:i/>
          <w:szCs w:val="22"/>
        </w:rPr>
        <w:t>Notice</w:t>
      </w:r>
      <w:r w:rsidRPr="003C560E">
        <w:rPr>
          <w:szCs w:val="22"/>
        </w:rPr>
        <w:t xml:space="preserve">. </w:t>
      </w:r>
    </w:p>
    <w:p w:rsidR="006F7AD6" w:rsidRPr="003C560E" w:rsidP="006F7AD6" w14:paraId="4706420F" w14:textId="77777777">
      <w:pPr>
        <w:pStyle w:val="ParaNum"/>
        <w:rPr>
          <w:szCs w:val="22"/>
        </w:rPr>
      </w:pPr>
      <w:r w:rsidRPr="003C560E">
        <w:rPr>
          <w:b/>
          <w:szCs w:val="22"/>
        </w:rPr>
        <w:t>Interexchange Carriers (IXCs)</w:t>
      </w:r>
      <w:r w:rsidRPr="003C560E">
        <w:rPr>
          <w:szCs w:val="22"/>
        </w:rPr>
        <w:t>.  Neither the Commission nor the SBA has developed a definition for Interexchange Carriers.  The closest NAICS code category is Wired Telecommunications Carriers as defined in paragraph 6 of this IRFA.  The applicable size standard under SBA rules is that such a business is small if it has 1,500 or fewer employees.</w:t>
      </w:r>
      <w:r>
        <w:rPr>
          <w:rStyle w:val="FootnoteReference"/>
          <w:spacing w:val="-2"/>
          <w:sz w:val="22"/>
          <w:szCs w:val="22"/>
        </w:rPr>
        <w:footnoteReference w:id="169"/>
      </w:r>
      <w:r w:rsidRPr="003C560E">
        <w:rPr>
          <w:szCs w:val="22"/>
        </w:rPr>
        <w:t xml:space="preserve">  U.S. Census data for 2012 indicate that 3,117 firms operated during that year.  Of that number, 3,083 operated with fewer than 1,000 employees.</w:t>
      </w:r>
      <w:r>
        <w:rPr>
          <w:rStyle w:val="FootnoteReference"/>
          <w:sz w:val="22"/>
          <w:szCs w:val="22"/>
        </w:rPr>
        <w:footnoteReference w:id="170"/>
      </w:r>
      <w:r w:rsidRPr="003C560E">
        <w:rPr>
          <w:szCs w:val="22"/>
        </w:rPr>
        <w:t xml:space="preserve">  According to Commission data, 359 companies reported that their primary telecommunications service activity was the provision of interexchange services.</w:t>
      </w:r>
      <w:r>
        <w:rPr>
          <w:rStyle w:val="FootnoteReference"/>
          <w:sz w:val="22"/>
          <w:szCs w:val="22"/>
        </w:rPr>
        <w:footnoteReference w:id="171"/>
      </w:r>
      <w:r w:rsidRPr="003C560E">
        <w:rPr>
          <w:szCs w:val="22"/>
        </w:rPr>
        <w:t xml:space="preserve">  Of this total, an estimated 317 have 1,500 or fewer employees.  Consequently, the Commission estimates that the majority of interexchange service providers are small entities that may be affected by rules proposed in this </w:t>
      </w:r>
      <w:r w:rsidRPr="003C560E">
        <w:rPr>
          <w:i/>
          <w:szCs w:val="22"/>
        </w:rPr>
        <w:t>Notice</w:t>
      </w:r>
      <w:r w:rsidRPr="003C560E">
        <w:rPr>
          <w:szCs w:val="22"/>
        </w:rPr>
        <w:t>.</w:t>
      </w:r>
    </w:p>
    <w:p w:rsidR="006F7AD6" w:rsidRPr="003C560E" w:rsidP="006F7AD6" w14:paraId="56211FCD" w14:textId="77777777">
      <w:pPr>
        <w:pStyle w:val="ParaNum"/>
        <w:widowControl/>
        <w:rPr>
          <w:szCs w:val="22"/>
        </w:rPr>
      </w:pPr>
      <w:r w:rsidRPr="003C560E">
        <w:rPr>
          <w:b/>
          <w:szCs w:val="22"/>
        </w:rPr>
        <w:t>Prepaid Calling Card Providers.</w:t>
      </w:r>
      <w:r w:rsidRPr="003C560E">
        <w:rPr>
          <w:szCs w:val="22"/>
        </w:rPr>
        <w:t xml:space="preserve">  Neither the Commission nor the SBA has developed a small business size standard specifically for prepaid calling card providers.  The appropriate NAICS code category for prepaid calling card providers is Telecommunications Resellers.  This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networks operators (MVNOs) are included in this industry.</w:t>
      </w:r>
      <w:r>
        <w:rPr>
          <w:rStyle w:val="FootnoteReference"/>
          <w:sz w:val="22"/>
          <w:szCs w:val="22"/>
        </w:rPr>
        <w:footnoteReference w:id="172"/>
      </w:r>
      <w:r w:rsidRPr="003C560E">
        <w:rPr>
          <w:szCs w:val="22"/>
        </w:rPr>
        <w:t xml:space="preserve">  Under the applicable SBA size standard, such a business is small if it has 1,500 or fewer employees.</w:t>
      </w:r>
      <w:r>
        <w:rPr>
          <w:rStyle w:val="FootnoteReference"/>
          <w:spacing w:val="-2"/>
          <w:sz w:val="22"/>
          <w:szCs w:val="22"/>
        </w:rPr>
        <w:footnoteReference w:id="173"/>
      </w:r>
      <w:r w:rsidRPr="003C560E">
        <w:rPr>
          <w:szCs w:val="22"/>
        </w:rPr>
        <w:t xml:space="preserve">  U.S. Census data for 2012 show that 1,341 firms provided resale services during that year.  Of that number, 1,341 operated with fewer than 1,000 employees.</w:t>
      </w:r>
      <w:r>
        <w:rPr>
          <w:rStyle w:val="FootnoteReference"/>
          <w:spacing w:val="-2"/>
          <w:sz w:val="22"/>
          <w:szCs w:val="22"/>
        </w:rPr>
        <w:footnoteReference w:id="174"/>
      </w:r>
      <w:r w:rsidRPr="003C560E">
        <w:rPr>
          <w:szCs w:val="22"/>
        </w:rPr>
        <w:t xml:space="preserve">  Thus, under this category and the associated small business size standard, the majority of these prepaid calling card providers can be considered small entities.  According to Commission data, 193 carriers have reported that they are engaged in the provision of prepaid calling cards.</w:t>
      </w:r>
      <w:r>
        <w:rPr>
          <w:rStyle w:val="FootnoteReference"/>
          <w:spacing w:val="-2"/>
          <w:sz w:val="22"/>
          <w:szCs w:val="22"/>
        </w:rPr>
        <w:footnoteReference w:id="175"/>
      </w:r>
      <w:r w:rsidRPr="003C560E">
        <w:rPr>
          <w:szCs w:val="22"/>
        </w:rPr>
        <w:t xml:space="preserve">  All 193 carriers have 1,500 or fewer employees.</w:t>
      </w:r>
      <w:r>
        <w:rPr>
          <w:rStyle w:val="FootnoteReference"/>
          <w:spacing w:val="-2"/>
          <w:sz w:val="22"/>
          <w:szCs w:val="22"/>
        </w:rPr>
        <w:footnoteReference w:id="176"/>
      </w:r>
      <w:r w:rsidRPr="003C560E">
        <w:rPr>
          <w:szCs w:val="22"/>
        </w:rPr>
        <w:t xml:space="preserve">  Consequently, the Commission estimates that the majority of prepaid calling card providers are small entities that may be affected by rules proposed in this </w:t>
      </w:r>
      <w:r w:rsidRPr="003C560E">
        <w:rPr>
          <w:i/>
          <w:szCs w:val="22"/>
        </w:rPr>
        <w:t>Notice</w:t>
      </w:r>
      <w:r w:rsidRPr="003C560E">
        <w:rPr>
          <w:szCs w:val="22"/>
        </w:rPr>
        <w:t>.</w:t>
      </w:r>
    </w:p>
    <w:p w:rsidR="006F7AD6" w:rsidRPr="003C560E" w:rsidP="00BF6A95" w14:paraId="4FCDD9F5" w14:textId="77777777">
      <w:pPr>
        <w:pStyle w:val="ParaNum"/>
        <w:widowControl/>
        <w:rPr>
          <w:szCs w:val="22"/>
        </w:rPr>
      </w:pPr>
      <w:r w:rsidRPr="003C560E">
        <w:rPr>
          <w:b/>
          <w:szCs w:val="22"/>
        </w:rPr>
        <w:t>Local Resellers</w:t>
      </w:r>
      <w:r w:rsidRPr="003C560E">
        <w:rPr>
          <w:szCs w:val="22"/>
        </w:rPr>
        <w:t>.  Neither the Commission nor the SBA has developed a small business size standard specifically for Local Resellers.  The SBA has developed a small business size standard for the category of Telecommunications Resellers.  Under that size standard, such a business is small if it has 1,500 or fewer employees.</w:t>
      </w:r>
      <w:r>
        <w:rPr>
          <w:rStyle w:val="FootnoteReference"/>
          <w:spacing w:val="-2"/>
          <w:sz w:val="22"/>
          <w:szCs w:val="22"/>
        </w:rPr>
        <w:footnoteReference w:id="177"/>
      </w:r>
      <w:r w:rsidRPr="003C560E">
        <w:rPr>
          <w:szCs w:val="22"/>
        </w:rPr>
        <w:t xml:space="preserve">  Census data for 2012 show that 1,341 firms provided resale services during that year.</w:t>
      </w:r>
      <w:r w:rsidRPr="003C560E">
        <w:rPr>
          <w:rStyle w:val="FootnoteReference"/>
          <w:spacing w:val="-2"/>
          <w:sz w:val="22"/>
          <w:szCs w:val="22"/>
        </w:rPr>
        <w:t xml:space="preserve"> </w:t>
      </w:r>
      <w:r>
        <w:rPr>
          <w:rStyle w:val="FootnoteReference"/>
          <w:spacing w:val="-2"/>
          <w:sz w:val="22"/>
          <w:szCs w:val="22"/>
        </w:rPr>
        <w:footnoteReference w:id="178"/>
      </w:r>
      <w:r w:rsidRPr="003C560E">
        <w:rPr>
          <w:szCs w:val="22"/>
        </w:rPr>
        <w:t xml:space="preserve">  Of that number, 1,341 operated with fewer than 1,000 employees.</w:t>
      </w:r>
      <w:r>
        <w:rPr>
          <w:rStyle w:val="FootnoteReference"/>
          <w:spacing w:val="-2"/>
          <w:sz w:val="22"/>
          <w:szCs w:val="22"/>
        </w:rPr>
        <w:footnoteReference w:id="179"/>
      </w:r>
      <w:r w:rsidRPr="003C560E">
        <w:rPr>
          <w:szCs w:val="22"/>
        </w:rPr>
        <w:t xml:space="preserve">  Under this category and the associated small business size standard, the majority of these local resellers can be considered small entities.  According to Commission data, 213 carriers have reported that they are engaged in the provision of local resale services.</w:t>
      </w:r>
      <w:r>
        <w:rPr>
          <w:rStyle w:val="FootnoteReference"/>
          <w:spacing w:val="-2"/>
          <w:sz w:val="22"/>
          <w:szCs w:val="22"/>
        </w:rPr>
        <w:footnoteReference w:id="180"/>
      </w:r>
      <w:r w:rsidRPr="003C560E">
        <w:rPr>
          <w:szCs w:val="22"/>
        </w:rPr>
        <w:t xml:space="preserve">  Of this total, an estimated 211 have 1,500 or fewer employees.</w:t>
      </w:r>
      <w:r>
        <w:rPr>
          <w:rStyle w:val="FootnoteReference"/>
          <w:spacing w:val="-2"/>
          <w:sz w:val="22"/>
          <w:szCs w:val="22"/>
        </w:rPr>
        <w:footnoteReference w:id="181"/>
      </w:r>
      <w:r w:rsidRPr="003C560E">
        <w:rPr>
          <w:szCs w:val="22"/>
        </w:rPr>
        <w:t xml:space="preserve">  Consequently, the Commission estimates that the majority of local resellers are small entities that may be affected by rules proposed in this </w:t>
      </w:r>
      <w:r w:rsidRPr="003C560E">
        <w:rPr>
          <w:i/>
          <w:szCs w:val="22"/>
        </w:rPr>
        <w:t>Notice</w:t>
      </w:r>
      <w:r w:rsidRPr="003C560E">
        <w:rPr>
          <w:szCs w:val="22"/>
        </w:rPr>
        <w:t xml:space="preserve">. </w:t>
      </w:r>
    </w:p>
    <w:p w:rsidR="006F7AD6" w:rsidRPr="003C560E" w:rsidP="006F7AD6" w14:paraId="272F67B8" w14:textId="77777777">
      <w:pPr>
        <w:pStyle w:val="ParaNum"/>
        <w:rPr>
          <w:szCs w:val="22"/>
        </w:rPr>
      </w:pPr>
      <w:r w:rsidRPr="003C560E">
        <w:rPr>
          <w:b/>
          <w:szCs w:val="22"/>
        </w:rPr>
        <w:t>Toll Resellers</w:t>
      </w:r>
      <w:r w:rsidRPr="003C560E">
        <w:rPr>
          <w:szCs w:val="22"/>
        </w:rPr>
        <w:t>.  The Commission has not developed a definition for Toll Resellers.  The closest NAICS code Category is Telecommunications Resellers, and the SBA has developed a small business size standard for the category of Telecommunications Resellers.</w:t>
      </w:r>
      <w:r>
        <w:rPr>
          <w:rStyle w:val="FootnoteReference"/>
          <w:spacing w:val="-2"/>
          <w:sz w:val="22"/>
          <w:szCs w:val="22"/>
        </w:rPr>
        <w:footnoteReference w:id="182"/>
      </w:r>
      <w:r w:rsidRPr="003C560E">
        <w:rPr>
          <w:szCs w:val="22"/>
        </w:rPr>
        <w:t xml:space="preserve">  Under that size standard, such a business is small if it has 1,500 or fewer employees.</w:t>
      </w:r>
      <w:r>
        <w:rPr>
          <w:rStyle w:val="FootnoteReference"/>
          <w:spacing w:val="-2"/>
          <w:sz w:val="22"/>
          <w:szCs w:val="22"/>
        </w:rPr>
        <w:footnoteReference w:id="183"/>
      </w:r>
      <w:r w:rsidRPr="003C560E">
        <w:rPr>
          <w:szCs w:val="22"/>
        </w:rPr>
        <w:t xml:space="preserve">  Census data for 2012 show that 1,341 firms provided resale services during that year.</w:t>
      </w:r>
      <w:r>
        <w:rPr>
          <w:rStyle w:val="FootnoteReference"/>
          <w:spacing w:val="-2"/>
          <w:sz w:val="22"/>
          <w:szCs w:val="22"/>
        </w:rPr>
        <w:footnoteReference w:id="184"/>
      </w:r>
      <w:r w:rsidRPr="003C560E">
        <w:rPr>
          <w:szCs w:val="22"/>
        </w:rPr>
        <w:t xml:space="preserve">  Of that number, 1,341 operated with fewer than 1,000 employees.</w:t>
      </w:r>
      <w:r>
        <w:rPr>
          <w:rStyle w:val="FootnoteReference"/>
          <w:spacing w:val="-2"/>
          <w:sz w:val="22"/>
          <w:szCs w:val="22"/>
        </w:rPr>
        <w:footnoteReference w:id="185"/>
      </w:r>
      <w:r w:rsidRPr="003C560E">
        <w:rPr>
          <w:szCs w:val="22"/>
        </w:rPr>
        <w:t xml:space="preserve">  Thus, under this category and the associated small business size standard, the majority of these resellers can be considered small entities.  According to Commission data, 881 carriers have reported that they are engaged in the provision of toll resale services.</w:t>
      </w:r>
      <w:r>
        <w:rPr>
          <w:rStyle w:val="FootnoteReference"/>
          <w:spacing w:val="-2"/>
          <w:sz w:val="22"/>
          <w:szCs w:val="22"/>
        </w:rPr>
        <w:footnoteReference w:id="186"/>
      </w:r>
      <w:r w:rsidRPr="003C560E">
        <w:rPr>
          <w:szCs w:val="22"/>
        </w:rPr>
        <w:t xml:space="preserve">  Of this total, an estimated 857 have 1,500 or fewer employees.</w:t>
      </w:r>
      <w:r>
        <w:rPr>
          <w:rStyle w:val="FootnoteReference"/>
          <w:spacing w:val="-2"/>
          <w:sz w:val="22"/>
          <w:szCs w:val="22"/>
        </w:rPr>
        <w:footnoteReference w:id="187"/>
      </w:r>
      <w:r w:rsidRPr="003C560E">
        <w:rPr>
          <w:szCs w:val="22"/>
        </w:rPr>
        <w:t xml:space="preserve">  Consequently, the Commission estimates that the majority of toll resellers are small entities that may be affected by the rules proposed in the </w:t>
      </w:r>
      <w:r w:rsidRPr="003C560E">
        <w:rPr>
          <w:i/>
          <w:szCs w:val="22"/>
        </w:rPr>
        <w:t>Notice</w:t>
      </w:r>
      <w:r w:rsidRPr="003C560E">
        <w:rPr>
          <w:szCs w:val="22"/>
        </w:rPr>
        <w:t>.</w:t>
      </w:r>
    </w:p>
    <w:p w:rsidR="006F7AD6" w:rsidRPr="003C560E" w:rsidP="006F7AD6" w14:paraId="60AABDE8" w14:textId="77777777">
      <w:pPr>
        <w:pStyle w:val="ParaNum"/>
        <w:rPr>
          <w:szCs w:val="22"/>
        </w:rPr>
      </w:pPr>
      <w:r w:rsidRPr="003C560E">
        <w:rPr>
          <w:b/>
          <w:szCs w:val="22"/>
        </w:rPr>
        <w:t>Other Toll Carriers</w:t>
      </w:r>
      <w:r w:rsidRPr="003C560E">
        <w:rPr>
          <w:szCs w:val="22"/>
        </w:rPr>
        <w:t>.  Neither the Commission nor the SBA has developed a size standard for small businesses specifically applicable to Other Toll Carriers.  This category includes toll carriers that do not fall within the categories of interexchange carriers, operator service providers, prepaid calling card providers, satellite service carriers, or toll resellers.  The closest applicable NAICS code category is for Wired Telecommunications Carriers, as defined in paragraph 6 of this IRFA.  Under that size standard, such a business is small if it has 1,500 or fewer employees.</w:t>
      </w:r>
      <w:r>
        <w:rPr>
          <w:rStyle w:val="FootnoteReference"/>
          <w:spacing w:val="-2"/>
          <w:sz w:val="22"/>
          <w:szCs w:val="22"/>
        </w:rPr>
        <w:footnoteReference w:id="188"/>
      </w:r>
      <w:r w:rsidRPr="003C560E">
        <w:rPr>
          <w:szCs w:val="22"/>
        </w:rPr>
        <w:t xml:space="preserve">  Census data for 2012 shows that there were 3,117 firms that operated that year.</w:t>
      </w:r>
      <w:r>
        <w:rPr>
          <w:rStyle w:val="FootnoteReference"/>
          <w:spacing w:val="-2"/>
          <w:sz w:val="22"/>
          <w:szCs w:val="22"/>
        </w:rPr>
        <w:footnoteReference w:id="189"/>
      </w:r>
      <w:r w:rsidRPr="003C560E">
        <w:rPr>
          <w:szCs w:val="22"/>
        </w:rPr>
        <w:t xml:space="preserve">  Of this total, 3,083 operated with fewer than 1,000 employees.</w:t>
      </w:r>
      <w:r>
        <w:rPr>
          <w:rStyle w:val="FootnoteReference"/>
          <w:spacing w:val="-2"/>
          <w:sz w:val="22"/>
          <w:szCs w:val="22"/>
        </w:rPr>
        <w:footnoteReference w:id="190"/>
      </w:r>
      <w:r w:rsidRPr="003C560E">
        <w:rPr>
          <w:szCs w:val="22"/>
        </w:rPr>
        <w:t xml:space="preserve">  Thus, under this category and the associated small business size standard, the majority of Other Toll Carriers can be considered small.  According to Commission data, 284 companies reported that their primary telecommunications service activity was the provision of other toll carriage.</w:t>
      </w:r>
      <w:r>
        <w:rPr>
          <w:rStyle w:val="FootnoteReference"/>
          <w:spacing w:val="-2"/>
          <w:sz w:val="22"/>
          <w:szCs w:val="22"/>
        </w:rPr>
        <w:footnoteReference w:id="191"/>
      </w:r>
      <w:r w:rsidRPr="003C560E">
        <w:rPr>
          <w:szCs w:val="22"/>
        </w:rPr>
        <w:t xml:space="preserve">  Of these, an estimated 279 have 1,500 or fewer employees.</w:t>
      </w:r>
      <w:r>
        <w:rPr>
          <w:rStyle w:val="FootnoteReference"/>
          <w:spacing w:val="-2"/>
          <w:sz w:val="22"/>
          <w:szCs w:val="22"/>
        </w:rPr>
        <w:footnoteReference w:id="192"/>
      </w:r>
      <w:r w:rsidRPr="003C560E">
        <w:rPr>
          <w:szCs w:val="22"/>
        </w:rPr>
        <w:t xml:space="preserve">  Consequently, the Commission estimates that most Other Toll Carriers are small entities that may be affected by the rules proposed in the </w:t>
      </w:r>
      <w:r w:rsidRPr="003C560E">
        <w:rPr>
          <w:i/>
          <w:szCs w:val="22"/>
        </w:rPr>
        <w:t>Notice</w:t>
      </w:r>
      <w:r w:rsidRPr="003C560E">
        <w:rPr>
          <w:szCs w:val="22"/>
        </w:rPr>
        <w:t>.</w:t>
      </w:r>
    </w:p>
    <w:p w:rsidR="006F7AD6" w:rsidRPr="003C560E" w:rsidP="006F7AD6" w14:paraId="114452BD" w14:textId="77777777">
      <w:pPr>
        <w:pStyle w:val="ParaNum"/>
        <w:rPr>
          <w:szCs w:val="22"/>
        </w:rPr>
      </w:pPr>
      <w:r w:rsidRPr="003C560E">
        <w:rPr>
          <w:b/>
          <w:szCs w:val="22"/>
        </w:rPr>
        <w:t>Wireless Telecommunications Carriers (except Satellite)</w:t>
      </w:r>
      <w:r w:rsidRPr="003C560E">
        <w:rPr>
          <w:szCs w:val="22"/>
        </w:rPr>
        <w:t>.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rStyle w:val="FootnoteReference"/>
          <w:sz w:val="22"/>
          <w:szCs w:val="22"/>
        </w:rPr>
        <w:footnoteReference w:id="193"/>
      </w:r>
      <w:r w:rsidRPr="003C560E">
        <w:rPr>
          <w:szCs w:val="22"/>
        </w:rPr>
        <w:t xml:space="preserve">  The appropriate size standard under SBA rules is that such a business is small if it has 1,500 or fewer employees.  For this industry, Census Data for 2012 show that there were 967 firms that operated for the entire year.</w:t>
      </w:r>
      <w:r>
        <w:rPr>
          <w:rStyle w:val="FootnoteReference"/>
          <w:spacing w:val="-2"/>
          <w:sz w:val="22"/>
          <w:szCs w:val="22"/>
        </w:rPr>
        <w:footnoteReference w:id="194"/>
      </w:r>
      <w:r w:rsidRPr="003C560E">
        <w:rPr>
          <w:szCs w:val="22"/>
        </w:rPr>
        <w:t xml:space="preserve">  Of this total, 955 firms had fewer than 1,000 employees.</w:t>
      </w:r>
      <w:r>
        <w:rPr>
          <w:rStyle w:val="FootnoteReference"/>
          <w:spacing w:val="-2"/>
          <w:sz w:val="22"/>
          <w:szCs w:val="22"/>
        </w:rPr>
        <w:footnoteReference w:id="195"/>
      </w:r>
      <w:r w:rsidRPr="003C560E">
        <w:rPr>
          <w:szCs w:val="22"/>
        </w:rPr>
        <w:t xml:space="preserve">   Thus under this category and the associated size standard, the Commission estimates that the majority of wireless telecommunications carriers (except satellite) are small entities.  Similarly, according to Commission data, 413 carriers reported that they were engaged in the provision of wireless telephony, including cellular service, Personal Communications Service (PCS), and Specialized Mobile Radio (SMR) services.</w:t>
      </w:r>
      <w:r>
        <w:rPr>
          <w:rStyle w:val="FootnoteReference"/>
          <w:spacing w:val="-2"/>
          <w:sz w:val="22"/>
          <w:szCs w:val="22"/>
        </w:rPr>
        <w:footnoteReference w:id="196"/>
      </w:r>
      <w:r w:rsidRPr="003C560E">
        <w:rPr>
          <w:szCs w:val="22"/>
        </w:rPr>
        <w:t xml:space="preserve">  Of this total, an estimated 261 have 1,500 or fewer employees.</w:t>
      </w:r>
      <w:r>
        <w:rPr>
          <w:rStyle w:val="FootnoteReference"/>
          <w:spacing w:val="-2"/>
          <w:sz w:val="22"/>
          <w:szCs w:val="22"/>
        </w:rPr>
        <w:footnoteReference w:id="197"/>
      </w:r>
      <w:r w:rsidRPr="003C560E">
        <w:rPr>
          <w:szCs w:val="22"/>
        </w:rPr>
        <w:t xml:space="preserve">  Thus, using available data, we estimate that the majority of wireless firms can be considered small and may be affected by rules proposed in this </w:t>
      </w:r>
      <w:r w:rsidRPr="003C560E">
        <w:rPr>
          <w:i/>
          <w:szCs w:val="22"/>
        </w:rPr>
        <w:t>Notice</w:t>
      </w:r>
      <w:r w:rsidRPr="003C560E">
        <w:rPr>
          <w:szCs w:val="22"/>
        </w:rPr>
        <w:t>.</w:t>
      </w:r>
    </w:p>
    <w:p w:rsidR="006F7AD6" w:rsidRPr="003C560E" w:rsidP="006F7AD6" w14:paraId="0526CDE4" w14:textId="77777777">
      <w:pPr>
        <w:pStyle w:val="ParaNum"/>
        <w:rPr>
          <w:szCs w:val="22"/>
        </w:rPr>
      </w:pPr>
      <w:r w:rsidRPr="003C560E">
        <w:rPr>
          <w:b/>
          <w:szCs w:val="22"/>
        </w:rPr>
        <w:t>Television Broadcasting</w:t>
      </w:r>
      <w:r w:rsidRPr="003C560E">
        <w:rPr>
          <w:szCs w:val="22"/>
        </w:rPr>
        <w:t>.  This Economic Census category “comprises establishments primarily engaged in broadcasting images together with sound.  These establishments operate television broadcasting studios and facilities for the programming and transmission of programs to the public.”</w:t>
      </w:r>
      <w:r>
        <w:rPr>
          <w:rStyle w:val="FootnoteReference"/>
          <w:sz w:val="22"/>
          <w:szCs w:val="22"/>
        </w:rPr>
        <w:footnoteReference w:id="198"/>
      </w:r>
      <w:r w:rsidRPr="003C560E">
        <w:rPr>
          <w:szCs w:val="22"/>
        </w:rPr>
        <w:t xml:space="preserve"> 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  The SBA has created the following small business size standard for Television Broadcasting firms:  those having $38.5 million or less in annual receipts.</w:t>
      </w:r>
      <w:r>
        <w:rPr>
          <w:rStyle w:val="FootnoteReference"/>
          <w:sz w:val="22"/>
          <w:szCs w:val="22"/>
        </w:rPr>
        <w:footnoteReference w:id="199"/>
      </w:r>
      <w:r w:rsidRPr="003C560E">
        <w:rPr>
          <w:szCs w:val="22"/>
        </w:rPr>
        <w:t xml:space="preserve">  The 2012 Economic Census reports that 751 television broadcasting firms operated during that year.  Of that number, 656 had annual receipts of less than $25 million per year.  Based on that Census data we conclude that a majority of firms that operate television stations are small.  The Commission has estimated the number of licensed commercial television stations to be 1,387.</w:t>
      </w:r>
      <w:r>
        <w:rPr>
          <w:rStyle w:val="FootnoteReference"/>
          <w:sz w:val="22"/>
          <w:szCs w:val="22"/>
        </w:rPr>
        <w:footnoteReference w:id="200"/>
      </w:r>
      <w:r w:rsidRPr="003C560E">
        <w:rPr>
          <w:szCs w:val="22"/>
        </w:rPr>
        <w:t xml:space="preserve">  In addition, according to Commission staff review of the BIA Advisory Services, LLC’s </w:t>
      </w:r>
      <w:r w:rsidRPr="003C560E">
        <w:rPr>
          <w:i/>
          <w:szCs w:val="22"/>
        </w:rPr>
        <w:t>Media Access Pro Television Database</w:t>
      </w:r>
      <w:r w:rsidRPr="003C560E">
        <w:rPr>
          <w:szCs w:val="22"/>
        </w:rPr>
        <w:t xml:space="preserve"> on March 28, 2012, about 950 of an estimated 1,300 commercial television stations (or approximately 73 percent) had revenues of $14 million or less.</w:t>
      </w:r>
      <w:r>
        <w:rPr>
          <w:rStyle w:val="FootnoteReference"/>
          <w:sz w:val="22"/>
          <w:szCs w:val="22"/>
        </w:rPr>
        <w:footnoteReference w:id="201"/>
      </w:r>
      <w:r w:rsidRPr="003C560E">
        <w:rPr>
          <w:szCs w:val="22"/>
        </w:rPr>
        <w:t xml:space="preserve">  We therefore estimate that the majority of commercial television broadcasters are small entities.</w:t>
      </w:r>
    </w:p>
    <w:p w:rsidR="006F7AD6" w:rsidRPr="003C560E" w:rsidP="006F7AD6" w14:paraId="3CB56444" w14:textId="77777777">
      <w:pPr>
        <w:pStyle w:val="ParaNum"/>
        <w:rPr>
          <w:szCs w:val="22"/>
        </w:rPr>
      </w:pPr>
      <w:r w:rsidRPr="003C560E">
        <w:rPr>
          <w:szCs w:val="22"/>
        </w:rPr>
        <w:t>In assessing whether a business concern qualifies as small under the above definition, business (control) affiliations</w:t>
      </w:r>
      <w:r>
        <w:rPr>
          <w:szCs w:val="22"/>
          <w:vertAlign w:val="superscript"/>
        </w:rPr>
        <w:footnoteReference w:id="202"/>
      </w:r>
      <w:r w:rsidRPr="003C560E">
        <w:rPr>
          <w:szCs w:val="22"/>
        </w:rPr>
        <w:t xml:space="preserve"> must be included.  Our estimate, therefore, likely overstates the number of small entities that might be affected by our action, because the revenue figure on which it is based does not include or aggregate revenues from affiliated companies.  In addition, an element of the definition of “small business” is that the entity not be dominant in its field of operation.  We are unable at this time to define or quantify the criteria that would establish whether a specific television station is dominant in its field of operation.  Accordingly, the estimate of small businesses to which rules may apply does not exclude any television station from the definition of a small business on this basis and is therefore possibly over-inclusive to that extent.</w:t>
      </w:r>
    </w:p>
    <w:p w:rsidR="006F7AD6" w:rsidRPr="003C560E" w:rsidP="006F7AD6" w14:paraId="15D466A3" w14:textId="77777777">
      <w:pPr>
        <w:pStyle w:val="ParaNum"/>
        <w:rPr>
          <w:szCs w:val="22"/>
        </w:rPr>
      </w:pPr>
      <w:r w:rsidRPr="003C560E">
        <w:rPr>
          <w:szCs w:val="22"/>
        </w:rPr>
        <w:t>In addition, the Commission has estimated the number of licensed noncommercial educational (NCE) television stations to be 396.</w:t>
      </w:r>
      <w:r>
        <w:rPr>
          <w:rStyle w:val="FootnoteReference"/>
          <w:sz w:val="22"/>
          <w:szCs w:val="22"/>
        </w:rPr>
        <w:footnoteReference w:id="203"/>
      </w:r>
      <w:r w:rsidRPr="003C560E">
        <w:rPr>
          <w:szCs w:val="22"/>
        </w:rPr>
        <w:t xml:space="preserve">  These stations are non-profit, and therefore considered to be small entities.</w:t>
      </w:r>
      <w:r>
        <w:rPr>
          <w:rStyle w:val="FootnoteReference"/>
          <w:sz w:val="22"/>
          <w:szCs w:val="22"/>
        </w:rPr>
        <w:footnoteReference w:id="204"/>
      </w:r>
      <w:r w:rsidRPr="003C560E">
        <w:rPr>
          <w:szCs w:val="22"/>
        </w:rPr>
        <w:t xml:space="preserve">  There are also 2,528 low power television stations, including Class A stations (LPTV).</w:t>
      </w:r>
      <w:r>
        <w:rPr>
          <w:rStyle w:val="FootnoteReference"/>
          <w:sz w:val="22"/>
          <w:szCs w:val="22"/>
        </w:rPr>
        <w:footnoteReference w:id="205"/>
      </w:r>
      <w:r w:rsidRPr="003C560E">
        <w:rPr>
          <w:szCs w:val="22"/>
        </w:rPr>
        <w:t xml:space="preserve">  Given the nature of these services, we will presume that all LPTV licensees qualify as small entities under the above SBA small business size standard.</w:t>
      </w:r>
    </w:p>
    <w:p w:rsidR="006F7AD6" w:rsidRPr="003C560E" w:rsidP="006F7AD6" w14:paraId="10723E34" w14:textId="77777777">
      <w:pPr>
        <w:pStyle w:val="ParaNum"/>
        <w:rPr>
          <w:rStyle w:val="documentbody1"/>
          <w:rFonts w:ascii="Times New Roman" w:hAnsi="Times New Roman"/>
          <w:color w:val="000000"/>
          <w:sz w:val="22"/>
          <w:szCs w:val="22"/>
        </w:rPr>
      </w:pPr>
      <w:r w:rsidRPr="003C560E">
        <w:rPr>
          <w:b/>
          <w:szCs w:val="22"/>
        </w:rPr>
        <w:t>Radio Broadcasting</w:t>
      </w:r>
      <w:r w:rsidRPr="003C560E">
        <w:rPr>
          <w:szCs w:val="22"/>
        </w:rPr>
        <w:t xml:space="preserve">.  </w:t>
      </w:r>
      <w:r w:rsidRPr="003C560E">
        <w:rPr>
          <w:rStyle w:val="documentbody1"/>
          <w:rFonts w:ascii="Times New Roman" w:hAnsi="Times New Roman"/>
          <w:color w:val="000000"/>
          <w:sz w:val="22"/>
          <w:szCs w:val="22"/>
        </w:rPr>
        <w:t>This Economic Census category “</w:t>
      </w:r>
      <w:r w:rsidRPr="003C560E">
        <w:rPr>
          <w:szCs w:val="22"/>
        </w:rPr>
        <w:t>comprises establishments primarily engaged in broadcasting programs by radio to the public. Programming may originate in their own studio, from an affiliated network, or from external sources.”</w:t>
      </w:r>
      <w:r>
        <w:rPr>
          <w:rStyle w:val="FootnoteReference"/>
          <w:sz w:val="22"/>
          <w:szCs w:val="22"/>
        </w:rPr>
        <w:footnoteReference w:id="206"/>
      </w:r>
      <w:r w:rsidRPr="003C560E">
        <w:rPr>
          <w:szCs w:val="22"/>
        </w:rPr>
        <w:t xml:space="preserve">  The SBA has established a small business size standard for this category, which is:  such firms having $38.5 million or less in annual receipts.</w:t>
      </w:r>
      <w:r>
        <w:rPr>
          <w:rStyle w:val="FootnoteReference"/>
          <w:sz w:val="22"/>
          <w:szCs w:val="22"/>
        </w:rPr>
        <w:footnoteReference w:id="207"/>
      </w:r>
      <w:r w:rsidRPr="003C560E">
        <w:rPr>
          <w:szCs w:val="22"/>
        </w:rPr>
        <w:t xml:space="preserve">  U.S. Census data for 2012 show that 2,849 radio station firms operated during that year.</w:t>
      </w:r>
      <w:r>
        <w:rPr>
          <w:rStyle w:val="FootnoteReference"/>
          <w:spacing w:val="-2"/>
          <w:sz w:val="22"/>
          <w:szCs w:val="22"/>
        </w:rPr>
        <w:footnoteReference w:id="208"/>
      </w:r>
      <w:r w:rsidRPr="003C560E">
        <w:rPr>
          <w:szCs w:val="22"/>
        </w:rPr>
        <w:t xml:space="preserve">   Of that number, 2,806 operated with annual receipts of less than $25 million per year</w:t>
      </w:r>
      <w:r w:rsidRPr="003C560E">
        <w:rPr>
          <w:rStyle w:val="documentbody1"/>
          <w:rFonts w:ascii="Times New Roman" w:hAnsi="Times New Roman"/>
          <w:sz w:val="22"/>
          <w:szCs w:val="22"/>
        </w:rPr>
        <w:t>.</w:t>
      </w:r>
      <w:r>
        <w:rPr>
          <w:rStyle w:val="FootnoteReference"/>
          <w:sz w:val="22"/>
          <w:szCs w:val="22"/>
        </w:rPr>
        <w:footnoteReference w:id="209"/>
      </w:r>
      <w:r w:rsidRPr="003C560E">
        <w:rPr>
          <w:szCs w:val="22"/>
        </w:rPr>
        <w:t xml:space="preserve">  </w:t>
      </w:r>
      <w:r w:rsidRPr="003C560E">
        <w:rPr>
          <w:rStyle w:val="documentbody1"/>
          <w:rFonts w:ascii="Times New Roman" w:hAnsi="Times New Roman"/>
          <w:color w:val="000000"/>
          <w:sz w:val="22"/>
          <w:szCs w:val="22"/>
        </w:rPr>
        <w:t xml:space="preserve">According to Commission staff review of </w:t>
      </w:r>
      <w:r w:rsidRPr="003C560E">
        <w:rPr>
          <w:szCs w:val="22"/>
        </w:rPr>
        <w:t xml:space="preserve">BIA Advisory Services, LLC’s </w:t>
      </w:r>
      <w:r w:rsidRPr="003C560E">
        <w:rPr>
          <w:i/>
          <w:szCs w:val="22"/>
        </w:rPr>
        <w:t>Media Access Pro Radio Database</w:t>
      </w:r>
      <w:r w:rsidRPr="003C560E">
        <w:rPr>
          <w:szCs w:val="22"/>
        </w:rPr>
        <w:t xml:space="preserve"> </w:t>
      </w:r>
      <w:r w:rsidRPr="003C560E">
        <w:rPr>
          <w:rStyle w:val="documentbody1"/>
          <w:rFonts w:ascii="Times New Roman" w:hAnsi="Times New Roman"/>
          <w:color w:val="000000"/>
          <w:sz w:val="22"/>
          <w:szCs w:val="22"/>
        </w:rPr>
        <w:t>on March 28, 2012, about 10,759 (97 percent) of 11,102 commercial radio stations had revenues of $38.5 million or less.  Therefore, the majority of such entities are small entities.</w:t>
      </w:r>
    </w:p>
    <w:p w:rsidR="006F7AD6" w:rsidRPr="003C560E" w:rsidP="006F7AD6" w14:paraId="09C91335" w14:textId="77777777">
      <w:pPr>
        <w:pStyle w:val="ParaNum"/>
        <w:rPr>
          <w:szCs w:val="22"/>
        </w:rPr>
      </w:pPr>
      <w:r w:rsidRPr="003C560E">
        <w:rPr>
          <w:szCs w:val="22"/>
        </w:rPr>
        <w:t>In assessing whether a business concern qualifies as small under the above size standard, business affiliations must be included.</w:t>
      </w:r>
      <w:r>
        <w:rPr>
          <w:szCs w:val="22"/>
          <w:vertAlign w:val="superscript"/>
        </w:rPr>
        <w:footnoteReference w:id="210"/>
      </w:r>
      <w:r w:rsidRPr="003C560E">
        <w:rPr>
          <w:szCs w:val="22"/>
        </w:rPr>
        <w:t xml:space="preserve">  In addition, to be determined to be a “small business,” the entity may not be dominant in its field of operation.</w:t>
      </w:r>
      <w:r>
        <w:rPr>
          <w:rStyle w:val="FootnoteReference"/>
          <w:sz w:val="22"/>
          <w:szCs w:val="22"/>
        </w:rPr>
        <w:footnoteReference w:id="211"/>
      </w:r>
      <w:r w:rsidRPr="003C560E">
        <w:rPr>
          <w:szCs w:val="22"/>
        </w:rPr>
        <w:t xml:space="preserve">  It is difficult at times to assess these criteria in the context of media entities, and our estimate of small businesses may therefore be over-inclusive.</w:t>
      </w:r>
    </w:p>
    <w:p w:rsidR="006F7AD6" w:rsidRPr="003C560E" w:rsidP="006F7AD6" w14:paraId="01F28238" w14:textId="77777777">
      <w:pPr>
        <w:pStyle w:val="ParaNum"/>
        <w:rPr>
          <w:szCs w:val="22"/>
        </w:rPr>
      </w:pPr>
      <w:r w:rsidRPr="003C560E">
        <w:rPr>
          <w:b/>
          <w:szCs w:val="22"/>
        </w:rPr>
        <w:t>Cable Television and other Subscription Programming</w:t>
      </w:r>
      <w:r w:rsidRPr="003C560E">
        <w:rPr>
          <w:szCs w:val="22"/>
        </w:rPr>
        <w:t>.  This industry comprises establishments primarily engaged in operating studios and facilities for the broadcasting of programs on a subscription or fee basis.  The broadcast programming is typically narrowcast in nature, e.g., limited format, such as news, sports, education, or youth-oriented.  These establishments produce programming in their own facilities or acquire programming from external sources.  The programming material is usually delivered to a third party, such as cable systems or direct-to-home satellite systems, for transmission to viewers.</w:t>
      </w:r>
      <w:r>
        <w:rPr>
          <w:rStyle w:val="FootnoteReference"/>
          <w:sz w:val="22"/>
          <w:szCs w:val="22"/>
        </w:rPr>
        <w:footnoteReference w:id="212"/>
      </w:r>
      <w:r w:rsidRPr="003C560E">
        <w:rPr>
          <w:szCs w:val="22"/>
        </w:rPr>
        <w:t xml:space="preserve">  The SBA has established a size standard for this industry of $38.5 million or less.  Census data for 2012 shows that there were 367 firms that operated that year.</w:t>
      </w:r>
      <w:r>
        <w:rPr>
          <w:rStyle w:val="FootnoteReference"/>
          <w:spacing w:val="-2"/>
          <w:sz w:val="22"/>
          <w:szCs w:val="22"/>
        </w:rPr>
        <w:footnoteReference w:id="213"/>
      </w:r>
      <w:r w:rsidRPr="003C560E">
        <w:rPr>
          <w:szCs w:val="22"/>
        </w:rPr>
        <w:t xml:space="preserve">  Of this total, 319 operated with annual receipts of less than $25 million.</w:t>
      </w:r>
      <w:r>
        <w:rPr>
          <w:rStyle w:val="FootnoteReference"/>
          <w:sz w:val="22"/>
          <w:szCs w:val="22"/>
        </w:rPr>
        <w:footnoteReference w:id="214"/>
      </w:r>
      <w:r w:rsidRPr="003C560E">
        <w:rPr>
          <w:szCs w:val="22"/>
        </w:rPr>
        <w:t xml:space="preserve">  Thus under this size standard, the majority of firms offering cable and other program distribution services can be considered small and may be affected by rules proposed in this </w:t>
      </w:r>
      <w:r w:rsidRPr="003C560E">
        <w:rPr>
          <w:i/>
          <w:szCs w:val="22"/>
        </w:rPr>
        <w:t>Notice</w:t>
      </w:r>
      <w:r w:rsidRPr="003C560E">
        <w:rPr>
          <w:szCs w:val="22"/>
        </w:rPr>
        <w:t>.</w:t>
      </w:r>
    </w:p>
    <w:p w:rsidR="006F7AD6" w:rsidRPr="003C560E" w:rsidP="006F7AD6" w14:paraId="4F7A4707" w14:textId="77777777">
      <w:pPr>
        <w:pStyle w:val="ParaNum"/>
        <w:widowControl/>
        <w:rPr>
          <w:szCs w:val="22"/>
        </w:rPr>
      </w:pPr>
      <w:r w:rsidRPr="003C560E">
        <w:rPr>
          <w:b/>
          <w:szCs w:val="22"/>
        </w:rPr>
        <w:t>Cable Companies and Systems</w:t>
      </w:r>
      <w:r w:rsidRPr="003C560E">
        <w:rPr>
          <w:szCs w:val="22"/>
        </w:rPr>
        <w:t>.  The Commission has developed its own small business size standards for the purpose of cable rate regulation.  Under the Commission’s rules, a “small cable company” is one serving 400,000 or fewer subscribers nationwide.</w:t>
      </w:r>
      <w:r>
        <w:rPr>
          <w:rStyle w:val="FootnoteReference"/>
          <w:sz w:val="22"/>
          <w:szCs w:val="22"/>
        </w:rPr>
        <w:footnoteReference w:id="215"/>
      </w:r>
      <w:r w:rsidRPr="003C560E">
        <w:rPr>
          <w:szCs w:val="22"/>
        </w:rPr>
        <w:t xml:space="preserve">  Industry data indicate that there are currently 4,600 active cable systems in the United States.</w:t>
      </w:r>
      <w:r>
        <w:rPr>
          <w:rStyle w:val="FootnoteReference"/>
          <w:sz w:val="22"/>
          <w:szCs w:val="22"/>
        </w:rPr>
        <w:footnoteReference w:id="216"/>
      </w:r>
      <w:r w:rsidRPr="003C560E">
        <w:rPr>
          <w:szCs w:val="22"/>
        </w:rPr>
        <w:t xml:space="preserve">  Of this total, all but ten cable operators nationwide are small under the 400,000-subscriber size standard.</w:t>
      </w:r>
      <w:r>
        <w:rPr>
          <w:rStyle w:val="FootnoteReference"/>
          <w:sz w:val="22"/>
          <w:szCs w:val="22"/>
        </w:rPr>
        <w:footnoteReference w:id="217"/>
      </w:r>
      <w:r w:rsidRPr="003C560E">
        <w:rPr>
          <w:szCs w:val="22"/>
        </w:rPr>
        <w:t xml:space="preserve">  In addition, under the Commission's rate regulation rules, a “small system” is a cable system serving 15,000 or fewer subscribers.</w:t>
      </w:r>
      <w:r>
        <w:rPr>
          <w:rStyle w:val="FootnoteReference"/>
          <w:sz w:val="22"/>
          <w:szCs w:val="22"/>
        </w:rPr>
        <w:footnoteReference w:id="218"/>
      </w:r>
      <w:r w:rsidRPr="003C560E">
        <w:rPr>
          <w:szCs w:val="22"/>
        </w:rPr>
        <w:t xml:space="preserve">  Current Commission records show 4,600 cable systems nationwide.</w:t>
      </w:r>
      <w:r>
        <w:rPr>
          <w:rStyle w:val="FootnoteReference"/>
          <w:sz w:val="22"/>
          <w:szCs w:val="22"/>
        </w:rPr>
        <w:footnoteReference w:id="219"/>
      </w:r>
      <w:r w:rsidRPr="003C560E">
        <w:rPr>
          <w:szCs w:val="22"/>
        </w:rPr>
        <w:t xml:space="preserve">  Of this total, 3,900 cable systems have less than 15,000 subscribers, and 700 systems have 15,000 or more subscribers, based on the same records.</w:t>
      </w:r>
      <w:r>
        <w:rPr>
          <w:rStyle w:val="FootnoteReference"/>
          <w:sz w:val="22"/>
          <w:szCs w:val="22"/>
        </w:rPr>
        <w:footnoteReference w:id="220"/>
      </w:r>
      <w:r w:rsidRPr="003C560E">
        <w:rPr>
          <w:szCs w:val="22"/>
        </w:rPr>
        <w:t xml:space="preserve">  Thus, under this standard as well, the Commission estimates that most cable systems are small entities.</w:t>
      </w:r>
    </w:p>
    <w:p w:rsidR="006F7AD6" w:rsidRPr="003C560E" w:rsidP="006F7AD6" w14:paraId="2103C997" w14:textId="77777777">
      <w:pPr>
        <w:pStyle w:val="ParaNum"/>
        <w:rPr>
          <w:szCs w:val="22"/>
        </w:rPr>
      </w:pPr>
      <w:r w:rsidRPr="003C560E">
        <w:rPr>
          <w:b/>
          <w:szCs w:val="22"/>
        </w:rPr>
        <w:t>Cable System Operators (Telecom Act Standard)</w:t>
      </w:r>
      <w:r w:rsidRPr="003C560E">
        <w:rPr>
          <w:szCs w:val="22"/>
        </w:rPr>
        <w:t>.  The Communications Act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sidRPr="003C560E">
        <w:rPr>
          <w:rStyle w:val="FootnoteReference"/>
          <w:sz w:val="22"/>
          <w:szCs w:val="22"/>
        </w:rPr>
        <w:t xml:space="preserve"> </w:t>
      </w:r>
      <w:r>
        <w:rPr>
          <w:rStyle w:val="FootnoteReference"/>
          <w:sz w:val="22"/>
          <w:szCs w:val="22"/>
        </w:rPr>
        <w:footnoteReference w:id="221"/>
      </w:r>
      <w:r w:rsidRPr="003C560E">
        <w:rPr>
          <w:szCs w:val="22"/>
        </w:rPr>
        <w:t xml:space="preserve">  There are approximately 52,403,705 cable video subscribers in the United States today.</w:t>
      </w:r>
      <w:r>
        <w:rPr>
          <w:rStyle w:val="FootnoteReference"/>
          <w:sz w:val="22"/>
          <w:szCs w:val="22"/>
        </w:rPr>
        <w:footnoteReference w:id="222"/>
      </w:r>
      <w:r w:rsidRPr="003C560E">
        <w:rPr>
          <w:szCs w:val="22"/>
        </w:rPr>
        <w:t xml:space="preserve">  Accordingly, an operator serving fewer than 524,037 subscribers shall be deemed a small operator if its annual revenues, when combined with the total annual revenues of all its affiliates, do not exceed $250 million in the aggregate.</w:t>
      </w:r>
      <w:r>
        <w:rPr>
          <w:rStyle w:val="FootnoteReference"/>
          <w:sz w:val="22"/>
          <w:szCs w:val="22"/>
        </w:rPr>
        <w:footnoteReference w:id="223"/>
      </w:r>
      <w:r w:rsidRPr="003C560E">
        <w:rPr>
          <w:szCs w:val="22"/>
        </w:rPr>
        <w:t xml:space="preserve">  Based on available data, we find that all but nine incumbent cable operators are small entities under this size standard.</w:t>
      </w:r>
      <w:r>
        <w:rPr>
          <w:rStyle w:val="FootnoteReference"/>
          <w:sz w:val="22"/>
          <w:szCs w:val="22"/>
        </w:rPr>
        <w:footnoteReference w:id="224"/>
      </w:r>
      <w:r w:rsidRPr="003C560E">
        <w:rPr>
          <w:szCs w:val="22"/>
        </w:rPr>
        <w:t xml:space="preserve">  The Commission neither requests nor collects information on whether cable system operators are affiliated with entities whose gross annual revenues exceed $250 million.</w:t>
      </w:r>
      <w:r>
        <w:rPr>
          <w:rStyle w:val="FootnoteReference"/>
          <w:sz w:val="22"/>
          <w:szCs w:val="22"/>
        </w:rPr>
        <w:footnoteReference w:id="225"/>
      </w:r>
      <w:r w:rsidRPr="003C560E">
        <w:rPr>
          <w:szCs w:val="22"/>
        </w:rPr>
        <w:t xml:space="preserve">  Although it seems certain that some of these cable system operators are affiliated with entities whose gross annual revenues exceed $250,000,000, we are unable at this time to estimate with greater precision the number of cable system operators that would qualify as small cable operators under the definition in the Communications Act.</w:t>
      </w:r>
    </w:p>
    <w:p w:rsidR="006F7AD6" w:rsidRPr="003C560E" w:rsidP="006F7AD6" w14:paraId="29595B81" w14:textId="77777777">
      <w:pPr>
        <w:pStyle w:val="ParaNum"/>
        <w:rPr>
          <w:szCs w:val="22"/>
        </w:rPr>
      </w:pPr>
      <w:r w:rsidRPr="003C560E">
        <w:rPr>
          <w:b/>
          <w:szCs w:val="22"/>
        </w:rPr>
        <w:t>Direct Broadcast Satellite (DBS) Service</w:t>
      </w:r>
      <w:r w:rsidRPr="003C560E">
        <w:rPr>
          <w:szCs w:val="22"/>
        </w:rPr>
        <w:t>.  DBS Service is a nationally distributed subscription service that delivers video and audio programming via satellite to a small parabolic dish antenna at the subscriber’s location.  DBS is now included in SBA’s economic census category “Wired Telecommunications Carriers.”  The Wired Telecommunications Carriers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rStyle w:val="FootnoteReference"/>
          <w:sz w:val="22"/>
          <w:szCs w:val="22"/>
        </w:rPr>
        <w:footnoteReference w:id="226"/>
      </w:r>
      <w:r w:rsidRPr="003C560E">
        <w:rPr>
          <w:szCs w:val="22"/>
        </w:rPr>
        <w:t xml:space="preserve">  The SBA determines that a wireline business is small if it has fewer than 1500 employees.</w:t>
      </w:r>
      <w:r>
        <w:rPr>
          <w:rStyle w:val="FootnoteReference"/>
          <w:sz w:val="22"/>
          <w:szCs w:val="22"/>
        </w:rPr>
        <w:footnoteReference w:id="227"/>
      </w:r>
      <w:r w:rsidRPr="003C560E">
        <w:rPr>
          <w:szCs w:val="22"/>
        </w:rPr>
        <w:t xml:space="preserve">  Census data for 2012 indicate that 3,117 wireline companies were operational during that year.  Of that number, 3,083 operated with fewer than 1,000 employees.</w:t>
      </w:r>
      <w:r>
        <w:rPr>
          <w:rStyle w:val="FootnoteReference"/>
          <w:sz w:val="22"/>
          <w:szCs w:val="22"/>
        </w:rPr>
        <w:footnoteReference w:id="228"/>
      </w:r>
      <w:r w:rsidRPr="003C560E">
        <w:rPr>
          <w:szCs w:val="22"/>
        </w:rPr>
        <w:t xml:space="preserve">  Based on that data, we conclude that the majority of wireline firms are small under the applicable standard.  However, currently only two entities provide DBS service, which requires a great deal of capital for operation: AT&amp;T and DISH Network.</w:t>
      </w:r>
      <w:r>
        <w:rPr>
          <w:rStyle w:val="FootnoteReference"/>
          <w:sz w:val="22"/>
          <w:szCs w:val="22"/>
        </w:rPr>
        <w:footnoteReference w:id="229"/>
      </w:r>
      <w:r w:rsidRPr="003C560E">
        <w:rPr>
          <w:szCs w:val="22"/>
        </w:rPr>
        <w:t xml:space="preserve">  AT&amp;T and DISH Network each report annual revenues that are in excess of the threshold for a small business.  Accordingly, we must conclude that DBS service is provided only by large firms.</w:t>
      </w:r>
    </w:p>
    <w:p w:rsidR="006F7AD6" w:rsidRPr="003C560E" w:rsidP="006F7AD6" w14:paraId="64183FCC" w14:textId="77777777">
      <w:pPr>
        <w:pStyle w:val="ParaNum"/>
        <w:rPr>
          <w:szCs w:val="22"/>
        </w:rPr>
      </w:pPr>
      <w:r w:rsidRPr="003C560E">
        <w:rPr>
          <w:b/>
          <w:szCs w:val="22"/>
        </w:rPr>
        <w:t>All Other Telecommunications</w:t>
      </w:r>
      <w:r w:rsidRPr="003C560E">
        <w:rPr>
          <w:szCs w:val="22"/>
        </w:rPr>
        <w:t xml:space="preserve">.  </w:t>
      </w:r>
      <w:r w:rsidRPr="003C560E">
        <w:rPr>
          <w:b/>
          <w:szCs w:val="22"/>
        </w:rPr>
        <w:t>“</w:t>
      </w:r>
      <w:r w:rsidRPr="003C560E">
        <w:rPr>
          <w:szCs w:val="22"/>
        </w:rPr>
        <w:t>All Other Telecommunications” is defined as follows:  This U.S. industry is comprised of establishments that are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Pr>
          <w:rStyle w:val="FootnoteReference"/>
          <w:sz w:val="22"/>
          <w:szCs w:val="22"/>
        </w:rPr>
        <w:footnoteReference w:id="230"/>
      </w:r>
      <w:r w:rsidRPr="003C560E">
        <w:rPr>
          <w:szCs w:val="22"/>
        </w:rPr>
        <w:t xml:space="preserve">  The SBA has developed a small business size standard for “All Other Telecommunications,” which consists of all such firms with gross annual receipts of $32.5 million or less.</w:t>
      </w:r>
      <w:r>
        <w:rPr>
          <w:rStyle w:val="FootnoteReference"/>
          <w:sz w:val="22"/>
          <w:szCs w:val="22"/>
        </w:rPr>
        <w:footnoteReference w:id="231"/>
      </w:r>
      <w:r w:rsidRPr="003C560E">
        <w:rPr>
          <w:szCs w:val="22"/>
        </w:rPr>
        <w:t xml:space="preserve">  For this category, census data for 2012 show that there were 1,442 firms that operated for the entire year.  Of these firms, a total of 1,400 had gross annual receipts of less than $25 million.</w:t>
      </w:r>
      <w:r>
        <w:rPr>
          <w:rStyle w:val="FootnoteReference"/>
          <w:sz w:val="22"/>
          <w:szCs w:val="22"/>
        </w:rPr>
        <w:footnoteReference w:id="232"/>
      </w:r>
      <w:r w:rsidRPr="003C560E">
        <w:rPr>
          <w:szCs w:val="22"/>
        </w:rPr>
        <w:t xml:space="preserve">  Thus, a majority of “All Other Telecommunications” firms potentially affected by the proposals in the </w:t>
      </w:r>
      <w:r w:rsidRPr="003C560E">
        <w:rPr>
          <w:i/>
          <w:szCs w:val="22"/>
        </w:rPr>
        <w:t>Notice</w:t>
      </w:r>
      <w:r w:rsidRPr="003C560E">
        <w:rPr>
          <w:szCs w:val="22"/>
        </w:rPr>
        <w:t xml:space="preserve"> can be considered small. </w:t>
      </w:r>
    </w:p>
    <w:p w:rsidR="006F7AD6" w:rsidRPr="003C560E" w:rsidP="006F7AD6" w14:paraId="11547072" w14:textId="77777777">
      <w:pPr>
        <w:pStyle w:val="ParaNum"/>
        <w:rPr>
          <w:szCs w:val="22"/>
        </w:rPr>
      </w:pPr>
      <w:r w:rsidRPr="003C560E">
        <w:rPr>
          <w:b/>
          <w:szCs w:val="22"/>
        </w:rPr>
        <w:t>RespOrgs</w:t>
      </w:r>
      <w:r w:rsidRPr="003C560E">
        <w:rPr>
          <w:szCs w:val="22"/>
        </w:rPr>
        <w:t>.</w:t>
      </w:r>
      <w:r w:rsidRPr="003C560E">
        <w:rPr>
          <w:b/>
          <w:szCs w:val="22"/>
        </w:rPr>
        <w:t xml:space="preserve">  </w:t>
      </w:r>
      <w:r w:rsidRPr="003C560E">
        <w:rPr>
          <w:szCs w:val="22"/>
        </w:rPr>
        <w:t>Responsible Organizations, or RespOrgs, are entities chosen by toll free subscribers to manage and administer the appropriate records in the toll free Service Management System for the toll free subscriber.</w:t>
      </w:r>
      <w:r>
        <w:rPr>
          <w:rStyle w:val="FootnoteReference"/>
          <w:sz w:val="22"/>
          <w:szCs w:val="22"/>
        </w:rPr>
        <w:footnoteReference w:id="233"/>
      </w:r>
      <w:r w:rsidRPr="003C560E">
        <w:rPr>
          <w:szCs w:val="22"/>
        </w:rPr>
        <w:t xml:space="preserve">  Although RespOrgs are often wireline carriers, they can also include non-carrier entities.  Therefore, in the definition herein of RespOrgs, two categories are presented, i.e., Carrier RespOrgs and Non-Carrier RespOrgs.</w:t>
      </w:r>
    </w:p>
    <w:p w:rsidR="006F7AD6" w:rsidRPr="003C560E" w:rsidP="006F7AD6" w14:paraId="6F6A7823" w14:textId="77777777">
      <w:pPr>
        <w:pStyle w:val="ParaNum"/>
        <w:rPr>
          <w:szCs w:val="22"/>
        </w:rPr>
      </w:pPr>
      <w:r w:rsidRPr="003C560E">
        <w:rPr>
          <w:b/>
          <w:szCs w:val="22"/>
        </w:rPr>
        <w:t>Carrier RespOrgs</w:t>
      </w:r>
      <w:r w:rsidRPr="003C560E">
        <w:rPr>
          <w:szCs w:val="22"/>
        </w:rPr>
        <w:t>. Neither the Commission, the U.S. Census, nor the SBA have developed a definition for Carrier RespOrgs.  Accordingly, the Commission believes that the closest NAICS code-based definitional categories for Carrier RespOrgs are Wired Telecommunications Carriers,</w:t>
      </w:r>
      <w:r>
        <w:rPr>
          <w:rStyle w:val="FootnoteReference"/>
          <w:sz w:val="22"/>
          <w:szCs w:val="22"/>
        </w:rPr>
        <w:footnoteReference w:id="234"/>
      </w:r>
      <w:r w:rsidRPr="003C560E">
        <w:rPr>
          <w:szCs w:val="22"/>
        </w:rPr>
        <w:t xml:space="preserve"> and Wireless Telecommunications Carriers (except satellite).</w:t>
      </w:r>
      <w:r>
        <w:rPr>
          <w:rStyle w:val="FootnoteReference"/>
          <w:sz w:val="22"/>
          <w:szCs w:val="22"/>
        </w:rPr>
        <w:footnoteReference w:id="235"/>
      </w:r>
      <w:r w:rsidRPr="003C560E">
        <w:rPr>
          <w:szCs w:val="22"/>
        </w:rPr>
        <w:t xml:space="preserve"> </w:t>
      </w:r>
    </w:p>
    <w:p w:rsidR="006F7AD6" w:rsidRPr="003C560E" w:rsidP="006F7AD6" w14:paraId="628FD5CB" w14:textId="77777777">
      <w:pPr>
        <w:pStyle w:val="ParaNum"/>
        <w:rPr>
          <w:szCs w:val="22"/>
        </w:rPr>
      </w:pPr>
      <w:r w:rsidRPr="003C560E">
        <w:rPr>
          <w:szCs w:val="22"/>
        </w:rPr>
        <w:t xml:space="preserve">The U.S. Census Bureau defines </w:t>
      </w:r>
      <w:r w:rsidRPr="003C560E">
        <w:rPr>
          <w:b/>
          <w:szCs w:val="22"/>
        </w:rPr>
        <w:t>Wired Telecommunications Carriers</w:t>
      </w:r>
      <w:r w:rsidRPr="003C560E">
        <w:rPr>
          <w:szCs w:val="22"/>
        </w:rPr>
        <w:t xml:space="preserve">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rStyle w:val="FootnoteReference"/>
          <w:sz w:val="22"/>
          <w:szCs w:val="22"/>
        </w:rPr>
        <w:footnoteReference w:id="236"/>
      </w:r>
      <w:r w:rsidRPr="003C560E">
        <w:rPr>
          <w:szCs w:val="22"/>
        </w:rPr>
        <w:t xml:space="preserve">  The SBA has developed a small business size standard for Wired Telecommunications Carriers, which consists of all such companies having 1,500 or fewer employees.</w:t>
      </w:r>
      <w:r>
        <w:rPr>
          <w:rStyle w:val="FootnoteReference"/>
          <w:sz w:val="22"/>
          <w:szCs w:val="22"/>
        </w:rPr>
        <w:footnoteReference w:id="237"/>
      </w:r>
      <w:r w:rsidRPr="003C560E">
        <w:rPr>
          <w:szCs w:val="22"/>
        </w:rPr>
        <w:t xml:space="preserve">  Census data for 2012 show that there were 3,117 Wired Telecommunications Carrier firms that operated for that entire year.  Of that number, 3,083 operated with less than 1,000 employees.</w:t>
      </w:r>
      <w:r>
        <w:rPr>
          <w:rStyle w:val="FootnoteReference"/>
          <w:sz w:val="22"/>
          <w:szCs w:val="22"/>
        </w:rPr>
        <w:footnoteReference w:id="238"/>
      </w:r>
      <w:r w:rsidRPr="003C560E">
        <w:rPr>
          <w:szCs w:val="22"/>
        </w:rPr>
        <w:t xml:space="preserve">  Based on that data, we conclude that the majority of Carrier RespOrgs that operated with wireline-based technology are small.</w:t>
      </w:r>
    </w:p>
    <w:p w:rsidR="006F7AD6" w:rsidRPr="003C560E" w:rsidP="006F7AD6" w14:paraId="4309A8FC" w14:textId="77777777">
      <w:pPr>
        <w:pStyle w:val="ParaNum"/>
        <w:rPr>
          <w:szCs w:val="22"/>
        </w:rPr>
      </w:pPr>
      <w:r w:rsidRPr="003C560E">
        <w:rPr>
          <w:szCs w:val="22"/>
        </w:rPr>
        <w:t xml:space="preserve">The U.S. Census Bureau defines </w:t>
      </w:r>
      <w:r w:rsidRPr="003C560E">
        <w:rPr>
          <w:b/>
          <w:szCs w:val="22"/>
        </w:rPr>
        <w:t>Wireless Telecommunications Carriers (except satellite</w:t>
      </w:r>
      <w:r w:rsidRPr="003C560E">
        <w:rPr>
          <w:szCs w:val="22"/>
        </w:rPr>
        <w:t>) as establishments engaged in operating and maintaining switching and transmission facilities to provide communications via the airwaves, such as cellular services, paging services, wireless internet access, and wireless video services.</w:t>
      </w:r>
      <w:r>
        <w:rPr>
          <w:rStyle w:val="FootnoteReference"/>
          <w:sz w:val="22"/>
          <w:szCs w:val="22"/>
        </w:rPr>
        <w:footnoteReference w:id="239"/>
      </w:r>
      <w:r w:rsidRPr="003C560E">
        <w:rPr>
          <w:szCs w:val="22"/>
        </w:rPr>
        <w:t xml:space="preserve">  The appropriate size standard under SBA rules is that such a business is small if it has 1,500 or fewer employees.</w:t>
      </w:r>
      <w:r>
        <w:rPr>
          <w:rStyle w:val="FootnoteReference"/>
          <w:sz w:val="22"/>
          <w:szCs w:val="22"/>
        </w:rPr>
        <w:footnoteReference w:id="240"/>
      </w:r>
      <w:r w:rsidRPr="003C560E">
        <w:rPr>
          <w:szCs w:val="22"/>
        </w:rPr>
        <w:t xml:space="preserve">  Census data for 2012 show that 967 Wireless Telecommunications Carriers operated in that year.  Of that number, 955 operated with less than 1,000 employees.</w:t>
      </w:r>
      <w:r>
        <w:rPr>
          <w:rStyle w:val="FootnoteReference"/>
          <w:sz w:val="22"/>
          <w:szCs w:val="22"/>
        </w:rPr>
        <w:footnoteReference w:id="241"/>
      </w:r>
      <w:r w:rsidRPr="003C560E">
        <w:rPr>
          <w:szCs w:val="22"/>
        </w:rPr>
        <w:t xml:space="preserve">  Based on that data, we conclude that the majority of Carrier RespOrgs that operated with wireless-based technology are small.</w:t>
      </w:r>
    </w:p>
    <w:p w:rsidR="006F7AD6" w:rsidRPr="003C560E" w:rsidP="006F7AD6" w14:paraId="64A49606" w14:textId="77777777">
      <w:pPr>
        <w:pStyle w:val="ParaNum"/>
        <w:rPr>
          <w:szCs w:val="22"/>
        </w:rPr>
      </w:pPr>
      <w:r w:rsidRPr="003C560E">
        <w:rPr>
          <w:b/>
          <w:szCs w:val="22"/>
        </w:rPr>
        <w:t>Non-Carrier RespOrgs</w:t>
      </w:r>
      <w:r w:rsidRPr="003C560E">
        <w:rPr>
          <w:szCs w:val="22"/>
        </w:rPr>
        <w:t xml:space="preserve">. </w:t>
      </w:r>
      <w:r w:rsidRPr="003C560E">
        <w:rPr>
          <w:b/>
          <w:szCs w:val="22"/>
        </w:rPr>
        <w:t xml:space="preserve"> </w:t>
      </w:r>
      <w:r w:rsidRPr="003C560E">
        <w:rPr>
          <w:szCs w:val="22"/>
        </w:rPr>
        <w:t>Neither the Commission, the U.S. Census, nor the SBA have developed a definition of Non-Carrier RespOrgs.  Accordingly, the Commission believes that the closest NAICS code-based definitional categories for Non-Carrier RespOrgs are “Other Services Related to Advertising”</w:t>
      </w:r>
      <w:r>
        <w:rPr>
          <w:rStyle w:val="FootnoteReference"/>
          <w:sz w:val="22"/>
          <w:szCs w:val="22"/>
        </w:rPr>
        <w:footnoteReference w:id="242"/>
      </w:r>
      <w:r w:rsidRPr="003C560E">
        <w:rPr>
          <w:szCs w:val="22"/>
        </w:rPr>
        <w:t xml:space="preserve"> and “Other Management Consulting Services.”</w:t>
      </w:r>
      <w:r>
        <w:rPr>
          <w:rStyle w:val="FootnoteReference"/>
          <w:sz w:val="22"/>
          <w:szCs w:val="22"/>
        </w:rPr>
        <w:footnoteReference w:id="243"/>
      </w:r>
    </w:p>
    <w:p w:rsidR="006F7AD6" w:rsidRPr="003C560E" w:rsidP="006F7AD6" w14:paraId="191C5327" w14:textId="77777777">
      <w:pPr>
        <w:pStyle w:val="ParaNum"/>
        <w:rPr>
          <w:szCs w:val="22"/>
        </w:rPr>
      </w:pPr>
      <w:r w:rsidRPr="003C560E">
        <w:rPr>
          <w:szCs w:val="22"/>
        </w:rPr>
        <w:t xml:space="preserve">The U.S. Census defines </w:t>
      </w:r>
      <w:r w:rsidRPr="003C560E">
        <w:rPr>
          <w:b/>
          <w:szCs w:val="22"/>
        </w:rPr>
        <w:t xml:space="preserve">Other Services Related to Advertising </w:t>
      </w:r>
      <w:r w:rsidRPr="003C560E">
        <w:rPr>
          <w:szCs w:val="22"/>
        </w:rPr>
        <w:t>as comprising establishments primarily engaged in providing advertising services (except advertising agency services, public relations agency services, media buying agency services, media representative services, display advertising services, direct mail advertising services, advertising material distribution services, and marketing consulting services).</w:t>
      </w:r>
      <w:r>
        <w:rPr>
          <w:rStyle w:val="FootnoteReference"/>
          <w:sz w:val="22"/>
          <w:szCs w:val="22"/>
        </w:rPr>
        <w:footnoteReference w:id="244"/>
      </w:r>
      <w:r w:rsidRPr="003C560E">
        <w:rPr>
          <w:szCs w:val="22"/>
        </w:rPr>
        <w:t xml:space="preserve">  The SBA has established a size standard for this industry as annual receipts of $15 million dollars or less.</w:t>
      </w:r>
      <w:r>
        <w:rPr>
          <w:rStyle w:val="FootnoteReference"/>
          <w:sz w:val="22"/>
          <w:szCs w:val="22"/>
        </w:rPr>
        <w:footnoteReference w:id="245"/>
      </w:r>
      <w:r w:rsidRPr="003C560E">
        <w:rPr>
          <w:szCs w:val="22"/>
        </w:rPr>
        <w:t xml:space="preserve">  Census data for 2012 show that 5,804 firms operated in this industry for the entire year.  Of that number, 5,</w:t>
      </w:r>
      <w:r>
        <w:rPr>
          <w:szCs w:val="22"/>
        </w:rPr>
        <w:t>612</w:t>
      </w:r>
      <w:r w:rsidRPr="003C560E">
        <w:rPr>
          <w:szCs w:val="22"/>
        </w:rPr>
        <w:t xml:space="preserve"> operated with annual receipts of less than $10 million.</w:t>
      </w:r>
      <w:r>
        <w:rPr>
          <w:rStyle w:val="FootnoteReference"/>
          <w:sz w:val="22"/>
          <w:szCs w:val="22"/>
        </w:rPr>
        <w:footnoteReference w:id="246"/>
      </w:r>
      <w:r w:rsidRPr="003C560E">
        <w:rPr>
          <w:szCs w:val="22"/>
        </w:rPr>
        <w:t xml:space="preserve">  Based on that data we conclude that the majority of Non-Carrier RespOrgs who provide toll-free number (TFN)-related advertising services are small.</w:t>
      </w:r>
    </w:p>
    <w:p w:rsidR="006F7AD6" w:rsidRPr="003C560E" w:rsidP="006F7AD6" w14:paraId="6EAEB304" w14:textId="77777777">
      <w:pPr>
        <w:pStyle w:val="ParaNum"/>
        <w:rPr>
          <w:szCs w:val="22"/>
        </w:rPr>
      </w:pPr>
      <w:r w:rsidRPr="003C560E">
        <w:rPr>
          <w:szCs w:val="22"/>
        </w:rPr>
        <w:t xml:space="preserve">The U.S. Census defines </w:t>
      </w:r>
      <w:r w:rsidRPr="003C560E">
        <w:rPr>
          <w:b/>
          <w:szCs w:val="22"/>
        </w:rPr>
        <w:t xml:space="preserve">Other Management Consulting Services </w:t>
      </w:r>
      <w:r w:rsidRPr="003C560E">
        <w:rPr>
          <w:szCs w:val="22"/>
        </w:rPr>
        <w:t>as establishments primarily engaged in providing management consulting services (except administrative and general management consulting; human resources consulting; marketing consulting; or process, physical distribution, and logistics consulting).  Establishments providing telecommunications or utilities management consulting services are included in this industry.</w:t>
      </w:r>
      <w:r>
        <w:rPr>
          <w:rStyle w:val="FootnoteReference"/>
          <w:sz w:val="22"/>
          <w:szCs w:val="22"/>
        </w:rPr>
        <w:footnoteReference w:id="247"/>
      </w:r>
      <w:r w:rsidRPr="003C560E">
        <w:rPr>
          <w:szCs w:val="22"/>
        </w:rPr>
        <w:t xml:space="preserve">  The SBA has established a size standard for this industry of $15 million dollars or less.</w:t>
      </w:r>
      <w:r>
        <w:rPr>
          <w:rStyle w:val="FootnoteReference"/>
          <w:sz w:val="22"/>
          <w:szCs w:val="22"/>
        </w:rPr>
        <w:footnoteReference w:id="248"/>
      </w:r>
      <w:r w:rsidRPr="003C560E">
        <w:rPr>
          <w:szCs w:val="22"/>
        </w:rPr>
        <w:t xml:space="preserve">  Census data for 2012 show that 3,683 firms operated in this industry for that entire year.  Of that number, 3,632 operated with less than $10 million in annual receipts.</w:t>
      </w:r>
      <w:r>
        <w:rPr>
          <w:rStyle w:val="FootnoteReference"/>
          <w:sz w:val="22"/>
          <w:szCs w:val="22"/>
        </w:rPr>
        <w:footnoteReference w:id="249"/>
      </w:r>
      <w:r w:rsidRPr="003C560E">
        <w:rPr>
          <w:szCs w:val="22"/>
        </w:rPr>
        <w:t xml:space="preserve">  Based on this data, we conclude that a majority of non-carrier RespOrgs who provide TFN-related management consulting services are small.</w:t>
      </w:r>
      <w:r>
        <w:rPr>
          <w:rStyle w:val="FootnoteReference"/>
          <w:sz w:val="22"/>
          <w:szCs w:val="22"/>
        </w:rPr>
        <w:footnoteReference w:id="250"/>
      </w:r>
    </w:p>
    <w:p w:rsidR="006F7AD6" w:rsidRPr="003C560E" w:rsidP="006F7AD6" w14:paraId="3F1694F8" w14:textId="77777777">
      <w:pPr>
        <w:pStyle w:val="ParaNum"/>
        <w:rPr>
          <w:szCs w:val="22"/>
        </w:rPr>
      </w:pPr>
      <w:r w:rsidRPr="003C560E">
        <w:rPr>
          <w:szCs w:val="22"/>
        </w:rPr>
        <w:t>In addition to the data contained in the four (see above) U.S. Census NAICS code categories that provide definitions of what services and functions the Carrier and Non-Carrier RespOrgs provide, Somos, the trade association that monitors RespOrg activities, compiled data showing that as of July 1, 2016 there were 23 RespOrgs operational in Canada and 436 RespOrgs operational in the United States, for a total of 459 RespOrgs currently registered with Somos.</w:t>
      </w:r>
    </w:p>
    <w:p w:rsidR="006F7AD6" w:rsidRPr="003C560E" w:rsidP="006F7AD6" w14:paraId="605DB2F4" w14:textId="77777777">
      <w:pPr>
        <w:pStyle w:val="Heading2"/>
        <w:numPr>
          <w:ilvl w:val="1"/>
          <w:numId w:val="12"/>
        </w:numPr>
        <w:rPr>
          <w:szCs w:val="22"/>
        </w:rPr>
      </w:pPr>
      <w:bookmarkStart w:id="45" w:name="_Toc6326159"/>
      <w:r w:rsidRPr="003C560E">
        <w:rPr>
          <w:szCs w:val="22"/>
        </w:rPr>
        <w:t>Description of Projected Reporting, Recordkeeping and Other Compliance Requirements</w:t>
      </w:r>
      <w:bookmarkEnd w:id="45"/>
    </w:p>
    <w:p w:rsidR="006F7AD6" w:rsidRPr="003C560E" w:rsidP="006F7AD6" w14:paraId="05A711B6" w14:textId="77777777">
      <w:pPr>
        <w:pStyle w:val="ParaNum"/>
        <w:rPr>
          <w:szCs w:val="22"/>
        </w:rPr>
      </w:pPr>
      <w:r w:rsidRPr="003C560E">
        <w:rPr>
          <w:szCs w:val="22"/>
        </w:rPr>
        <w:t>This</w:t>
      </w:r>
      <w:r w:rsidRPr="003C560E">
        <w:rPr>
          <w:i/>
          <w:szCs w:val="22"/>
        </w:rPr>
        <w:t xml:space="preserve"> Notice</w:t>
      </w:r>
      <w:r w:rsidRPr="003C560E">
        <w:rPr>
          <w:szCs w:val="22"/>
        </w:rPr>
        <w:t xml:space="preserve"> does not propose any changes to the Commission’s current information collection, reporting, recordkeeping, or compliance requirements. </w:t>
      </w:r>
    </w:p>
    <w:p w:rsidR="006F7AD6" w:rsidRPr="003C560E" w:rsidP="006F7AD6" w14:paraId="755F2923" w14:textId="77777777">
      <w:pPr>
        <w:pStyle w:val="Heading2"/>
        <w:numPr>
          <w:ilvl w:val="1"/>
          <w:numId w:val="12"/>
        </w:numPr>
        <w:rPr>
          <w:szCs w:val="22"/>
        </w:rPr>
      </w:pPr>
      <w:bookmarkStart w:id="46" w:name="_Toc6326160"/>
      <w:r w:rsidRPr="003C560E">
        <w:rPr>
          <w:szCs w:val="22"/>
        </w:rPr>
        <w:t>Steps Taken to Minimize Significant Economic Impact on Small Entities, and Significant Alternatives Considered</w:t>
      </w:r>
      <w:bookmarkEnd w:id="46"/>
    </w:p>
    <w:p w:rsidR="006F7AD6" w:rsidRPr="003C560E" w:rsidP="006F7AD6" w14:paraId="5EBA227E" w14:textId="77777777">
      <w:pPr>
        <w:pStyle w:val="ParaNum"/>
        <w:rPr>
          <w:szCs w:val="22"/>
        </w:rPr>
      </w:pPr>
      <w:r w:rsidRPr="003C560E">
        <w:rPr>
          <w:szCs w:val="22"/>
        </w:rPr>
        <w:t>The RFA requires an agency to describe any significant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rStyle w:val="FootnoteReference"/>
          <w:spacing w:val="-2"/>
          <w:sz w:val="22"/>
          <w:szCs w:val="22"/>
        </w:rPr>
        <w:footnoteReference w:id="251"/>
      </w:r>
      <w:r w:rsidRPr="003C560E">
        <w:rPr>
          <w:szCs w:val="22"/>
        </w:rPr>
        <w:t xml:space="preserve">  </w:t>
      </w:r>
    </w:p>
    <w:p w:rsidR="006F7AD6" w:rsidP="006F7AD6" w14:paraId="25CA2281" w14:textId="77777777">
      <w:pPr>
        <w:pStyle w:val="ParaNum"/>
      </w:pPr>
      <w:r w:rsidRPr="003C560E">
        <w:rPr>
          <w:szCs w:val="22"/>
        </w:rPr>
        <w:t xml:space="preserve">This </w:t>
      </w:r>
      <w:r w:rsidRPr="003C560E">
        <w:rPr>
          <w:i/>
          <w:szCs w:val="22"/>
        </w:rPr>
        <w:t>Notice</w:t>
      </w:r>
      <w:r w:rsidRPr="003C560E">
        <w:rPr>
          <w:szCs w:val="22"/>
        </w:rPr>
        <w:t xml:space="preserve"> seeks comment on the Commission’s regulatory fee collection for Fiscal Year 2019, as required by Congress each year.  Specifically, the Commission asks for comment each year in the Regulatory Flexibility Analysis on how to minimize adverse economic impact, imposed by our proposed rules, on small entities.  </w:t>
      </w:r>
      <w:r>
        <w:rPr>
          <w:szCs w:val="22"/>
        </w:rPr>
        <w:t xml:space="preserve">Additionally, this year the Commission sought comment on how modifications to </w:t>
      </w:r>
      <w:r>
        <w:t>section 9 of the Communications Act in the RAY BAUM’S Act, impacted the Commission’s core responsibilities under the statute.  As discussed in the order, the Commission remains charged with ensuring that regulatory fees will result in collections of amounts that can reasonably be expected to equal amounts appropriated by Congress for each fiscal year.</w:t>
      </w:r>
      <w:r>
        <w:rPr>
          <w:rStyle w:val="FootnoteReference"/>
          <w:szCs w:val="22"/>
        </w:rPr>
        <w:footnoteReference w:id="252"/>
      </w:r>
      <w:r>
        <w:t xml:space="preserve">  We find that t</w:t>
      </w:r>
      <w:r w:rsidRPr="001E07D8">
        <w:t xml:space="preserve">he scheme as articulated under </w:t>
      </w:r>
      <w:r>
        <w:t>the RAY BAUM’S Act</w:t>
      </w:r>
      <w:r w:rsidRPr="001E07D8">
        <w:t xml:space="preserve"> is closely aligned to how the Commission implemented its authority under the prior version of</w:t>
      </w:r>
      <w:r>
        <w:t xml:space="preserve"> section 9 of the Communications Act</w:t>
      </w:r>
      <w:r w:rsidRPr="001E07D8">
        <w:t>.</w:t>
      </w:r>
    </w:p>
    <w:p w:rsidR="006F7AD6" w:rsidRPr="003C560E" w:rsidP="006F7AD6" w14:paraId="569A6376" w14:textId="77777777">
      <w:pPr>
        <w:pStyle w:val="ParaNum"/>
        <w:widowControl/>
        <w:rPr>
          <w:szCs w:val="22"/>
        </w:rPr>
      </w:pPr>
      <w:r>
        <w:rPr>
          <w:szCs w:val="22"/>
        </w:rPr>
        <w:t xml:space="preserve"> </w:t>
      </w:r>
      <w:r w:rsidRPr="003C560E">
        <w:rPr>
          <w:szCs w:val="22"/>
        </w:rPr>
        <w:t xml:space="preserve">The </w:t>
      </w:r>
      <w:r w:rsidRPr="003C560E">
        <w:rPr>
          <w:i/>
          <w:szCs w:val="22"/>
        </w:rPr>
        <w:t>Notice</w:t>
      </w:r>
      <w:r w:rsidRPr="003C560E">
        <w:rPr>
          <w:szCs w:val="22"/>
        </w:rPr>
        <w:t xml:space="preserve"> seeks comment on the Commission’s proposed regulatory fees for fiscal year (FY) 2019.  The </w:t>
      </w:r>
      <w:r w:rsidRPr="003C560E">
        <w:rPr>
          <w:i/>
          <w:szCs w:val="22"/>
        </w:rPr>
        <w:t>Notice</w:t>
      </w:r>
      <w:r w:rsidRPr="003C560E">
        <w:rPr>
          <w:szCs w:val="22"/>
        </w:rPr>
        <w:t xml:space="preserve"> proposes to collect $</w:t>
      </w:r>
      <w:r>
        <w:rPr>
          <w:szCs w:val="22"/>
        </w:rPr>
        <w:t>339,000,000</w:t>
      </w:r>
      <w:r w:rsidRPr="003C560E">
        <w:rPr>
          <w:szCs w:val="22"/>
        </w:rPr>
        <w:t xml:space="preserve"> in regulatory fees for FY 2019, as detailed in the proposed fee schedules in Appendix B, including an increase in the DBS fee rate to </w:t>
      </w:r>
      <w:r>
        <w:rPr>
          <w:szCs w:val="22"/>
        </w:rPr>
        <w:t>60</w:t>
      </w:r>
      <w:r w:rsidRPr="003C560E">
        <w:rPr>
          <w:szCs w:val="22"/>
        </w:rPr>
        <w:t xml:space="preserve"> cents per subscriber.  DBS providers are not small entities.  The </w:t>
      </w:r>
      <w:r w:rsidRPr="003C560E">
        <w:rPr>
          <w:i/>
          <w:szCs w:val="22"/>
        </w:rPr>
        <w:t>Notice</w:t>
      </w:r>
      <w:r w:rsidRPr="003C560E">
        <w:rPr>
          <w:szCs w:val="22"/>
        </w:rPr>
        <w:t xml:space="preserve"> seeks comment on</w:t>
      </w:r>
      <w:r>
        <w:rPr>
          <w:szCs w:val="22"/>
        </w:rPr>
        <w:t xml:space="preserve"> changing the methodology for assessing regulatory fees for full-power broadcast television stations to use an average of the actual population and the DMA-based rate</w:t>
      </w:r>
      <w:r w:rsidRPr="003C560E">
        <w:rPr>
          <w:szCs w:val="22"/>
        </w:rPr>
        <w:t>.</w:t>
      </w:r>
      <w:r>
        <w:rPr>
          <w:szCs w:val="22"/>
        </w:rPr>
        <w:t xml:space="preserve">  The </w:t>
      </w:r>
      <w:r w:rsidRPr="004C6CF9">
        <w:rPr>
          <w:i/>
          <w:szCs w:val="22"/>
        </w:rPr>
        <w:t>Notice</w:t>
      </w:r>
      <w:r>
        <w:rPr>
          <w:szCs w:val="22"/>
        </w:rPr>
        <w:t xml:space="preserve"> also seeks comment on its </w:t>
      </w:r>
      <w:r w:rsidRPr="006D6945">
        <w:rPr>
          <w:szCs w:val="22"/>
        </w:rPr>
        <w:t xml:space="preserve">proposal to continue to base non-common carrier and common carrier satellite and terrestrial IBC fees on the </w:t>
      </w:r>
      <w:r w:rsidRPr="00D03646">
        <w:rPr>
          <w:szCs w:val="22"/>
        </w:rPr>
        <w:t>per Gbps rate in Appendix B</w:t>
      </w:r>
      <w:r w:rsidRPr="00990013">
        <w:rPr>
          <w:szCs w:val="22"/>
        </w:rPr>
        <w:t xml:space="preserve">, which would be $121 for FY 2019.  </w:t>
      </w:r>
      <w:r>
        <w:rPr>
          <w:szCs w:val="22"/>
        </w:rPr>
        <w:t xml:space="preserve">This proposal would ensure that satellite and terrestrial IBC fees remain proportional to the size of the regulated entity and avoid unreasonable increases in such regulatory fees on small entities.  The </w:t>
      </w:r>
      <w:r w:rsidRPr="004C6CF9">
        <w:rPr>
          <w:i/>
          <w:szCs w:val="22"/>
        </w:rPr>
        <w:t>Notice</w:t>
      </w:r>
      <w:r>
        <w:rPr>
          <w:szCs w:val="22"/>
        </w:rPr>
        <w:t xml:space="preserve"> also seeks comment on </w:t>
      </w:r>
      <w:r>
        <w:t>replacing our existing annual de minimis threshold of $1,000 with a new section 9(e)(2) annual regulatory fee exemption of $1,000.  This exemption will reduce burdens on small entities with regulatory fees that total $1,000 or less than $1,000.</w:t>
      </w:r>
    </w:p>
    <w:p w:rsidR="006F7AD6" w:rsidP="006F7AD6" w14:paraId="7BE69356" w14:textId="77777777">
      <w:pPr>
        <w:pStyle w:val="Heading2"/>
        <w:numPr>
          <w:ilvl w:val="1"/>
          <w:numId w:val="12"/>
        </w:numPr>
        <w:rPr>
          <w:szCs w:val="22"/>
        </w:rPr>
      </w:pPr>
      <w:bookmarkStart w:id="47" w:name="_Toc6326161"/>
      <w:r w:rsidRPr="003C560E">
        <w:rPr>
          <w:szCs w:val="22"/>
        </w:rPr>
        <w:t>Federal Rules that May Duplicate, Overlap, or Conflict with the Proposed Rules</w:t>
      </w:r>
      <w:bookmarkEnd w:id="47"/>
    </w:p>
    <w:p w:rsidR="006F7AD6" w:rsidRPr="00F641E0" w:rsidP="006F7AD6" w14:paraId="57AF328B" w14:textId="77777777">
      <w:pPr>
        <w:pStyle w:val="ParaNum"/>
      </w:pPr>
      <w:r>
        <w:t>None.</w:t>
      </w:r>
    </w:p>
    <w:p w:rsidR="006F7AD6" w:rsidP="006F7AD6" w14:paraId="7732D256" w14:textId="77777777">
      <w:pPr>
        <w:pStyle w:val="ParaNum"/>
        <w:numPr>
          <w:ilvl w:val="0"/>
          <w:numId w:val="0"/>
        </w:numPr>
        <w:ind w:left="720"/>
        <w:jc w:val="center"/>
        <w:rPr>
          <w:b/>
          <w:szCs w:val="22"/>
        </w:rPr>
      </w:pPr>
    </w:p>
    <w:p w:rsidR="006F7AD6" w:rsidP="006F7AD6" w14:paraId="73BC3742" w14:textId="77777777">
      <w:pPr>
        <w:pStyle w:val="ParaNum"/>
        <w:numPr>
          <w:ilvl w:val="0"/>
          <w:numId w:val="0"/>
        </w:numPr>
        <w:ind w:left="720"/>
        <w:jc w:val="center"/>
        <w:rPr>
          <w:b/>
          <w:szCs w:val="22"/>
        </w:rPr>
      </w:pPr>
    </w:p>
    <w:p w:rsidR="006F7AD6" w:rsidRPr="00E27716" w:rsidP="006F7AD6" w14:paraId="16A0CF4C" w14:textId="77777777">
      <w:pPr>
        <w:pStyle w:val="ParaNum"/>
        <w:numPr>
          <w:ilvl w:val="0"/>
          <w:numId w:val="0"/>
        </w:numPr>
        <w:ind w:left="720"/>
        <w:jc w:val="center"/>
        <w:rPr>
          <w:b/>
          <w:szCs w:val="22"/>
        </w:rPr>
      </w:pPr>
    </w:p>
    <w:p w:rsidR="006F7AD6" w:rsidRPr="006D6945" w:rsidP="006F7AD6" w14:paraId="323D54E0" w14:textId="77777777"/>
    <w:p w:rsidR="006F7AD6" w:rsidP="006F7AD6" w14:paraId="75EDED0A" w14:textId="77777777"/>
    <w:p w:rsidR="00412FC5" w:rsidRPr="006F7AD6" w:rsidP="006F7AD6" w14:paraId="09D5B0F9" w14:textId="77777777"/>
    <w:sectPr w:rsidSect="00016B57">
      <w:headerReference w:type="default" r:id="rId26"/>
      <w:footerReference w:type="even" r:id="rId27"/>
      <w:footerReference w:type="default" r:id="rId28"/>
      <w:headerReference w:type="first" r:id="rId29"/>
      <w:footerReference w:type="first" r:id="rId30"/>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Italic">
    <w:altName w:val="Times New Roman"/>
    <w:panose1 w:val="02020503050405090304"/>
    <w:charset w:val="00"/>
    <w:family w:val="auto"/>
    <w:pitch w:val="variable"/>
    <w:sig w:usb0="E0000AFF" w:usb1="00007843" w:usb2="00000001"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0565" w:rsidP="0055614C" w14:paraId="065C05A2" w14:textId="77777777">
    <w:pPr>
      <w:pStyle w:val="Footer"/>
      <w:framePr w:wrap="around" w:vAnchor="text" w:hAnchor="margin" w:xAlign="center" w:y="1"/>
    </w:pPr>
    <w:r>
      <w:fldChar w:fldCharType="begin"/>
    </w:r>
    <w:r>
      <w:instrText xml:space="preserve">PAGE  </w:instrText>
    </w:r>
    <w:r>
      <w:fldChar w:fldCharType="separate"/>
    </w:r>
    <w:r>
      <w:fldChar w:fldCharType="end"/>
    </w:r>
  </w:p>
  <w:p w:rsidR="009C0565" w14:paraId="1350CBB4" w14:textId="7777777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0565" w:rsidP="0055614C" w14:paraId="6ED7F1AC" w14:textId="77777777">
    <w:pPr>
      <w:pStyle w:val="Footer"/>
      <w:framePr w:wrap="around" w:vAnchor="text" w:hAnchor="margin" w:xAlign="center" w:y="1"/>
    </w:pPr>
    <w:r>
      <w:fldChar w:fldCharType="begin"/>
    </w:r>
    <w:r>
      <w:instrText xml:space="preserve">PAGE  </w:instrText>
    </w:r>
    <w:r>
      <w:fldChar w:fldCharType="separate"/>
    </w:r>
    <w:r>
      <w:fldChar w:fldCharType="end"/>
    </w:r>
  </w:p>
  <w:p w:rsidR="009C0565" w14:paraId="6D5F5795" w14:textId="7777777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0565" w14:paraId="5D16945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9C0565" w14:paraId="4644F26B" w14:textId="77777777">
    <w:pPr>
      <w:suppressAutoHyphens/>
      <w:spacing w:line="227" w:lineRule="auto"/>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0565" w14:paraId="5B631F8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9C0565" w14:paraId="4EE05546" w14:textId="77777777">
    <w:pPr>
      <w:pStyle w:val="Footer"/>
      <w:tabs>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0565" w:rsidP="0055614C" w14:paraId="256D4748" w14:textId="77777777">
    <w:pPr>
      <w:pStyle w:val="Footer"/>
      <w:framePr w:wrap="around" w:vAnchor="text" w:hAnchor="margin" w:xAlign="center" w:y="1"/>
    </w:pPr>
    <w:r>
      <w:fldChar w:fldCharType="begin"/>
    </w:r>
    <w:r>
      <w:instrText xml:space="preserve">PAGE  </w:instrText>
    </w:r>
    <w:r>
      <w:fldChar w:fldCharType="separate"/>
    </w:r>
    <w:r>
      <w:rPr>
        <w:noProof/>
      </w:rPr>
      <w:t>9</w:t>
    </w:r>
    <w:r>
      <w:fldChar w:fldCharType="end"/>
    </w:r>
  </w:p>
  <w:p w:rsidR="009C0565" w:rsidP="00886011" w14:paraId="6C546541"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0565" w14:paraId="73A107C8" w14:textId="77777777">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0565" w:rsidP="0055614C" w14:paraId="0AA62FEC" w14:textId="77777777">
    <w:pPr>
      <w:pStyle w:val="Footer"/>
      <w:framePr w:wrap="around" w:vAnchor="text" w:hAnchor="margin" w:xAlign="center" w:y="1"/>
    </w:pPr>
    <w:r>
      <w:fldChar w:fldCharType="begin"/>
    </w:r>
    <w:r>
      <w:instrText xml:space="preserve">PAGE  </w:instrText>
    </w:r>
    <w:r>
      <w:fldChar w:fldCharType="separate"/>
    </w:r>
    <w:r>
      <w:fldChar w:fldCharType="end"/>
    </w:r>
  </w:p>
  <w:p w:rsidR="009C0565" w14:paraId="248938AB"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0565" w:rsidP="00886011" w14:paraId="709EC56C" w14:textId="77777777">
    <w:pPr>
      <w:pStyle w:val="Footer"/>
      <w:jc w:val="center"/>
    </w:pPr>
    <w:r>
      <w:fldChar w:fldCharType="begin"/>
    </w:r>
    <w:r>
      <w:instrText xml:space="preserve"> PAGE   \* MERGEFORMAT </w:instrText>
    </w:r>
    <w:r>
      <w:fldChar w:fldCharType="separate"/>
    </w:r>
    <w:r>
      <w:t>1</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0565" w14:paraId="3218C594" w14:textId="77777777">
    <w:pPr>
      <w:pStyle w:val="Footer"/>
      <w:jc w:val="center"/>
    </w:pPr>
    <w:r>
      <w:fldChar w:fldCharType="begin"/>
    </w:r>
    <w:r>
      <w:instrText xml:space="preserve"> PAGE   \* MERGEFORMAT </w:instrText>
    </w:r>
    <w:r>
      <w:fldChar w:fldCharType="separate"/>
    </w:r>
    <w:r>
      <w:rPr>
        <w:noProof/>
      </w:rPr>
      <w:t>1</w:t>
    </w:r>
    <w:r>
      <w:rPr>
        <w:noProof/>
      </w:rPr>
      <w:fldChar w:fldCharType="end"/>
    </w:r>
  </w:p>
  <w:p w:rsidR="009C0565" w14:paraId="7B60881E"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0565" w:rsidP="0055614C" w14:paraId="48364C03" w14:textId="77777777">
    <w:pPr>
      <w:pStyle w:val="Footer"/>
      <w:framePr w:wrap="around" w:vAnchor="text" w:hAnchor="margin" w:xAlign="center" w:y="1"/>
    </w:pPr>
    <w:r>
      <w:fldChar w:fldCharType="begin"/>
    </w:r>
    <w:r>
      <w:instrText xml:space="preserve">PAGE  </w:instrText>
    </w:r>
    <w:r>
      <w:fldChar w:fldCharType="separate"/>
    </w:r>
    <w:r>
      <w:fldChar w:fldCharType="end"/>
    </w:r>
  </w:p>
  <w:p w:rsidR="009C0565" w14:paraId="660EDBBD"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0565" w14:paraId="18AA58FD" w14:textId="77777777">
    <w:pPr>
      <w:pStyle w:val="Footer"/>
      <w:jc w:val="center"/>
      <w:rPr>
        <w:noProof/>
      </w:rPr>
    </w:pPr>
    <w:r>
      <w:fldChar w:fldCharType="begin"/>
    </w:r>
    <w:r>
      <w:instrText xml:space="preserve"> PAGE   \* MERGEFORMAT </w:instrText>
    </w:r>
    <w:r>
      <w:fldChar w:fldCharType="separate"/>
    </w:r>
    <w:r>
      <w:rPr>
        <w:noProof/>
      </w:rPr>
      <w:t>3</w:t>
    </w:r>
    <w:r>
      <w:rPr>
        <w:noProof/>
      </w:rPr>
      <w:fldChar w:fldCharType="end"/>
    </w:r>
  </w:p>
  <w:p w:rsidR="009C0565" w:rsidP="00886011" w14:paraId="5A24948F" w14:textId="77777777">
    <w:pPr>
      <w:pStyle w:val="Footer"/>
    </w:pPr>
  </w:p>
  <w:p w:rsidR="009C0565" w14:paraId="48642A0F" w14:textId="77777777">
    <w:pPr>
      <w:suppressAutoHyphens/>
      <w:spacing w:line="227" w:lineRule="auto"/>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0565" w14:paraId="3ED415B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C0565" w14:paraId="2633E0A2" w14:textId="77777777">
      <w:r>
        <w:separator/>
      </w:r>
    </w:p>
  </w:footnote>
  <w:footnote w:type="continuationSeparator" w:id="1">
    <w:p w:rsidR="009C0565" w:rsidP="00C721AC" w14:paraId="62F53533" w14:textId="77777777">
      <w:pPr>
        <w:spacing w:before="120"/>
        <w:rPr>
          <w:sz w:val="20"/>
        </w:rPr>
      </w:pPr>
      <w:r>
        <w:rPr>
          <w:sz w:val="20"/>
        </w:rPr>
        <w:t xml:space="preserve">(Continued from previous page)  </w:t>
      </w:r>
      <w:r>
        <w:rPr>
          <w:sz w:val="20"/>
        </w:rPr>
        <w:separator/>
      </w:r>
    </w:p>
  </w:footnote>
  <w:footnote w:type="continuationNotice" w:id="2">
    <w:p w:rsidR="009C0565" w:rsidP="00C721AC" w14:paraId="436F393B" w14:textId="77777777">
      <w:pPr>
        <w:jc w:val="right"/>
        <w:rPr>
          <w:sz w:val="20"/>
        </w:rPr>
      </w:pPr>
      <w:r>
        <w:rPr>
          <w:sz w:val="20"/>
        </w:rPr>
        <w:t>(continued….)</w:t>
      </w:r>
    </w:p>
  </w:footnote>
  <w:footnote w:id="3">
    <w:p w:rsidR="009C0565" w:rsidP="006F7AD6" w14:paraId="43AB8667" w14:textId="77777777">
      <w:pPr>
        <w:pStyle w:val="FootnoteText"/>
      </w:pPr>
      <w:r>
        <w:rPr>
          <w:rStyle w:val="FootnoteReference"/>
        </w:rPr>
        <w:footnoteRef/>
      </w:r>
      <w:r>
        <w:t xml:space="preserve"> Fiscal year 2019 started on October 1, 2018.</w:t>
      </w:r>
    </w:p>
  </w:footnote>
  <w:footnote w:id="4">
    <w:p w:rsidR="009C0565" w:rsidRPr="006358BC" w:rsidP="006F7AD6" w14:paraId="264FFB4E" w14:textId="77777777">
      <w:pPr>
        <w:pStyle w:val="FootnoteText"/>
      </w:pPr>
      <w:r>
        <w:rPr>
          <w:rStyle w:val="FootnoteReference"/>
        </w:rPr>
        <w:footnoteRef/>
      </w:r>
      <w:r>
        <w:t xml:space="preserve"> </w:t>
      </w:r>
      <w:r w:rsidRPr="006358BC">
        <w:t xml:space="preserve">47 U.S.C. § 159. </w:t>
      </w:r>
      <w:r>
        <w:t xml:space="preserve"> </w:t>
      </w:r>
      <w:r w:rsidRPr="006358BC">
        <w:t>Consolidated Appropriations Act, 2019, Pub. L. No. 116-</w:t>
      </w:r>
      <w:r w:rsidRPr="00561150">
        <w:t>6</w:t>
      </w:r>
      <w:r w:rsidRPr="006358BC">
        <w:t>, Division D</w:t>
      </w:r>
      <w:r w:rsidRPr="00FC257F">
        <w:rPr>
          <w:b/>
        </w:rPr>
        <w:t>—</w:t>
      </w:r>
      <w:r w:rsidRPr="006358BC">
        <w:t>Financial Services and General Government Appropriations Act, 2019, Title V</w:t>
      </w:r>
      <w:r w:rsidRPr="00FC257F">
        <w:rPr>
          <w:b/>
        </w:rPr>
        <w:t>—</w:t>
      </w:r>
      <w:r w:rsidRPr="006358BC">
        <w:t>Independent Agencies (201</w:t>
      </w:r>
      <w:r>
        <w:t>9</w:t>
      </w:r>
      <w:r w:rsidRPr="006358BC">
        <w:t>)</w:t>
      </w:r>
      <w:r>
        <w:t xml:space="preserve"> (FY 2019 Appropriation)</w:t>
      </w:r>
      <w:r w:rsidRPr="006358BC">
        <w:t>.</w:t>
      </w:r>
    </w:p>
  </w:footnote>
  <w:footnote w:id="5">
    <w:p w:rsidR="009C0565" w:rsidRPr="007F6AA7" w:rsidP="006F7AD6" w14:paraId="6568A9AA" w14:textId="77777777">
      <w:pPr>
        <w:pStyle w:val="FootnoteText"/>
      </w:pPr>
      <w:r w:rsidRPr="007F6AA7">
        <w:rPr>
          <w:rStyle w:val="FootnoteReference"/>
        </w:rPr>
        <w:footnoteRef/>
      </w:r>
      <w:r w:rsidRPr="007F6AA7">
        <w:t xml:space="preserve"> </w:t>
      </w:r>
      <w:r w:rsidRPr="007F6AA7">
        <w:rPr>
          <w:color w:val="212121"/>
        </w:rPr>
        <w:t xml:space="preserve">Consolidated Appropriations Act, 2018, Division P — </w:t>
      </w:r>
      <w:r>
        <w:rPr>
          <w:color w:val="212121"/>
        </w:rPr>
        <w:t>RAY BAUM’S</w:t>
      </w:r>
      <w:r w:rsidRPr="007F6AA7">
        <w:rPr>
          <w:color w:val="212121"/>
        </w:rPr>
        <w:t xml:space="preserve"> Act of 2018, Title I, FCC Reauthorization, </w:t>
      </w:r>
      <w:r w:rsidRPr="00B9131A">
        <w:rPr>
          <w:color w:val="212121"/>
        </w:rPr>
        <w:t>Public Law No. 115-141, § 102, 132 Stat. 348, 1082-86 (2018) (codified at 47 U.S.C. §§ 159, 159</w:t>
      </w:r>
      <w:r>
        <w:rPr>
          <w:color w:val="212121"/>
        </w:rPr>
        <w:t>A</w:t>
      </w:r>
      <w:r w:rsidRPr="00B9131A">
        <w:rPr>
          <w:color w:val="212121"/>
        </w:rPr>
        <w:t>).</w:t>
      </w:r>
      <w:r>
        <w:rPr>
          <w:color w:val="212121"/>
        </w:rPr>
        <w:t xml:space="preserve">  </w:t>
      </w:r>
      <w:r w:rsidRPr="00B9131A">
        <w:rPr>
          <w:color w:val="212121"/>
        </w:rPr>
        <w:t>C</w:t>
      </w:r>
      <w:r w:rsidRPr="007F6AA7">
        <w:rPr>
          <w:color w:val="212121"/>
        </w:rPr>
        <w:t>ongress provided an effective date of October 1, 2018 for such changes.</w:t>
      </w:r>
    </w:p>
  </w:footnote>
  <w:footnote w:id="6">
    <w:p w:rsidR="009C0565" w:rsidRPr="00D05439" w:rsidP="006F7AD6" w14:paraId="7B41BFC9" w14:textId="77777777">
      <w:pPr>
        <w:pStyle w:val="FootnoteText"/>
      </w:pPr>
      <w:r>
        <w:rPr>
          <w:rStyle w:val="FootnoteReference"/>
        </w:rPr>
        <w:footnoteRef/>
      </w:r>
      <w:r>
        <w:t xml:space="preserve"> </w:t>
      </w:r>
      <w:r w:rsidRPr="00D05439">
        <w:t xml:space="preserve">As explained below, the Commission annually </w:t>
      </w:r>
      <w:r>
        <w:t xml:space="preserve">conducts a rulemaking proceeding to </w:t>
      </w:r>
      <w:r w:rsidRPr="00D05439">
        <w:t>update the schedule of regulatory fees – adding, deleting</w:t>
      </w:r>
      <w:r>
        <w:t>,</w:t>
      </w:r>
      <w:r w:rsidRPr="00D05439">
        <w:t xml:space="preserve"> and adjusting fee categories and fee rates pursuant to guidance provided in section 9.  Thus, the schedule found in prior section 9 represents the initial baseline schedule of </w:t>
      </w:r>
      <w:r>
        <w:t xml:space="preserve">regulatory </w:t>
      </w:r>
      <w:r w:rsidRPr="00D05439">
        <w:t>fee categories and rates.</w:t>
      </w:r>
    </w:p>
  </w:footnote>
  <w:footnote w:id="7">
    <w:p w:rsidR="009C0565" w:rsidRPr="00D05439" w:rsidP="006F7AD6" w14:paraId="24678AD7" w14:textId="77777777">
      <w:pPr>
        <w:pStyle w:val="FootnoteText"/>
      </w:pPr>
      <w:r w:rsidRPr="00D05439">
        <w:rPr>
          <w:rStyle w:val="FootnoteReference"/>
        </w:rPr>
        <w:footnoteRef/>
      </w:r>
      <w:r w:rsidRPr="00D05439">
        <w:t xml:space="preserve"> The changes are discussed in detail below.</w:t>
      </w:r>
      <w:r>
        <w:t xml:space="preserve">  </w:t>
      </w:r>
      <w:r w:rsidRPr="0069323C">
        <w:t>Appendix H contains</w:t>
      </w:r>
      <w:r>
        <w:t xml:space="preserve"> the full text of section 9 before and after the effective date of the RAY BAUM’S Act modifications.  </w:t>
      </w:r>
      <w:r w:rsidRPr="00D05439">
        <w:t xml:space="preserve"> </w:t>
      </w:r>
    </w:p>
  </w:footnote>
  <w:footnote w:id="8">
    <w:p w:rsidR="009C0565" w:rsidP="006F7AD6" w14:paraId="334627A8" w14:textId="77777777">
      <w:pPr>
        <w:pStyle w:val="FootnoteText"/>
      </w:pPr>
      <w:r w:rsidRPr="00D05439">
        <w:rPr>
          <w:rStyle w:val="FootnoteReference"/>
        </w:rPr>
        <w:footnoteRef/>
      </w:r>
      <w:r w:rsidRPr="00D05439">
        <w:t xml:space="preserve"> </w:t>
      </w:r>
      <w:r w:rsidRPr="00D9089C">
        <w:rPr>
          <w:i/>
        </w:rPr>
        <w:t xml:space="preserve">See </w:t>
      </w:r>
      <w:r w:rsidRPr="00D05439">
        <w:t xml:space="preserve">section 102(e)(1) of the RAY BAUM’S Act of 2018 (“Not later than 1 year after the effective date described in section 103 of this title, the Commission shall complete a rulemaking proceeding under subsection (d) of section 9 of the Communications Act of 1934, as amended by subsection (b) of this section.”). </w:t>
      </w:r>
      <w:r>
        <w:t xml:space="preserve"> </w:t>
      </w:r>
      <w:r w:rsidRPr="00D05439">
        <w:t xml:space="preserve">Congress also provided that the Commission should file a progress report with Congress.  </w:t>
      </w:r>
      <w:r w:rsidRPr="00D9089C">
        <w:rPr>
          <w:i/>
        </w:rPr>
        <w:t>See</w:t>
      </w:r>
      <w:r>
        <w:t xml:space="preserve"> u</w:t>
      </w:r>
      <w:r w:rsidRPr="00D05439">
        <w:t>ncodified provision of section 102(e)(2) of the RAY BAUM’S Act of 2018 (“If the Commission has not completed the rulemaking proceeding required by paragraph (1) by the date that is 6 months after the effective date described in section 103 of this title, the Commission shall submit to Congress a report on the progress of such rulemaking proceeding.”).</w:t>
      </w:r>
      <w:r>
        <w:t xml:space="preserve">  </w:t>
      </w:r>
    </w:p>
  </w:footnote>
  <w:footnote w:id="9">
    <w:p w:rsidR="009C0565" w:rsidP="006F7AD6" w14:paraId="256C31CC" w14:textId="77777777">
      <w:pPr>
        <w:pStyle w:val="FootnoteText"/>
      </w:pPr>
      <w:r w:rsidRPr="00A94765">
        <w:rPr>
          <w:rStyle w:val="FootnoteReference"/>
        </w:rPr>
        <w:footnoteRef/>
      </w:r>
      <w:r w:rsidRPr="00A94765">
        <w:t xml:space="preserve"> Section 6002(a) of the Omnibus Budget Reconciliation Act of 1993 (hereinafter</w:t>
      </w:r>
      <w:r>
        <w:t>,</w:t>
      </w:r>
      <w:r w:rsidRPr="00A94765">
        <w:t xml:space="preserve"> “1993 Budget Act”).  </w:t>
      </w:r>
      <w:r w:rsidRPr="009950C8">
        <w:rPr>
          <w:i/>
        </w:rPr>
        <w:t>See</w:t>
      </w:r>
      <w:r w:rsidRPr="00A94765">
        <w:t xml:space="preserve"> Pub.L. No. 103–66, Title VI, § 6002(a), 107 Stat. 397 (approved August 10, 1993).  </w:t>
      </w:r>
      <w:r>
        <w:t xml:space="preserve">Congress made subsequent minor amendments to the schedule.  </w:t>
      </w:r>
    </w:p>
  </w:footnote>
  <w:footnote w:id="10">
    <w:p w:rsidR="009C0565" w:rsidP="006F7AD6" w14:paraId="42BF29D0" w14:textId="77777777">
      <w:pPr>
        <w:pStyle w:val="FootnoteText"/>
      </w:pPr>
      <w:r>
        <w:rPr>
          <w:rStyle w:val="FootnoteReference"/>
        </w:rPr>
        <w:footnoteRef/>
      </w:r>
      <w:r>
        <w:t xml:space="preserve"> Currently codified in 47 CFR </w:t>
      </w:r>
      <w:r w:rsidRPr="00A94765">
        <w:t>§§</w:t>
      </w:r>
      <w:r>
        <w:t xml:space="preserve"> 1.1152-1.1156. </w:t>
      </w:r>
    </w:p>
  </w:footnote>
  <w:footnote w:id="11">
    <w:p w:rsidR="009C0565" w:rsidP="006F7AD6" w14:paraId="3AB3EE13" w14:textId="77777777">
      <w:pPr>
        <w:pStyle w:val="FootnoteText"/>
      </w:pPr>
      <w:r>
        <w:rPr>
          <w:rStyle w:val="FootnoteReference"/>
        </w:rPr>
        <w:footnoteRef/>
      </w:r>
      <w:r>
        <w:t xml:space="preserve"> </w:t>
      </w:r>
      <w:r w:rsidRPr="00F24ABA">
        <w:rPr>
          <w:i/>
        </w:rPr>
        <w:t>Implementation of Section 9 of the Communications Act, Assessment and Collection of Regulatory Fees for the 1994 Fiscal Year</w:t>
      </w:r>
      <w:r w:rsidRPr="00B96D11">
        <w:t xml:space="preserve">, Report and Order, 9 FCC Rcd 5333, 5344 </w:t>
      </w:r>
      <w:r>
        <w:t xml:space="preserve">and Appendix B </w:t>
      </w:r>
      <w:r w:rsidRPr="00B96D11">
        <w:t xml:space="preserve">(1994), </w:t>
      </w:r>
      <w:r w:rsidRPr="00B96D11">
        <w:rPr>
          <w:i/>
        </w:rPr>
        <w:t>recon. denied</w:t>
      </w:r>
      <w:r w:rsidRPr="00B96D11">
        <w:t>, 10 FCC Rcd 12759 (1995) (</w:t>
      </w:r>
      <w:r w:rsidRPr="00B96D11">
        <w:rPr>
          <w:i/>
        </w:rPr>
        <w:t>1994 Report and Order</w:t>
      </w:r>
      <w:r w:rsidRPr="00B96D11">
        <w:t>)</w:t>
      </w:r>
      <w:r>
        <w:t xml:space="preserve"> (providing the </w:t>
      </w:r>
      <w:r w:rsidRPr="00D05439">
        <w:t>full descriptions of the fee categories</w:t>
      </w:r>
      <w:r>
        <w:t xml:space="preserve">).  </w:t>
      </w:r>
    </w:p>
  </w:footnote>
  <w:footnote w:id="12">
    <w:p w:rsidR="009C0565" w:rsidP="006F7AD6" w14:paraId="23C11CC1" w14:textId="77777777">
      <w:pPr>
        <w:pStyle w:val="FootnoteText"/>
      </w:pPr>
      <w:r>
        <w:rPr>
          <w:rStyle w:val="FootnoteReference"/>
        </w:rPr>
        <w:footnoteRef/>
      </w:r>
      <w:r>
        <w:t xml:space="preserve"> For a summary of recent changes and improvements to the regulatory fee schedule, </w:t>
      </w:r>
      <w:r w:rsidRPr="00376E20">
        <w:rPr>
          <w:i/>
        </w:rPr>
        <w:t>see Assessment and Collection of Regulatory Fees for Fiscal Year 2018</w:t>
      </w:r>
      <w:r>
        <w:t>, Report and Order and Notice of Proposed Rulemaking, 33 FCC 5091, 5093-94, para. 5 (2018) (</w:t>
      </w:r>
      <w:r w:rsidRPr="00376E20">
        <w:rPr>
          <w:i/>
        </w:rPr>
        <w:t>FY 2018 NPRM</w:t>
      </w:r>
      <w:r>
        <w:t>).</w:t>
      </w:r>
    </w:p>
  </w:footnote>
  <w:footnote w:id="13">
    <w:p w:rsidR="009C0565" w:rsidP="006F7AD6" w14:paraId="4278E763" w14:textId="77777777">
      <w:pPr>
        <w:pStyle w:val="FootnoteText"/>
      </w:pPr>
      <w:r>
        <w:rPr>
          <w:rStyle w:val="FootnoteReference"/>
        </w:rPr>
        <w:footnoteRef/>
      </w:r>
      <w:r>
        <w:t xml:space="preserve"> One FTE, a “Full Time Equivalent” or “Full Time Employee,” is a unit of measure equal to the work performed annually by a full time person (working a 40 hour workweek for a full year) assigned to the particular job, and subject to agency personnel staffing limitations established by the U.S. Office of Management and Budget.</w:t>
      </w:r>
    </w:p>
  </w:footnote>
  <w:footnote w:id="14">
    <w:p w:rsidR="009C0565" w:rsidP="006F7AD6" w14:paraId="3351A18C" w14:textId="77777777">
      <w:pPr>
        <w:pStyle w:val="FootnoteText"/>
      </w:pPr>
      <w:r>
        <w:rPr>
          <w:rStyle w:val="FootnoteReference"/>
        </w:rPr>
        <w:footnoteRef/>
      </w:r>
      <w:r>
        <w:t xml:space="preserve"> </w:t>
      </w:r>
      <w:r w:rsidRPr="00A1103B">
        <w:rPr>
          <w:i/>
        </w:rPr>
        <w:t>Assessment and Collection of Regulatory Fees for Fiscal Year 20</w:t>
      </w:r>
      <w:r>
        <w:rPr>
          <w:i/>
        </w:rPr>
        <w:t>13</w:t>
      </w:r>
      <w:r w:rsidRPr="00A1103B">
        <w:t>, Report and Order</w:t>
      </w:r>
      <w:r>
        <w:t>, 28</w:t>
      </w:r>
      <w:r w:rsidRPr="00A1103B">
        <w:t xml:space="preserve"> FCC Rcd</w:t>
      </w:r>
      <w:r>
        <w:t xml:space="preserve"> 12351, 12354-58, paras. 10-20 (2013</w:t>
      </w:r>
      <w:r w:rsidRPr="00A1103B">
        <w:t>) (</w:t>
      </w:r>
      <w:r>
        <w:rPr>
          <w:i/>
        </w:rPr>
        <w:t>FY 2013 Report and Order</w:t>
      </w:r>
      <w:r w:rsidRPr="00A1103B">
        <w:t>).</w:t>
      </w:r>
      <w:r>
        <w:rPr>
          <w:snapToGrid w:val="0"/>
          <w:color w:val="0000FF"/>
          <w:kern w:val="28"/>
        </w:rPr>
        <w:t xml:space="preserve"> </w:t>
      </w:r>
      <w:r>
        <w:rPr>
          <w:szCs w:val="22"/>
        </w:rPr>
        <w:t xml:space="preserve">            </w:t>
      </w:r>
    </w:p>
  </w:footnote>
  <w:footnote w:id="15">
    <w:p w:rsidR="009C0565" w:rsidP="006F7AD6" w14:paraId="5DAF56DE" w14:textId="77777777">
      <w:pPr>
        <w:pStyle w:val="FootnoteText"/>
      </w:pPr>
      <w:r>
        <w:rPr>
          <w:rStyle w:val="FootnoteReference"/>
        </w:rPr>
        <w:footnoteRef/>
      </w:r>
      <w:r>
        <w:t xml:space="preserve"> </w:t>
      </w:r>
      <w:r w:rsidRPr="001163F6">
        <w:rPr>
          <w:i/>
        </w:rPr>
        <w:t>Assessment and Collection of Regulatory Fees for Fiscal Year 201</w:t>
      </w:r>
      <w:r>
        <w:rPr>
          <w:i/>
        </w:rPr>
        <w:t>5</w:t>
      </w:r>
      <w:r>
        <w:t>,</w:t>
      </w:r>
      <w:r w:rsidRPr="00C155EC">
        <w:t xml:space="preserve"> </w:t>
      </w:r>
      <w:r>
        <w:t xml:space="preserve">Notice of Proposed Rulemaking, </w:t>
      </w:r>
      <w:r w:rsidRPr="00C155EC">
        <w:t>Report and Order</w:t>
      </w:r>
      <w:r>
        <w:t>, and Order, 30 FCC Rcd 5354, 5364-5373, paras. 28-41 (2015) (</w:t>
      </w:r>
      <w:r w:rsidRPr="004A18A6">
        <w:rPr>
          <w:i/>
        </w:rPr>
        <w:t>F</w:t>
      </w:r>
      <w:r>
        <w:rPr>
          <w:i/>
        </w:rPr>
        <w:t>Y 2015 NPRM</w:t>
      </w:r>
      <w:r>
        <w:t xml:space="preserve">).  </w:t>
      </w:r>
    </w:p>
  </w:footnote>
  <w:footnote w:id="16">
    <w:p w:rsidR="009C0565" w:rsidRPr="00565E15" w:rsidP="006F7AD6" w14:paraId="2AA468C7" w14:textId="77777777">
      <w:pPr>
        <w:pStyle w:val="FootnoteText"/>
      </w:pPr>
      <w:r w:rsidRPr="00565E15">
        <w:rPr>
          <w:rStyle w:val="FootnoteReference"/>
        </w:rPr>
        <w:footnoteRef/>
      </w:r>
      <w:r w:rsidRPr="00565E15">
        <w:t xml:space="preserve"> </w:t>
      </w:r>
      <w:r>
        <w:t xml:space="preserve">The Commission stated “[s]ince DBS providers generally benefit from the regulatory activities of the Media Bureau, much like cable operators and IPTV providers, the Commission can attribute Media Bureau FTEs to DBS providers and require them to pay Media Bureau regulatory fees.”  </w:t>
      </w:r>
      <w:r w:rsidRPr="00AE16C6">
        <w:rPr>
          <w:i/>
        </w:rPr>
        <w:t>FY 2015 NPRM</w:t>
      </w:r>
      <w:r>
        <w:t xml:space="preserve">, 30 FCC at 5370, para. 35.  </w:t>
      </w:r>
      <w:r w:rsidRPr="00565E15">
        <w:t>MVPD is defined in section 602(13) of the Act, 47 U.S.C. § 522(13).</w:t>
      </w:r>
    </w:p>
  </w:footnote>
  <w:footnote w:id="17">
    <w:p w:rsidR="009C0565" w:rsidRPr="00565E15" w:rsidP="006F7AD6" w14:paraId="005463E0" w14:textId="77777777">
      <w:pPr>
        <w:pStyle w:val="FootnoteText"/>
      </w:pPr>
      <w:r w:rsidRPr="00565E15">
        <w:rPr>
          <w:rStyle w:val="FootnoteReference"/>
        </w:rPr>
        <w:footnoteRef/>
      </w:r>
      <w:r w:rsidRPr="00565E15">
        <w:t xml:space="preserve"> </w:t>
      </w:r>
      <w:r w:rsidRPr="00565E15">
        <w:rPr>
          <w:i/>
        </w:rPr>
        <w:t>Assessment and Collection of Regulatory Fees for Fiscal Year 2016</w:t>
      </w:r>
      <w:r w:rsidRPr="00565E15">
        <w:t>, Report and Order, 31 FCC Rcd 10339, 10350-51, paras. 31-33 (2016) (</w:t>
      </w:r>
      <w:r w:rsidRPr="00565E15">
        <w:rPr>
          <w:i/>
        </w:rPr>
        <w:t>FY 2016 Report and Order</w:t>
      </w:r>
      <w:r w:rsidRPr="00565E15">
        <w:t>).</w:t>
      </w:r>
      <w:r w:rsidRPr="00761D36">
        <w:t xml:space="preserve"> </w:t>
      </w:r>
      <w:r>
        <w:t xml:space="preserve"> </w:t>
      </w:r>
    </w:p>
  </w:footnote>
  <w:footnote w:id="18">
    <w:p w:rsidR="009C0565" w:rsidP="006F7AD6" w14:paraId="40884A16" w14:textId="77777777">
      <w:pPr>
        <w:pStyle w:val="FootnoteText"/>
      </w:pPr>
      <w:r>
        <w:rPr>
          <w:rStyle w:val="FootnoteReference"/>
        </w:rPr>
        <w:footnoteRef/>
      </w:r>
      <w:r>
        <w:t xml:space="preserve"> </w:t>
      </w:r>
      <w:r w:rsidRPr="00565E15">
        <w:rPr>
          <w:i/>
        </w:rPr>
        <w:t>Assessment and Collection of Regulatory Fees for Fiscal Year 201</w:t>
      </w:r>
      <w:r>
        <w:rPr>
          <w:i/>
        </w:rPr>
        <w:t>7</w:t>
      </w:r>
      <w:r w:rsidRPr="00565E15">
        <w:t>, Report and Order</w:t>
      </w:r>
      <w:r>
        <w:t xml:space="preserve"> and Further Notice of Proposed Rulemaking</w:t>
      </w:r>
      <w:r w:rsidRPr="00565E15">
        <w:t>, 3</w:t>
      </w:r>
      <w:r>
        <w:t>2 FCC Rcd 7057</w:t>
      </w:r>
      <w:r w:rsidRPr="00565E15">
        <w:t xml:space="preserve">, </w:t>
      </w:r>
      <w:r>
        <w:t>7071-74, paras. 34-35, 38-42</w:t>
      </w:r>
      <w:r w:rsidRPr="00565E15">
        <w:t xml:space="preserve"> (201</w:t>
      </w:r>
      <w:r>
        <w:t>7</w:t>
      </w:r>
      <w:r w:rsidRPr="00565E15">
        <w:t>) (</w:t>
      </w:r>
      <w:r w:rsidRPr="00565E15">
        <w:rPr>
          <w:i/>
        </w:rPr>
        <w:t>FY 201</w:t>
      </w:r>
      <w:r>
        <w:rPr>
          <w:i/>
        </w:rPr>
        <w:t>7</w:t>
      </w:r>
      <w:r w:rsidRPr="00565E15">
        <w:rPr>
          <w:i/>
        </w:rPr>
        <w:t xml:space="preserve"> Report and Order</w:t>
      </w:r>
      <w:r>
        <w:t>).</w:t>
      </w:r>
    </w:p>
  </w:footnote>
  <w:footnote w:id="19">
    <w:p w:rsidR="009C0565" w:rsidP="006F7AD6" w14:paraId="478F134C" w14:textId="77777777">
      <w:pPr>
        <w:pStyle w:val="FootnoteText"/>
      </w:pPr>
      <w:r w:rsidRPr="00A60D33">
        <w:rPr>
          <w:rStyle w:val="FootnoteReference"/>
        </w:rPr>
        <w:footnoteRef/>
      </w:r>
      <w:r w:rsidRPr="00A60D33">
        <w:t xml:space="preserve"> 47 U.S.C. §§ 159(a)(“</w:t>
      </w:r>
      <w:r w:rsidRPr="00A60D33">
        <w:rPr>
          <w:color w:val="212121"/>
        </w:rPr>
        <w:t>shall assess and collect regulatory fees”)</w:t>
      </w:r>
      <w:r>
        <w:rPr>
          <w:color w:val="212121"/>
        </w:rPr>
        <w:t xml:space="preserve">, </w:t>
      </w:r>
      <w:r w:rsidRPr="00A60D33">
        <w:rPr>
          <w:color w:val="212121"/>
        </w:rPr>
        <w:t>159(b)(“Commission shall assess and collect regulatory fees at such rates as the Commission shall establish in a schedule of regulatory fees that will result in the collection, in each fiscal year, of an amount that can reasonably be expected to equal the amounts described in subsection (a) with respect to such fiscal year</w:t>
      </w:r>
      <w:r>
        <w:rPr>
          <w:color w:val="212121"/>
        </w:rPr>
        <w:t>.”)</w:t>
      </w:r>
      <w:r w:rsidRPr="00A4167C">
        <w:t xml:space="preserve">.  </w:t>
      </w:r>
      <w:r w:rsidRPr="00400E2A">
        <w:rPr>
          <w:i/>
        </w:rPr>
        <w:t>See also</w:t>
      </w:r>
      <w:r w:rsidRPr="00A4167C">
        <w:t xml:space="preserve"> 47 U.S.C. § 156(b)</w:t>
      </w:r>
      <w:r w:rsidRPr="00A4167C">
        <w:rPr>
          <w:snapToGrid w:val="0"/>
          <w:color w:val="212121"/>
          <w:kern w:val="28"/>
        </w:rPr>
        <w:t>.</w:t>
      </w:r>
    </w:p>
  </w:footnote>
  <w:footnote w:id="20">
    <w:p w:rsidR="009C0565" w:rsidP="006F7AD6" w14:paraId="56E422A6" w14:textId="77777777">
      <w:pPr>
        <w:pStyle w:val="FootnoteText"/>
      </w:pPr>
      <w:r>
        <w:rPr>
          <w:rStyle w:val="FootnoteReference"/>
        </w:rPr>
        <w:footnoteRef/>
      </w:r>
      <w:r>
        <w:t xml:space="preserve"> Although the Commission adopts a new schedule of regulatory fees each fiscal year in the Commission’s rules, the initial (obsolete) schedule remained in former section 9(g) of the Act.</w:t>
      </w:r>
    </w:p>
  </w:footnote>
  <w:footnote w:id="21">
    <w:p w:rsidR="009C0565" w:rsidP="006F7AD6" w14:paraId="0912248F" w14:textId="77777777">
      <w:pPr>
        <w:pStyle w:val="FootnoteText"/>
      </w:pPr>
      <w:r>
        <w:rPr>
          <w:rStyle w:val="FootnoteReference"/>
        </w:rPr>
        <w:footnoteRef/>
      </w:r>
      <w:r>
        <w:t xml:space="preserve"> </w:t>
      </w:r>
      <w:r w:rsidRPr="00A60D33">
        <w:t>47 U.S.C. §</w:t>
      </w:r>
      <w:r>
        <w:t xml:space="preserve"> 159(b) (requirement to establish a schedule); </w:t>
      </w:r>
      <w:r w:rsidRPr="00254219">
        <w:rPr>
          <w:i/>
        </w:rPr>
        <w:t>see</w:t>
      </w:r>
      <w:r>
        <w:t xml:space="preserve"> </w:t>
      </w:r>
      <w:r w:rsidRPr="00254219">
        <w:rPr>
          <w:i/>
        </w:rPr>
        <w:t>supra</w:t>
      </w:r>
      <w:r>
        <w:t xml:space="preserve"> n.7 (citing uncodified provision of section 102(e)(1) of the RAY BAUM’S Act of 2018, which directs the Commission to “</w:t>
      </w:r>
      <w:r w:rsidRPr="005A30D5">
        <w:t>complete a rulemaking proceeding under subsection (d) of section 9 of the Communications Act of 1934, as amended by subsection (b) of this section</w:t>
      </w:r>
      <w:r>
        <w:t xml:space="preserve">”).  </w:t>
      </w:r>
    </w:p>
  </w:footnote>
  <w:footnote w:id="22">
    <w:p w:rsidR="009C0565" w:rsidP="006F7AD6" w14:paraId="181124CB" w14:textId="77777777">
      <w:pPr>
        <w:pStyle w:val="FootnoteText"/>
      </w:pPr>
      <w:r>
        <w:rPr>
          <w:rStyle w:val="FootnoteReference"/>
        </w:rPr>
        <w:footnoteRef/>
      </w:r>
      <w:r>
        <w:t xml:space="preserve"> 47 U.S.C. § 159(d).  Such changes are referred to as amendments under section 9(d) in section 9A(a) referencing adjustments under section 9(d). </w:t>
      </w:r>
    </w:p>
  </w:footnote>
  <w:footnote w:id="23">
    <w:p w:rsidR="009C0565" w:rsidP="006F7AD6" w14:paraId="64BD44FA" w14:textId="77777777">
      <w:pPr>
        <w:pStyle w:val="FootnoteText"/>
      </w:pPr>
      <w:r>
        <w:rPr>
          <w:rStyle w:val="FootnoteReference"/>
        </w:rPr>
        <w:footnoteRef/>
      </w:r>
      <w:r>
        <w:t xml:space="preserve"> 47 U.S.C. § 159(c).  Such changes are referred to as adjustments under section 9(c) in section 9A(a) referencing adjustments under section 9(c). </w:t>
      </w:r>
    </w:p>
  </w:footnote>
  <w:footnote w:id="24">
    <w:p w:rsidR="009C0565" w:rsidP="006F7AD6" w14:paraId="4C0C24BA" w14:textId="77777777">
      <w:pPr>
        <w:pStyle w:val="FootnoteText"/>
      </w:pPr>
      <w:r>
        <w:rPr>
          <w:rStyle w:val="FootnoteReference"/>
        </w:rPr>
        <w:footnoteRef/>
      </w:r>
      <w:r>
        <w:t xml:space="preserve"> Compare prior section 9(a) with new sections 9(a) and (b). </w:t>
      </w:r>
    </w:p>
  </w:footnote>
  <w:footnote w:id="25">
    <w:p w:rsidR="009C0565" w:rsidRPr="00F350B5" w:rsidP="006F7AD6" w14:paraId="08E9E1B8" w14:textId="77777777">
      <w:pPr>
        <w:pStyle w:val="FootnoteText"/>
      </w:pPr>
      <w:r w:rsidRPr="00F5497E">
        <w:rPr>
          <w:rStyle w:val="FootnoteReference"/>
        </w:rPr>
        <w:footnoteRef/>
      </w:r>
      <w:r w:rsidRPr="00F5497E">
        <w:t xml:space="preserve"> Compare prior section 9(b)(1)(A) with new section new 9(d)</w:t>
      </w:r>
      <w:r w:rsidRPr="00F350B5">
        <w:t>.</w:t>
      </w:r>
    </w:p>
  </w:footnote>
  <w:footnote w:id="26">
    <w:p w:rsidR="009C0565" w:rsidP="006F7AD6" w14:paraId="0F8503C6" w14:textId="77777777">
      <w:pPr>
        <w:pStyle w:val="FootnoteText"/>
      </w:pPr>
      <w:r>
        <w:rPr>
          <w:rStyle w:val="FootnoteReference"/>
        </w:rPr>
        <w:footnoteRef/>
      </w:r>
      <w:r>
        <w:t xml:space="preserve"> </w:t>
      </w:r>
      <w:r w:rsidRPr="00C04445">
        <w:rPr>
          <w:i/>
        </w:rPr>
        <w:t>See</w:t>
      </w:r>
      <w:r w:rsidRPr="007E4C8D">
        <w:t xml:space="preserve"> </w:t>
      </w:r>
      <w:r w:rsidRPr="00E96728">
        <w:rPr>
          <w:i/>
        </w:rPr>
        <w:t>supra</w:t>
      </w:r>
      <w:r>
        <w:t xml:space="preserve"> </w:t>
      </w:r>
      <w:r w:rsidRPr="007E4C8D">
        <w:t xml:space="preserve">para. 4 </w:t>
      </w:r>
      <w:r>
        <w:t>(</w:t>
      </w:r>
      <w:r w:rsidRPr="007E4C8D">
        <w:t>summar</w:t>
      </w:r>
      <w:r>
        <w:t>izing</w:t>
      </w:r>
      <w:r w:rsidRPr="007E4C8D">
        <w:t xml:space="preserve"> </w:t>
      </w:r>
      <w:r>
        <w:t xml:space="preserve">several </w:t>
      </w:r>
      <w:r w:rsidRPr="007E4C8D">
        <w:t>prior Commission regulatory fee orders making revisions to our methodology</w:t>
      </w:r>
      <w:r>
        <w:t>).</w:t>
      </w:r>
    </w:p>
  </w:footnote>
  <w:footnote w:id="27">
    <w:p w:rsidR="009C0565" w:rsidP="006F7AD6" w14:paraId="7CEE71AE" w14:textId="77777777">
      <w:pPr>
        <w:pStyle w:val="FootnoteText"/>
      </w:pPr>
      <w:r>
        <w:rPr>
          <w:rStyle w:val="FootnoteReference"/>
        </w:rPr>
        <w:footnoteRef/>
      </w:r>
      <w:r>
        <w:rPr>
          <w:color w:val="212121"/>
          <w:szCs w:val="22"/>
        </w:rPr>
        <w:t xml:space="preserve"> T</w:t>
      </w:r>
      <w:r w:rsidRPr="00F7036E">
        <w:rPr>
          <w:color w:val="212121"/>
          <w:szCs w:val="22"/>
        </w:rPr>
        <w:t>he Private Radio Bureau, Mass Media Bureau, Common Carrier Bureau</w:t>
      </w:r>
      <w:r>
        <w:rPr>
          <w:color w:val="212121"/>
          <w:szCs w:val="22"/>
        </w:rPr>
        <w:t>.</w:t>
      </w:r>
    </w:p>
  </w:footnote>
  <w:footnote w:id="28">
    <w:p w:rsidR="009C0565" w:rsidP="006F7AD6" w14:paraId="628C2D99" w14:textId="77777777">
      <w:pPr>
        <w:pStyle w:val="FootnoteText"/>
      </w:pPr>
      <w:r>
        <w:rPr>
          <w:rStyle w:val="FootnoteReference"/>
        </w:rPr>
        <w:footnoteRef/>
      </w:r>
      <w:r>
        <w:t xml:space="preserve"> </w:t>
      </w:r>
      <w:r w:rsidRPr="00E96728">
        <w:rPr>
          <w:i/>
        </w:rPr>
        <w:t>See</w:t>
      </w:r>
      <w:r>
        <w:t xml:space="preserve"> prior section 9(b)(1)(A). </w:t>
      </w:r>
    </w:p>
  </w:footnote>
  <w:footnote w:id="29">
    <w:p w:rsidR="009C0565" w:rsidP="006F7AD6" w14:paraId="36BE3D7E" w14:textId="77777777">
      <w:pPr>
        <w:pStyle w:val="FootnoteText"/>
      </w:pPr>
      <w:r>
        <w:rPr>
          <w:rStyle w:val="FootnoteReference"/>
        </w:rPr>
        <w:footnoteRef/>
      </w:r>
      <w:r>
        <w:t xml:space="preserve"> Compare prior section 9(b)(2) “be adjusted to reflect . . .  unexpected increases or decreases in the number of licensees or units” with new section 9(c)(1)(A) “reflect unexpected increases or decreases in the number of units subject to the payment of such fees. . . .”</w:t>
      </w:r>
    </w:p>
  </w:footnote>
  <w:footnote w:id="30">
    <w:p w:rsidR="009C0565" w:rsidP="006F7AD6" w14:paraId="3B49EEBA" w14:textId="77777777">
      <w:pPr>
        <w:pStyle w:val="FootnoteText"/>
      </w:pPr>
      <w:r>
        <w:rPr>
          <w:rStyle w:val="FootnoteReference"/>
        </w:rPr>
        <w:footnoteRef/>
      </w:r>
      <w:r>
        <w:t xml:space="preserve"> </w:t>
      </w:r>
      <w:r w:rsidRPr="003B3D2A">
        <w:rPr>
          <w:i/>
        </w:rPr>
        <w:t>See</w:t>
      </w:r>
      <w:r>
        <w:t xml:space="preserve"> prior section 9(b)(3).</w:t>
      </w:r>
    </w:p>
  </w:footnote>
  <w:footnote w:id="31">
    <w:p w:rsidR="009C0565" w:rsidRPr="00277069" w:rsidP="006F7AD6" w14:paraId="1E583B40" w14:textId="77777777">
      <w:pPr>
        <w:pStyle w:val="FootnoteText"/>
      </w:pPr>
      <w:r>
        <w:rPr>
          <w:rStyle w:val="FootnoteReference"/>
        </w:rPr>
        <w:footnoteRef/>
      </w:r>
      <w:r>
        <w:t xml:space="preserve"> </w:t>
      </w:r>
      <w:r w:rsidRPr="00C04445">
        <w:rPr>
          <w:i/>
        </w:rPr>
        <w:t>See</w:t>
      </w:r>
      <w:r w:rsidRPr="00277069">
        <w:t xml:space="preserve"> prior section 9(b)(2) entitled “Mandatory Adjustment of Schedule.”  </w:t>
      </w:r>
      <w:r>
        <w:t xml:space="preserve">These adjustments </w:t>
      </w:r>
      <w:r w:rsidRPr="00277069">
        <w:t>occurred if the Commission determined “</w:t>
      </w:r>
      <w:r w:rsidRPr="00277069">
        <w:rPr>
          <w:color w:val="212121"/>
        </w:rPr>
        <w:t>that the Schedule requires amendment to comply with the requirements” of prior section 9(b)(1)(A).</w:t>
      </w:r>
    </w:p>
  </w:footnote>
  <w:footnote w:id="32">
    <w:p w:rsidR="009C0565" w:rsidP="006F7AD6" w14:paraId="39E5CC62" w14:textId="77777777">
      <w:pPr>
        <w:pStyle w:val="FootnoteText"/>
      </w:pPr>
      <w:r>
        <w:rPr>
          <w:rStyle w:val="FootnoteReference"/>
        </w:rPr>
        <w:footnoteRef/>
      </w:r>
      <w:r>
        <w:t xml:space="preserve"> </w:t>
      </w:r>
      <w:r w:rsidRPr="00C04445">
        <w:rPr>
          <w:i/>
        </w:rPr>
        <w:t>See</w:t>
      </w:r>
      <w:r>
        <w:t xml:space="preserve"> prior section 9(b)(3) entitled “Permitted Amendments.”</w:t>
      </w:r>
    </w:p>
  </w:footnote>
  <w:footnote w:id="33">
    <w:p w:rsidR="009C0565" w:rsidP="006F7AD6" w14:paraId="3FDEA60A" w14:textId="77777777">
      <w:pPr>
        <w:pStyle w:val="FootnoteText"/>
      </w:pPr>
      <w:r>
        <w:rPr>
          <w:rStyle w:val="FootnoteReference"/>
        </w:rPr>
        <w:footnoteRef/>
      </w:r>
      <w:r>
        <w:t xml:space="preserve"> 47 U.S.C. § 159(c) Adjustment of Schedule.  </w:t>
      </w:r>
    </w:p>
  </w:footnote>
  <w:footnote w:id="34">
    <w:p w:rsidR="009C0565" w:rsidP="006F7AD6" w14:paraId="5B94B0B0" w14:textId="77777777">
      <w:pPr>
        <w:pStyle w:val="FootnoteText"/>
      </w:pPr>
      <w:r>
        <w:rPr>
          <w:rStyle w:val="FootnoteReference"/>
        </w:rPr>
        <w:footnoteRef/>
      </w:r>
      <w:r>
        <w:t xml:space="preserve"> 47 U.S.C. § 159(d) Amendments to Schedule.</w:t>
      </w:r>
    </w:p>
  </w:footnote>
  <w:footnote w:id="35">
    <w:p w:rsidR="009C0565" w:rsidP="006F7AD6" w14:paraId="724B2EB8" w14:textId="77777777">
      <w:pPr>
        <w:pStyle w:val="FootnoteText"/>
      </w:pPr>
      <w:r>
        <w:rPr>
          <w:rStyle w:val="FootnoteReference"/>
        </w:rPr>
        <w:footnoteRef/>
      </w:r>
      <w:r>
        <w:t xml:space="preserve"> The Commission has stated that three overarching goals for assessing regulatory fees are fairness, administrability, and sustainability.  </w:t>
      </w:r>
      <w:r w:rsidRPr="007B4812">
        <w:rPr>
          <w:i/>
        </w:rPr>
        <w:t xml:space="preserve">See </w:t>
      </w:r>
      <w:r w:rsidRPr="00153254">
        <w:rPr>
          <w:i/>
        </w:rPr>
        <w:t xml:space="preserve">Procedures for </w:t>
      </w:r>
      <w:r w:rsidRPr="00527A81">
        <w:rPr>
          <w:i/>
        </w:rPr>
        <w:t>Assessment and Collection of Regulatory Fees</w:t>
      </w:r>
      <w:r>
        <w:t>, Notice of Proposed Rulemaking, 27 FCC Rcd 8458, 8464-65, paras. 14-16 (2012) (</w:t>
      </w:r>
      <w:r w:rsidRPr="004C6CF9">
        <w:rPr>
          <w:i/>
        </w:rPr>
        <w:t>FY</w:t>
      </w:r>
      <w:r w:rsidRPr="00153254">
        <w:rPr>
          <w:i/>
        </w:rPr>
        <w:t xml:space="preserve"> 2012 NPRM</w:t>
      </w:r>
      <w:r>
        <w:t>).  Commenters should discuss whether these three goals are still applicable under the new sections 9 and 9A in the RAY BAUM’S Act.  The concept of administrability would include the difficulty in collecting regulatory fees under a system that could have unpredictable dramatic shifts in assessed fees in certain categories from year to year.</w:t>
      </w:r>
    </w:p>
  </w:footnote>
  <w:footnote w:id="36">
    <w:p w:rsidR="009C0565" w:rsidRPr="00A1103B" w:rsidP="006F7AD6" w14:paraId="494C406E" w14:textId="77777777">
      <w:pPr>
        <w:pStyle w:val="FootnoteText"/>
      </w:pPr>
      <w:r w:rsidRPr="00A1103B">
        <w:rPr>
          <w:rStyle w:val="FootnoteReference"/>
        </w:rPr>
        <w:footnoteRef/>
      </w:r>
      <w:r w:rsidRPr="00A1103B">
        <w:t xml:space="preserve"> 47 U.S.C. § 159(a).</w:t>
      </w:r>
    </w:p>
  </w:footnote>
  <w:footnote w:id="37">
    <w:p w:rsidR="009C0565" w:rsidRPr="00A1103B" w:rsidP="006F7AD6" w14:paraId="0D5091E8" w14:textId="77777777">
      <w:pPr>
        <w:pStyle w:val="FootnoteText"/>
      </w:pPr>
      <w:r w:rsidRPr="00A1103B">
        <w:rPr>
          <w:rStyle w:val="FootnoteReference"/>
        </w:rPr>
        <w:footnoteRef/>
      </w:r>
      <w:r>
        <w:t xml:space="preserve"> 47 U.S.C. § 159(d)</w:t>
      </w:r>
      <w:r w:rsidRPr="00A1103B">
        <w:t>.</w:t>
      </w:r>
    </w:p>
  </w:footnote>
  <w:footnote w:id="38">
    <w:p w:rsidR="009C0565" w:rsidRPr="00A1103B" w:rsidP="006F7AD6" w14:paraId="66FA31DE" w14:textId="77777777">
      <w:pPr>
        <w:pStyle w:val="FootnoteText"/>
      </w:pPr>
      <w:r w:rsidRPr="00A1103B">
        <w:rPr>
          <w:rStyle w:val="FootnoteReference"/>
        </w:rPr>
        <w:footnoteRef/>
      </w:r>
      <w:r w:rsidRPr="00A1103B">
        <w:t xml:space="preserve"> </w:t>
      </w:r>
      <w:r w:rsidRPr="00A1103B">
        <w:rPr>
          <w:i/>
        </w:rPr>
        <w:t>Assessment and Collection of Regulatory Fees for Fiscal Year 2004</w:t>
      </w:r>
      <w:r w:rsidRPr="00A1103B">
        <w:t>, Report and Order, 19 FCC Rcd 11662, 11666, para. 11 (2004) (</w:t>
      </w:r>
      <w:r w:rsidRPr="00A1103B">
        <w:rPr>
          <w:i/>
        </w:rPr>
        <w:t>FY 2004 Report and Order</w:t>
      </w:r>
      <w:r w:rsidRPr="00A1103B">
        <w:t xml:space="preserve">).  </w:t>
      </w:r>
      <w:r>
        <w:t xml:space="preserve">As the Commission explained, adjustments to the fee schedule due to increases or decreases in the amount of units or licensees may not implicate costs.  </w:t>
      </w:r>
      <w:r w:rsidRPr="004D1663">
        <w:rPr>
          <w:i/>
        </w:rPr>
        <w:t>FY 2004 Report and Order</w:t>
      </w:r>
      <w:r>
        <w:t xml:space="preserve">, 19 FCC Rcd at 11666, para. 9.  Further, an attempt to adjust fees to mirror costs would be unworkable because any reduction in one category must be counterbalanced by increases in other categories.  </w:t>
      </w:r>
      <w:r w:rsidRPr="00966D56">
        <w:rPr>
          <w:i/>
        </w:rPr>
        <w:t>Id</w:t>
      </w:r>
      <w:r>
        <w:t>., 19 FCC Rcd at 11666, para. 10.</w:t>
      </w:r>
    </w:p>
  </w:footnote>
  <w:footnote w:id="39">
    <w:p w:rsidR="009C0565" w:rsidP="006F7AD6" w14:paraId="27580185" w14:textId="77777777">
      <w:pPr>
        <w:pStyle w:val="FootnoteText"/>
      </w:pPr>
      <w:r>
        <w:rPr>
          <w:rStyle w:val="FootnoteReference"/>
        </w:rPr>
        <w:footnoteRef/>
      </w:r>
      <w:r>
        <w:t xml:space="preserve"> For example, governmental and nonprofit entities, amateur radio operators, and noncommercial radio and television stations are exempt from regulatory fees under section 9(e)(1).  47 U.S.C. </w:t>
      </w:r>
      <w:r w:rsidRPr="00A1103B">
        <w:t>§</w:t>
      </w:r>
      <w:r>
        <w:t xml:space="preserve"> 159(e)(1); 47 CFR </w:t>
      </w:r>
      <w:r w:rsidRPr="00A1103B">
        <w:t>§</w:t>
      </w:r>
      <w:r>
        <w:t xml:space="preserve"> 1.1162.</w:t>
      </w:r>
    </w:p>
  </w:footnote>
  <w:footnote w:id="40">
    <w:p w:rsidR="009C0565" w:rsidP="006F7AD6" w14:paraId="763F060F" w14:textId="77777777">
      <w:pPr>
        <w:pStyle w:val="FootnoteText"/>
      </w:pPr>
      <w:r>
        <w:rPr>
          <w:rStyle w:val="FootnoteReference"/>
        </w:rPr>
        <w:footnoteRef/>
      </w:r>
      <w:r>
        <w:t xml:space="preserve"> 47 CFR</w:t>
      </w:r>
      <w:r w:rsidRPr="00410E02">
        <w:t xml:space="preserve"> </w:t>
      </w:r>
      <w:r w:rsidRPr="00A1103B">
        <w:t>§</w:t>
      </w:r>
      <w:r>
        <w:t xml:space="preserve"> 1.1166.</w:t>
      </w:r>
    </w:p>
  </w:footnote>
  <w:footnote w:id="41">
    <w:p w:rsidR="009C0565" w:rsidRPr="00277069" w:rsidP="006F7AD6" w14:paraId="6AD856DF" w14:textId="77777777">
      <w:pPr>
        <w:pStyle w:val="FootnoteText"/>
      </w:pPr>
      <w:r w:rsidRPr="00277069">
        <w:rPr>
          <w:rStyle w:val="FootnoteReference"/>
        </w:rPr>
        <w:footnoteRef/>
      </w:r>
      <w:r w:rsidRPr="00277069">
        <w:t xml:space="preserve"> </w:t>
      </w:r>
      <w:r>
        <w:t xml:space="preserve">47 U.S.C. </w:t>
      </w:r>
      <w:r w:rsidRPr="00A1103B">
        <w:t>§</w:t>
      </w:r>
      <w:r>
        <w:t xml:space="preserve"> 309(j)(8)(B) (providing that “</w:t>
      </w:r>
      <w:r w:rsidRPr="00277069">
        <w:rPr>
          <w:color w:val="000000"/>
        </w:rPr>
        <w:t>the salaries and expenses account of the Commission shall retain as an offsetting collection such sums as may be necessary from such proceeds for the costs of developing and implementing the program required by this subsection.</w:t>
      </w:r>
      <w:r>
        <w:rPr>
          <w:color w:val="000000"/>
        </w:rPr>
        <w:t>”)</w:t>
      </w:r>
    </w:p>
  </w:footnote>
  <w:footnote w:id="42">
    <w:p w:rsidR="009C0565" w:rsidP="006F7AD6" w14:paraId="088998BC" w14:textId="77777777">
      <w:pPr>
        <w:pStyle w:val="FootnoteText"/>
      </w:pPr>
      <w:r>
        <w:rPr>
          <w:rStyle w:val="FootnoteReference"/>
        </w:rPr>
        <w:footnoteRef/>
      </w:r>
      <w:r>
        <w:t xml:space="preserve"> </w:t>
      </w:r>
      <w:r w:rsidRPr="00C04445">
        <w:rPr>
          <w:i/>
        </w:rPr>
        <w:t>See, e.g</w:t>
      </w:r>
      <w:r>
        <w:t xml:space="preserve">., FY 2019 Appropriation </w:t>
      </w:r>
      <w:r w:rsidRPr="006D6945">
        <w:rPr>
          <w:color w:val="000000"/>
        </w:rPr>
        <w:t xml:space="preserve">(“proceeds from the use of a competitive bidding system that may be retained and made available for obligation shall not exceed $130,284,000 for fiscal year 2019”). </w:t>
      </w:r>
    </w:p>
  </w:footnote>
  <w:footnote w:id="43">
    <w:p w:rsidR="009C0565" w:rsidP="006F7AD6" w14:paraId="21B5112E" w14:textId="77777777">
      <w:pPr>
        <w:pStyle w:val="FootnoteText"/>
      </w:pPr>
      <w:r>
        <w:rPr>
          <w:rStyle w:val="FootnoteReference"/>
        </w:rPr>
        <w:footnoteRef/>
      </w:r>
      <w:r>
        <w:t xml:space="preserve"> The phrase “core” bureaus was first adopted in the </w:t>
      </w:r>
      <w:r w:rsidRPr="00A1340D">
        <w:rPr>
          <w:i/>
        </w:rPr>
        <w:t>FY 2012 NPRM</w:t>
      </w:r>
      <w:r>
        <w:t xml:space="preserve"> where the Commission explained that under (prior) section 9(b)(1)(A), the Commission was instructed to calculate the regulatory fees by determining the FTEs performing the activities enumerated in section 9(a)(1) within the Private Radio Bureau, Mass Media Bureau, and Common Carrier Bureau, and other offices of the Commission, and those bureaus had subsequently been renamed as the Wireless Telecommunications Bureau, Media Bureau, and Wireline Competition Bureau, and a new International Bureau had been formed.  </w:t>
      </w:r>
      <w:r w:rsidRPr="00A1340D">
        <w:rPr>
          <w:i/>
        </w:rPr>
        <w:t>FY 2012 NPRM</w:t>
      </w:r>
      <w:r w:rsidRPr="00A1103B">
        <w:t xml:space="preserve">, </w:t>
      </w:r>
      <w:r>
        <w:t>27</w:t>
      </w:r>
      <w:r w:rsidRPr="00A1103B">
        <w:t xml:space="preserve"> FCC Rcd </w:t>
      </w:r>
      <w:r>
        <w:t xml:space="preserve">at 8460, para. 5 &amp; n.5.  The Commission explained that “[f]or simplicity and ease of reference, in this Notice we will refer to these four bureaus as the ‘core’ bureaus or the ‘core licensing’ bureaus.”  </w:t>
      </w:r>
      <w:r w:rsidRPr="004A56AB">
        <w:rPr>
          <w:i/>
        </w:rPr>
        <w:t>Id.</w:t>
      </w:r>
      <w:r>
        <w:rPr>
          <w:i/>
        </w:rPr>
        <w:t xml:space="preserve">    </w:t>
      </w:r>
    </w:p>
  </w:footnote>
  <w:footnote w:id="44">
    <w:p w:rsidR="009C0565" w:rsidP="006F7AD6" w14:paraId="3A60E3FC" w14:textId="77777777">
      <w:pPr>
        <w:pStyle w:val="FootnoteText"/>
      </w:pPr>
      <w:r>
        <w:rPr>
          <w:rStyle w:val="FootnoteReference"/>
        </w:rPr>
        <w:footnoteRef/>
      </w:r>
      <w:r>
        <w:t xml:space="preserve"> The Commission observed in the </w:t>
      </w:r>
      <w:r w:rsidRPr="00D23917">
        <w:rPr>
          <w:i/>
        </w:rPr>
        <w:t>FY 2013 Report and Order</w:t>
      </w:r>
      <w:r>
        <w:t xml:space="preserve"> that “the high percentage of the indirect FTEs is indicative of the fact that many Commission activities and costs are not limited to a particular fee category and instead benefit the Commission as a whole.”  </w:t>
      </w:r>
      <w:r w:rsidRPr="00D23917">
        <w:rPr>
          <w:i/>
        </w:rPr>
        <w:t xml:space="preserve">See </w:t>
      </w:r>
      <w:r>
        <w:rPr>
          <w:i/>
        </w:rPr>
        <w:t>FY 2013</w:t>
      </w:r>
      <w:r w:rsidRPr="008A4B2E">
        <w:rPr>
          <w:i/>
        </w:rPr>
        <w:t xml:space="preserve"> Report and Order</w:t>
      </w:r>
      <w:r>
        <w:t>, 28</w:t>
      </w:r>
      <w:r w:rsidRPr="00A1103B">
        <w:t xml:space="preserve"> FCC Rcd</w:t>
      </w:r>
      <w:r>
        <w:t xml:space="preserve"> at 12357, para. 17.</w:t>
      </w:r>
      <w:r w:rsidRPr="003216AF">
        <w:rPr>
          <w:szCs w:val="22"/>
        </w:rPr>
        <w:t xml:space="preserve"> </w:t>
      </w:r>
      <w:r>
        <w:rPr>
          <w:szCs w:val="22"/>
        </w:rPr>
        <w:t xml:space="preserve"> The new Office of Economics and Analytics consists of indirect FTEs.</w:t>
      </w:r>
    </w:p>
  </w:footnote>
  <w:footnote w:id="45">
    <w:p w:rsidR="009C0565" w:rsidRPr="00A1103B" w:rsidP="006F7AD6" w14:paraId="3216FEF5" w14:textId="77777777">
      <w:pPr>
        <w:pStyle w:val="FootnoteText"/>
      </w:pPr>
      <w:r w:rsidRPr="00A1103B">
        <w:rPr>
          <w:rStyle w:val="FootnoteReference"/>
        </w:rPr>
        <w:footnoteRef/>
      </w:r>
      <w:r w:rsidRPr="00A1103B">
        <w:t xml:space="preserve"> </w:t>
      </w:r>
      <w:r w:rsidRPr="00C82293">
        <w:rPr>
          <w:i/>
        </w:rPr>
        <w:t>S</w:t>
      </w:r>
      <w:r w:rsidRPr="0088462E">
        <w:rPr>
          <w:i/>
        </w:rPr>
        <w:t xml:space="preserve">ee </w:t>
      </w:r>
      <w:r w:rsidRPr="00A1103B">
        <w:rPr>
          <w:i/>
        </w:rPr>
        <w:t>FY 2012 NPRM</w:t>
      </w:r>
      <w:r w:rsidRPr="00A1103B">
        <w:t xml:space="preserve">, 27 FCC Rcd </w:t>
      </w:r>
      <w:r>
        <w:t xml:space="preserve">at 8461-62, paras. 8-11.  </w:t>
      </w:r>
    </w:p>
  </w:footnote>
  <w:footnote w:id="46">
    <w:p w:rsidR="009C0565" w:rsidRPr="00CF6908" w:rsidP="006F7AD6" w14:paraId="373FD0A0" w14:textId="77777777">
      <w:pPr>
        <w:pStyle w:val="FootnoteText"/>
      </w:pPr>
      <w:r>
        <w:rPr>
          <w:rStyle w:val="FootnoteReference"/>
        </w:rPr>
        <w:footnoteRef/>
      </w:r>
      <w:r>
        <w:t xml:space="preserve"> The indirect FTEs are the non-auctions employees from the following bureaus and offices:  Enforcement Bureau, Consumer &amp; Governmental Affairs Bureau, Public Safety and Homeland Security Bureau, part of the International Bureau, part of the Wireline Competition Bureau, Chairman and Commissioners’ offices, Office of the Managing Director, Office of General Counsel, Office of the Inspector General, Office of Communications Business Opportunities, Office of Engineering and Technology, Office of Legislative Affairs, Office of Strategic Planning and Policy Analysis, Office of Workplace Diversity, </w:t>
      </w:r>
      <w:r w:rsidRPr="00CF6908">
        <w:t xml:space="preserve">Office of Media Relations, Office of Economics and Analytics, and Office of Administrative Law Judges.  </w:t>
      </w:r>
    </w:p>
  </w:footnote>
  <w:footnote w:id="47">
    <w:p w:rsidR="009C0565" w:rsidP="006F7AD6" w14:paraId="263358E0" w14:textId="77777777">
      <w:pPr>
        <w:pStyle w:val="FootnoteText"/>
      </w:pPr>
      <w:r>
        <w:rPr>
          <w:rStyle w:val="FootnoteReference"/>
        </w:rPr>
        <w:footnoteRef/>
      </w:r>
      <w:r>
        <w:t xml:space="preserve"> </w:t>
      </w:r>
      <w:r w:rsidRPr="0058075D">
        <w:t xml:space="preserve">In the past, we have based the FTE count in the core bureaus on the number of FTEs in the beginning of the fiscal year.  </w:t>
      </w:r>
      <w:r>
        <w:t>The Commission took two actions during FY 2019 that significantly impacted the numbers of FTEs in the core bureaus.  First,</w:t>
      </w:r>
      <w:r w:rsidRPr="0058075D">
        <w:t xml:space="preserve"> </w:t>
      </w:r>
      <w:r>
        <w:t xml:space="preserve">staff reassignments to </w:t>
      </w:r>
      <w:r w:rsidRPr="0058075D">
        <w:t>the Office of Economics and Analytics (OEA)</w:t>
      </w:r>
      <w:r w:rsidRPr="00CA695F">
        <w:t xml:space="preserve"> </w:t>
      </w:r>
      <w:r>
        <w:t xml:space="preserve">were formally effective </w:t>
      </w:r>
      <w:r w:rsidRPr="0058075D">
        <w:t>on December 11, 2018</w:t>
      </w:r>
      <w:r>
        <w:t>.</w:t>
      </w:r>
      <w:r w:rsidRPr="00CA695F">
        <w:t xml:space="preserve"> </w:t>
      </w:r>
      <w:r>
        <w:t xml:space="preserve"> </w:t>
      </w:r>
      <w:r w:rsidRPr="004C6CF9">
        <w:rPr>
          <w:i/>
        </w:rPr>
        <w:t>See</w:t>
      </w:r>
      <w:r>
        <w:t xml:space="preserve"> </w:t>
      </w:r>
      <w:r w:rsidRPr="008A4B2E">
        <w:rPr>
          <w:i/>
        </w:rPr>
        <w:t>Establishment of the Office of Economics and Analytics</w:t>
      </w:r>
      <w:r w:rsidRPr="00B50F08">
        <w:t xml:space="preserve">, </w:t>
      </w:r>
      <w:r w:rsidRPr="008A4B2E">
        <w:t>Order</w:t>
      </w:r>
      <w:r w:rsidRPr="00B50F08">
        <w:t>, 33 FCC Rcd 1539 (2018)</w:t>
      </w:r>
      <w:r>
        <w:t xml:space="preserve">; </w:t>
      </w:r>
      <w:r w:rsidRPr="00936EB7">
        <w:rPr>
          <w:color w:val="1D2B3E"/>
          <w:shd w:val="clear" w:color="auto" w:fill="FFFFFF"/>
        </w:rPr>
        <w:t>FCC Opens Office Of Economics And Analytics</w:t>
      </w:r>
      <w:r w:rsidRPr="00E748E6">
        <w:rPr>
          <w:color w:val="1D2B3E"/>
          <w:shd w:val="clear" w:color="auto" w:fill="FFFFFF"/>
        </w:rPr>
        <w:t>,</w:t>
      </w:r>
      <w:r w:rsidRPr="00936EB7">
        <w:rPr>
          <w:color w:val="1D2B3E"/>
          <w:shd w:val="clear" w:color="auto" w:fill="FFFFFF"/>
        </w:rPr>
        <w:t xml:space="preserve"> Federal Communications Commission News Release, December 11, 2018</w:t>
      </w:r>
      <w:r w:rsidRPr="00C04445">
        <w:rPr>
          <w:color w:val="1D2B3E"/>
          <w:shd w:val="clear" w:color="auto" w:fill="FFFFFF"/>
        </w:rPr>
        <w:t>,</w:t>
      </w:r>
      <w:r w:rsidRPr="00936EB7">
        <w:rPr>
          <w:color w:val="1D2B3E"/>
          <w:shd w:val="clear" w:color="auto" w:fill="FFFFFF"/>
        </w:rPr>
        <w:t xml:space="preserve"> </w:t>
      </w:r>
      <w:hyperlink r:id="rId1" w:tgtFrame="_blank" w:history="1">
        <w:r w:rsidRPr="00C04445">
          <w:rPr>
            <w:color w:val="0000FF"/>
            <w:u w:val="single"/>
          </w:rPr>
          <w:t>https://www.fcc.gov/document/fcc-opens-office-economics-and-analytics</w:t>
        </w:r>
      </w:hyperlink>
      <w:r w:rsidRPr="00936EB7">
        <w:rPr>
          <w:color w:val="212121"/>
        </w:rPr>
        <w:t>.</w:t>
      </w:r>
      <w:r>
        <w:rPr>
          <w:color w:val="212121"/>
        </w:rPr>
        <w:t xml:space="preserve"> </w:t>
      </w:r>
      <w:r w:rsidRPr="005E2F94">
        <w:t xml:space="preserve"> </w:t>
      </w:r>
      <w:r>
        <w:t>The creation of OEA resulted in</w:t>
      </w:r>
      <w:r w:rsidRPr="0058075D">
        <w:t xml:space="preserve"> the reassignment of 95 FTEs (of which 64 were not auctions-funded) to the new OEA as indirect FTEs</w:t>
      </w:r>
      <w:r>
        <w:t>.  Second, staff reassignments for Equal Employment Opportunity enforcement moved seven FTEs from the Media Bureau to the Enforcement Bureau</w:t>
      </w:r>
      <w:r w:rsidRPr="0058075D">
        <w:t xml:space="preserve"> </w:t>
      </w:r>
      <w:r>
        <w:t>effective March 15, 2019.</w:t>
      </w:r>
      <w:r w:rsidRPr="005E2F94">
        <w:t xml:space="preserve"> </w:t>
      </w:r>
      <w:r>
        <w:t xml:space="preserve"> </w:t>
      </w:r>
      <w:r w:rsidRPr="00D4781D">
        <w:rPr>
          <w:i/>
        </w:rPr>
        <w:t>See</w:t>
      </w:r>
      <w:r>
        <w:t xml:space="preserve"> </w:t>
      </w:r>
      <w:r w:rsidRPr="008A4B2E">
        <w:rPr>
          <w:i/>
        </w:rPr>
        <w:t>Transfer of EEO Au</w:t>
      </w:r>
      <w:r>
        <w:rPr>
          <w:i/>
        </w:rPr>
        <w:t>d</w:t>
      </w:r>
      <w:r w:rsidRPr="008A4B2E">
        <w:rPr>
          <w:i/>
        </w:rPr>
        <w:t>it and Enforcement Responsibilities to Enforcement Bureau</w:t>
      </w:r>
      <w:r>
        <w:t xml:space="preserve">, Public Notice, DA 19-186 (rel. Mar. 15, 2019).  </w:t>
      </w:r>
      <w:r w:rsidRPr="005C6A55">
        <w:t>Our</w:t>
      </w:r>
      <w:r>
        <w:t xml:space="preserve"> calculation accounts for (1) </w:t>
      </w:r>
      <w:r w:rsidRPr="0058075D">
        <w:t xml:space="preserve">the direct FTEs in the </w:t>
      </w:r>
      <w:r>
        <w:t xml:space="preserve">four </w:t>
      </w:r>
      <w:r w:rsidRPr="0058075D">
        <w:t xml:space="preserve">core bureaus prior to the formation of OEA, </w:t>
      </w:r>
      <w:r>
        <w:t xml:space="preserve">(2) </w:t>
      </w:r>
      <w:r w:rsidRPr="0058075D">
        <w:t xml:space="preserve">the direct FTEs in the </w:t>
      </w:r>
      <w:r>
        <w:t xml:space="preserve">four </w:t>
      </w:r>
      <w:r w:rsidRPr="0058075D">
        <w:t xml:space="preserve">core bureaus </w:t>
      </w:r>
      <w:r>
        <w:t xml:space="preserve">following the formation of OEA, and (3) the direct FTEs in the four core bureaus following the reorganization that moved seven FTEs from the Media Bureau to the Enforcement Bureau, and thus from direct to indirect, on March 15, 2019.  </w:t>
      </w:r>
    </w:p>
  </w:footnote>
  <w:footnote w:id="48">
    <w:p w:rsidR="009C0565" w:rsidP="006F7AD6" w14:paraId="1AE55F8C" w14:textId="77777777">
      <w:pPr>
        <w:pStyle w:val="FootnoteText"/>
      </w:pPr>
      <w:r>
        <w:rPr>
          <w:rStyle w:val="FootnoteReference"/>
        </w:rPr>
        <w:footnoteRef/>
      </w:r>
      <w:r>
        <w:t xml:space="preserve"> </w:t>
      </w:r>
      <w:r w:rsidRPr="00B96D11">
        <w:rPr>
          <w:i/>
        </w:rPr>
        <w:t>1994 Report and Order</w:t>
      </w:r>
      <w:r w:rsidRPr="00B96D11">
        <w:t xml:space="preserve">, 9 FCC Rcd </w:t>
      </w:r>
      <w:r>
        <w:t>at</w:t>
      </w:r>
      <w:r w:rsidRPr="00B96D11">
        <w:t xml:space="preserve"> 5344</w:t>
      </w:r>
      <w:r>
        <w:t xml:space="preserve">.  </w:t>
      </w:r>
    </w:p>
  </w:footnote>
  <w:footnote w:id="49">
    <w:p w:rsidR="009C0565" w:rsidRPr="00565E15" w:rsidP="006F7AD6" w14:paraId="6C8F2CFD" w14:textId="77777777">
      <w:pPr>
        <w:pStyle w:val="FootnoteText"/>
      </w:pPr>
      <w:r w:rsidRPr="00565E15">
        <w:rPr>
          <w:rStyle w:val="FootnoteReference"/>
        </w:rPr>
        <w:footnoteRef/>
      </w:r>
      <w:r w:rsidRPr="00565E15">
        <w:t xml:space="preserve"> MVPD is defined in section 602(13) of the Act, 47 U.S.C. § 522(13).</w:t>
      </w:r>
    </w:p>
  </w:footnote>
  <w:footnote w:id="50">
    <w:p w:rsidR="009C0565" w:rsidP="006F7AD6" w14:paraId="4BBDC96A" w14:textId="77777777">
      <w:pPr>
        <w:pStyle w:val="FootnoteText"/>
      </w:pPr>
      <w:r>
        <w:rPr>
          <w:rStyle w:val="FootnoteReference"/>
        </w:rPr>
        <w:footnoteRef/>
      </w:r>
      <w:r>
        <w:t xml:space="preserve"> </w:t>
      </w:r>
      <w:r w:rsidRPr="00317656">
        <w:rPr>
          <w:i/>
        </w:rPr>
        <w:t xml:space="preserve">Assessment and Collection of Regulatory Fees for Fiscal Year </w:t>
      </w:r>
      <w:r w:rsidRPr="00A64500">
        <w:rPr>
          <w:i/>
        </w:rPr>
        <w:t>2018</w:t>
      </w:r>
      <w:r>
        <w:rPr>
          <w:i/>
        </w:rPr>
        <w:t xml:space="preserve">, </w:t>
      </w:r>
      <w:r w:rsidRPr="00A64500">
        <w:rPr>
          <w:i/>
        </w:rPr>
        <w:t>Report and Order</w:t>
      </w:r>
      <w:r>
        <w:rPr>
          <w:i/>
        </w:rPr>
        <w:t xml:space="preserve"> and Order</w:t>
      </w:r>
      <w:r>
        <w:t>, 33 FCC Rcd 8497, 8944, para. 8 (2018) (</w:t>
      </w:r>
      <w:r>
        <w:rPr>
          <w:i/>
        </w:rPr>
        <w:t>FY 2018 Report and Order</w:t>
      </w:r>
      <w:r>
        <w:t>).</w:t>
      </w:r>
    </w:p>
  </w:footnote>
  <w:footnote w:id="51">
    <w:p w:rsidR="009C0565" w:rsidP="006F7AD6" w14:paraId="4AE4C9BD" w14:textId="77777777">
      <w:pPr>
        <w:pStyle w:val="FootnoteText"/>
      </w:pPr>
      <w:r>
        <w:rPr>
          <w:rStyle w:val="FootnoteReference"/>
        </w:rPr>
        <w:footnoteRef/>
      </w:r>
      <w:r>
        <w:t xml:space="preserve"> </w:t>
      </w:r>
      <w:r w:rsidRPr="00A64500">
        <w:rPr>
          <w:i/>
        </w:rPr>
        <w:t>FY 2018 Report and Order</w:t>
      </w:r>
      <w:r>
        <w:t>, 33 FCC Rcd at 8944-8500, para. 8.</w:t>
      </w:r>
    </w:p>
  </w:footnote>
  <w:footnote w:id="52">
    <w:p w:rsidR="009C0565" w:rsidRPr="00614D13" w:rsidP="006F7AD6" w14:paraId="461C3685" w14:textId="77777777">
      <w:pPr>
        <w:pStyle w:val="FootnoteText"/>
      </w:pPr>
      <w:r>
        <w:rPr>
          <w:rStyle w:val="FootnoteReference"/>
        </w:rPr>
        <w:footnoteRef/>
      </w:r>
      <w:r>
        <w:t xml:space="preserve"> </w:t>
      </w:r>
      <w:r w:rsidRPr="00317656">
        <w:rPr>
          <w:i/>
        </w:rPr>
        <w:t xml:space="preserve">Assessment and Collection of Regulatory Fees for Fiscal Year </w:t>
      </w:r>
      <w:r>
        <w:rPr>
          <w:i/>
        </w:rPr>
        <w:t>2015</w:t>
      </w:r>
      <w:r w:rsidRPr="004C6CF9">
        <w:t>,</w:t>
      </w:r>
      <w:r w:rsidRPr="008A4B2E">
        <w:t xml:space="preserve"> Report and Order</w:t>
      </w:r>
      <w:r w:rsidRPr="004C6CF9">
        <w:t xml:space="preserve"> and Further Notice of Proposed Rulemaking, </w:t>
      </w:r>
      <w:r w:rsidRPr="00565E15">
        <w:t xml:space="preserve">30 FCC Rcd </w:t>
      </w:r>
      <w:r>
        <w:t>10268, 10277, para. 20 (2015) (</w:t>
      </w:r>
      <w:r w:rsidRPr="00901A0F">
        <w:rPr>
          <w:i/>
        </w:rPr>
        <w:t>FY 2015 Report and Order</w:t>
      </w:r>
      <w:r>
        <w:t>).</w:t>
      </w:r>
    </w:p>
  </w:footnote>
  <w:footnote w:id="53">
    <w:p w:rsidR="009C0565" w:rsidRPr="00565E15" w:rsidP="006F7AD6" w14:paraId="43646482" w14:textId="77777777">
      <w:pPr>
        <w:pStyle w:val="FootnoteText"/>
      </w:pPr>
      <w:r w:rsidRPr="00565E15">
        <w:rPr>
          <w:rStyle w:val="FootnoteReference"/>
        </w:rPr>
        <w:footnoteRef/>
      </w:r>
      <w:r w:rsidRPr="00565E15">
        <w:t xml:space="preserve"> </w:t>
      </w:r>
      <w:r w:rsidRPr="00565E15">
        <w:rPr>
          <w:i/>
        </w:rPr>
        <w:t>FY 2015 Report and Order</w:t>
      </w:r>
      <w:r w:rsidRPr="00565E15">
        <w:t>, 30 FCC Rcd at 10277, para. 20.</w:t>
      </w:r>
    </w:p>
  </w:footnote>
  <w:footnote w:id="54">
    <w:p w:rsidR="009C0565" w:rsidP="006F7AD6" w14:paraId="7D70A10B" w14:textId="77777777">
      <w:pPr>
        <w:pStyle w:val="FootnoteText"/>
      </w:pPr>
      <w:r>
        <w:rPr>
          <w:rStyle w:val="FootnoteReference"/>
        </w:rPr>
        <w:footnoteRef/>
      </w:r>
      <w:r>
        <w:t xml:space="preserve"> </w:t>
      </w:r>
      <w:r w:rsidRPr="0069017D">
        <w:rPr>
          <w:i/>
          <w:szCs w:val="22"/>
        </w:rPr>
        <w:t>FY 2017 Report and Order</w:t>
      </w:r>
      <w:r>
        <w:rPr>
          <w:szCs w:val="22"/>
        </w:rPr>
        <w:t xml:space="preserve">, 32 FCC Rcd at 7067, para. 20; </w:t>
      </w:r>
      <w:r w:rsidRPr="003011DA">
        <w:rPr>
          <w:i/>
          <w:szCs w:val="22"/>
        </w:rPr>
        <w:t>FY 2016 Report and Order</w:t>
      </w:r>
      <w:r>
        <w:rPr>
          <w:szCs w:val="22"/>
        </w:rPr>
        <w:t>, 31 FCC Rcd at 10350, para. 30.  In each of these years, the Commission also assessed a separate one-time fee on DBS operators on a per-subscriber basis to account for moving expenses.</w:t>
      </w:r>
    </w:p>
  </w:footnote>
  <w:footnote w:id="55">
    <w:p w:rsidR="009C0565" w:rsidRPr="00040C8F" w:rsidP="006F7AD6" w14:paraId="64DF30AF" w14:textId="77777777">
      <w:pPr>
        <w:pStyle w:val="FootnoteText"/>
      </w:pPr>
      <w:r>
        <w:rPr>
          <w:rStyle w:val="FootnoteReference"/>
        </w:rPr>
        <w:footnoteRef/>
      </w:r>
      <w:r>
        <w:t xml:space="preserve"> </w:t>
      </w:r>
      <w:r w:rsidRPr="000A70F5">
        <w:rPr>
          <w:i/>
        </w:rPr>
        <w:t>FY 2018 NPRM</w:t>
      </w:r>
      <w:r w:rsidRPr="00CE7F26">
        <w:rPr>
          <w:i/>
        </w:rPr>
        <w:t xml:space="preserve"> </w:t>
      </w:r>
      <w:r>
        <w:t>,33 FCC Rcd at 5099, para. 19.</w:t>
      </w:r>
    </w:p>
  </w:footnote>
  <w:footnote w:id="56">
    <w:p w:rsidR="009C0565" w:rsidP="006F7AD6" w14:paraId="615B95FE" w14:textId="77777777">
      <w:pPr>
        <w:pStyle w:val="FootnoteText"/>
      </w:pPr>
      <w:r>
        <w:rPr>
          <w:rStyle w:val="FootnoteReference"/>
        </w:rPr>
        <w:footnoteRef/>
      </w:r>
      <w:r>
        <w:t xml:space="preserve"> </w:t>
      </w:r>
      <w:r w:rsidRPr="00A64500">
        <w:rPr>
          <w:i/>
        </w:rPr>
        <w:t>FY 2018 Report and Order</w:t>
      </w:r>
      <w:r>
        <w:t xml:space="preserve">, 33 FCC Rcd at 8501, para. 11; </w:t>
      </w:r>
      <w:r w:rsidRPr="006D312C">
        <w:rPr>
          <w:i/>
        </w:rPr>
        <w:t>FY 2017 Report and Order</w:t>
      </w:r>
      <w:r>
        <w:t xml:space="preserve">, 32 FCC Rcd at 7067-68, paras. 22-23; </w:t>
      </w:r>
      <w:r w:rsidRPr="003610E3">
        <w:rPr>
          <w:i/>
        </w:rPr>
        <w:t>see also</w:t>
      </w:r>
      <w:r>
        <w:t xml:space="preserve"> </w:t>
      </w:r>
      <w:r w:rsidRPr="003610E3">
        <w:rPr>
          <w:i/>
        </w:rPr>
        <w:t xml:space="preserve">FY 2015 </w:t>
      </w:r>
      <w:r>
        <w:rPr>
          <w:i/>
        </w:rPr>
        <w:t>NPRM</w:t>
      </w:r>
      <w:r>
        <w:t>, 30 FCC Rcd at 5369, para. 33</w:t>
      </w:r>
      <w:r w:rsidRPr="00D2430F">
        <w:rPr>
          <w:i/>
        </w:rPr>
        <w:t xml:space="preserve"> </w:t>
      </w:r>
      <w:r>
        <w:t>(“We also reject the argument raised by DIRECTV and DISH that section 9 of the Act requires us to ‘show that DBS and cable occupy a comparable number of FTEs.’”).</w:t>
      </w:r>
    </w:p>
  </w:footnote>
  <w:footnote w:id="57">
    <w:p w:rsidR="009C0565" w:rsidP="006F7AD6" w14:paraId="11962B1C" w14:textId="77777777">
      <w:pPr>
        <w:pStyle w:val="FootnoteText"/>
      </w:pPr>
      <w:r>
        <w:rPr>
          <w:rStyle w:val="FootnoteReference"/>
        </w:rPr>
        <w:footnoteRef/>
      </w:r>
      <w:r>
        <w:t xml:space="preserve"> </w:t>
      </w:r>
      <w:r w:rsidRPr="00A64500">
        <w:rPr>
          <w:i/>
        </w:rPr>
        <w:t>FY 2018 Report and Order</w:t>
      </w:r>
      <w:r>
        <w:t>, 33 FCC Rcd at 8501, para. 11.</w:t>
      </w:r>
    </w:p>
  </w:footnote>
  <w:footnote w:id="58">
    <w:p w:rsidR="009C0565" w:rsidP="006F7AD6" w14:paraId="490091FC" w14:textId="77777777">
      <w:pPr>
        <w:pStyle w:val="FootnoteText"/>
      </w:pPr>
      <w:r>
        <w:rPr>
          <w:rStyle w:val="FootnoteReference"/>
        </w:rPr>
        <w:footnoteRef/>
      </w:r>
      <w:r>
        <w:t xml:space="preserve"> ITSP, regulated by the Wireline Competition Bureau, includes </w:t>
      </w:r>
      <w:r w:rsidRPr="00C5052D">
        <w:rPr>
          <w:spacing w:val="-2"/>
          <w:szCs w:val="22"/>
        </w:rPr>
        <w:t xml:space="preserve">interexchange carriers (IXCs), incumbent local exchange carriers (LECs), toll resellers, </w:t>
      </w:r>
      <w:r>
        <w:rPr>
          <w:spacing w:val="-2"/>
          <w:szCs w:val="22"/>
        </w:rPr>
        <w:t xml:space="preserve">Voice over Internet Providers (VoIP), </w:t>
      </w:r>
      <w:r w:rsidRPr="00C5052D">
        <w:rPr>
          <w:spacing w:val="-2"/>
          <w:szCs w:val="22"/>
        </w:rPr>
        <w:t>and other</w:t>
      </w:r>
      <w:r>
        <w:rPr>
          <w:spacing w:val="-2"/>
          <w:szCs w:val="22"/>
        </w:rPr>
        <w:t xml:space="preserve"> </w:t>
      </w:r>
      <w:r w:rsidRPr="00C5052D">
        <w:rPr>
          <w:spacing w:val="-2"/>
          <w:szCs w:val="22"/>
        </w:rPr>
        <w:t>service providers</w:t>
      </w:r>
      <w:r>
        <w:rPr>
          <w:spacing w:val="-2"/>
          <w:szCs w:val="22"/>
        </w:rPr>
        <w:t>, all of which involve different degrees of regulatory oversight</w:t>
      </w:r>
      <w:r>
        <w:rPr>
          <w:szCs w:val="22"/>
        </w:rPr>
        <w:t>.</w:t>
      </w:r>
      <w:r>
        <w:t xml:space="preserve">  </w:t>
      </w:r>
    </w:p>
  </w:footnote>
  <w:footnote w:id="59">
    <w:p w:rsidR="009C0565" w:rsidP="006F7AD6" w14:paraId="35ED4EF5" w14:textId="77777777">
      <w:pPr>
        <w:pStyle w:val="FootnoteText"/>
      </w:pPr>
      <w:r>
        <w:rPr>
          <w:rStyle w:val="FootnoteReference"/>
        </w:rPr>
        <w:footnoteRef/>
      </w:r>
      <w:r>
        <w:t xml:space="preserve"> As the Commission observed in the </w:t>
      </w:r>
      <w:r w:rsidRPr="008F7D44">
        <w:rPr>
          <w:i/>
        </w:rPr>
        <w:t>FY 2018 Report and Order</w:t>
      </w:r>
      <w:r>
        <w:t>, “</w:t>
      </w:r>
      <w:r w:rsidRPr="008F7D44">
        <w:t>Although a common pool of FTEs work on MVPD and related issues for DBS operators, IPTV providers, and cable TV systems,</w:t>
      </w:r>
      <w:r>
        <w:t xml:space="preserve"> . . . we believe it is prudent to adopt our proposal to increase such rates by less than one cent per subscriber per month. . . .”  </w:t>
      </w:r>
      <w:r w:rsidRPr="008F7D44">
        <w:rPr>
          <w:i/>
        </w:rPr>
        <w:t>FY 2018 Report and Order</w:t>
      </w:r>
      <w:r>
        <w:t xml:space="preserve">, 33 FCC Rcd at 8500, para. 10.  The Commission has consistently observed that the Media Bureau FTEs work on the regulation and oversight of MVPDs, that includes DBS, cable television, and IPTV.  </w:t>
      </w:r>
      <w:r w:rsidRPr="002E0230">
        <w:rPr>
          <w:i/>
        </w:rPr>
        <w:t>See</w:t>
      </w:r>
      <w:r>
        <w:t xml:space="preserve"> </w:t>
      </w:r>
      <w:r w:rsidRPr="002E0230">
        <w:rPr>
          <w:i/>
        </w:rPr>
        <w:t>FY 2017 Report and Order</w:t>
      </w:r>
      <w:r>
        <w:t xml:space="preserve">, 32 FCC Rcd at 7065, para 19; </w:t>
      </w:r>
      <w:r w:rsidRPr="002E0230">
        <w:rPr>
          <w:i/>
        </w:rPr>
        <w:t>FY 2016 Report and Order</w:t>
      </w:r>
      <w:r>
        <w:t>, 31 FCC Rcd at 10350, para. 30.</w:t>
      </w:r>
    </w:p>
  </w:footnote>
  <w:footnote w:id="60">
    <w:p w:rsidR="009C0565" w:rsidP="006F7AD6" w14:paraId="6BFAE1BF" w14:textId="77777777">
      <w:pPr>
        <w:pStyle w:val="FootnoteText"/>
      </w:pPr>
      <w:r>
        <w:rPr>
          <w:rStyle w:val="FootnoteReference"/>
        </w:rPr>
        <w:footnoteRef/>
      </w:r>
      <w:r>
        <w:t xml:space="preserve"> </w:t>
      </w:r>
      <w:r w:rsidRPr="00DD6522">
        <w:rPr>
          <w:i/>
        </w:rPr>
        <w:t>FY 2018 NPRM</w:t>
      </w:r>
      <w:r>
        <w:t>, 33 FCC Rcd at 5102, para. 28.</w:t>
      </w:r>
    </w:p>
  </w:footnote>
  <w:footnote w:id="61">
    <w:p w:rsidR="009C0565" w:rsidP="006F7AD6" w14:paraId="12B346F0" w14:textId="77777777">
      <w:pPr>
        <w:pStyle w:val="FootnoteText"/>
      </w:pPr>
      <w:r>
        <w:rPr>
          <w:rStyle w:val="FootnoteReference"/>
        </w:rPr>
        <w:footnoteRef/>
      </w:r>
      <w:r>
        <w:t xml:space="preserve"> </w:t>
      </w:r>
      <w:r w:rsidRPr="008A4B2E">
        <w:rPr>
          <w:i/>
        </w:rPr>
        <w:t>Id.</w:t>
      </w:r>
      <w:r>
        <w:t xml:space="preserve"> (quoting prior section 9(b)(1)(A)).</w:t>
      </w:r>
    </w:p>
  </w:footnote>
  <w:footnote w:id="62">
    <w:p w:rsidR="009C0565" w:rsidP="006F7AD6" w14:paraId="02B5240E" w14:textId="77777777">
      <w:pPr>
        <w:pStyle w:val="FootnoteText"/>
      </w:pPr>
      <w:r>
        <w:rPr>
          <w:rStyle w:val="FootnoteReference"/>
        </w:rPr>
        <w:footnoteRef/>
      </w:r>
      <w:r>
        <w:t xml:space="preserve"> </w:t>
      </w:r>
      <w:r>
        <w:rPr>
          <w:i/>
        </w:rPr>
        <w:t>Id.</w:t>
      </w:r>
    </w:p>
  </w:footnote>
  <w:footnote w:id="63">
    <w:p w:rsidR="009C0565" w:rsidP="006F7AD6" w14:paraId="7A34EFC5" w14:textId="77777777">
      <w:pPr>
        <w:pStyle w:val="FootnoteText"/>
      </w:pPr>
      <w:r>
        <w:rPr>
          <w:rStyle w:val="FootnoteReference"/>
        </w:rPr>
        <w:footnoteRef/>
      </w:r>
      <w:r>
        <w:t xml:space="preserve"> </w:t>
      </w:r>
      <w:r>
        <w:rPr>
          <w:i/>
        </w:rPr>
        <w:t>Id.</w:t>
      </w:r>
    </w:p>
  </w:footnote>
  <w:footnote w:id="64">
    <w:p w:rsidR="009C0565" w:rsidP="006F7AD6" w14:paraId="5BDF4BBB" w14:textId="77777777">
      <w:pPr>
        <w:pStyle w:val="FootnoteText"/>
      </w:pPr>
      <w:r>
        <w:rPr>
          <w:rStyle w:val="FootnoteReference"/>
        </w:rPr>
        <w:footnoteRef/>
      </w:r>
      <w:r>
        <w:t xml:space="preserve"> </w:t>
      </w:r>
      <w:r w:rsidRPr="00B90DD2">
        <w:rPr>
          <w:i/>
        </w:rPr>
        <w:t>FY 2018 Report and Order</w:t>
      </w:r>
      <w:r>
        <w:t>, 33 FCC Rcd at para.14.</w:t>
      </w:r>
    </w:p>
  </w:footnote>
  <w:footnote w:id="65">
    <w:p w:rsidR="009C0565" w:rsidRPr="00F350B5" w:rsidP="006F7AD6" w14:paraId="20693CBF" w14:textId="77777777">
      <w:pPr>
        <w:pStyle w:val="FootnoteText"/>
      </w:pPr>
      <w:r w:rsidRPr="00F5497E">
        <w:rPr>
          <w:rStyle w:val="FootnoteReference"/>
        </w:rPr>
        <w:footnoteRef/>
      </w:r>
      <w:r w:rsidRPr="00F5497E">
        <w:t xml:space="preserve"> </w:t>
      </w:r>
      <w:r>
        <w:t xml:space="preserve">47 U.S.C. § 159(d).  </w:t>
      </w:r>
    </w:p>
  </w:footnote>
  <w:footnote w:id="66">
    <w:p w:rsidR="009C0565" w:rsidP="006F7AD6" w14:paraId="004C2FE0" w14:textId="77777777">
      <w:pPr>
        <w:pStyle w:val="FootnoteText"/>
      </w:pPr>
      <w:r>
        <w:rPr>
          <w:rStyle w:val="FootnoteReference"/>
        </w:rPr>
        <w:footnoteRef/>
      </w:r>
      <w:r>
        <w:t xml:space="preserve"> </w:t>
      </w:r>
      <w:r w:rsidRPr="00BE4D74">
        <w:rPr>
          <w:snapToGrid w:val="0"/>
        </w:rPr>
        <w:t xml:space="preserve">The </w:t>
      </w:r>
      <w:r>
        <w:rPr>
          <w:snapToGrid w:val="0"/>
        </w:rPr>
        <w:t xml:space="preserve">factor of </w:t>
      </w:r>
      <w:r w:rsidRPr="00E4629D">
        <w:rPr>
          <w:snapToGrid w:val="0"/>
        </w:rPr>
        <w:t>.7</w:t>
      </w:r>
      <w:r>
        <w:rPr>
          <w:snapToGrid w:val="0"/>
        </w:rPr>
        <w:t>2</w:t>
      </w:r>
      <w:r w:rsidRPr="00BE4D74">
        <w:rPr>
          <w:snapToGrid w:val="0"/>
        </w:rPr>
        <w:t xml:space="preserve"> of one cent was derived by taking the revenue amount required from all television fee categories and dividing it by the total population count of all “feeable” call signs.</w:t>
      </w:r>
    </w:p>
  </w:footnote>
  <w:footnote w:id="67">
    <w:p w:rsidR="009C0565" w:rsidP="006F7AD6" w14:paraId="05D5589B" w14:textId="77777777">
      <w:pPr>
        <w:pStyle w:val="FootnoteText"/>
      </w:pPr>
      <w:r>
        <w:rPr>
          <w:rStyle w:val="FootnoteReference"/>
        </w:rPr>
        <w:footnoteRef/>
      </w:r>
      <w:r>
        <w:t xml:space="preserve"> </w:t>
      </w:r>
      <w:r w:rsidRPr="00584333">
        <w:t>47 CFR § 73.622(e)</w:t>
      </w:r>
      <w:r>
        <w:rPr>
          <w:color w:val="1F497D"/>
        </w:rPr>
        <w:t>.</w:t>
      </w:r>
    </w:p>
  </w:footnote>
  <w:footnote w:id="68">
    <w:p w:rsidR="009C0565" w:rsidP="006F7AD6" w14:paraId="64B4D693" w14:textId="77777777">
      <w:pPr>
        <w:pStyle w:val="FootnoteText"/>
      </w:pPr>
      <w:r>
        <w:rPr>
          <w:rStyle w:val="FootnoteReference"/>
        </w:rPr>
        <w:footnoteRef/>
      </w:r>
      <w:r>
        <w:t xml:space="preserve"> </w:t>
      </w:r>
      <w:r w:rsidRPr="004C0F54">
        <w:rPr>
          <w:i/>
        </w:rPr>
        <w:t>See</w:t>
      </w:r>
      <w:r>
        <w:t xml:space="preserve"> 47 U.S.C. § 159(d) (“the Commission shall by rule amend the schedule of regulatory fees established under this section if the Commission determines that the schedule requires amendment so that such fees reflect the full-time equivalent number of employees within the bureaus and offices of the Commission, adjusted to take into account factors that are reasonably related to the benefits provided to the payor of the fee by the Commission’s activities.”).  </w:t>
      </w:r>
    </w:p>
  </w:footnote>
  <w:footnote w:id="69">
    <w:p w:rsidR="009C0565" w:rsidP="006F7AD6" w14:paraId="0898AA52" w14:textId="77777777">
      <w:pPr>
        <w:pStyle w:val="FootnoteText"/>
      </w:pPr>
      <w:r>
        <w:rPr>
          <w:rStyle w:val="FootnoteReference"/>
        </w:rPr>
        <w:footnoteRef/>
      </w:r>
      <w:r>
        <w:t xml:space="preserve"> </w:t>
      </w:r>
      <w:r w:rsidRPr="00B31A37">
        <w:rPr>
          <w:i/>
        </w:rPr>
        <w:t>FY 2018 NPRM</w:t>
      </w:r>
      <w:r>
        <w:t>, 33 FCC Rcd at 5100-5101, paras. 22-26.</w:t>
      </w:r>
    </w:p>
  </w:footnote>
  <w:footnote w:id="70">
    <w:p w:rsidR="009C0565" w:rsidP="006F7AD6" w14:paraId="63CAC21C" w14:textId="77777777">
      <w:pPr>
        <w:pStyle w:val="FootnoteText"/>
      </w:pPr>
      <w:r>
        <w:rPr>
          <w:rStyle w:val="FootnoteReference"/>
        </w:rPr>
        <w:footnoteRef/>
      </w:r>
      <w:r>
        <w:t xml:space="preserve"> </w:t>
      </w:r>
      <w:r w:rsidRPr="00041EB3">
        <w:rPr>
          <w:i/>
        </w:rPr>
        <w:t>FY 2018 NPRM</w:t>
      </w:r>
      <w:r>
        <w:t xml:space="preserve">, 33 FCC Rcd at 5100-5101, paras. 22-26.  In the </w:t>
      </w:r>
      <w:r w:rsidRPr="00E720BF">
        <w:rPr>
          <w:i/>
        </w:rPr>
        <w:t>FY 2017 Report and Order</w:t>
      </w:r>
      <w:r>
        <w:t xml:space="preserve">, the Commission concluded that IBCs should be assessed regulatory fees for non-common carrier, as well as common carrier, terrestrial circuits.  </w:t>
      </w:r>
      <w:r w:rsidRPr="00E720BF">
        <w:rPr>
          <w:i/>
        </w:rPr>
        <w:t>FY 2017 Report and Order</w:t>
      </w:r>
      <w:r>
        <w:t>, 32 FCC Rcd at 7071-7072, paras. 34-35.  This new fee was first assessed in FY 2018.</w:t>
      </w:r>
    </w:p>
  </w:footnote>
  <w:footnote w:id="71">
    <w:p w:rsidR="009C0565" w:rsidP="006F7AD6" w14:paraId="7485A075" w14:textId="77777777">
      <w:pPr>
        <w:pStyle w:val="FootnoteText"/>
      </w:pPr>
      <w:r>
        <w:rPr>
          <w:rStyle w:val="FootnoteReference"/>
        </w:rPr>
        <w:footnoteRef/>
      </w:r>
      <w:r>
        <w:t xml:space="preserve"> Level 3 Communications (now, CenturyLink) proposed a “flat, per provider fee, with a reduced amount for the smaller providers” and argued that this “two-tier methodology . . . is more efficient than a multi-tier methodology because the Commission need identify only one break point, and is less burdensome for providers because, once they pass the ‘small provider’ threshold, they will simply pay the ‘large’ fee category each year.”  </w:t>
      </w:r>
      <w:r w:rsidRPr="00895F6A">
        <w:rPr>
          <w:i/>
        </w:rPr>
        <w:t>See</w:t>
      </w:r>
      <w:r>
        <w:t xml:space="preserve"> Comments of Level 3 Communications, MD Docket No. 16-166 at 3-4 (filed June 23, 2016; </w:t>
      </w:r>
      <w:r w:rsidRPr="008A4B2E">
        <w:rPr>
          <w:i/>
        </w:rPr>
        <w:t>see also</w:t>
      </w:r>
      <w:r>
        <w:t xml:space="preserve"> Comments of CenturyLink, MD Docket No. 18-175, at 2-3 (filed June 21, 2018).  CenturyLink did not define the “break point” between small and large provider.</w:t>
      </w:r>
    </w:p>
  </w:footnote>
  <w:footnote w:id="72">
    <w:p w:rsidR="009C0565" w:rsidP="006F7AD6" w14:paraId="4569A51C" w14:textId="77777777">
      <w:pPr>
        <w:pStyle w:val="FootnoteText"/>
      </w:pPr>
      <w:r>
        <w:rPr>
          <w:rStyle w:val="FootnoteReference"/>
        </w:rPr>
        <w:footnoteRef/>
      </w:r>
      <w:r>
        <w:t xml:space="preserve"> 47 U.S.C § 159(d</w:t>
      </w:r>
      <w:r w:rsidRPr="00790B92">
        <w:t>).</w:t>
      </w:r>
    </w:p>
  </w:footnote>
  <w:footnote w:id="73">
    <w:p w:rsidR="009C0565" w:rsidP="006F7AD6" w14:paraId="00EFFFB6" w14:textId="77777777">
      <w:pPr>
        <w:pStyle w:val="FootnoteText"/>
      </w:pPr>
      <w:r>
        <w:rPr>
          <w:rStyle w:val="FootnoteReference"/>
        </w:rPr>
        <w:footnoteRef/>
      </w:r>
      <w:r>
        <w:t xml:space="preserve"> 47 U.S.C § 159(d</w:t>
      </w:r>
      <w:r w:rsidRPr="00790B92">
        <w:t>).</w:t>
      </w:r>
    </w:p>
  </w:footnote>
  <w:footnote w:id="74">
    <w:p w:rsidR="009C0565" w:rsidP="006F7AD6" w14:paraId="1231A91C" w14:textId="77777777">
      <w:pPr>
        <w:pStyle w:val="FootnoteText"/>
      </w:pPr>
      <w:r>
        <w:rPr>
          <w:rStyle w:val="FootnoteReference"/>
        </w:rPr>
        <w:footnoteRef/>
      </w:r>
      <w:r>
        <w:t xml:space="preserve"> </w:t>
      </w:r>
      <w:r w:rsidRPr="004C6CF9">
        <w:t xml:space="preserve">47 U.S.C. § 159(e)(2). </w:t>
      </w:r>
      <w:r>
        <w:t xml:space="preserve"> </w:t>
      </w:r>
      <w:r w:rsidRPr="004C6CF9">
        <w:t xml:space="preserve">Similarly, </w:t>
      </w:r>
      <w:r w:rsidRPr="00854F79">
        <w:rPr>
          <w:bCs/>
        </w:rPr>
        <w:t>s</w:t>
      </w:r>
      <w:r w:rsidRPr="007C6133">
        <w:rPr>
          <w:bCs/>
        </w:rPr>
        <w:t xml:space="preserve">ection 9(e)(1) exempts from regulatory fees governmental and nonprofit entities, amateur radio operators, and noncommercial radio and television stations.  </w:t>
      </w:r>
      <w:r>
        <w:rPr>
          <w:bCs/>
        </w:rPr>
        <w:t xml:space="preserve">Governmental entities, nonprofits, and amateur radio operators were exempt under the prior version of section 9(h).  Under </w:t>
      </w:r>
      <w:r w:rsidRPr="007C6133">
        <w:rPr>
          <w:bCs/>
        </w:rPr>
        <w:t>section 1.1162 of our rules</w:t>
      </w:r>
      <w:r>
        <w:rPr>
          <w:bCs/>
        </w:rPr>
        <w:t>, governmental entities, nonprofits, amateur radio operators, special emergency radio and public safety radio licensees, and noncommercial educational radio and television licensees are exempt from regulatory fees</w:t>
      </w:r>
      <w:r w:rsidRPr="007C6133">
        <w:rPr>
          <w:bCs/>
        </w:rPr>
        <w:t>. </w:t>
      </w:r>
      <w:r>
        <w:rPr>
          <w:bCs/>
        </w:rPr>
        <w:t xml:space="preserve"> </w:t>
      </w:r>
      <w:r w:rsidRPr="007C6133">
        <w:rPr>
          <w:bCs/>
        </w:rPr>
        <w:t>47 CFR § 1.1162.  The new section 9(e)(1) incorporated this exemption from our rules into the statute.</w:t>
      </w:r>
    </w:p>
  </w:footnote>
  <w:footnote w:id="75">
    <w:p w:rsidR="009C0565" w:rsidP="006F7AD6" w14:paraId="16314F4C" w14:textId="77777777">
      <w:pPr>
        <w:pStyle w:val="FootnoteText"/>
      </w:pPr>
      <w:r>
        <w:rPr>
          <w:rStyle w:val="FootnoteReference"/>
        </w:rPr>
        <w:footnoteRef/>
      </w:r>
      <w:r>
        <w:t xml:space="preserve"> </w:t>
      </w:r>
      <w:r w:rsidRPr="00A1103B">
        <w:t>47 U.S.C. § 159(</w:t>
      </w:r>
      <w:r>
        <w:t>e)(2).</w:t>
      </w:r>
    </w:p>
  </w:footnote>
  <w:footnote w:id="76">
    <w:p w:rsidR="009C0565" w:rsidP="006F7AD6" w14:paraId="7CBBD775" w14:textId="77777777">
      <w:pPr>
        <w:pStyle w:val="FootnoteText"/>
      </w:pPr>
      <w:r>
        <w:rPr>
          <w:rStyle w:val="FootnoteReference"/>
        </w:rPr>
        <w:footnoteRef/>
      </w:r>
      <w:r>
        <w:t xml:space="preserve"> </w:t>
      </w:r>
      <w:r w:rsidRPr="004C6CF9">
        <w:rPr>
          <w:i/>
        </w:rPr>
        <w:t>Assessment and Collection of Regulatory Fees for Fiscal Year 1996</w:t>
      </w:r>
      <w:r>
        <w:t xml:space="preserve">, Notice of Proposed Rulemaking, </w:t>
      </w:r>
      <w:r>
        <w:rPr>
          <w:color w:val="212121"/>
        </w:rPr>
        <w:t>11 FCC Rcd 16515, 16530, paras. 50-51 (1996) (</w:t>
      </w:r>
      <w:r w:rsidRPr="004C6CF9">
        <w:rPr>
          <w:i/>
          <w:color w:val="212121"/>
        </w:rPr>
        <w:t>FY 1996 NPRM</w:t>
      </w:r>
      <w:r>
        <w:rPr>
          <w:color w:val="212121"/>
        </w:rPr>
        <w:t xml:space="preserve">); </w:t>
      </w:r>
      <w:r w:rsidRPr="00981B42">
        <w:rPr>
          <w:i/>
        </w:rPr>
        <w:t>Assessment and Collection of Regulatory Fees for Fiscal Year 1996</w:t>
      </w:r>
      <w:r>
        <w:rPr>
          <w:color w:val="212121"/>
        </w:rPr>
        <w:t xml:space="preserve">, Report and Order, 11 </w:t>
      </w:r>
      <w:r w:rsidRPr="00D52937">
        <w:t>FCC Rcd 18774</w:t>
      </w:r>
      <w:r>
        <w:t>,</w:t>
      </w:r>
      <w:r w:rsidRPr="00D52937">
        <w:t xml:space="preserve"> </w:t>
      </w:r>
      <w:r>
        <w:t xml:space="preserve">18792, </w:t>
      </w:r>
      <w:r w:rsidRPr="00D52937">
        <w:t>para</w:t>
      </w:r>
      <w:r>
        <w:t>.</w:t>
      </w:r>
      <w:r w:rsidRPr="00D52937">
        <w:t xml:space="preserve"> 50</w:t>
      </w:r>
      <w:r>
        <w:t xml:space="preserve"> (1996) (</w:t>
      </w:r>
      <w:r w:rsidRPr="004C6CF9">
        <w:rPr>
          <w:i/>
        </w:rPr>
        <w:t>FY 1996 Report and Order</w:t>
      </w:r>
      <w:r>
        <w:t>)</w:t>
      </w:r>
      <w:r w:rsidRPr="00D52937">
        <w:t>. </w:t>
      </w:r>
    </w:p>
  </w:footnote>
  <w:footnote w:id="77">
    <w:p w:rsidR="009C0565" w:rsidP="006F7AD6" w14:paraId="4D459894" w14:textId="77777777">
      <w:pPr>
        <w:pStyle w:val="FootnoteText"/>
      </w:pPr>
      <w:r>
        <w:rPr>
          <w:rStyle w:val="FootnoteReference"/>
        </w:rPr>
        <w:footnoteRef/>
      </w:r>
      <w:r>
        <w:t xml:space="preserve"> </w:t>
      </w:r>
      <w:r w:rsidRPr="00494F81">
        <w:rPr>
          <w:i/>
        </w:rPr>
        <w:t>See</w:t>
      </w:r>
      <w:r>
        <w:t xml:space="preserve"> </w:t>
      </w:r>
      <w:r w:rsidRPr="00981B42">
        <w:rPr>
          <w:i/>
        </w:rPr>
        <w:t xml:space="preserve">Assessment and Collection of Regulatory Fees for Fiscal Year </w:t>
      </w:r>
      <w:r w:rsidRPr="004C6CF9">
        <w:t>2014</w:t>
      </w:r>
      <w:r>
        <w:t>, Report and Order and Further Notice of Proposed Rulemaking, 29 FCC Rcd 10767</w:t>
      </w:r>
      <w:r>
        <w:rPr>
          <w:szCs w:val="22"/>
        </w:rPr>
        <w:t>, 10775-76, para. 21 (2014) (</w:t>
      </w:r>
      <w:r w:rsidRPr="004C6CF9">
        <w:rPr>
          <w:i/>
          <w:szCs w:val="22"/>
        </w:rPr>
        <w:t>FY 2014 Report and Order</w:t>
      </w:r>
      <w:r>
        <w:rPr>
          <w:szCs w:val="22"/>
        </w:rPr>
        <w:t xml:space="preserve">).  </w:t>
      </w:r>
    </w:p>
  </w:footnote>
  <w:footnote w:id="78">
    <w:p w:rsidR="009C0565" w:rsidP="006F7AD6" w14:paraId="01FB4BBF" w14:textId="77777777">
      <w:pPr>
        <w:pStyle w:val="FootnoteText"/>
      </w:pPr>
      <w:r>
        <w:rPr>
          <w:rStyle w:val="FootnoteReference"/>
        </w:rPr>
        <w:footnoteRef/>
      </w:r>
      <w:r>
        <w:t xml:space="preserve"> </w:t>
      </w:r>
      <w:r w:rsidRPr="00D677A6">
        <w:rPr>
          <w:i/>
        </w:rPr>
        <w:t>Id.</w:t>
      </w:r>
    </w:p>
  </w:footnote>
  <w:footnote w:id="79">
    <w:p w:rsidR="009C0565" w:rsidP="006F7AD6" w14:paraId="20959A08" w14:textId="77777777">
      <w:pPr>
        <w:pStyle w:val="FootnoteText"/>
      </w:pPr>
      <w:r>
        <w:rPr>
          <w:rStyle w:val="FootnoteReference"/>
        </w:rPr>
        <w:footnoteRef/>
      </w:r>
      <w:r>
        <w:t xml:space="preserve"> </w:t>
      </w:r>
      <w:r w:rsidRPr="00C16F4B">
        <w:rPr>
          <w:i/>
        </w:rPr>
        <w:t>Id</w:t>
      </w:r>
      <w:r>
        <w:t>.</w:t>
      </w:r>
      <w:r>
        <w:rPr>
          <w:szCs w:val="22"/>
        </w:rPr>
        <w:t>, 29 FCC Rcd at 10775, para. 20.</w:t>
      </w:r>
    </w:p>
  </w:footnote>
  <w:footnote w:id="80">
    <w:p w:rsidR="009C0565" w:rsidP="006F7AD6" w14:paraId="2642EEDD" w14:textId="77777777">
      <w:pPr>
        <w:pStyle w:val="FootnoteText"/>
      </w:pPr>
      <w:r>
        <w:rPr>
          <w:rStyle w:val="FootnoteReference"/>
        </w:rPr>
        <w:footnoteRef/>
      </w:r>
      <w:r>
        <w:t xml:space="preserve"> </w:t>
      </w:r>
      <w:r w:rsidRPr="00F732E2">
        <w:rPr>
          <w:i/>
        </w:rPr>
        <w:t>Id</w:t>
      </w:r>
      <w:r>
        <w:t xml:space="preserve">. </w:t>
      </w:r>
    </w:p>
  </w:footnote>
  <w:footnote w:id="81">
    <w:p w:rsidR="009C0565" w:rsidP="006F7AD6" w14:paraId="70D2697A" w14:textId="77777777">
      <w:pPr>
        <w:pStyle w:val="FootnoteText"/>
      </w:pPr>
      <w:r>
        <w:rPr>
          <w:rStyle w:val="FootnoteReference"/>
        </w:rPr>
        <w:footnoteRef/>
      </w:r>
      <w:r>
        <w:t xml:space="preserve"> </w:t>
      </w:r>
      <w:r w:rsidRPr="00AC268F">
        <w:rPr>
          <w:i/>
        </w:rPr>
        <w:t>FY 2017 Report and Order</w:t>
      </w:r>
      <w:r>
        <w:t>, 32 FCC Rcd at 7073, para. 40.</w:t>
      </w:r>
    </w:p>
  </w:footnote>
  <w:footnote w:id="82">
    <w:p w:rsidR="009C0565" w:rsidP="006F7AD6" w14:paraId="53255B50" w14:textId="77777777">
      <w:pPr>
        <w:pStyle w:val="FootnoteText"/>
      </w:pPr>
      <w:r>
        <w:rPr>
          <w:rStyle w:val="FootnoteReference"/>
        </w:rPr>
        <w:footnoteRef/>
      </w:r>
      <w:r>
        <w:t xml:space="preserve"> </w:t>
      </w:r>
      <w:r w:rsidRPr="0075435B">
        <w:rPr>
          <w:i/>
        </w:rPr>
        <w:t>Id.</w:t>
      </w:r>
    </w:p>
  </w:footnote>
  <w:footnote w:id="83">
    <w:p w:rsidR="009C0565" w:rsidRPr="005B58F6" w:rsidP="006F7AD6" w14:paraId="5B2CFEC7" w14:textId="77777777">
      <w:pPr>
        <w:pStyle w:val="FootnoteText"/>
      </w:pPr>
      <w:r>
        <w:rPr>
          <w:rStyle w:val="FootnoteReference"/>
        </w:rPr>
        <w:footnoteRef/>
      </w:r>
      <w:r>
        <w:t xml:space="preserve"> </w:t>
      </w:r>
      <w:r w:rsidRPr="00D07DE5">
        <w:t xml:space="preserve">For example, all annual regulatory fees are due and payable in September of each fiscal year allowing for tracking by fee category and FRN within a single database (Fee Filer).  The multi-year regulatory fees due dates are spread throughout each year and these fee categories are not included in the annual regulatory fee database. </w:t>
      </w:r>
    </w:p>
  </w:footnote>
  <w:footnote w:id="84">
    <w:p w:rsidR="009C0565" w:rsidP="006F7AD6" w14:paraId="6836F5A7" w14:textId="77777777">
      <w:pPr>
        <w:pStyle w:val="FootnoteText"/>
      </w:pPr>
      <w:r>
        <w:rPr>
          <w:rStyle w:val="FootnoteReference"/>
        </w:rPr>
        <w:footnoteRef/>
      </w:r>
      <w:r>
        <w:t xml:space="preserve"> Compare old sections 9(c) and (d) with new section 9A(c) and (d).</w:t>
      </w:r>
      <w:r w:rsidRPr="00BB7BA8">
        <w:t xml:space="preserve"> </w:t>
      </w:r>
      <w:r>
        <w:t xml:space="preserve"> In addition to the rule changes discussed below, we propose to delete section 1.1163 of the Commission’s rules as redundant given the statutory language and plan to adopt changes in our Report and Order to section 1.1166 of the Commission’s rules that track the revised statutory language.</w:t>
      </w:r>
    </w:p>
  </w:footnote>
  <w:footnote w:id="85">
    <w:p w:rsidR="009C0565" w:rsidP="006F7AD6" w14:paraId="1F7AEDF3" w14:textId="77777777">
      <w:pPr>
        <w:pStyle w:val="FootnoteText"/>
      </w:pPr>
      <w:r>
        <w:rPr>
          <w:rStyle w:val="FootnoteReference"/>
        </w:rPr>
        <w:footnoteRef/>
      </w:r>
      <w:r>
        <w:t xml:space="preserve"> </w:t>
      </w:r>
      <w:r w:rsidRPr="000A70F5">
        <w:rPr>
          <w:i/>
        </w:rPr>
        <w:t>Id</w:t>
      </w:r>
      <w:r>
        <w:t>.</w:t>
      </w:r>
    </w:p>
  </w:footnote>
  <w:footnote w:id="86">
    <w:p w:rsidR="009C0565" w:rsidP="006F7AD6" w14:paraId="4A07346E" w14:textId="77777777">
      <w:pPr>
        <w:pStyle w:val="FootnoteText"/>
      </w:pPr>
      <w:r>
        <w:rPr>
          <w:rStyle w:val="FootnoteReference"/>
        </w:rPr>
        <w:footnoteRef/>
      </w:r>
      <w:r>
        <w:t xml:space="preserve"> </w:t>
      </w:r>
      <w:r w:rsidRPr="000A70F5">
        <w:rPr>
          <w:i/>
        </w:rPr>
        <w:t>FY</w:t>
      </w:r>
      <w:r>
        <w:rPr>
          <w:i/>
        </w:rPr>
        <w:t xml:space="preserve"> </w:t>
      </w:r>
      <w:r w:rsidRPr="000A70F5">
        <w:rPr>
          <w:i/>
        </w:rPr>
        <w:t>1994 Report and Order</w:t>
      </w:r>
      <w:r>
        <w:t>, 9 FCC Rcd at 5344, para. 29.</w:t>
      </w:r>
    </w:p>
  </w:footnote>
  <w:footnote w:id="87">
    <w:p w:rsidR="009C0565" w:rsidP="006F7AD6" w14:paraId="11733FCC" w14:textId="77777777">
      <w:pPr>
        <w:pStyle w:val="FootnoteText"/>
      </w:pPr>
      <w:r>
        <w:rPr>
          <w:rStyle w:val="FootnoteReference"/>
        </w:rPr>
        <w:footnoteRef/>
      </w:r>
      <w:r>
        <w:t xml:space="preserve"> </w:t>
      </w:r>
      <w:r w:rsidRPr="004C6CF9">
        <w:rPr>
          <w:i/>
        </w:rPr>
        <w:t>Implementation of Section 9 of the Communications Act</w:t>
      </w:r>
      <w:r>
        <w:t>,</w:t>
      </w:r>
      <w:r w:rsidRPr="008A4B2E">
        <w:t xml:space="preserve"> Memorandum Opinion and Order</w:t>
      </w:r>
      <w:r>
        <w:t xml:space="preserve">, 10 FCC Rcd 12759, 12761-12762, paras 12-14 (1995).  </w:t>
      </w:r>
    </w:p>
  </w:footnote>
  <w:footnote w:id="88">
    <w:p w:rsidR="009C0565" w:rsidP="006F7AD6" w14:paraId="0D6334CD" w14:textId="77777777">
      <w:pPr>
        <w:pStyle w:val="FootnoteText"/>
      </w:pPr>
      <w:r>
        <w:rPr>
          <w:rStyle w:val="FootnoteReference"/>
        </w:rPr>
        <w:footnoteRef/>
      </w:r>
      <w:r>
        <w:t xml:space="preserve"> </w:t>
      </w:r>
      <w:r w:rsidRPr="000A70F5">
        <w:rPr>
          <w:i/>
        </w:rPr>
        <w:t xml:space="preserve">Id. </w:t>
      </w:r>
      <w:r>
        <w:t>at 12762, para. 13.</w:t>
      </w:r>
    </w:p>
  </w:footnote>
  <w:footnote w:id="89">
    <w:p w:rsidR="009C0565" w:rsidP="006F7AD6" w14:paraId="31ED5F16" w14:textId="77777777">
      <w:pPr>
        <w:pStyle w:val="FootnoteText"/>
      </w:pPr>
      <w:r>
        <w:rPr>
          <w:rStyle w:val="FootnoteReference"/>
        </w:rPr>
        <w:footnoteRef/>
      </w:r>
      <w:r>
        <w:t xml:space="preserve"> </w:t>
      </w:r>
      <w:r w:rsidRPr="000A70F5">
        <w:rPr>
          <w:i/>
        </w:rPr>
        <w:t>Id.</w:t>
      </w:r>
      <w:r>
        <w:t xml:space="preserve"> </w:t>
      </w:r>
    </w:p>
  </w:footnote>
  <w:footnote w:id="90">
    <w:p w:rsidR="009C0565" w:rsidP="006F7AD6" w14:paraId="7A6594D2" w14:textId="77777777">
      <w:pPr>
        <w:pStyle w:val="FootnoteText"/>
      </w:pPr>
      <w:r>
        <w:rPr>
          <w:rStyle w:val="FootnoteReference"/>
        </w:rPr>
        <w:footnoteRef/>
      </w:r>
      <w:r>
        <w:t xml:space="preserve"> </w:t>
      </w:r>
      <w:r w:rsidRPr="000A70F5">
        <w:rPr>
          <w:i/>
        </w:rPr>
        <w:t>FY 1994 Report and Order</w:t>
      </w:r>
      <w:r>
        <w:t xml:space="preserve">, 9 FCC Rcd at 5346.  </w:t>
      </w:r>
    </w:p>
  </w:footnote>
  <w:footnote w:id="91">
    <w:p w:rsidR="009C0565" w:rsidP="006F7AD6" w14:paraId="260B4795" w14:textId="77777777">
      <w:pPr>
        <w:pStyle w:val="FootnoteText"/>
      </w:pPr>
      <w:r>
        <w:rPr>
          <w:rStyle w:val="FootnoteReference"/>
        </w:rPr>
        <w:footnoteRef/>
      </w:r>
      <w:r>
        <w:t xml:space="preserve"> We would except from this requirement administrative and judicial decisions and orders, for which a citation would be sufficient.  </w:t>
      </w:r>
    </w:p>
  </w:footnote>
  <w:footnote w:id="92">
    <w:p w:rsidR="009C0565" w:rsidP="006F7AD6" w14:paraId="19C5EC62" w14:textId="77777777">
      <w:pPr>
        <w:pStyle w:val="FootnoteText"/>
      </w:pPr>
      <w:r>
        <w:rPr>
          <w:rStyle w:val="FootnoteReference"/>
        </w:rPr>
        <w:footnoteRef/>
      </w:r>
      <w:r>
        <w:t xml:space="preserve"> </w:t>
      </w:r>
      <w:r w:rsidRPr="000A70F5">
        <w:rPr>
          <w:i/>
        </w:rPr>
        <w:t>FY 2003</w:t>
      </w:r>
      <w:r>
        <w:t xml:space="preserve"> </w:t>
      </w:r>
      <w:r w:rsidRPr="000A70F5">
        <w:rPr>
          <w:i/>
        </w:rPr>
        <w:t>Report and Order</w:t>
      </w:r>
      <w:r>
        <w:t xml:space="preserve">, 18 FCC Rcd. at 15990, para. 13.   </w:t>
      </w:r>
    </w:p>
  </w:footnote>
  <w:footnote w:id="93">
    <w:p w:rsidR="009C0565" w:rsidP="006F7AD6" w14:paraId="590A297E" w14:textId="77777777">
      <w:pPr>
        <w:pStyle w:val="FootnoteText"/>
      </w:pPr>
      <w:r>
        <w:rPr>
          <w:rStyle w:val="FootnoteReference"/>
        </w:rPr>
        <w:footnoteRef/>
      </w:r>
      <w:r>
        <w:t xml:space="preserve"> </w:t>
      </w:r>
      <w:r w:rsidRPr="000A70F5">
        <w:rPr>
          <w:i/>
        </w:rPr>
        <w:t>FY 1994 Report and Order</w:t>
      </w:r>
      <w:r>
        <w:t>, 9 FCC Rcd at 5345, para. 34.</w:t>
      </w:r>
    </w:p>
  </w:footnote>
  <w:footnote w:id="94">
    <w:p w:rsidR="009C0565" w:rsidRPr="00B60211" w:rsidP="006F7AD6" w14:paraId="75E6A1F5" w14:textId="77777777">
      <w:pPr>
        <w:pStyle w:val="FootnoteText"/>
      </w:pPr>
      <w:r w:rsidRPr="00B60211">
        <w:rPr>
          <w:rStyle w:val="FootnoteReference"/>
        </w:rPr>
        <w:footnoteRef/>
      </w:r>
      <w:r w:rsidRPr="00B60211">
        <w:t xml:space="preserve"> 47 U.S.C. § 159</w:t>
      </w:r>
      <w:r>
        <w:t>A</w:t>
      </w:r>
      <w:r w:rsidRPr="00B60211">
        <w:t>(c)</w:t>
      </w:r>
      <w:r>
        <w:t>(1).</w:t>
      </w:r>
    </w:p>
  </w:footnote>
  <w:footnote w:id="95">
    <w:p w:rsidR="009C0565" w:rsidP="006F7AD6" w14:paraId="2BE03661" w14:textId="77777777">
      <w:pPr>
        <w:pStyle w:val="FootnoteText"/>
      </w:pPr>
      <w:r>
        <w:rPr>
          <w:rStyle w:val="FootnoteReference"/>
        </w:rPr>
        <w:footnoteRef/>
      </w:r>
      <w:r>
        <w:t xml:space="preserve"> </w:t>
      </w:r>
      <w:r w:rsidRPr="003C560E">
        <w:rPr>
          <w:szCs w:val="22"/>
        </w:rPr>
        <w:t xml:space="preserve">Section 9A(c)(2) </w:t>
      </w:r>
      <w:r>
        <w:rPr>
          <w:szCs w:val="22"/>
        </w:rPr>
        <w:t>p</w:t>
      </w:r>
      <w:r w:rsidRPr="003C560E">
        <w:rPr>
          <w:szCs w:val="22"/>
        </w:rPr>
        <w:t xml:space="preserve">rovides that </w:t>
      </w:r>
      <w:r>
        <w:rPr>
          <w:szCs w:val="22"/>
        </w:rPr>
        <w:t xml:space="preserve">“section </w:t>
      </w:r>
      <w:r w:rsidRPr="003C560E">
        <w:rPr>
          <w:szCs w:val="22"/>
        </w:rPr>
        <w:t>3717 shall not otherwise apply to such a fee or penalty.</w:t>
      </w:r>
      <w:r>
        <w:rPr>
          <w:szCs w:val="22"/>
        </w:rPr>
        <w:t>”</w:t>
      </w:r>
    </w:p>
  </w:footnote>
  <w:footnote w:id="96">
    <w:p w:rsidR="009C0565" w:rsidP="006F7AD6" w14:paraId="5393032D" w14:textId="77777777">
      <w:pPr>
        <w:pStyle w:val="FootnoteText"/>
      </w:pPr>
      <w:r>
        <w:rPr>
          <w:rStyle w:val="FootnoteReference"/>
        </w:rPr>
        <w:footnoteRef/>
      </w:r>
      <w:r>
        <w:t xml:space="preserve"> </w:t>
      </w:r>
      <w:r w:rsidRPr="00A727BC">
        <w:rPr>
          <w:i/>
        </w:rPr>
        <w:t>See FY 2018 Report and Order</w:t>
      </w:r>
      <w:r>
        <w:t>, 33 FCC Rcd at 8502-8503, paras. 16-17 (adopting this amendment to section 1.1940 of our rules to conform to the RAY BAUM’S Act).</w:t>
      </w:r>
    </w:p>
  </w:footnote>
  <w:footnote w:id="97">
    <w:p w:rsidR="009C0565" w:rsidRPr="002E4B94" w:rsidP="006F7AD6" w14:paraId="49EDAA51" w14:textId="77777777">
      <w:pPr>
        <w:pStyle w:val="FootnoteText"/>
      </w:pPr>
      <w:r>
        <w:rPr>
          <w:rStyle w:val="FootnoteReference"/>
        </w:rPr>
        <w:footnoteRef/>
      </w:r>
      <w:r>
        <w:t xml:space="preserve"> 31 U.S.C. §§ 3701 </w:t>
      </w:r>
      <w:r w:rsidRPr="000A70F5">
        <w:rPr>
          <w:i/>
        </w:rPr>
        <w:t>et seq.</w:t>
      </w:r>
      <w:r>
        <w:t xml:space="preserve">; 31 CFR §§ 901 </w:t>
      </w:r>
      <w:r w:rsidRPr="000A70F5">
        <w:rPr>
          <w:i/>
        </w:rPr>
        <w:t>et seq.</w:t>
      </w:r>
      <w:r>
        <w:t xml:space="preserve">; 47 CFR §§ 1.1901 </w:t>
      </w:r>
      <w:r w:rsidRPr="000A70F5">
        <w:rPr>
          <w:i/>
        </w:rPr>
        <w:t>et seq</w:t>
      </w:r>
      <w:r>
        <w:t>.</w:t>
      </w:r>
    </w:p>
  </w:footnote>
  <w:footnote w:id="98">
    <w:p w:rsidR="009C0565" w:rsidRPr="00B60211" w:rsidP="006F7AD6" w14:paraId="3DABBE84" w14:textId="77777777">
      <w:pPr>
        <w:pStyle w:val="FootnoteText"/>
      </w:pPr>
      <w:r w:rsidRPr="00B60211">
        <w:rPr>
          <w:rStyle w:val="FootnoteReference"/>
        </w:rPr>
        <w:footnoteRef/>
      </w:r>
      <w:r w:rsidRPr="00B60211">
        <w:t xml:space="preserve"> </w:t>
      </w:r>
      <w:r w:rsidRPr="00B60211">
        <w:rPr>
          <w:i/>
        </w:rPr>
        <w:t>See</w:t>
      </w:r>
      <w:r w:rsidRPr="00B60211">
        <w:t xml:space="preserve"> 47 CFR § 1.1910.</w:t>
      </w:r>
    </w:p>
  </w:footnote>
  <w:footnote w:id="99">
    <w:p w:rsidR="009C0565" w:rsidRPr="00141957" w:rsidP="006F7AD6" w14:paraId="00B8A6AC" w14:textId="77777777">
      <w:pPr>
        <w:pStyle w:val="FootnoteText"/>
      </w:pPr>
      <w:r w:rsidRPr="00141957">
        <w:rPr>
          <w:rStyle w:val="FootnoteReference"/>
        </w:rPr>
        <w:footnoteRef/>
      </w:r>
      <w:r w:rsidRPr="00141957">
        <w:t xml:space="preserve"> 47 U.S.C. § 159(c)(3).</w:t>
      </w:r>
    </w:p>
  </w:footnote>
  <w:footnote w:id="100">
    <w:p w:rsidR="009C0565" w:rsidRPr="00141957" w:rsidP="006F7AD6" w14:paraId="46DECA5C" w14:textId="77777777">
      <w:pPr>
        <w:pStyle w:val="FootnoteText"/>
      </w:pPr>
      <w:r w:rsidRPr="00141957">
        <w:rPr>
          <w:rStyle w:val="FootnoteReference"/>
        </w:rPr>
        <w:footnoteRef/>
      </w:r>
      <w:r w:rsidRPr="00141957">
        <w:t xml:space="preserve"> 47 CFR § 1.1164(f).</w:t>
      </w:r>
    </w:p>
  </w:footnote>
  <w:footnote w:id="101">
    <w:p w:rsidR="009C0565" w:rsidRPr="00141957" w:rsidP="006F7AD6" w14:paraId="6C05F5E6" w14:textId="77777777">
      <w:pPr>
        <w:pStyle w:val="FootnoteText"/>
      </w:pPr>
      <w:r w:rsidRPr="00141957">
        <w:rPr>
          <w:rStyle w:val="FootnoteReference"/>
        </w:rPr>
        <w:footnoteRef/>
      </w:r>
      <w:r w:rsidRPr="00141957">
        <w:t xml:space="preserve"> 47 CFR § 1.1164(a).</w:t>
      </w:r>
    </w:p>
  </w:footnote>
  <w:footnote w:id="102">
    <w:p w:rsidR="009C0565" w:rsidRPr="00037586" w:rsidP="006F7AD6" w14:paraId="3BB772FD" w14:textId="77777777">
      <w:pPr>
        <w:pStyle w:val="FootnoteText"/>
      </w:pPr>
      <w:r>
        <w:rPr>
          <w:rStyle w:val="FootnoteReference"/>
        </w:rPr>
        <w:footnoteRef/>
      </w:r>
      <w:r>
        <w:t xml:space="preserve"> </w:t>
      </w:r>
      <w:r>
        <w:rPr>
          <w:i/>
        </w:rPr>
        <w:t>See, e.g., Cortaro Broadcasting Corp.,</w:t>
      </w:r>
      <w:r>
        <w:t xml:space="preserve"> Order to Pay or Show Cause</w:t>
      </w:r>
      <w:r>
        <w:rPr>
          <w:i/>
        </w:rPr>
        <w:t xml:space="preserve">, </w:t>
      </w:r>
      <w:r>
        <w:t>32 FCC Rcd 9336 (MB 2017).</w:t>
      </w:r>
    </w:p>
  </w:footnote>
  <w:footnote w:id="103">
    <w:p w:rsidR="009C0565" w:rsidP="00545F29" w14:paraId="5C44C81C" w14:textId="77777777">
      <w:pPr>
        <w:pStyle w:val="FootnoteText"/>
      </w:pPr>
      <w:r>
        <w:rPr>
          <w:rStyle w:val="FootnoteReference"/>
        </w:rPr>
        <w:footnoteRef/>
      </w:r>
      <w:r>
        <w:t xml:space="preserve"> </w:t>
      </w:r>
      <w:r w:rsidRPr="00F12B45">
        <w:t>Customers who owe an amount on a bill, debt, or other obligation due to the federal government are prohibited from splitting the total amount due into multiple payments.  Splitting an amount owed into several payment transactions violates the credit card network and Fiscal Service rules.  An amount owed that exceeds the Fiscal Service maximum dollar amount, $24,999.99, may not be split into two or more payment transactions in the same day by using one or multiple cards.  Also, an amount owed that exceeds the Fiscal Service maximum dollar amount may not be split into two or more transactions over multiple days by using one or more cards</w:t>
      </w:r>
      <w:r>
        <w:t>.</w:t>
      </w:r>
    </w:p>
  </w:footnote>
  <w:footnote w:id="104">
    <w:p w:rsidR="009C0565" w:rsidP="006F7AD6" w14:paraId="649F7D5A" w14:textId="77777777">
      <w:pPr>
        <w:pStyle w:val="FootnoteText"/>
      </w:pPr>
      <w:r>
        <w:rPr>
          <w:rStyle w:val="FootnoteReference"/>
        </w:rPr>
        <w:footnoteRef/>
      </w:r>
      <w:r>
        <w:t xml:space="preserve"> Office of Management and Budget (OMB) Memorandum M-10-06, Open Government Directive, Dec. 8, 2009; </w:t>
      </w:r>
      <w:r>
        <w:rPr>
          <w:i/>
          <w:iCs/>
        </w:rPr>
        <w:t>see also</w:t>
      </w:r>
      <w:r>
        <w:t xml:space="preserve"> </w:t>
      </w:r>
      <w:hyperlink r:id="rId2" w:history="1">
        <w:r>
          <w:rPr>
            <w:rStyle w:val="Hyperlink"/>
          </w:rPr>
          <w:t>http://www.whitehouse.gov/the-press-office/2011/06/13/executive-order-13576-delivering-efficient-effective-and-accountable-gov</w:t>
        </w:r>
      </w:hyperlink>
      <w:r>
        <w:t>.</w:t>
      </w:r>
    </w:p>
  </w:footnote>
  <w:footnote w:id="105">
    <w:p w:rsidR="009C0565" w:rsidP="006F7AD6" w14:paraId="5598DB8E" w14:textId="77777777">
      <w:pPr>
        <w:pStyle w:val="FootnoteText"/>
      </w:pPr>
      <w:r>
        <w:rPr>
          <w:rStyle w:val="FootnoteReference"/>
        </w:rPr>
        <w:footnoteRef/>
      </w:r>
      <w:r>
        <w:t xml:space="preserve"> </w:t>
      </w:r>
      <w:r>
        <w:rPr>
          <w:i/>
          <w:iCs/>
        </w:rPr>
        <w:t>See</w:t>
      </w:r>
      <w:r>
        <w:t xml:space="preserve"> U.S. Department of the Treasury, Open Government Plan 2.1, Sept. 2012.</w:t>
      </w:r>
    </w:p>
  </w:footnote>
  <w:footnote w:id="106">
    <w:p w:rsidR="009C0565" w:rsidP="006F7AD6" w14:paraId="642BCC12" w14:textId="77777777">
      <w:pPr>
        <w:pStyle w:val="FootnoteText"/>
      </w:pPr>
      <w:r>
        <w:rPr>
          <w:rStyle w:val="FootnoteReference"/>
        </w:rPr>
        <w:footnoteRef/>
      </w:r>
      <w:r>
        <w:t xml:space="preserve"> </w:t>
      </w:r>
      <w:r w:rsidRPr="00A242B0">
        <w:rPr>
          <w:i/>
        </w:rPr>
        <w:t>FY 2</w:t>
      </w:r>
      <w:r>
        <w:rPr>
          <w:i/>
        </w:rPr>
        <w:t>015 Report and Order</w:t>
      </w:r>
      <w:r>
        <w:t xml:space="preserve">, 30 FCC Rcd at 10282-83, para. 35.  </w:t>
      </w:r>
      <w:r w:rsidRPr="001E39E8">
        <w:rPr>
          <w:i/>
        </w:rPr>
        <w:t>See</w:t>
      </w:r>
      <w:r>
        <w:t xml:space="preserve"> 47 CFR § 1.1158.</w:t>
      </w:r>
    </w:p>
  </w:footnote>
  <w:footnote w:id="107">
    <w:p w:rsidR="009C0565" w:rsidRPr="00B60211" w:rsidP="006F7AD6" w14:paraId="7F40C78B" w14:textId="77777777">
      <w:pPr>
        <w:pStyle w:val="FootnoteText"/>
      </w:pPr>
      <w:r w:rsidRPr="00B60211">
        <w:rPr>
          <w:rStyle w:val="FootnoteReference"/>
        </w:rPr>
        <w:footnoteRef/>
      </w:r>
      <w:r w:rsidRPr="00B60211">
        <w:t xml:space="preserve"> In accordance with U.S. Treasury Financial Manual Announcement No. A-201</w:t>
      </w:r>
      <w:r>
        <w:t>4</w:t>
      </w:r>
      <w:r w:rsidRPr="00B60211">
        <w:t>-0</w:t>
      </w:r>
      <w:r>
        <w:t>4 (July 2014)</w:t>
      </w:r>
      <w:r w:rsidRPr="00B60211">
        <w:t xml:space="preserve">, the </w:t>
      </w:r>
      <w:r>
        <w:t>amount that may be charged on a credit card for transactions with federal agencies has been reduced to $24,999.99.</w:t>
      </w:r>
    </w:p>
  </w:footnote>
  <w:footnote w:id="108">
    <w:p w:rsidR="009C0565" w:rsidRPr="00B60211" w:rsidP="006F7AD6" w14:paraId="73342D1C" w14:textId="77777777">
      <w:pPr>
        <w:pStyle w:val="FootnoteText"/>
      </w:pPr>
      <w:r w:rsidRPr="00B60211">
        <w:rPr>
          <w:rStyle w:val="FootnoteReference"/>
        </w:rPr>
        <w:footnoteRef/>
      </w:r>
      <w:r w:rsidRPr="00B60211">
        <w:t xml:space="preserve"> In accordance with U.S. Treasury Financial Manual Announcement No. A-2012-02, the maximum dollar-value limit for debit card transactions </w:t>
      </w:r>
      <w:r>
        <w:t>is eliminated.  O</w:t>
      </w:r>
      <w:r w:rsidRPr="00B60211">
        <w:t>nly Visa and MasterCard branded debit cards are accepted by Pay.gov.</w:t>
      </w:r>
    </w:p>
  </w:footnote>
  <w:footnote w:id="109">
    <w:p w:rsidR="009C0565" w:rsidRPr="00B60211" w:rsidP="006F7AD6" w14:paraId="33B370B3" w14:textId="77777777">
      <w:pPr>
        <w:pStyle w:val="FootnoteText"/>
      </w:pPr>
      <w:r w:rsidRPr="00B60211">
        <w:rPr>
          <w:rStyle w:val="FootnoteReference"/>
        </w:rPr>
        <w:footnoteRef/>
      </w:r>
      <w:r w:rsidRPr="00B60211">
        <w:t xml:space="preserve"> Audio bridging services are </w:t>
      </w:r>
      <w:r>
        <w:t>toll teleconferencing services</w:t>
      </w:r>
      <w:r w:rsidRPr="00B60211">
        <w:t xml:space="preserve">. </w:t>
      </w:r>
    </w:p>
  </w:footnote>
  <w:footnote w:id="110">
    <w:p w:rsidR="009C0565" w:rsidP="006F7AD6" w14:paraId="05F761AA" w14:textId="77777777">
      <w:pPr>
        <w:pStyle w:val="FootnoteText"/>
      </w:pPr>
      <w:r>
        <w:rPr>
          <w:rStyle w:val="FootnoteReference"/>
        </w:rPr>
        <w:footnoteRef/>
      </w:r>
      <w:r>
        <w:t xml:space="preserve"> 47 CFR § 52.103.</w:t>
      </w:r>
    </w:p>
  </w:footnote>
  <w:footnote w:id="111">
    <w:p w:rsidR="009C0565" w:rsidRPr="00B60211" w:rsidP="006F7AD6" w14:paraId="7E6A7A0A" w14:textId="77777777">
      <w:pPr>
        <w:pStyle w:val="FootnoteText"/>
      </w:pPr>
      <w:r w:rsidRPr="00B60211">
        <w:rPr>
          <w:rStyle w:val="FootnoteReference"/>
          <w:color w:val="000000"/>
        </w:rPr>
        <w:footnoteRef/>
      </w:r>
      <w:r w:rsidRPr="00B60211">
        <w:rPr>
          <w:color w:val="000000"/>
        </w:rPr>
        <w:t xml:space="preserve"> Cable television system operators should compute their number of basic subscribers as follows: Number of single family dwellings + number of individual households in multiple dwelling unit (apartments, condominiums, mobile home parks, </w:t>
      </w:r>
      <w:r w:rsidRPr="006F6C54">
        <w:rPr>
          <w:color w:val="000000"/>
        </w:rPr>
        <w:t>etc.</w:t>
      </w:r>
      <w:r w:rsidRPr="00B60211">
        <w:rPr>
          <w:color w:val="000000"/>
        </w:rPr>
        <w:t>) paying at the basic subscriber rate + bulk rate customers + courtesy and free service.  Note: Bulk-Rate Customers = Total annual bulk-rate charge divided by basic annual subscription rate for individual households.  Operators may base their count on “a typical day in the last full week” of December 201</w:t>
      </w:r>
      <w:r>
        <w:rPr>
          <w:color w:val="000000"/>
        </w:rPr>
        <w:t>8</w:t>
      </w:r>
      <w:r w:rsidRPr="00B60211">
        <w:rPr>
          <w:color w:val="000000"/>
        </w:rPr>
        <w:t>, rather than on a count as of December 31, 201</w:t>
      </w:r>
      <w:r>
        <w:rPr>
          <w:color w:val="000000"/>
        </w:rPr>
        <w:t>8</w:t>
      </w:r>
      <w:r w:rsidRPr="00B60211">
        <w:rPr>
          <w:color w:val="000000"/>
        </w:rPr>
        <w:t xml:space="preserve">. </w:t>
      </w:r>
    </w:p>
  </w:footnote>
  <w:footnote w:id="112">
    <w:p w:rsidR="009C0565" w:rsidP="006F7AD6" w14:paraId="55D8D62E" w14:textId="77777777">
      <w:pPr>
        <w:pStyle w:val="FootnoteText"/>
      </w:pPr>
      <w:r>
        <w:rPr>
          <w:rStyle w:val="FootnoteReference"/>
        </w:rPr>
        <w:footnoteRef/>
      </w:r>
      <w:r>
        <w:t xml:space="preserve"> </w:t>
      </w:r>
      <w:r w:rsidRPr="0041294C">
        <w:t xml:space="preserve">We encourage terrestrial and satellite service providers to seek guidance from the International Bureau’s </w:t>
      </w:r>
      <w:r>
        <w:t xml:space="preserve">Telecommunications and Analysis </w:t>
      </w:r>
      <w:r w:rsidRPr="0041294C">
        <w:t>Division to verify their</w:t>
      </w:r>
      <w:r>
        <w:t xml:space="preserve"> particular</w:t>
      </w:r>
      <w:r w:rsidRPr="0041294C">
        <w:t xml:space="preserve"> IBC reporting processes to ensure that their </w:t>
      </w:r>
      <w:r>
        <w:t xml:space="preserve">calculation </w:t>
      </w:r>
      <w:r w:rsidRPr="0041294C">
        <w:t>methods comply with our rules.</w:t>
      </w:r>
    </w:p>
  </w:footnote>
  <w:footnote w:id="113">
    <w:p w:rsidR="009C0565" w:rsidP="006F7AD6" w14:paraId="7A9D88FC" w14:textId="77777777">
      <w:pPr>
        <w:pStyle w:val="FootnoteText"/>
      </w:pPr>
      <w:r>
        <w:rPr>
          <w:rStyle w:val="FootnoteReference"/>
        </w:rPr>
        <w:footnoteRef/>
      </w:r>
      <w:r>
        <w:t xml:space="preserve"> </w:t>
      </w:r>
      <w:r>
        <w:rPr>
          <w:i/>
          <w:iCs/>
        </w:rPr>
        <w:t xml:space="preserve">See FY 2005 </w:t>
      </w:r>
      <w:r w:rsidRPr="005354D7">
        <w:rPr>
          <w:iCs/>
        </w:rPr>
        <w:t>Report and Order,</w:t>
      </w:r>
      <w:r>
        <w:rPr>
          <w:i/>
          <w:iCs/>
        </w:rPr>
        <w:t xml:space="preserve"> </w:t>
      </w:r>
      <w:r>
        <w:t>20 FCC Rcd at 12264, paras. 38-44.</w:t>
      </w:r>
    </w:p>
  </w:footnote>
  <w:footnote w:id="114">
    <w:p w:rsidR="009C0565" w:rsidP="006F7AD6" w14:paraId="089D296E" w14:textId="77777777">
      <w:pPr>
        <w:pStyle w:val="FootnoteText"/>
      </w:pPr>
      <w:r>
        <w:rPr>
          <w:rStyle w:val="FootnoteReference"/>
        </w:rPr>
        <w:footnoteRef/>
      </w:r>
      <w:r>
        <w:t xml:space="preserve"> In the supporting documentation, the provider will need to state a reason for the change, such as a purchase or sale of a subsidiary, the date of the transaction, and any other pertinent information that will help to justify a reason for the change.</w:t>
      </w:r>
    </w:p>
  </w:footnote>
  <w:footnote w:id="115">
    <w:p w:rsidR="009C0565" w:rsidP="006F7AD6" w14:paraId="104B1A6F" w14:textId="77777777">
      <w:pPr>
        <w:pStyle w:val="FootnoteText"/>
      </w:pPr>
      <w:r>
        <w:rPr>
          <w:rStyle w:val="FootnoteReference"/>
          <w:szCs w:val="22"/>
        </w:rPr>
        <w:footnoteRef/>
      </w:r>
      <w:r>
        <w:rPr>
          <w:lang w:val="da-DK"/>
        </w:rPr>
        <w:t xml:space="preserve"> 47 CFR §§ 1.1200 </w:t>
      </w:r>
      <w:r>
        <w:rPr>
          <w:i/>
          <w:iCs/>
          <w:lang w:val="da-DK"/>
        </w:rPr>
        <w:t>et seq.</w:t>
      </w:r>
    </w:p>
  </w:footnote>
  <w:footnote w:id="116">
    <w:p w:rsidR="009C0565" w:rsidRPr="00217CE4" w:rsidP="006F7AD6" w14:paraId="2C41D404" w14:textId="77777777">
      <w:r>
        <w:rPr>
          <w:rStyle w:val="FootnoteReference"/>
        </w:rPr>
        <w:footnoteRef/>
      </w:r>
      <w:r>
        <w:t xml:space="preserve"> </w:t>
      </w:r>
      <w:r w:rsidRPr="00D90EF6">
        <w:rPr>
          <w:sz w:val="20"/>
        </w:rPr>
        <w:t xml:space="preserve">Appendix C is also available as a spreadsheet on the Commission’s website at </w:t>
      </w:r>
      <w:hyperlink r:id="rId3" w:history="1">
        <w:r w:rsidRPr="00D90EF6">
          <w:rPr>
            <w:rStyle w:val="Hyperlink"/>
            <w:sz w:val="20"/>
          </w:rPr>
          <w:t>https://www.fcc.gov/licensing-databases/fees/regulatory-fees</w:t>
        </w:r>
      </w:hyperlink>
      <w:r w:rsidRPr="00D90EF6">
        <w:rPr>
          <w:rStyle w:val="CommentReference"/>
          <w:sz w:val="20"/>
        </w:rPr>
        <w:t>, including</w:t>
      </w:r>
      <w:r>
        <w:rPr>
          <w:rStyle w:val="CommentReference"/>
          <w:sz w:val="20"/>
        </w:rPr>
        <w:t xml:space="preserve"> the </w:t>
      </w:r>
      <w:r w:rsidRPr="00D90EF6">
        <w:rPr>
          <w:sz w:val="20"/>
        </w:rPr>
        <w:t>Facility Identification number and DMA</w:t>
      </w:r>
      <w:r>
        <w:rPr>
          <w:sz w:val="20"/>
        </w:rPr>
        <w:t xml:space="preserve"> for each call sign.</w:t>
      </w:r>
    </w:p>
    <w:p w:rsidR="009C0565" w:rsidP="006F7AD6" w14:paraId="746F6010" w14:textId="77777777">
      <w:pPr>
        <w:pStyle w:val="FootnoteText"/>
      </w:pPr>
    </w:p>
  </w:footnote>
  <w:footnote w:id="117">
    <w:p w:rsidR="009C0565" w:rsidP="006F7AD6" w14:paraId="6FC53202" w14:textId="77777777">
      <w:pPr>
        <w:pStyle w:val="FootnoteText"/>
      </w:pPr>
      <w:r>
        <w:rPr>
          <w:rStyle w:val="FootnoteReference"/>
        </w:rPr>
        <w:footnoteRef/>
      </w:r>
      <w:r>
        <w:t xml:space="preserve"> </w:t>
      </w:r>
      <w:r w:rsidRPr="00532820">
        <w:rPr>
          <w:i/>
        </w:rPr>
        <w:t>See, e.g</w:t>
      </w:r>
      <w:r>
        <w:t xml:space="preserve">., </w:t>
      </w:r>
      <w:r w:rsidRPr="00C80814">
        <w:rPr>
          <w:i/>
          <w:szCs w:val="22"/>
        </w:rPr>
        <w:t>FY 20</w:t>
      </w:r>
      <w:r>
        <w:rPr>
          <w:i/>
          <w:szCs w:val="22"/>
        </w:rPr>
        <w:t>17 Report and Order</w:t>
      </w:r>
      <w:r>
        <w:rPr>
          <w:szCs w:val="22"/>
        </w:rPr>
        <w:t>, 32 FCC Rcd at 7069, para. 28;</w:t>
      </w:r>
      <w:r w:rsidRPr="00955A74">
        <w:rPr>
          <w:i/>
          <w:szCs w:val="22"/>
        </w:rPr>
        <w:t xml:space="preserve"> </w:t>
      </w:r>
      <w:r w:rsidRPr="00C80814">
        <w:rPr>
          <w:i/>
          <w:szCs w:val="22"/>
        </w:rPr>
        <w:t>FY 20</w:t>
      </w:r>
      <w:r>
        <w:rPr>
          <w:i/>
          <w:szCs w:val="22"/>
        </w:rPr>
        <w:t>16 Report and Order</w:t>
      </w:r>
      <w:r>
        <w:rPr>
          <w:szCs w:val="22"/>
        </w:rPr>
        <w:t>, 31 FCC Rcd at 10351, para. 33;</w:t>
      </w:r>
      <w:r w:rsidRPr="00955A74">
        <w:rPr>
          <w:i/>
          <w:szCs w:val="22"/>
        </w:rPr>
        <w:t xml:space="preserve"> Assessment and Collection of Regulatory Fees for Fiscal Year 2</w:t>
      </w:r>
      <w:r>
        <w:rPr>
          <w:i/>
          <w:szCs w:val="22"/>
        </w:rPr>
        <w:t>003</w:t>
      </w:r>
      <w:r>
        <w:rPr>
          <w:szCs w:val="22"/>
        </w:rPr>
        <w:t>, Report and Order, 18 FCC Rcd 15985, 15986-87, para. 4 (2003) (</w:t>
      </w:r>
      <w:r w:rsidRPr="00C80814">
        <w:rPr>
          <w:i/>
          <w:szCs w:val="22"/>
        </w:rPr>
        <w:t>FY 2003 Report and Order</w:t>
      </w:r>
      <w:r>
        <w:rPr>
          <w:szCs w:val="22"/>
        </w:rPr>
        <w:t>).</w:t>
      </w:r>
    </w:p>
  </w:footnote>
  <w:footnote w:id="118">
    <w:p w:rsidR="009C0565" w:rsidP="006F7AD6" w14:paraId="7B1C5BA7" w14:textId="77777777">
      <w:pPr>
        <w:pStyle w:val="FootnoteText"/>
      </w:pPr>
      <w:r>
        <w:rPr>
          <w:rStyle w:val="FootnoteReference"/>
        </w:rPr>
        <w:footnoteRef/>
      </w:r>
      <w:r>
        <w:t xml:space="preserve"> AT&amp;T and DIRECTV merged in 2015.  </w:t>
      </w:r>
      <w:r w:rsidRPr="00296348">
        <w:rPr>
          <w:i/>
        </w:rPr>
        <w:t>See Applications of AT&amp;T and DIRECTV for Consent to Assign or Transfer Control of Licenses and Authorizations</w:t>
      </w:r>
      <w:r>
        <w:t>, Memorandum Opinion and Order, 30 FCC Rcd 9131 (2015).</w:t>
      </w:r>
    </w:p>
  </w:footnote>
  <w:footnote w:id="119">
    <w:p w:rsidR="009C0565" w:rsidRPr="00565E15" w:rsidP="006F7AD6" w14:paraId="09F50949" w14:textId="77777777">
      <w:pPr>
        <w:pStyle w:val="FootnoteText"/>
      </w:pPr>
      <w:r w:rsidRPr="00565E15">
        <w:rPr>
          <w:rStyle w:val="FootnoteReference"/>
        </w:rPr>
        <w:footnoteRef/>
      </w:r>
      <w:r w:rsidRPr="00565E15">
        <w:t xml:space="preserve"> MVPD is defined in section 602(13) of the Act, 47 U.S.C. § 522(13).</w:t>
      </w:r>
      <w:r>
        <w:t xml:space="preserve">  </w:t>
      </w:r>
    </w:p>
  </w:footnote>
  <w:footnote w:id="120">
    <w:p w:rsidR="009C0565" w:rsidRPr="00565E15" w:rsidP="006F7AD6" w14:paraId="1871F37D" w14:textId="77777777">
      <w:pPr>
        <w:pStyle w:val="FootnoteText"/>
      </w:pPr>
      <w:r w:rsidRPr="00565E15">
        <w:rPr>
          <w:rStyle w:val="FootnoteReference"/>
        </w:rPr>
        <w:footnoteRef/>
      </w:r>
      <w:r w:rsidRPr="00565E15">
        <w:t xml:space="preserve"> </w:t>
      </w:r>
      <w:r w:rsidRPr="00565E15">
        <w:rPr>
          <w:i/>
        </w:rPr>
        <w:t>FY 2015 NPRM</w:t>
      </w:r>
      <w:r w:rsidRPr="00565E15">
        <w:t xml:space="preserve">, 30 FCC Rcd at 5367-68, para. 31.  </w:t>
      </w:r>
    </w:p>
  </w:footnote>
  <w:footnote w:id="121">
    <w:p w:rsidR="009C0565" w:rsidP="006F7AD6" w14:paraId="6696BE33" w14:textId="77777777">
      <w:pPr>
        <w:pStyle w:val="FootnoteText"/>
      </w:pPr>
      <w:r>
        <w:rPr>
          <w:rStyle w:val="FootnoteReference"/>
        </w:rPr>
        <w:footnoteRef/>
      </w:r>
      <w:r>
        <w:t xml:space="preserve"> The ITSP fee category represents 30.41% of the total regulatory fees assessed, which when multiplied by the overall regulatory fee goal of $339 million, results in the ITSP target revenue goal of $103.107 million.  The Commission in FY 2019 estimates that the ITSP unit count is $32.2 billion.  The revenue target goal of $103.107 divided by $32.2 billion results in an ITSP fee factor of $.00320. </w:t>
      </w:r>
    </w:p>
  </w:footnote>
  <w:footnote w:id="122">
    <w:p w:rsidR="009C0565" w:rsidP="006F7AD6" w14:paraId="400BA8C8" w14:textId="77777777">
      <w:pPr>
        <w:pStyle w:val="FootnoteText"/>
      </w:pPr>
      <w:r>
        <w:rPr>
          <w:rStyle w:val="FootnoteReference"/>
        </w:rPr>
        <w:footnoteRef/>
      </w:r>
      <w:r>
        <w:t xml:space="preserve"> </w:t>
      </w:r>
      <w:r w:rsidRPr="00494F81">
        <w:rPr>
          <w:i/>
        </w:rPr>
        <w:t>See</w:t>
      </w:r>
      <w:r>
        <w:t xml:space="preserve"> </w:t>
      </w:r>
      <w:r w:rsidRPr="00955A74">
        <w:rPr>
          <w:i/>
          <w:szCs w:val="22"/>
        </w:rPr>
        <w:t xml:space="preserve">Assessment and Collection of Regulatory Fees for Fiscal Year </w:t>
      </w:r>
      <w:r>
        <w:rPr>
          <w:i/>
          <w:szCs w:val="22"/>
        </w:rPr>
        <w:t>2014</w:t>
      </w:r>
      <w:r>
        <w:rPr>
          <w:szCs w:val="22"/>
        </w:rPr>
        <w:t>, Report and Order and Further Notice of Proposed Rulemaking, 29 FCC Rcd 10767, 10777-79, paras. 25-28 (2014) (</w:t>
      </w:r>
      <w:r w:rsidRPr="00703602">
        <w:rPr>
          <w:i/>
          <w:szCs w:val="22"/>
        </w:rPr>
        <w:t>FY 2014 Report and Order</w:t>
      </w:r>
      <w:r>
        <w:rPr>
          <w:szCs w:val="22"/>
        </w:rPr>
        <w:t xml:space="preserve">).  </w:t>
      </w:r>
      <w:r>
        <w:t>We adopted this category for working</w:t>
      </w:r>
      <w:r w:rsidRPr="00810C0D">
        <w:t>, assigned</w:t>
      </w:r>
      <w:r>
        <w:t>,</w:t>
      </w:r>
      <w:r w:rsidRPr="00810C0D">
        <w:t xml:space="preserve"> and reserved </w:t>
      </w:r>
      <w:r>
        <w:t xml:space="preserve">toll free numbers and for toll free numbers that are in the “transit” status, </w:t>
      </w:r>
      <w:r w:rsidRPr="00810C0D">
        <w:t>or any other status</w:t>
      </w:r>
      <w:r>
        <w:t xml:space="preserve"> as defined in section 52.103 of the Commission’s rules.  T</w:t>
      </w:r>
      <w:r w:rsidRPr="007B65BD">
        <w:rPr>
          <w:szCs w:val="22"/>
        </w:rPr>
        <w:t>he regulatory fee is limited to toll</w:t>
      </w:r>
      <w:r>
        <w:rPr>
          <w:szCs w:val="22"/>
        </w:rPr>
        <w:t xml:space="preserve"> </w:t>
      </w:r>
      <w:r w:rsidRPr="007B65BD">
        <w:rPr>
          <w:szCs w:val="22"/>
        </w:rPr>
        <w:t>free numbers that are accessible within the United States.</w:t>
      </w:r>
    </w:p>
  </w:footnote>
  <w:footnote w:id="123">
    <w:p w:rsidR="009C0565" w:rsidP="006F7AD6" w14:paraId="1A56DCF8" w14:textId="77777777">
      <w:pPr>
        <w:pStyle w:val="FootnoteText"/>
      </w:pPr>
      <w:r>
        <w:rPr>
          <w:rStyle w:val="FootnoteReference"/>
        </w:rPr>
        <w:footnoteRef/>
      </w:r>
      <w:r>
        <w:t xml:space="preserve"> A</w:t>
      </w:r>
      <w:r w:rsidRPr="00222625">
        <w:t xml:space="preserve"> </w:t>
      </w:r>
      <w:r>
        <w:t xml:space="preserve">RespOrg </w:t>
      </w:r>
      <w:r w:rsidRPr="00222625">
        <w:t xml:space="preserve">is a company </w:t>
      </w:r>
      <w:r>
        <w:t>that</w:t>
      </w:r>
      <w:r w:rsidRPr="00222625">
        <w:t xml:space="preserve"> </w:t>
      </w:r>
      <w:r>
        <w:t>manages</w:t>
      </w:r>
      <w:r w:rsidRPr="00222625">
        <w:t xml:space="preserve"> toll</w:t>
      </w:r>
      <w:r>
        <w:t xml:space="preserve"> </w:t>
      </w:r>
      <w:r w:rsidRPr="00222625">
        <w:t xml:space="preserve">free telephone numbers </w:t>
      </w:r>
      <w:r>
        <w:t>for subscribers</w:t>
      </w:r>
      <w:r w:rsidRPr="00222625">
        <w:t>.</w:t>
      </w:r>
      <w:r w:rsidRPr="0053390F">
        <w:t xml:space="preserve"> </w:t>
      </w:r>
      <w:r>
        <w:t xml:space="preserve"> RespOrgs use the SMS/800 database to verify the availability of specific numbers and to reserve the numbers for subscribers.</w:t>
      </w:r>
      <w:r w:rsidRPr="00B64A88">
        <w:t xml:space="preserve"> </w:t>
      </w:r>
      <w:r>
        <w:t xml:space="preserve"> </w:t>
      </w:r>
      <w:r w:rsidRPr="00995C9F">
        <w:rPr>
          <w:i/>
        </w:rPr>
        <w:t>See</w:t>
      </w:r>
      <w:r w:rsidRPr="00AF1916">
        <w:t xml:space="preserve"> 47 CFR § 52.101(</w:t>
      </w:r>
      <w:r>
        <w:t xml:space="preserve">b).  </w:t>
      </w:r>
      <w:r w:rsidRPr="00070296">
        <w:rPr>
          <w:bCs/>
        </w:rPr>
        <w:t>Commission FTEs in the Wireline Competition Bureau and the Enforcement Bureau work on toll free numbering issues</w:t>
      </w:r>
      <w:r>
        <w:rPr>
          <w:bCs/>
        </w:rPr>
        <w:t xml:space="preserve"> and other related activities.  </w:t>
      </w:r>
      <w:r w:rsidRPr="00891AAC">
        <w:rPr>
          <w:bCs/>
        </w:rPr>
        <w:t>As a result, the Commission adopted a regulatory fee for each toll free number</w:t>
      </w:r>
      <w:r>
        <w:rPr>
          <w:bCs/>
        </w:rPr>
        <w:t xml:space="preserve"> controlled or managed by a RespOrg</w:t>
      </w:r>
      <w:r w:rsidRPr="00891AAC">
        <w:rPr>
          <w:bCs/>
        </w:rPr>
        <w:t xml:space="preserve"> because many toll free numbers </w:t>
      </w:r>
      <w:r>
        <w:rPr>
          <w:bCs/>
        </w:rPr>
        <w:t xml:space="preserve">are </w:t>
      </w:r>
      <w:r w:rsidRPr="00891AAC">
        <w:rPr>
          <w:bCs/>
        </w:rPr>
        <w:t>controlled or managed by RespOrgs that are n</w:t>
      </w:r>
      <w:r>
        <w:rPr>
          <w:bCs/>
        </w:rPr>
        <w:t xml:space="preserve">ot carriers, and therefore, had </w:t>
      </w:r>
      <w:r w:rsidRPr="00891AAC">
        <w:rPr>
          <w:bCs/>
        </w:rPr>
        <w:t>not</w:t>
      </w:r>
      <w:r>
        <w:rPr>
          <w:bCs/>
        </w:rPr>
        <w:t xml:space="preserve"> been paying regulatory fees.  </w:t>
      </w:r>
      <w:r>
        <w:t xml:space="preserve">In the </w:t>
      </w:r>
      <w:r w:rsidRPr="00A972E1">
        <w:rPr>
          <w:i/>
        </w:rPr>
        <w:t>FY 201</w:t>
      </w:r>
      <w:r>
        <w:rPr>
          <w:i/>
        </w:rPr>
        <w:t>4 Report and Order</w:t>
      </w:r>
      <w:r>
        <w:t>, the Commission stated that:  “Based on evaluation, the FTEs involved in toll free issues are primarily from the Wireline Competition Bureau. . . . Accordingly, a regulatory fee assessed on toll free numbers reduces the ITSP regulatory fee total.”</w:t>
      </w:r>
      <w:r w:rsidRPr="00BD59DB">
        <w:rPr>
          <w:i/>
        </w:rPr>
        <w:t xml:space="preserve"> </w:t>
      </w:r>
      <w:r w:rsidRPr="00A972E1">
        <w:rPr>
          <w:i/>
        </w:rPr>
        <w:t>FY 201</w:t>
      </w:r>
      <w:r>
        <w:rPr>
          <w:i/>
        </w:rPr>
        <w:t>4</w:t>
      </w:r>
      <w:r w:rsidRPr="00A972E1">
        <w:rPr>
          <w:i/>
        </w:rPr>
        <w:t xml:space="preserve"> Report and Order</w:t>
      </w:r>
      <w:r>
        <w:t>, 29 FCC Rcd at 10778, para. 27 (footnote omitted).</w:t>
      </w:r>
    </w:p>
  </w:footnote>
  <w:footnote w:id="124">
    <w:p w:rsidR="009C0565" w:rsidRPr="00EF13D7" w:rsidP="006F7AD6" w14:paraId="1167E78B" w14:textId="77777777">
      <w:pPr>
        <w:pStyle w:val="FootnoteText"/>
      </w:pPr>
      <w:r>
        <w:rPr>
          <w:rStyle w:val="FootnoteReference"/>
        </w:rPr>
        <w:footnoteRef/>
      </w:r>
      <w:r>
        <w:t xml:space="preserve"> </w:t>
      </w:r>
      <w:r w:rsidRPr="00EF13D7">
        <w:rPr>
          <w:i/>
        </w:rPr>
        <w:t>FY 2015 Report and Order</w:t>
      </w:r>
      <w:r>
        <w:t>, 30 FCC Rcd at 10271-72, para. 9.</w:t>
      </w:r>
    </w:p>
  </w:footnote>
  <w:footnote w:id="125">
    <w:p w:rsidR="009C0565" w:rsidP="006F7AD6" w14:paraId="5A2A83FB" w14:textId="77777777">
      <w:pPr>
        <w:pStyle w:val="FootnoteText"/>
      </w:pPr>
      <w:r>
        <w:rPr>
          <w:rStyle w:val="FootnoteReference"/>
        </w:rPr>
        <w:footnoteRef/>
      </w:r>
      <w:r>
        <w:t xml:space="preserve"> SOMOS is an organization that grants toll-free numbers to Responsible Organizations.</w:t>
      </w:r>
    </w:p>
  </w:footnote>
  <w:footnote w:id="126">
    <w:p w:rsidR="009C0565" w:rsidRPr="00504937" w:rsidP="006F7AD6" w14:paraId="2C160EC6" w14:textId="77777777">
      <w:pPr>
        <w:pStyle w:val="FootnoteText"/>
      </w:pPr>
      <w:r>
        <w:rPr>
          <w:rStyle w:val="FootnoteReference"/>
        </w:rPr>
        <w:footnoteRef/>
      </w:r>
      <w:r>
        <w:t xml:space="preserve"> CMRS messaging replaced the CMRS one-way paging fee category.  </w:t>
      </w:r>
      <w:r w:rsidRPr="00896B82">
        <w:rPr>
          <w:i/>
        </w:rPr>
        <w:t>See</w:t>
      </w:r>
      <w:r>
        <w:t xml:space="preserve"> </w:t>
      </w:r>
      <w:r w:rsidRPr="00955A74">
        <w:rPr>
          <w:i/>
          <w:szCs w:val="22"/>
        </w:rPr>
        <w:t xml:space="preserve">Assessment and Collection of Regulatory Fees for Fiscal Year </w:t>
      </w:r>
      <w:r>
        <w:rPr>
          <w:i/>
          <w:szCs w:val="22"/>
        </w:rPr>
        <w:t>1997</w:t>
      </w:r>
      <w:r>
        <w:rPr>
          <w:szCs w:val="22"/>
        </w:rPr>
        <w:t>, Report and Order, 12 FCC Rcd 17161, 17184-85, para. 60 (1997) (</w:t>
      </w:r>
      <w:r w:rsidRPr="000A70F5">
        <w:rPr>
          <w:i/>
          <w:szCs w:val="22"/>
        </w:rPr>
        <w:t>FY 1997 Report and Order</w:t>
      </w:r>
      <w:r>
        <w:rPr>
          <w:szCs w:val="22"/>
        </w:rPr>
        <w:t xml:space="preserve">).  </w:t>
      </w:r>
    </w:p>
  </w:footnote>
  <w:footnote w:id="127">
    <w:p w:rsidR="009C0565" w:rsidP="006F7AD6" w14:paraId="65418C8E" w14:textId="77777777">
      <w:pPr>
        <w:pStyle w:val="FootnoteText"/>
      </w:pPr>
      <w:r>
        <w:rPr>
          <w:rStyle w:val="FootnoteReference"/>
        </w:rPr>
        <w:footnoteRef/>
      </w:r>
      <w:r>
        <w:t xml:space="preserve"> </w:t>
      </w:r>
      <w:r w:rsidRPr="008C600A">
        <w:rPr>
          <w:i/>
          <w:szCs w:val="22"/>
        </w:rPr>
        <w:t>See FY 2003 Report and Order</w:t>
      </w:r>
      <w:r>
        <w:rPr>
          <w:szCs w:val="22"/>
        </w:rPr>
        <w:t>, 18 FCC Rcd at 15992, para. 21.</w:t>
      </w:r>
    </w:p>
  </w:footnote>
  <w:footnote w:id="128">
    <w:p w:rsidR="009C0565" w:rsidP="006F7AD6" w14:paraId="1EBA207E" w14:textId="77777777">
      <w:pPr>
        <w:pStyle w:val="FootnoteText"/>
      </w:pPr>
      <w:r>
        <w:rPr>
          <w:rStyle w:val="FootnoteReference"/>
        </w:rPr>
        <w:footnoteRef/>
      </w:r>
      <w:r>
        <w:t xml:space="preserve"> </w:t>
      </w:r>
      <w:r w:rsidRPr="00896B82">
        <w:rPr>
          <w:i/>
        </w:rPr>
        <w:t>See</w:t>
      </w:r>
      <w:r>
        <w:t xml:space="preserve"> </w:t>
      </w:r>
      <w:r w:rsidRPr="00955A74">
        <w:rPr>
          <w:i/>
          <w:szCs w:val="22"/>
        </w:rPr>
        <w:t xml:space="preserve">Assessment and Collection of Regulatory Fees for Fiscal Year </w:t>
      </w:r>
      <w:r>
        <w:rPr>
          <w:i/>
          <w:szCs w:val="22"/>
        </w:rPr>
        <w:t>2005</w:t>
      </w:r>
      <w:r>
        <w:rPr>
          <w:szCs w:val="22"/>
        </w:rPr>
        <w:t>, Report and Order, 20 FCC Rcd 12259, 12267, para. 26 (2005) (</w:t>
      </w:r>
      <w:r w:rsidRPr="00750FCD">
        <w:rPr>
          <w:i/>
          <w:szCs w:val="22"/>
        </w:rPr>
        <w:t>FY 2005 Report and Order</w:t>
      </w:r>
      <w:r>
        <w:rPr>
          <w:szCs w:val="22"/>
        </w:rPr>
        <w:t>).</w:t>
      </w:r>
    </w:p>
  </w:footnote>
  <w:footnote w:id="129">
    <w:p w:rsidR="009C0565" w:rsidP="006F7AD6" w14:paraId="657D53BE" w14:textId="77777777">
      <w:pPr>
        <w:pStyle w:val="FootnoteText"/>
      </w:pPr>
      <w:r>
        <w:rPr>
          <w:rStyle w:val="FootnoteReference"/>
        </w:rPr>
        <w:footnoteRef/>
      </w:r>
      <w:r>
        <w:t xml:space="preserve"> 47 CFR Part 80.</w:t>
      </w:r>
    </w:p>
  </w:footnote>
  <w:footnote w:id="130">
    <w:p w:rsidR="009C0565" w:rsidP="006F7AD6" w14:paraId="1402954A" w14:textId="77777777">
      <w:pPr>
        <w:pStyle w:val="FootnoteText"/>
      </w:pPr>
      <w:r>
        <w:rPr>
          <w:rStyle w:val="FootnoteReference"/>
        </w:rPr>
        <w:footnoteRef/>
      </w:r>
      <w:r>
        <w:t xml:space="preserve"> We note that prior section 9(b)(1)(A) listed as examples of factors related to “benefits provided” a regulate to include “</w:t>
      </w:r>
      <w:r w:rsidRPr="001C3703">
        <w:t>service area coverage, shared use versus exclusive use, and other factors that the Commission determines are necessary in the public interest</w:t>
      </w:r>
      <w:r>
        <w:t>.”  Current sections 9 and 9A do not mention shared use versus exclusive use.</w:t>
      </w:r>
    </w:p>
  </w:footnote>
  <w:footnote w:id="131">
    <w:p w:rsidR="009C0565" w:rsidP="006F7AD6" w14:paraId="4225F5A0" w14:textId="77777777">
      <w:pPr>
        <w:pStyle w:val="FootnoteText"/>
      </w:pPr>
      <w:r>
        <w:rPr>
          <w:rStyle w:val="FootnoteReference"/>
        </w:rPr>
        <w:footnoteRef/>
      </w:r>
      <w:r>
        <w:t xml:space="preserve"> 47 CFR Part 87.</w:t>
      </w:r>
    </w:p>
  </w:footnote>
  <w:footnote w:id="132">
    <w:p w:rsidR="009C0565" w:rsidP="006F7AD6" w14:paraId="454CC860" w14:textId="77777777">
      <w:pPr>
        <w:pStyle w:val="FootnoteText"/>
      </w:pPr>
      <w:r>
        <w:rPr>
          <w:rStyle w:val="FootnoteReference"/>
        </w:rPr>
        <w:footnoteRef/>
      </w:r>
      <w:r>
        <w:t xml:space="preserve"> </w:t>
      </w:r>
      <w:r w:rsidRPr="00955A74">
        <w:rPr>
          <w:i/>
          <w:szCs w:val="22"/>
        </w:rPr>
        <w:t xml:space="preserve">Assessment and Collection of Regulatory Fees for Fiscal Year </w:t>
      </w:r>
      <w:r>
        <w:rPr>
          <w:i/>
          <w:szCs w:val="22"/>
        </w:rPr>
        <w:t>2014</w:t>
      </w:r>
      <w:r>
        <w:rPr>
          <w:szCs w:val="22"/>
        </w:rPr>
        <w:t>, Notice of Proposed Rulemaking, Second Further Notice of Proposed Rulemaking, and Order, 29 FCC Rcd 6417,</w:t>
      </w:r>
      <w:r>
        <w:t xml:space="preserve"> 6428, para. 29 (2014) (</w:t>
      </w:r>
      <w:r w:rsidRPr="00A85891">
        <w:rPr>
          <w:i/>
        </w:rPr>
        <w:t>FY 2014 NPRM</w:t>
      </w:r>
      <w:r>
        <w:t>).</w:t>
      </w:r>
      <w:r w:rsidRPr="007A11F8">
        <w:t xml:space="preserve"> </w:t>
      </w:r>
      <w:r>
        <w:t xml:space="preserve"> </w:t>
      </w:r>
    </w:p>
  </w:footnote>
  <w:footnote w:id="133">
    <w:p w:rsidR="009C0565" w:rsidP="006F7AD6" w14:paraId="2DAFEF21" w14:textId="77777777">
      <w:pPr>
        <w:pStyle w:val="FootnoteText"/>
      </w:pPr>
      <w:r>
        <w:rPr>
          <w:rStyle w:val="FootnoteReference"/>
        </w:rPr>
        <w:footnoteRef/>
      </w:r>
      <w:r>
        <w:t xml:space="preserve"> </w:t>
      </w:r>
      <w:r>
        <w:rPr>
          <w:szCs w:val="22"/>
        </w:rPr>
        <w:t>R</w:t>
      </w:r>
      <w:r w:rsidRPr="0000664D">
        <w:rPr>
          <w:szCs w:val="22"/>
        </w:rPr>
        <w:t xml:space="preserve">egulatory fees for terrestrial and satellite IBCs are paid based on active (used or leased) international bearer circuits as of December 31, 2018 in any terrestrial or satellite transmission facility for the provision of service to an end user or resale carrier.  </w:t>
      </w:r>
      <w:r>
        <w:rPr>
          <w:szCs w:val="22"/>
        </w:rPr>
        <w:t>A</w:t>
      </w:r>
      <w:r w:rsidRPr="0000664D">
        <w:rPr>
          <w:szCs w:val="22"/>
        </w:rPr>
        <w:t>ctive circuits include backup and redundant circuits as of December 31, 2018.  Whether circuits are used specifically for voice or data is not relevant for purposes of determining that they are active circuits.</w:t>
      </w:r>
    </w:p>
  </w:footnote>
  <w:footnote w:id="134">
    <w:p w:rsidR="009C0565" w:rsidP="006F7AD6" w14:paraId="5175A02D" w14:textId="77777777">
      <w:pPr>
        <w:pStyle w:val="FootnoteText"/>
      </w:pPr>
      <w:r>
        <w:rPr>
          <w:rStyle w:val="FootnoteReference"/>
        </w:rPr>
        <w:footnoteRef/>
      </w:r>
      <w:r>
        <w:t xml:space="preserve"> </w:t>
      </w:r>
      <w:r w:rsidRPr="00697145">
        <w:t xml:space="preserve">Submarine cables provide the primary means of connectivity – voice, data and Internet – between the United States and the rest of the world as well as connectivity between the mainland United States and consumers in Alaska, Hawaii, Guam, American Samoa, the Northern Mariana Islands, Puerto Rico, and the U.S. Virgin Islands. </w:t>
      </w:r>
      <w:r>
        <w:t xml:space="preserve"> </w:t>
      </w:r>
    </w:p>
  </w:footnote>
  <w:footnote w:id="135">
    <w:p w:rsidR="009C0565" w:rsidP="006F7AD6" w14:paraId="288EBA5D" w14:textId="77777777">
      <w:pPr>
        <w:pStyle w:val="FootnoteText"/>
      </w:pPr>
      <w:r>
        <w:rPr>
          <w:rStyle w:val="FootnoteReference"/>
        </w:rPr>
        <w:footnoteRef/>
      </w:r>
      <w:r>
        <w:t xml:space="preserve"> Initially, this fee category was for common carrier IBCs.  The Commission added non-common carrier satellite IBCs in this regulatory fee category in 1997. </w:t>
      </w:r>
      <w:r w:rsidRPr="00EE58D5">
        <w:rPr>
          <w:i/>
        </w:rPr>
        <w:t>See</w:t>
      </w:r>
      <w:r w:rsidRPr="004264F2">
        <w:rPr>
          <w:i/>
          <w:szCs w:val="22"/>
        </w:rPr>
        <w:t xml:space="preserve"> </w:t>
      </w:r>
      <w:r>
        <w:rPr>
          <w:i/>
          <w:szCs w:val="22"/>
        </w:rPr>
        <w:t xml:space="preserve">FY 1997 Report and </w:t>
      </w:r>
      <w:r w:rsidRPr="00FB428B">
        <w:rPr>
          <w:i/>
          <w:szCs w:val="22"/>
        </w:rPr>
        <w:t>Order</w:t>
      </w:r>
      <w:r>
        <w:rPr>
          <w:szCs w:val="22"/>
        </w:rPr>
        <w:t xml:space="preserve">, 12 FCC Rcd at 17189, para. 71.  More recently, the Commission added non-common carrier terrestrial IBCs in this regulatory fee category in 2017.  </w:t>
      </w:r>
      <w:r w:rsidRPr="00B400CE">
        <w:rPr>
          <w:i/>
          <w:szCs w:val="22"/>
        </w:rPr>
        <w:t>See</w:t>
      </w:r>
      <w:r w:rsidRPr="00B400CE">
        <w:rPr>
          <w:i/>
        </w:rPr>
        <w:t xml:space="preserve"> </w:t>
      </w:r>
      <w:r w:rsidRPr="002478FE">
        <w:rPr>
          <w:i/>
        </w:rPr>
        <w:t>FY 2017 Report and Order</w:t>
      </w:r>
      <w:r w:rsidRPr="00565E15">
        <w:t>, 3</w:t>
      </w:r>
      <w:r>
        <w:t>2</w:t>
      </w:r>
      <w:r w:rsidRPr="00565E15">
        <w:t xml:space="preserve"> FCC Rcd </w:t>
      </w:r>
      <w:r>
        <w:t>at 7071-72, paras. 34-35.</w:t>
      </w:r>
    </w:p>
  </w:footnote>
  <w:footnote w:id="136">
    <w:p w:rsidR="009C0565" w:rsidP="006F7AD6" w14:paraId="0690375D" w14:textId="77777777">
      <w:pPr>
        <w:pStyle w:val="FootnoteText"/>
      </w:pPr>
      <w:r>
        <w:rPr>
          <w:rStyle w:val="FootnoteReference"/>
        </w:rPr>
        <w:footnoteRef/>
      </w:r>
      <w:r>
        <w:t xml:space="preserve"> The submarine cable regulatory fee includes services provided to common carriers using the submarine cables, in addition to the International Bureau’s regulatory activity concerning submarine cables, such as the bureau’s review, analysis, and grant of applications for submarine cable landing license applications, as well as transfers, assignments, and modifications.  </w:t>
      </w:r>
      <w:r w:rsidRPr="00AA2D96">
        <w:rPr>
          <w:i/>
        </w:rPr>
        <w:t>See</w:t>
      </w:r>
      <w:r>
        <w:t xml:space="preserve"> </w:t>
      </w:r>
      <w:r w:rsidRPr="00EE2B52">
        <w:rPr>
          <w:i/>
        </w:rPr>
        <w:t>FY 2015 Report and Order</w:t>
      </w:r>
      <w:r>
        <w:t>, 30 FCC Rcd at 10273, para. 12.  The bureau also</w:t>
      </w:r>
      <w:r w:rsidRPr="000E2106">
        <w:t xml:space="preserve"> </w:t>
      </w:r>
      <w:r>
        <w:t>coordinates processing of submarine cable landing license applications with the relevant Executive Branch agencies.</w:t>
      </w:r>
      <w:r w:rsidRPr="00DF19E2">
        <w:t xml:space="preserve"> </w:t>
      </w:r>
      <w:r>
        <w:t xml:space="preserve">and the bureau’s </w:t>
      </w:r>
      <w:r w:rsidRPr="00075A20">
        <w:t>services provided to common carriers using the sub</w:t>
      </w:r>
      <w:r>
        <w:t xml:space="preserve">marine </w:t>
      </w:r>
      <w:r w:rsidRPr="00075A20">
        <w:t>cable circuits</w:t>
      </w:r>
      <w:r>
        <w:t xml:space="preserve">, include benchmarks enforcement, </w:t>
      </w:r>
      <w:r w:rsidRPr="002E14F4">
        <w:t>protection from anticompetitive actions by foreign carriers, f</w:t>
      </w:r>
      <w:r>
        <w:t xml:space="preserve">oreign ownership rulings (Petitions for Declaratory Rulings, or PDRs), section </w:t>
      </w:r>
      <w:r w:rsidRPr="002E14F4">
        <w:t xml:space="preserve">214 authorizations, </w:t>
      </w:r>
      <w:r>
        <w:t xml:space="preserve">and </w:t>
      </w:r>
      <w:r w:rsidRPr="002E14F4">
        <w:t>bilateral and multilateral negotiations and representation of U.S. interests at international organizations</w:t>
      </w:r>
      <w:r>
        <w:rPr>
          <w:szCs w:val="22"/>
        </w:rPr>
        <w:t>.</w:t>
      </w:r>
      <w:r w:rsidRPr="00A76A6E">
        <w:rPr>
          <w:i/>
        </w:rPr>
        <w:t xml:space="preserve"> </w:t>
      </w:r>
      <w:r>
        <w:rPr>
          <w:i/>
        </w:rPr>
        <w:t xml:space="preserve">See </w:t>
      </w:r>
      <w:r w:rsidRPr="00EE2B52">
        <w:rPr>
          <w:i/>
        </w:rPr>
        <w:t>FY 2015 Report and Order</w:t>
      </w:r>
      <w:r>
        <w:rPr>
          <w:i/>
        </w:rPr>
        <w:t xml:space="preserve">, </w:t>
      </w:r>
      <w:r>
        <w:t>30 FCC Rcd at 10273, para. 12.</w:t>
      </w:r>
    </w:p>
  </w:footnote>
  <w:footnote w:id="137">
    <w:p w:rsidR="009C0565" w:rsidP="006F7AD6" w14:paraId="65A89963" w14:textId="77777777">
      <w:pPr>
        <w:pStyle w:val="FootnoteText"/>
      </w:pPr>
      <w:r>
        <w:rPr>
          <w:rStyle w:val="FootnoteReference"/>
        </w:rPr>
        <w:footnoteRef/>
      </w:r>
      <w:r>
        <w:t xml:space="preserve"> A cable landing license must be obtained prior to landing a submarine cable to connect the continental United States with any foreign country; Alaska, Hawaii or the U.S. territories or possessions with a foreign country, the continental United States, or with each other; and points within the continental United States, Alaska, Hawaii or a territory or possession in which the cable is laid within international waters.</w:t>
      </w:r>
    </w:p>
  </w:footnote>
  <w:footnote w:id="138">
    <w:p w:rsidR="009C0565" w:rsidP="006F7AD6" w14:paraId="10116A6C" w14:textId="77777777">
      <w:pPr>
        <w:pStyle w:val="FootnoteText"/>
      </w:pPr>
      <w:r>
        <w:rPr>
          <w:rStyle w:val="FootnoteReference"/>
        </w:rPr>
        <w:footnoteRef/>
      </w:r>
      <w:r>
        <w:t xml:space="preserve"> </w:t>
      </w:r>
      <w:r w:rsidRPr="00317656">
        <w:rPr>
          <w:i/>
        </w:rPr>
        <w:t>See Assessment and Collection of Regulatory Fees for Fiscal Year 2008</w:t>
      </w:r>
      <w:r>
        <w:t>, Second Report and Order, 24 FCC Rcd 4208 (2009) (</w:t>
      </w:r>
      <w:r w:rsidRPr="00317656">
        <w:rPr>
          <w:i/>
        </w:rPr>
        <w:t>Submarine Cable Order</w:t>
      </w:r>
      <w:r>
        <w:t>).</w:t>
      </w:r>
    </w:p>
  </w:footnote>
  <w:footnote w:id="139">
    <w:p w:rsidR="009C0565" w:rsidP="006F7AD6" w14:paraId="072C6397" w14:textId="72346D2D">
      <w:pPr>
        <w:pStyle w:val="FootnoteText"/>
      </w:pPr>
      <w:r>
        <w:rPr>
          <w:rStyle w:val="FootnoteReference"/>
        </w:rPr>
        <w:footnoteRef/>
      </w:r>
      <w:r>
        <w:t xml:space="preserve"> </w:t>
      </w:r>
      <w:r>
        <w:rPr>
          <w:spacing w:val="-2"/>
          <w:lang w:val="fr-FR"/>
        </w:rPr>
        <w:t xml:space="preserve">5 U.S.C. § 603.  </w:t>
      </w:r>
      <w:r>
        <w:rPr>
          <w:spacing w:val="-2"/>
        </w:rPr>
        <w:t>The RFA, 5 U.S.C. §§ 601-612 has been amended by the Small Business Regulatory Enforcement Fairness Act of 1996 (SBREFA), Pub. L. No. 104-121, Title II, 110 Stat. 847 (1996).</w:t>
      </w:r>
    </w:p>
  </w:footnote>
  <w:footnote w:id="140">
    <w:p w:rsidR="009C0565" w:rsidP="006F7AD6" w14:paraId="4CF54DBA" w14:textId="77777777">
      <w:pPr>
        <w:pStyle w:val="FootnoteText"/>
      </w:pPr>
      <w:r>
        <w:rPr>
          <w:rStyle w:val="FootnoteReference"/>
        </w:rPr>
        <w:footnoteRef/>
      </w:r>
      <w:r>
        <w:t xml:space="preserve"> 5 U.S.C.</w:t>
      </w:r>
      <w:r>
        <w:rPr>
          <w:spacing w:val="-2"/>
        </w:rPr>
        <w:t xml:space="preserve"> §</w:t>
      </w:r>
      <w:r>
        <w:t xml:space="preserve"> 603(a).</w:t>
      </w:r>
    </w:p>
  </w:footnote>
  <w:footnote w:id="141">
    <w:p w:rsidR="009C0565" w:rsidP="006F7AD6" w14:paraId="79B3C969" w14:textId="77777777">
      <w:pPr>
        <w:pStyle w:val="FootnoteText"/>
      </w:pPr>
      <w:r>
        <w:rPr>
          <w:rStyle w:val="FootnoteReference"/>
        </w:rPr>
        <w:footnoteRef/>
      </w:r>
      <w:r>
        <w:t xml:space="preserve"> </w:t>
      </w:r>
      <w:r w:rsidRPr="00820DF8">
        <w:rPr>
          <w:i/>
        </w:rPr>
        <w:t>Id.</w:t>
      </w:r>
    </w:p>
  </w:footnote>
  <w:footnote w:id="142">
    <w:p w:rsidR="009C0565" w:rsidP="006F7AD6" w14:paraId="0142B01E" w14:textId="77777777">
      <w:pPr>
        <w:pStyle w:val="FootnoteText"/>
      </w:pPr>
      <w:r>
        <w:rPr>
          <w:rStyle w:val="FootnoteReference"/>
        </w:rPr>
        <w:footnoteRef/>
      </w:r>
      <w:r>
        <w:t xml:space="preserve"> 47 U.S.C. </w:t>
      </w:r>
      <w:r>
        <w:rPr>
          <w:spacing w:val="-2"/>
        </w:rPr>
        <w:t>§ 159(a).</w:t>
      </w:r>
    </w:p>
  </w:footnote>
  <w:footnote w:id="143">
    <w:p w:rsidR="009C0565" w:rsidP="006F7AD6" w14:paraId="766B22D2" w14:textId="77777777">
      <w:pPr>
        <w:pStyle w:val="FootnoteText"/>
      </w:pPr>
      <w:r>
        <w:rPr>
          <w:rStyle w:val="FootnoteReference"/>
        </w:rPr>
        <w:footnoteRef/>
      </w:r>
      <w:r>
        <w:t xml:space="preserve"> 47 U.S.C. </w:t>
      </w:r>
      <w:r>
        <w:rPr>
          <w:rStyle w:val="Footnote"/>
        </w:rPr>
        <w:t xml:space="preserve">§§ </w:t>
      </w:r>
      <w:r>
        <w:t>154(i) and (j), 159, 159A, and 303(r).</w:t>
      </w:r>
    </w:p>
  </w:footnote>
  <w:footnote w:id="144">
    <w:p w:rsidR="009C0565" w:rsidP="006F7AD6" w14:paraId="0723CDC7" w14:textId="77777777">
      <w:pPr>
        <w:pStyle w:val="FootnoteText"/>
      </w:pPr>
      <w:r>
        <w:rPr>
          <w:rStyle w:val="FootnoteReference"/>
        </w:rPr>
        <w:footnoteRef/>
      </w:r>
      <w:r>
        <w:t xml:space="preserve"> </w:t>
      </w:r>
      <w:r>
        <w:rPr>
          <w:rStyle w:val="Footnote"/>
        </w:rPr>
        <w:t>5 U.S.C. § 603(b)(3).</w:t>
      </w:r>
    </w:p>
  </w:footnote>
  <w:footnote w:id="145">
    <w:p w:rsidR="009C0565" w:rsidP="006F7AD6" w14:paraId="0399F123" w14:textId="77777777">
      <w:pPr>
        <w:pStyle w:val="FootnoteText"/>
      </w:pPr>
      <w:r>
        <w:rPr>
          <w:rStyle w:val="FootnoteReference"/>
        </w:rPr>
        <w:footnoteRef/>
      </w:r>
      <w:r>
        <w:t xml:space="preserve"> </w:t>
      </w:r>
      <w:r>
        <w:rPr>
          <w:rStyle w:val="Footnote"/>
        </w:rPr>
        <w:t>5 U.S.C. § 601(6).</w:t>
      </w:r>
    </w:p>
  </w:footnote>
  <w:footnote w:id="146">
    <w:p w:rsidR="009C0565" w:rsidP="006F7AD6" w14:paraId="43C474C7" w14:textId="77777777">
      <w:pPr>
        <w:pStyle w:val="FootnoteText"/>
      </w:pPr>
      <w:r>
        <w:rPr>
          <w:rStyle w:val="FootnoteReference"/>
        </w:rPr>
        <w:footnoteRef/>
      </w:r>
      <w:r>
        <w:t xml:space="preserve"> </w:t>
      </w:r>
      <w:r>
        <w:rPr>
          <w:rStyle w:val="Footnote"/>
        </w:rPr>
        <w:t>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w:t>
      </w:r>
      <w:r w:rsidRPr="00357400">
        <w:t xml:space="preserve"> </w:t>
      </w:r>
      <w:r>
        <w:rPr>
          <w:rStyle w:val="Footnote"/>
        </w:rPr>
        <w:t>for public comment, establishes one or more definitions of such term which are appropriate to the activities of the agency and publishes such definition(s) in the Federal Register.”</w:t>
      </w:r>
    </w:p>
  </w:footnote>
  <w:footnote w:id="147">
    <w:p w:rsidR="009C0565" w:rsidP="006F7AD6" w14:paraId="62C0BE72" w14:textId="77777777">
      <w:pPr>
        <w:pStyle w:val="FootnoteText"/>
      </w:pPr>
      <w:r>
        <w:rPr>
          <w:rStyle w:val="FootnoteReference"/>
        </w:rPr>
        <w:footnoteRef/>
      </w:r>
      <w:r>
        <w:t xml:space="preserve"> </w:t>
      </w:r>
      <w:r>
        <w:rPr>
          <w:rStyle w:val="Footnote"/>
        </w:rPr>
        <w:t>15 U.S.C. § 632.</w:t>
      </w:r>
    </w:p>
  </w:footnote>
  <w:footnote w:id="148">
    <w:p w:rsidR="009C0565" w:rsidP="006F7AD6" w14:paraId="1757188C" w14:textId="77777777">
      <w:pPr>
        <w:pStyle w:val="FootnoteText"/>
      </w:pPr>
      <w:r>
        <w:rPr>
          <w:rStyle w:val="FootnoteReference"/>
        </w:rPr>
        <w:footnoteRef/>
      </w:r>
      <w:r>
        <w:t xml:space="preserve"> </w:t>
      </w:r>
      <w:r w:rsidRPr="00C84780">
        <w:rPr>
          <w:i/>
        </w:rPr>
        <w:t>See</w:t>
      </w:r>
      <w:r>
        <w:t xml:space="preserve"> 5 U.S.C. </w:t>
      </w:r>
      <w:r>
        <w:rPr>
          <w:rStyle w:val="Footnote"/>
        </w:rPr>
        <w:t xml:space="preserve">§ </w:t>
      </w:r>
      <w:r>
        <w:t>601(3)-(6).</w:t>
      </w:r>
    </w:p>
  </w:footnote>
  <w:footnote w:id="149">
    <w:p w:rsidR="009C0565" w:rsidP="006F7AD6" w14:paraId="03557360" w14:textId="77777777">
      <w:pPr>
        <w:pStyle w:val="FootnoteText"/>
      </w:pPr>
      <w:r>
        <w:rPr>
          <w:rStyle w:val="FootnoteReference"/>
        </w:rPr>
        <w:footnoteRef/>
      </w:r>
      <w:r>
        <w:t xml:space="preserve"> </w:t>
      </w:r>
      <w:r w:rsidRPr="00C84780">
        <w:rPr>
          <w:i/>
        </w:rPr>
        <w:t>See</w:t>
      </w:r>
      <w:r>
        <w:t xml:space="preserve"> SBA, Office of Advocacy, “Frequently Asked Questions,” </w:t>
      </w:r>
      <w:r w:rsidRPr="007F0772">
        <w:t>available at</w:t>
      </w:r>
      <w:r>
        <w:t xml:space="preserve"> </w:t>
      </w:r>
      <w:hyperlink r:id="rId4" w:history="1">
        <w:r w:rsidRPr="00783D14">
          <w:rPr>
            <w:rStyle w:val="Hyperlink"/>
          </w:rPr>
          <w:t>https://www.sba.gov/sites/default/files/advocacy/SB-FAQ-2016_WEB.</w:t>
        </w:r>
      </w:hyperlink>
      <w:r>
        <w:rPr>
          <w:rStyle w:val="Hyperlink"/>
        </w:rPr>
        <w:t>pdf.</w:t>
      </w:r>
    </w:p>
  </w:footnote>
  <w:footnote w:id="150">
    <w:p w:rsidR="009C0565" w:rsidP="006F7AD6" w14:paraId="0037EC6A" w14:textId="77777777">
      <w:pPr>
        <w:pStyle w:val="FootnoteText"/>
      </w:pPr>
      <w:r>
        <w:rPr>
          <w:rStyle w:val="FootnoteReference"/>
        </w:rPr>
        <w:footnoteRef/>
      </w:r>
      <w:r>
        <w:t xml:space="preserve"> 5 U.S.C. </w:t>
      </w:r>
      <w:r>
        <w:rPr>
          <w:rStyle w:val="Footnote"/>
        </w:rPr>
        <w:t xml:space="preserve">§ </w:t>
      </w:r>
      <w:r>
        <w:t>601(4).</w:t>
      </w:r>
    </w:p>
  </w:footnote>
  <w:footnote w:id="151">
    <w:p w:rsidR="009C0565" w:rsidP="006F7AD6" w14:paraId="7C755D5F" w14:textId="77777777">
      <w:pPr>
        <w:pStyle w:val="FootnoteText"/>
      </w:pPr>
      <w:r>
        <w:rPr>
          <w:rStyle w:val="FootnoteReference"/>
        </w:rPr>
        <w:footnoteRef/>
      </w:r>
      <w:r>
        <w:t xml:space="preserve"> 5 U.S.C. </w:t>
      </w:r>
      <w:r>
        <w:rPr>
          <w:rStyle w:val="Footnote"/>
        </w:rPr>
        <w:t xml:space="preserve">§ </w:t>
      </w:r>
      <w:r>
        <w:t>601(5).</w:t>
      </w:r>
    </w:p>
  </w:footnote>
  <w:footnote w:id="152">
    <w:p w:rsidR="009C0565" w:rsidP="006F7AD6" w14:paraId="3D8BEE90" w14:textId="77777777">
      <w:pPr>
        <w:pStyle w:val="FootnoteText"/>
      </w:pPr>
      <w:r>
        <w:rPr>
          <w:rStyle w:val="FootnoteReference"/>
        </w:rPr>
        <w:footnoteRef/>
      </w:r>
      <w:r>
        <w:t xml:space="preserve"> </w:t>
      </w:r>
      <w:r w:rsidRPr="00C84780">
        <w:rPr>
          <w:i/>
        </w:rPr>
        <w:t>See</w:t>
      </w:r>
      <w:r>
        <w:t xml:space="preserve"> SBA, Office of Advocacy, “Frequently Asked Questions,” </w:t>
      </w:r>
      <w:r w:rsidRPr="00840BF3">
        <w:t>available at</w:t>
      </w:r>
      <w:r>
        <w:t xml:space="preserve"> </w:t>
      </w:r>
      <w:hyperlink r:id="rId5" w:history="1">
        <w:r w:rsidRPr="00783D14">
          <w:rPr>
            <w:rStyle w:val="Hyperlink"/>
          </w:rPr>
          <w:t>https://www.sba.gov/sites/default/files/advocacy/SB-FAQ-2016_WEB.pdf</w:t>
        </w:r>
      </w:hyperlink>
      <w:r>
        <w:t>.</w:t>
      </w:r>
    </w:p>
  </w:footnote>
  <w:footnote w:id="153">
    <w:p w:rsidR="009C0565" w:rsidP="006F7AD6" w14:paraId="3C4BE580" w14:textId="77777777">
      <w:pPr>
        <w:pStyle w:val="FootnoteText"/>
      </w:pPr>
      <w:r>
        <w:rPr>
          <w:rStyle w:val="FootnoteReference"/>
        </w:rPr>
        <w:footnoteRef/>
      </w:r>
      <w:r>
        <w:t xml:space="preserve"> The 2011 U.S. Census Data for small governmental organizations are not presented based on the size of the population in each organization.  As stated above, there were 90,056 local governmental organizations in 2011.  As a basis for estimating how many of these 90,056 local governmental organizations were small, we note that there were a total of 729 cities and towns (incorporated places and civil divisions) with populations over 50,000.  </w:t>
      </w:r>
      <w:r w:rsidRPr="00C84780">
        <w:rPr>
          <w:i/>
        </w:rPr>
        <w:t>See</w:t>
      </w:r>
      <w:r>
        <w:t xml:space="preserve"> </w:t>
      </w:r>
      <w:hyperlink r:id="rId6" w:history="1">
        <w:r w:rsidRPr="00783D14">
          <w:rPr>
            <w:rStyle w:val="Hyperlink"/>
          </w:rPr>
          <w:t>http://factfinder.census.gov/faces/tableservices/jsf/pages/productview.xhtml?pid=ECN_2012_US_51SSSZ5&amp;prodType=table</w:t>
        </w:r>
      </w:hyperlink>
      <w:r>
        <w:t xml:space="preserve">.  If we subtract the 729 cities and towns that exceed the 50,000 population threshold, we conclude that approximately 789,237 are small. </w:t>
      </w:r>
    </w:p>
  </w:footnote>
  <w:footnote w:id="154">
    <w:p w:rsidR="009C0565" w:rsidP="006F7AD6" w14:paraId="46B03B83" w14:textId="77777777">
      <w:pPr>
        <w:pStyle w:val="FootnoteText"/>
      </w:pPr>
      <w:r>
        <w:rPr>
          <w:rStyle w:val="FootnoteReference"/>
        </w:rPr>
        <w:footnoteRef/>
      </w:r>
      <w:r>
        <w:t xml:space="preserve"> </w:t>
      </w:r>
      <w:r w:rsidRPr="008A5A5E">
        <w:rPr>
          <w:i/>
        </w:rPr>
        <w:t>See</w:t>
      </w:r>
      <w:r>
        <w:t xml:space="preserve"> </w:t>
      </w:r>
      <w:hyperlink r:id="rId7" w:history="1">
        <w:r w:rsidRPr="008A5A5E">
          <w:rPr>
            <w:rStyle w:val="Hyperlink"/>
          </w:rPr>
          <w:t>http://www.census.gov/cgi-bin/sssd/naics/naicsrch</w:t>
        </w:r>
      </w:hyperlink>
      <w:r>
        <w:rPr>
          <w:rStyle w:val="Hyperlink"/>
        </w:rPr>
        <w:t>.</w:t>
      </w:r>
    </w:p>
  </w:footnote>
  <w:footnote w:id="155">
    <w:p w:rsidR="009C0565" w:rsidP="006F7AD6" w14:paraId="71E7EC86" w14:textId="77777777">
      <w:pPr>
        <w:pStyle w:val="FootnoteText"/>
      </w:pPr>
      <w:r>
        <w:rPr>
          <w:rStyle w:val="FootnoteReference"/>
        </w:rPr>
        <w:footnoteRef/>
      </w:r>
      <w:r>
        <w:t xml:space="preserve"> </w:t>
      </w:r>
      <w:r w:rsidRPr="008A5A5E">
        <w:rPr>
          <w:i/>
        </w:rPr>
        <w:t>See</w:t>
      </w:r>
      <w:r>
        <w:t xml:space="preserve"> 13 CFR </w:t>
      </w:r>
      <w:r>
        <w:rPr>
          <w:rStyle w:val="Footnote"/>
        </w:rPr>
        <w:t xml:space="preserve">§ </w:t>
      </w:r>
      <w:r>
        <w:t>120.201, NAICS code 517110.</w:t>
      </w:r>
    </w:p>
  </w:footnote>
  <w:footnote w:id="156">
    <w:p w:rsidR="009C0565" w:rsidRPr="00B9606B" w:rsidP="006F7AD6" w14:paraId="6969CC02" w14:textId="77777777">
      <w:pPr>
        <w:pStyle w:val="FootnoteText"/>
        <w:spacing w:after="0"/>
      </w:pPr>
      <w:r>
        <w:rPr>
          <w:rStyle w:val="FootnoteReference"/>
        </w:rPr>
        <w:footnoteRef/>
      </w:r>
      <w:r>
        <w:t xml:space="preserve"> </w:t>
      </w:r>
      <w:r>
        <w:fldChar w:fldCharType="begin"/>
      </w:r>
      <w:r>
        <w:instrText xml:space="preserve"> HYPERLINK "</w:instrText>
      </w:r>
      <w:r w:rsidRPr="00B9606B">
        <w:instrText>http://factfinder.census.gov/faces/tableservices/jsf/pages/productview.xhtml?</w:instrText>
      </w:r>
    </w:p>
    <w:p w:rsidR="009C0565" w:rsidRPr="00783D14" w:rsidP="006F7AD6" w14:paraId="1AC46855" w14:textId="77777777">
      <w:pPr>
        <w:pStyle w:val="FootnoteText"/>
        <w:spacing w:after="0"/>
        <w:rPr>
          <w:rStyle w:val="Hyperlink"/>
        </w:rPr>
      </w:pPr>
      <w:r w:rsidRPr="00B9606B">
        <w:instrText>pid=ECN_2012_US_51SSSZ5 &amp;prodType= table</w:instrText>
      </w:r>
      <w:r>
        <w:instrText xml:space="preserve">" </w:instrText>
      </w:r>
      <w:r>
        <w:fldChar w:fldCharType="separate"/>
      </w:r>
      <w:r w:rsidRPr="00783D14">
        <w:rPr>
          <w:rStyle w:val="Hyperlink"/>
        </w:rPr>
        <w:t>http://factfinder.census.gov/faces/tableservices/jsf/pages/productview.xhtml?</w:t>
      </w:r>
    </w:p>
    <w:p w:rsidR="009C0565" w:rsidP="006F7AD6" w14:paraId="7BE3452A" w14:textId="77777777">
      <w:pPr>
        <w:pStyle w:val="FootnoteText"/>
      </w:pPr>
      <w:r w:rsidRPr="00783D14">
        <w:rPr>
          <w:rStyle w:val="Hyperlink"/>
        </w:rPr>
        <w:t>pid=ECN_2012_US_51SSSZ5 &amp;prodType= table</w:t>
      </w:r>
      <w:r>
        <w:fldChar w:fldCharType="end"/>
      </w:r>
      <w:r>
        <w:t>.</w:t>
      </w:r>
    </w:p>
  </w:footnote>
  <w:footnote w:id="157">
    <w:p w:rsidR="009C0565" w:rsidP="006F7AD6" w14:paraId="58E1569D" w14:textId="77777777">
      <w:pPr>
        <w:pStyle w:val="FootnoteText"/>
      </w:pPr>
      <w:r>
        <w:rPr>
          <w:rStyle w:val="FootnoteReference"/>
        </w:rPr>
        <w:footnoteRef/>
      </w:r>
      <w:r>
        <w:t xml:space="preserve"> </w:t>
      </w:r>
      <w:r w:rsidRPr="00D15B65">
        <w:rPr>
          <w:rStyle w:val="Footnote"/>
        </w:rPr>
        <w:t>13 CFR § 121.201, NAICS code 517110</w:t>
      </w:r>
      <w:r>
        <w:rPr>
          <w:rStyle w:val="Footnote"/>
        </w:rPr>
        <w:t>.</w:t>
      </w:r>
    </w:p>
  </w:footnote>
  <w:footnote w:id="158">
    <w:p w:rsidR="009C0565" w:rsidRPr="00B9606B" w:rsidP="006F7AD6" w14:paraId="57C4B6B3" w14:textId="77777777">
      <w:pPr>
        <w:pStyle w:val="FootnoteText"/>
        <w:spacing w:after="0"/>
      </w:pPr>
      <w:r>
        <w:rPr>
          <w:rStyle w:val="FootnoteReference"/>
        </w:rPr>
        <w:footnoteRef/>
      </w:r>
      <w:r>
        <w:t xml:space="preserve"> </w:t>
      </w:r>
      <w:r>
        <w:fldChar w:fldCharType="begin"/>
      </w:r>
      <w:r>
        <w:instrText xml:space="preserve"> HYPERLINK "</w:instrText>
      </w:r>
      <w:r w:rsidRPr="00B9606B">
        <w:instrText>http://factfinder.census.gov/faces/tableservices/jsf/pages/productview.xhtml?</w:instrText>
      </w:r>
    </w:p>
    <w:p w:rsidR="009C0565" w:rsidRPr="00783D14" w:rsidP="006F7AD6" w14:paraId="30A1DFEC" w14:textId="77777777">
      <w:pPr>
        <w:pStyle w:val="FootnoteText"/>
        <w:spacing w:after="0"/>
        <w:rPr>
          <w:rStyle w:val="Hyperlink"/>
        </w:rPr>
      </w:pPr>
      <w:r w:rsidRPr="00B9606B">
        <w:instrText>pid=ECN_2012_US_51SSSZ5 &amp;prodType= table</w:instrText>
      </w:r>
      <w:r>
        <w:instrText xml:space="preserve">" </w:instrText>
      </w:r>
      <w:r>
        <w:fldChar w:fldCharType="separate"/>
      </w:r>
      <w:r w:rsidRPr="00783D14">
        <w:rPr>
          <w:rStyle w:val="Hyperlink"/>
        </w:rPr>
        <w:t>http://factfinder.census.gov/faces/tableservices/jsf/pages/productview.xhtml?</w:t>
      </w:r>
    </w:p>
    <w:p w:rsidR="009C0565" w:rsidP="006F7AD6" w14:paraId="4D1833FB" w14:textId="77777777">
      <w:pPr>
        <w:pStyle w:val="FootnoteText"/>
      </w:pPr>
      <w:r w:rsidRPr="00783D14">
        <w:rPr>
          <w:rStyle w:val="Hyperlink"/>
        </w:rPr>
        <w:t>pid=ECN_2012_US_51SSSZ5 &amp;prodType= table</w:t>
      </w:r>
      <w:r>
        <w:fldChar w:fldCharType="end"/>
      </w:r>
      <w:r>
        <w:t>.</w:t>
      </w:r>
    </w:p>
  </w:footnote>
  <w:footnote w:id="159">
    <w:p w:rsidR="009C0565" w:rsidP="006F7AD6" w14:paraId="348EF675" w14:textId="77777777">
      <w:pPr>
        <w:pStyle w:val="FootnoteText"/>
      </w:pPr>
      <w:r>
        <w:rPr>
          <w:rStyle w:val="FootnoteReference"/>
        </w:rPr>
        <w:footnoteRef/>
      </w:r>
      <w:r>
        <w:t xml:space="preserve"> </w:t>
      </w:r>
      <w:r w:rsidRPr="00D15B65">
        <w:rPr>
          <w:rStyle w:val="Footnote"/>
        </w:rPr>
        <w:t>13 CFR § 121.201, NAICS code 517110</w:t>
      </w:r>
      <w:r>
        <w:rPr>
          <w:rStyle w:val="Footnote"/>
        </w:rPr>
        <w:t>.</w:t>
      </w:r>
    </w:p>
  </w:footnote>
  <w:footnote w:id="160">
    <w:p w:rsidR="009C0565" w:rsidRPr="005B31F2" w:rsidP="006F7AD6" w14:paraId="6B91AAE9" w14:textId="77777777">
      <w:pPr>
        <w:pStyle w:val="FootnoteText"/>
        <w:spacing w:after="0"/>
      </w:pPr>
      <w:r>
        <w:rPr>
          <w:rStyle w:val="FootnoteReference"/>
        </w:rPr>
        <w:footnoteRef/>
      </w:r>
      <w:r>
        <w:t xml:space="preserve"> </w:t>
      </w:r>
      <w:r>
        <w:fldChar w:fldCharType="begin"/>
      </w:r>
      <w:r>
        <w:instrText xml:space="preserve"> HYPERLINK "</w:instrText>
      </w:r>
      <w:r w:rsidRPr="005B31F2">
        <w:instrText>http://factfinder.census.gov/faces/tableservices/jsf/pages/productview.xhtml?</w:instrText>
      </w:r>
    </w:p>
    <w:p w:rsidR="009C0565" w:rsidRPr="00783D14" w:rsidP="006F7AD6" w14:paraId="4E56A6A1" w14:textId="77777777">
      <w:pPr>
        <w:pStyle w:val="FootnoteText"/>
        <w:spacing w:after="0"/>
        <w:rPr>
          <w:rStyle w:val="Hyperlink"/>
        </w:rPr>
      </w:pPr>
      <w:r w:rsidRPr="005B31F2">
        <w:instrText>pid=ECN_2012_US_51SSSZ5 &amp;prodType= table</w:instrText>
      </w:r>
      <w:r>
        <w:instrText xml:space="preserve">" </w:instrText>
      </w:r>
      <w:r>
        <w:fldChar w:fldCharType="separate"/>
      </w:r>
      <w:r w:rsidRPr="00783D14">
        <w:rPr>
          <w:rStyle w:val="Hyperlink"/>
        </w:rPr>
        <w:t>http://factfinder.census.gov/faces/tableservices/jsf/pages/productview.xhtml?</w:t>
      </w:r>
    </w:p>
    <w:p w:rsidR="009C0565" w:rsidP="006F7AD6" w14:paraId="6D433D3C" w14:textId="77777777">
      <w:pPr>
        <w:pStyle w:val="FootnoteText"/>
      </w:pPr>
      <w:r w:rsidRPr="00783D14">
        <w:rPr>
          <w:rStyle w:val="Hyperlink"/>
        </w:rPr>
        <w:t>pid=ECN_2012_US_51SSSZ5 &amp;prodType= table</w:t>
      </w:r>
      <w:r>
        <w:fldChar w:fldCharType="end"/>
      </w:r>
      <w:r>
        <w:t>.</w:t>
      </w:r>
    </w:p>
  </w:footnote>
  <w:footnote w:id="161">
    <w:p w:rsidR="009C0565" w:rsidP="006F7AD6" w14:paraId="47912354" w14:textId="77777777">
      <w:pPr>
        <w:pStyle w:val="FootnoteText"/>
      </w:pPr>
      <w:r>
        <w:rPr>
          <w:rStyle w:val="FootnoteReference"/>
        </w:rPr>
        <w:footnoteRef/>
      </w:r>
      <w:r>
        <w:t xml:space="preserve"> </w:t>
      </w:r>
      <w:r w:rsidRPr="00D15B65">
        <w:rPr>
          <w:i/>
        </w:rPr>
        <w:t>See Trends in Telephone Service</w:t>
      </w:r>
      <w:r w:rsidRPr="00D15B65">
        <w:t>, Federal Communications Commission, Wireline Competition Bureau, Industry Analysis and Technology Divis</w:t>
      </w:r>
      <w:r>
        <w:t>ion at Table 5.3 (Sept. 2010) (</w:t>
      </w:r>
      <w:r w:rsidRPr="00D15B65">
        <w:rPr>
          <w:i/>
        </w:rPr>
        <w:t>Trends in Telephone Service</w:t>
      </w:r>
      <w:r w:rsidRPr="00D15B65">
        <w:t>).</w:t>
      </w:r>
    </w:p>
  </w:footnote>
  <w:footnote w:id="162">
    <w:p w:rsidR="009C0565" w:rsidP="006F7AD6" w14:paraId="26052329" w14:textId="77777777">
      <w:pPr>
        <w:pStyle w:val="FootnoteText"/>
      </w:pPr>
      <w:r>
        <w:rPr>
          <w:rStyle w:val="FootnoteReference"/>
        </w:rPr>
        <w:footnoteRef/>
      </w:r>
      <w:r>
        <w:t xml:space="preserve"> </w:t>
      </w:r>
      <w:r w:rsidRPr="00280043">
        <w:rPr>
          <w:i/>
        </w:rPr>
        <w:t>See id.</w:t>
      </w:r>
    </w:p>
  </w:footnote>
  <w:footnote w:id="163">
    <w:p w:rsidR="009C0565" w:rsidP="006F7AD6" w14:paraId="2E22A6F9" w14:textId="77777777">
      <w:pPr>
        <w:pStyle w:val="FootnoteText"/>
      </w:pPr>
      <w:r>
        <w:rPr>
          <w:rStyle w:val="FootnoteReference"/>
        </w:rPr>
        <w:footnoteRef/>
      </w:r>
      <w:r>
        <w:t xml:space="preserve"> </w:t>
      </w:r>
      <w:r>
        <w:rPr>
          <w:rStyle w:val="FootnoteTextChar4"/>
        </w:rPr>
        <w:t>13 CFR § 121.201, NAICS code 517110.</w:t>
      </w:r>
    </w:p>
  </w:footnote>
  <w:footnote w:id="164">
    <w:p w:rsidR="009C0565" w:rsidRPr="003A6C8B" w:rsidP="006F7AD6" w14:paraId="026C7873" w14:textId="77777777">
      <w:pPr>
        <w:pStyle w:val="FootnoteText"/>
        <w:spacing w:after="0"/>
      </w:pPr>
      <w:r>
        <w:rPr>
          <w:rStyle w:val="FootnoteReference"/>
        </w:rPr>
        <w:footnoteRef/>
      </w:r>
      <w:r>
        <w:t xml:space="preserve"> </w:t>
      </w:r>
      <w:r>
        <w:fldChar w:fldCharType="begin"/>
      </w:r>
      <w:r>
        <w:instrText xml:space="preserve"> HYPERLINK "</w:instrText>
      </w:r>
      <w:r w:rsidRPr="003A6C8B">
        <w:instrText>http://factfinder.census.gov/faces/tableservices/jsf/pages/productview.xhtml?</w:instrText>
      </w:r>
    </w:p>
    <w:p w:rsidR="009C0565" w:rsidRPr="00783D14" w:rsidP="006F7AD6" w14:paraId="16558D07" w14:textId="77777777">
      <w:pPr>
        <w:pStyle w:val="FootnoteText"/>
        <w:spacing w:after="0"/>
        <w:rPr>
          <w:rStyle w:val="Hyperlink"/>
        </w:rPr>
      </w:pPr>
      <w:r w:rsidRPr="003A6C8B">
        <w:instrText>pid=ECN_2012_US_51SSSZ5&amp;prodType=table</w:instrText>
      </w:r>
      <w:r>
        <w:instrText xml:space="preserve">" </w:instrText>
      </w:r>
      <w:r>
        <w:fldChar w:fldCharType="separate"/>
      </w:r>
      <w:r w:rsidRPr="00783D14">
        <w:rPr>
          <w:rStyle w:val="Hyperlink"/>
        </w:rPr>
        <w:t>http://factfinder.census.gov/faces/tableservices/jsf/pages/productview.xhtml?</w:t>
      </w:r>
    </w:p>
    <w:p w:rsidR="009C0565" w:rsidP="006F7AD6" w14:paraId="6B0FF054" w14:textId="77777777">
      <w:pPr>
        <w:pStyle w:val="FootnoteText"/>
      </w:pPr>
      <w:r w:rsidRPr="00783D14">
        <w:rPr>
          <w:rStyle w:val="Hyperlink"/>
        </w:rPr>
        <w:t>pid=ECN_2012_US_51SSSZ5&amp;prodType=table</w:t>
      </w:r>
      <w:r>
        <w:fldChar w:fldCharType="end"/>
      </w:r>
      <w:r>
        <w:t>.</w:t>
      </w:r>
    </w:p>
  </w:footnote>
  <w:footnote w:id="165">
    <w:p w:rsidR="009C0565" w:rsidP="006F7AD6" w14:paraId="5D83AC7E" w14:textId="77777777">
      <w:pPr>
        <w:pStyle w:val="FootnoteText"/>
      </w:pPr>
      <w:r>
        <w:rPr>
          <w:rStyle w:val="FootnoteReference"/>
        </w:rPr>
        <w:footnoteRef/>
      </w:r>
      <w:r>
        <w:t xml:space="preserve"> </w:t>
      </w:r>
      <w:r>
        <w:rPr>
          <w:i/>
        </w:rPr>
        <w:t>See Trends in Telephone Service,</w:t>
      </w:r>
      <w:r>
        <w:t xml:space="preserve"> at tbl. 5.3.</w:t>
      </w:r>
    </w:p>
  </w:footnote>
  <w:footnote w:id="166">
    <w:p w:rsidR="009C0565" w:rsidP="006F7AD6" w14:paraId="1F7D3FDB" w14:textId="77777777">
      <w:pPr>
        <w:pStyle w:val="FootnoteText"/>
      </w:pPr>
      <w:r>
        <w:rPr>
          <w:rStyle w:val="FootnoteReference"/>
        </w:rPr>
        <w:footnoteRef/>
      </w:r>
      <w:r>
        <w:t xml:space="preserve"> </w:t>
      </w:r>
      <w:r w:rsidRPr="00C71B0F">
        <w:rPr>
          <w:i/>
        </w:rPr>
        <w:t>Id.</w:t>
      </w:r>
    </w:p>
  </w:footnote>
  <w:footnote w:id="167">
    <w:p w:rsidR="009C0565" w:rsidP="006F7AD6" w14:paraId="2307857C" w14:textId="77777777">
      <w:pPr>
        <w:pStyle w:val="FootnoteText"/>
      </w:pPr>
      <w:r>
        <w:rPr>
          <w:rStyle w:val="FootnoteReference"/>
        </w:rPr>
        <w:footnoteRef/>
      </w:r>
      <w:r>
        <w:t xml:space="preserve"> </w:t>
      </w:r>
      <w:r w:rsidRPr="00C71B0F">
        <w:rPr>
          <w:i/>
        </w:rPr>
        <w:t>Id.</w:t>
      </w:r>
    </w:p>
  </w:footnote>
  <w:footnote w:id="168">
    <w:p w:rsidR="009C0565" w:rsidP="006F7AD6" w14:paraId="7298A01D" w14:textId="77777777">
      <w:pPr>
        <w:pStyle w:val="FootnoteText"/>
      </w:pPr>
      <w:r>
        <w:rPr>
          <w:rStyle w:val="FootnoteReference"/>
        </w:rPr>
        <w:footnoteRef/>
      </w:r>
      <w:r>
        <w:t xml:space="preserve"> </w:t>
      </w:r>
      <w:r w:rsidRPr="00C71B0F">
        <w:rPr>
          <w:i/>
        </w:rPr>
        <w:t>Id.</w:t>
      </w:r>
    </w:p>
  </w:footnote>
  <w:footnote w:id="169">
    <w:p w:rsidR="009C0565" w:rsidP="006F7AD6" w14:paraId="64436FF8" w14:textId="77777777">
      <w:pPr>
        <w:pStyle w:val="FootnoteText"/>
      </w:pPr>
      <w:r>
        <w:rPr>
          <w:rStyle w:val="FootnoteReference"/>
        </w:rPr>
        <w:footnoteRef/>
      </w:r>
      <w:r>
        <w:t xml:space="preserve"> </w:t>
      </w:r>
      <w:r>
        <w:rPr>
          <w:color w:val="000000"/>
        </w:rPr>
        <w:t>13 CFR § 121.201, NAICS code 517110.</w:t>
      </w:r>
      <w:r w:rsidRPr="00432F1F">
        <w:t xml:space="preserve"> </w:t>
      </w:r>
    </w:p>
  </w:footnote>
  <w:footnote w:id="170">
    <w:p w:rsidR="009C0565" w:rsidRPr="000B68BA" w:rsidP="006F7AD6" w14:paraId="0A2B6B9E" w14:textId="77777777">
      <w:pPr>
        <w:pStyle w:val="FootnoteText"/>
        <w:spacing w:after="0"/>
      </w:pPr>
      <w:r>
        <w:rPr>
          <w:rStyle w:val="FootnoteReference"/>
        </w:rPr>
        <w:footnoteRef/>
      </w:r>
      <w:r>
        <w:t xml:space="preserve"> </w:t>
      </w:r>
      <w:r>
        <w:fldChar w:fldCharType="begin"/>
      </w:r>
      <w:r>
        <w:instrText xml:space="preserve"> HYPERLINK "</w:instrText>
      </w:r>
      <w:r w:rsidRPr="000B68BA">
        <w:instrText>http://factfinder.census.gov/faces/tableservices/jsf/pages/productview.xhtml?</w:instrText>
      </w:r>
    </w:p>
    <w:p w:rsidR="009C0565" w:rsidRPr="00783D14" w:rsidP="006F7AD6" w14:paraId="3ECC3CCD" w14:textId="77777777">
      <w:pPr>
        <w:pStyle w:val="FootnoteText"/>
        <w:spacing w:after="0"/>
        <w:rPr>
          <w:rStyle w:val="Hyperlink"/>
        </w:rPr>
      </w:pPr>
      <w:r w:rsidRPr="000B68BA">
        <w:instrText>pid=ECN_2012_US_51SSSZ5&amp;prodType=table</w:instrText>
      </w:r>
      <w:r>
        <w:instrText xml:space="preserve">" </w:instrText>
      </w:r>
      <w:r>
        <w:fldChar w:fldCharType="separate"/>
      </w:r>
      <w:r w:rsidRPr="00783D14">
        <w:rPr>
          <w:rStyle w:val="Hyperlink"/>
        </w:rPr>
        <w:t>http://factfinder.census.gov/faces/tableservices/jsf/pages/productview.xhtml?</w:t>
      </w:r>
    </w:p>
    <w:p w:rsidR="009C0565" w:rsidP="006F7AD6" w14:paraId="3C456B5A" w14:textId="77777777">
      <w:pPr>
        <w:pStyle w:val="FootnoteText"/>
      </w:pPr>
      <w:r w:rsidRPr="00783D14">
        <w:rPr>
          <w:rStyle w:val="Hyperlink"/>
        </w:rPr>
        <w:t>pid=ECN_2012_US_51SSSZ5&amp;prodType=table</w:t>
      </w:r>
      <w:r>
        <w:fldChar w:fldCharType="end"/>
      </w:r>
      <w:r>
        <w:t>.</w:t>
      </w:r>
    </w:p>
  </w:footnote>
  <w:footnote w:id="171">
    <w:p w:rsidR="009C0565" w:rsidP="006F7AD6" w14:paraId="4E341E3B" w14:textId="77777777">
      <w:pPr>
        <w:pStyle w:val="FootnoteText"/>
      </w:pPr>
      <w:r>
        <w:rPr>
          <w:rStyle w:val="FootnoteReference"/>
        </w:rPr>
        <w:footnoteRef/>
      </w:r>
      <w:r>
        <w:t xml:space="preserve"> </w:t>
      </w:r>
      <w:r>
        <w:rPr>
          <w:i/>
        </w:rPr>
        <w:t>See Trends in Telephone Service,</w:t>
      </w:r>
      <w:r>
        <w:t xml:space="preserve"> at tbl. 5.3.</w:t>
      </w:r>
    </w:p>
  </w:footnote>
  <w:footnote w:id="172">
    <w:p w:rsidR="009C0565" w:rsidP="006F7AD6" w14:paraId="4078A2A9" w14:textId="77777777">
      <w:pPr>
        <w:pStyle w:val="FootnoteText"/>
      </w:pPr>
      <w:r>
        <w:rPr>
          <w:rStyle w:val="FootnoteReference"/>
        </w:rPr>
        <w:footnoteRef/>
      </w:r>
      <w:r>
        <w:t xml:space="preserve"> </w:t>
      </w:r>
      <w:hyperlink r:id="rId8" w:history="1">
        <w:r w:rsidRPr="0008354F">
          <w:rPr>
            <w:rStyle w:val="Hyperlink"/>
          </w:rPr>
          <w:t>http://www.census.gov/cgi-bin/ssd/naics/naicsrch</w:t>
        </w:r>
      </w:hyperlink>
      <w:r>
        <w:t>.</w:t>
      </w:r>
    </w:p>
  </w:footnote>
  <w:footnote w:id="173">
    <w:p w:rsidR="009C0565" w:rsidP="006F7AD6" w14:paraId="6F051671" w14:textId="77777777">
      <w:pPr>
        <w:pStyle w:val="FootnoteText"/>
      </w:pPr>
      <w:r>
        <w:rPr>
          <w:rStyle w:val="FootnoteReference"/>
        </w:rPr>
        <w:footnoteRef/>
      </w:r>
      <w:r>
        <w:t xml:space="preserve"> </w:t>
      </w:r>
      <w:r>
        <w:rPr>
          <w:color w:val="000000"/>
        </w:rPr>
        <w:t>13 CFR § 121.201, NAICS code 517911.</w:t>
      </w:r>
    </w:p>
  </w:footnote>
  <w:footnote w:id="174">
    <w:p w:rsidR="009C0565" w:rsidRPr="002D704F" w:rsidP="006F7AD6" w14:paraId="313AE038" w14:textId="77777777">
      <w:pPr>
        <w:pStyle w:val="FootnoteText"/>
        <w:spacing w:after="0"/>
      </w:pPr>
      <w:r>
        <w:rPr>
          <w:rStyle w:val="FootnoteReference"/>
        </w:rPr>
        <w:footnoteRef/>
      </w:r>
      <w:r>
        <w:t xml:space="preserve"> </w:t>
      </w:r>
      <w:r>
        <w:fldChar w:fldCharType="begin"/>
      </w:r>
      <w:r>
        <w:instrText xml:space="preserve"> HYPERLINK "</w:instrText>
      </w:r>
      <w:r w:rsidRPr="002D704F">
        <w:instrText>http://factfinder.census.gov/faces/tableservices/jsf/pages/productview.xhtml?</w:instrText>
      </w:r>
    </w:p>
    <w:p w:rsidR="009C0565" w:rsidRPr="00783D14" w:rsidP="006F7AD6" w14:paraId="3AB87EDD" w14:textId="77777777">
      <w:pPr>
        <w:pStyle w:val="FootnoteText"/>
        <w:spacing w:after="0"/>
        <w:rPr>
          <w:rStyle w:val="Hyperlink"/>
        </w:rPr>
      </w:pPr>
      <w:r w:rsidRPr="002D704F">
        <w:instrText>pid=ECN_2012_US_51SSSZ5&amp;prodType=table</w:instrText>
      </w:r>
      <w:r>
        <w:instrText xml:space="preserve">" </w:instrText>
      </w:r>
      <w:r>
        <w:fldChar w:fldCharType="separate"/>
      </w:r>
      <w:r w:rsidRPr="00783D14">
        <w:rPr>
          <w:rStyle w:val="Hyperlink"/>
        </w:rPr>
        <w:t>http://factfinder.census.gov/faces/tableservices/jsf/pages/productview.xhtml?</w:t>
      </w:r>
    </w:p>
    <w:p w:rsidR="009C0565" w:rsidRPr="009975E0" w:rsidP="006F7AD6" w14:paraId="52E7B8CE" w14:textId="77777777">
      <w:pPr>
        <w:pStyle w:val="FootnoteText"/>
      </w:pPr>
      <w:r w:rsidRPr="00783D14">
        <w:rPr>
          <w:rStyle w:val="Hyperlink"/>
        </w:rPr>
        <w:t>pid=ECN_2012_US_51SSSZ5&amp;prodType=table</w:t>
      </w:r>
      <w:r>
        <w:fldChar w:fldCharType="end"/>
      </w:r>
      <w:r w:rsidRPr="009975E0">
        <w:t>.</w:t>
      </w:r>
    </w:p>
  </w:footnote>
  <w:footnote w:id="175">
    <w:p w:rsidR="009C0565" w:rsidP="006F7AD6" w14:paraId="1EA98C7B" w14:textId="77777777">
      <w:pPr>
        <w:pStyle w:val="FootnoteText"/>
      </w:pPr>
      <w:r>
        <w:rPr>
          <w:rStyle w:val="FootnoteReference"/>
        </w:rPr>
        <w:footnoteRef/>
      </w:r>
      <w:r>
        <w:t xml:space="preserve"> </w:t>
      </w:r>
      <w:r>
        <w:rPr>
          <w:i/>
        </w:rPr>
        <w:t>See Trends in Telephone Service,</w:t>
      </w:r>
      <w:r>
        <w:t xml:space="preserve"> at tbl. 5.3.</w:t>
      </w:r>
    </w:p>
  </w:footnote>
  <w:footnote w:id="176">
    <w:p w:rsidR="009C0565" w:rsidP="006F7AD6" w14:paraId="697F15C2" w14:textId="77777777">
      <w:pPr>
        <w:pStyle w:val="FootnoteText"/>
      </w:pPr>
      <w:r>
        <w:rPr>
          <w:rStyle w:val="FootnoteReference"/>
        </w:rPr>
        <w:footnoteRef/>
      </w:r>
      <w:r>
        <w:t xml:space="preserve"> </w:t>
      </w:r>
      <w:r w:rsidRPr="00860117">
        <w:rPr>
          <w:i/>
        </w:rPr>
        <w:t>Id.</w:t>
      </w:r>
    </w:p>
  </w:footnote>
  <w:footnote w:id="177">
    <w:p w:rsidR="009C0565" w:rsidP="006F7AD6" w14:paraId="4B72B3D4" w14:textId="77777777">
      <w:pPr>
        <w:pStyle w:val="FootnoteText"/>
      </w:pPr>
      <w:r>
        <w:rPr>
          <w:rStyle w:val="FootnoteReference"/>
        </w:rPr>
        <w:footnoteRef/>
      </w:r>
      <w:r>
        <w:t xml:space="preserve"> </w:t>
      </w:r>
      <w:r>
        <w:rPr>
          <w:color w:val="000000"/>
        </w:rPr>
        <w:t>13 CFR § 121.201, NAICS code 517911.</w:t>
      </w:r>
    </w:p>
  </w:footnote>
  <w:footnote w:id="178">
    <w:p w:rsidR="009C0565" w:rsidRPr="002D704F" w:rsidP="006F7AD6" w14:paraId="0A69ABA1" w14:textId="77777777">
      <w:pPr>
        <w:pStyle w:val="FootnoteText"/>
        <w:spacing w:after="0"/>
      </w:pPr>
      <w:r>
        <w:rPr>
          <w:rStyle w:val="FootnoteReference"/>
        </w:rPr>
        <w:footnoteRef/>
      </w:r>
      <w:r>
        <w:t xml:space="preserve"> </w:t>
      </w:r>
      <w:r>
        <w:fldChar w:fldCharType="begin"/>
      </w:r>
      <w:r>
        <w:instrText xml:space="preserve"> HYPERLINK "</w:instrText>
      </w:r>
      <w:r w:rsidRPr="002D704F">
        <w:instrText>http://factfinder.census.gov/faces/tableservices/jsf/pages/productview.xhtml?</w:instrText>
      </w:r>
    </w:p>
    <w:p w:rsidR="009C0565" w:rsidRPr="00783D14" w:rsidP="006F7AD6" w14:paraId="12E9EA47" w14:textId="77777777">
      <w:pPr>
        <w:pStyle w:val="FootnoteText"/>
        <w:spacing w:after="0"/>
        <w:rPr>
          <w:rStyle w:val="Hyperlink"/>
        </w:rPr>
      </w:pPr>
      <w:r w:rsidRPr="002D704F">
        <w:instrText>pid=ECN_2012_US_51SSSZ5&amp;prodType=table</w:instrText>
      </w:r>
      <w:r>
        <w:instrText xml:space="preserve">" </w:instrText>
      </w:r>
      <w:r>
        <w:fldChar w:fldCharType="separate"/>
      </w:r>
      <w:r w:rsidRPr="00783D14">
        <w:rPr>
          <w:rStyle w:val="Hyperlink"/>
        </w:rPr>
        <w:t>http://factfinder.census.gov/faces/tableservices/jsf/pages/productview.xhtml?</w:t>
      </w:r>
    </w:p>
    <w:p w:rsidR="009C0565" w:rsidRPr="009975E0" w:rsidP="006F7AD6" w14:paraId="32CD4E68" w14:textId="77777777">
      <w:pPr>
        <w:pStyle w:val="FootnoteText"/>
      </w:pPr>
      <w:r w:rsidRPr="00783D14">
        <w:rPr>
          <w:rStyle w:val="Hyperlink"/>
        </w:rPr>
        <w:t>pid=ECN_2012_US_51SSSZ5&amp;prodType=table</w:t>
      </w:r>
      <w:r>
        <w:fldChar w:fldCharType="end"/>
      </w:r>
      <w:r w:rsidRPr="009975E0">
        <w:t>.</w:t>
      </w:r>
    </w:p>
  </w:footnote>
  <w:footnote w:id="179">
    <w:p w:rsidR="009C0565" w:rsidRPr="002D704F" w:rsidP="006F7AD6" w14:paraId="0945B07F" w14:textId="77777777">
      <w:pPr>
        <w:pStyle w:val="FootnoteText"/>
        <w:spacing w:after="0"/>
      </w:pPr>
      <w:r>
        <w:rPr>
          <w:rStyle w:val="FootnoteReference"/>
        </w:rPr>
        <w:footnoteRef/>
      </w:r>
      <w:r>
        <w:t xml:space="preserve"> </w:t>
      </w:r>
      <w:r>
        <w:fldChar w:fldCharType="begin"/>
      </w:r>
      <w:r>
        <w:instrText xml:space="preserve"> HYPERLINK "</w:instrText>
      </w:r>
      <w:r w:rsidRPr="002D704F">
        <w:instrText>http://factfinder.census.gov/faces/tableservices/jsf/pages/productview.xhtml?</w:instrText>
      </w:r>
    </w:p>
    <w:p w:rsidR="009C0565" w:rsidRPr="00783D14" w:rsidP="006F7AD6" w14:paraId="51909AE7" w14:textId="77777777">
      <w:pPr>
        <w:pStyle w:val="FootnoteText"/>
        <w:spacing w:after="0"/>
        <w:rPr>
          <w:rStyle w:val="Hyperlink"/>
        </w:rPr>
      </w:pPr>
      <w:r w:rsidRPr="002D704F">
        <w:instrText>pid=ECN_2012_US_51SSSZ5&amp;prodType=table</w:instrText>
      </w:r>
      <w:r>
        <w:instrText xml:space="preserve">" </w:instrText>
      </w:r>
      <w:r>
        <w:fldChar w:fldCharType="separate"/>
      </w:r>
      <w:r w:rsidRPr="00783D14">
        <w:rPr>
          <w:rStyle w:val="Hyperlink"/>
        </w:rPr>
        <w:t>http://factfinder.census.gov/faces/tableservices/jsf/pages/productview.xhtml?</w:t>
      </w:r>
    </w:p>
    <w:p w:rsidR="009C0565" w:rsidRPr="009975E0" w:rsidP="006F7AD6" w14:paraId="3393748C" w14:textId="77777777">
      <w:pPr>
        <w:pStyle w:val="FootnoteText"/>
      </w:pPr>
      <w:r w:rsidRPr="00783D14">
        <w:rPr>
          <w:rStyle w:val="Hyperlink"/>
        </w:rPr>
        <w:t>pid=ECN_2012_US_51SSSZ5&amp;prodType=table</w:t>
      </w:r>
      <w:r>
        <w:fldChar w:fldCharType="end"/>
      </w:r>
      <w:r w:rsidRPr="009975E0">
        <w:t>.</w:t>
      </w:r>
    </w:p>
  </w:footnote>
  <w:footnote w:id="180">
    <w:p w:rsidR="009C0565" w:rsidP="006F7AD6" w14:paraId="3AEAF687" w14:textId="77777777">
      <w:pPr>
        <w:pStyle w:val="FootnoteText"/>
      </w:pPr>
      <w:r>
        <w:rPr>
          <w:rStyle w:val="FootnoteReference"/>
        </w:rPr>
        <w:footnoteRef/>
      </w:r>
      <w:r>
        <w:t xml:space="preserve"> </w:t>
      </w:r>
      <w:r>
        <w:rPr>
          <w:i/>
          <w:color w:val="000000"/>
        </w:rPr>
        <w:t>See Trends in Telephone Service,</w:t>
      </w:r>
      <w:r>
        <w:rPr>
          <w:color w:val="000000"/>
        </w:rPr>
        <w:t xml:space="preserve"> at tbl. 5.3.  </w:t>
      </w:r>
    </w:p>
  </w:footnote>
  <w:footnote w:id="181">
    <w:p w:rsidR="009C0565" w:rsidP="006F7AD6" w14:paraId="63006073" w14:textId="77777777">
      <w:pPr>
        <w:pStyle w:val="FootnoteText"/>
      </w:pPr>
      <w:r>
        <w:rPr>
          <w:rStyle w:val="FootnoteReference"/>
        </w:rPr>
        <w:footnoteRef/>
      </w:r>
      <w:r>
        <w:t xml:space="preserve"> </w:t>
      </w:r>
      <w:r w:rsidRPr="00E024DD">
        <w:rPr>
          <w:i/>
        </w:rPr>
        <w:t>Id.</w:t>
      </w:r>
    </w:p>
  </w:footnote>
  <w:footnote w:id="182">
    <w:p w:rsidR="009C0565" w:rsidP="006F7AD6" w14:paraId="2080F997" w14:textId="77777777">
      <w:pPr>
        <w:pStyle w:val="FootnoteText"/>
      </w:pPr>
      <w:r>
        <w:rPr>
          <w:rStyle w:val="FootnoteReference"/>
        </w:rPr>
        <w:footnoteRef/>
      </w:r>
      <w:r>
        <w:t xml:space="preserve"> </w:t>
      </w:r>
      <w:r>
        <w:rPr>
          <w:color w:val="000000"/>
        </w:rPr>
        <w:t>13 CFR § 121.201, NAICS code 517911.</w:t>
      </w:r>
    </w:p>
  </w:footnote>
  <w:footnote w:id="183">
    <w:p w:rsidR="009C0565" w:rsidP="006F7AD6" w14:paraId="0EF3D938" w14:textId="77777777">
      <w:pPr>
        <w:pStyle w:val="FootnoteText"/>
      </w:pPr>
      <w:r>
        <w:rPr>
          <w:rStyle w:val="FootnoteReference"/>
        </w:rPr>
        <w:footnoteRef/>
      </w:r>
      <w:r>
        <w:t xml:space="preserve"> </w:t>
      </w:r>
      <w:r w:rsidRPr="00CA69FC">
        <w:rPr>
          <w:i/>
        </w:rPr>
        <w:t>Id</w:t>
      </w:r>
      <w:r>
        <w:rPr>
          <w:color w:val="000000"/>
        </w:rPr>
        <w:t>.</w:t>
      </w:r>
    </w:p>
  </w:footnote>
  <w:footnote w:id="184">
    <w:p w:rsidR="009C0565" w:rsidRPr="002D704F" w:rsidP="006F7AD6" w14:paraId="3BE0F822" w14:textId="77777777">
      <w:pPr>
        <w:pStyle w:val="FootnoteText"/>
        <w:spacing w:after="0"/>
      </w:pPr>
      <w:r>
        <w:rPr>
          <w:rStyle w:val="FootnoteReference"/>
        </w:rPr>
        <w:footnoteRef/>
      </w:r>
      <w:r>
        <w:t xml:space="preserve"> </w:t>
      </w:r>
      <w:r>
        <w:fldChar w:fldCharType="begin"/>
      </w:r>
      <w:r>
        <w:instrText xml:space="preserve"> HYPERLINK "</w:instrText>
      </w:r>
      <w:r w:rsidRPr="002D704F">
        <w:instrText>http://factfinder.census.gov/faces/tableservices/jsf/pages/productview.xhtml?</w:instrText>
      </w:r>
    </w:p>
    <w:p w:rsidR="009C0565" w:rsidRPr="00783D14" w:rsidP="006F7AD6" w14:paraId="409C126F" w14:textId="77777777">
      <w:pPr>
        <w:pStyle w:val="FootnoteText"/>
        <w:spacing w:after="0"/>
        <w:rPr>
          <w:rStyle w:val="Hyperlink"/>
        </w:rPr>
      </w:pPr>
      <w:r w:rsidRPr="002D704F">
        <w:instrText>pid=ECN_2012_US_51SSSZ5&amp;prodType=table</w:instrText>
      </w:r>
      <w:r>
        <w:instrText xml:space="preserve">" </w:instrText>
      </w:r>
      <w:r>
        <w:fldChar w:fldCharType="separate"/>
      </w:r>
      <w:r w:rsidRPr="00783D14">
        <w:rPr>
          <w:rStyle w:val="Hyperlink"/>
        </w:rPr>
        <w:t>http://factfinder.census.gov/faces/tableservices/jsf/pages/productview.xhtml?</w:t>
      </w:r>
    </w:p>
    <w:p w:rsidR="009C0565" w:rsidRPr="009975E0" w:rsidP="006F7AD6" w14:paraId="3E7BFD3F" w14:textId="77777777">
      <w:pPr>
        <w:pStyle w:val="FootnoteText"/>
      </w:pPr>
      <w:r w:rsidRPr="00783D14">
        <w:rPr>
          <w:rStyle w:val="Hyperlink"/>
        </w:rPr>
        <w:t>pid=ECN_2012_US_51SSSZ5&amp;prodType=table</w:t>
      </w:r>
      <w:r>
        <w:fldChar w:fldCharType="end"/>
      </w:r>
      <w:r w:rsidRPr="009975E0">
        <w:t>.</w:t>
      </w:r>
    </w:p>
  </w:footnote>
  <w:footnote w:id="185">
    <w:p w:rsidR="009C0565" w:rsidP="006F7AD6" w14:paraId="35AF3A52" w14:textId="77777777">
      <w:pPr>
        <w:pStyle w:val="FootnoteText"/>
      </w:pPr>
      <w:r>
        <w:rPr>
          <w:rStyle w:val="FootnoteReference"/>
        </w:rPr>
        <w:footnoteRef/>
      </w:r>
      <w:r>
        <w:t xml:space="preserve"> </w:t>
      </w:r>
      <w:r w:rsidRPr="004076C3">
        <w:rPr>
          <w:i/>
        </w:rPr>
        <w:t>Id.</w:t>
      </w:r>
    </w:p>
  </w:footnote>
  <w:footnote w:id="186">
    <w:p w:rsidR="009C0565" w:rsidP="006F7AD6" w14:paraId="1E5D2CDD" w14:textId="77777777">
      <w:pPr>
        <w:pStyle w:val="FootnoteText"/>
      </w:pPr>
      <w:r>
        <w:rPr>
          <w:rStyle w:val="FootnoteReference"/>
        </w:rPr>
        <w:footnoteRef/>
      </w:r>
      <w:r>
        <w:t xml:space="preserve"> </w:t>
      </w:r>
      <w:r w:rsidRPr="00CB2DF4">
        <w:rPr>
          <w:rFonts w:ascii="Times New Roman Italic" w:hAnsi="Times New Roman Italic"/>
          <w:i/>
        </w:rPr>
        <w:t>Trends in Telephone Service</w:t>
      </w:r>
      <w:r>
        <w:t>, at tbl.</w:t>
      </w:r>
      <w:r>
        <w:rPr>
          <w:color w:val="000000"/>
        </w:rPr>
        <w:t xml:space="preserve"> 5.3.</w:t>
      </w:r>
    </w:p>
  </w:footnote>
  <w:footnote w:id="187">
    <w:p w:rsidR="009C0565" w:rsidP="006F7AD6" w14:paraId="778EE24A" w14:textId="77777777">
      <w:pPr>
        <w:pStyle w:val="FootnoteText"/>
      </w:pPr>
      <w:r>
        <w:rPr>
          <w:rStyle w:val="FootnoteReference"/>
        </w:rPr>
        <w:footnoteRef/>
      </w:r>
      <w:r>
        <w:t xml:space="preserve"> </w:t>
      </w:r>
      <w:r w:rsidRPr="00E52E8F">
        <w:rPr>
          <w:i/>
        </w:rPr>
        <w:t>Id.</w:t>
      </w:r>
    </w:p>
  </w:footnote>
  <w:footnote w:id="188">
    <w:p w:rsidR="009C0565" w:rsidP="006F7AD6" w14:paraId="3F8C2014" w14:textId="77777777">
      <w:pPr>
        <w:pStyle w:val="FootnoteText"/>
      </w:pPr>
      <w:r>
        <w:rPr>
          <w:rStyle w:val="FootnoteReference"/>
        </w:rPr>
        <w:footnoteRef/>
      </w:r>
      <w:r>
        <w:t xml:space="preserve"> </w:t>
      </w:r>
      <w:r>
        <w:rPr>
          <w:color w:val="000000"/>
        </w:rPr>
        <w:t>13 CFR § 121.201, NAICS code 517110.</w:t>
      </w:r>
    </w:p>
  </w:footnote>
  <w:footnote w:id="189">
    <w:p w:rsidR="009C0565" w:rsidRPr="002D704F" w:rsidP="006F7AD6" w14:paraId="7DB76804" w14:textId="77777777">
      <w:pPr>
        <w:pStyle w:val="FootnoteText"/>
        <w:spacing w:after="0"/>
      </w:pPr>
      <w:r>
        <w:rPr>
          <w:rStyle w:val="FootnoteReference"/>
        </w:rPr>
        <w:footnoteRef/>
      </w:r>
      <w:r>
        <w:t xml:space="preserve"> </w:t>
      </w:r>
      <w:r>
        <w:fldChar w:fldCharType="begin"/>
      </w:r>
      <w:r>
        <w:instrText xml:space="preserve"> HYPERLINK "</w:instrText>
      </w:r>
      <w:r w:rsidRPr="002D704F">
        <w:instrText>http://factfinder.census.gov/faces/tableservices/jsf/pages/productview.xhtml?</w:instrText>
      </w:r>
    </w:p>
    <w:p w:rsidR="009C0565" w:rsidRPr="00783D14" w:rsidP="006F7AD6" w14:paraId="001E6FF9" w14:textId="77777777">
      <w:pPr>
        <w:pStyle w:val="FootnoteText"/>
        <w:spacing w:after="0"/>
        <w:rPr>
          <w:rStyle w:val="Hyperlink"/>
        </w:rPr>
      </w:pPr>
      <w:r w:rsidRPr="002D704F">
        <w:instrText>pid=ECN_2012_US_51SSSZ5&amp;prodType=table</w:instrText>
      </w:r>
      <w:r>
        <w:instrText xml:space="preserve">" </w:instrText>
      </w:r>
      <w:r>
        <w:fldChar w:fldCharType="separate"/>
      </w:r>
      <w:r w:rsidRPr="00783D14">
        <w:rPr>
          <w:rStyle w:val="Hyperlink"/>
        </w:rPr>
        <w:t>http://factfinder.census.gov/faces/tableservices/jsf/pages/productview.xhtml?</w:t>
      </w:r>
    </w:p>
    <w:p w:rsidR="009C0565" w:rsidRPr="009975E0" w:rsidP="006F7AD6" w14:paraId="2ABA4327" w14:textId="77777777">
      <w:pPr>
        <w:pStyle w:val="FootnoteText"/>
      </w:pPr>
      <w:r w:rsidRPr="00783D14">
        <w:rPr>
          <w:rStyle w:val="Hyperlink"/>
        </w:rPr>
        <w:t>pid=ECN_2012_US_51SSSZ5&amp;prodType=table</w:t>
      </w:r>
      <w:r>
        <w:fldChar w:fldCharType="end"/>
      </w:r>
      <w:r w:rsidRPr="009975E0">
        <w:t>.</w:t>
      </w:r>
    </w:p>
  </w:footnote>
  <w:footnote w:id="190">
    <w:p w:rsidR="009C0565" w:rsidP="006F7AD6" w14:paraId="46AF02A4" w14:textId="77777777">
      <w:pPr>
        <w:pStyle w:val="FootnoteText"/>
      </w:pPr>
      <w:r>
        <w:rPr>
          <w:rStyle w:val="FootnoteReference"/>
        </w:rPr>
        <w:footnoteRef/>
      </w:r>
      <w:r>
        <w:t xml:space="preserve"> </w:t>
      </w:r>
      <w:r w:rsidRPr="00235678">
        <w:rPr>
          <w:i/>
        </w:rPr>
        <w:t>Id.</w:t>
      </w:r>
    </w:p>
  </w:footnote>
  <w:footnote w:id="191">
    <w:p w:rsidR="009C0565" w:rsidP="006F7AD6" w14:paraId="43051CC7" w14:textId="77777777">
      <w:pPr>
        <w:pStyle w:val="FootnoteText"/>
      </w:pPr>
      <w:r>
        <w:rPr>
          <w:rStyle w:val="FootnoteReference"/>
        </w:rPr>
        <w:footnoteRef/>
      </w:r>
      <w:r>
        <w:t xml:space="preserve"> </w:t>
      </w:r>
      <w:r w:rsidRPr="00CB2DF4">
        <w:rPr>
          <w:rFonts w:ascii="Times New Roman Italic" w:hAnsi="Times New Roman Italic"/>
          <w:i/>
        </w:rPr>
        <w:t>Trends in Telephone Service</w:t>
      </w:r>
      <w:r>
        <w:t>, at tbl.</w:t>
      </w:r>
      <w:r>
        <w:rPr>
          <w:color w:val="000000"/>
        </w:rPr>
        <w:t xml:space="preserve"> 5.3.</w:t>
      </w:r>
    </w:p>
  </w:footnote>
  <w:footnote w:id="192">
    <w:p w:rsidR="009C0565" w:rsidP="006F7AD6" w14:paraId="362DD7E8" w14:textId="77777777">
      <w:pPr>
        <w:pStyle w:val="FootnoteText"/>
      </w:pPr>
      <w:r>
        <w:rPr>
          <w:rStyle w:val="FootnoteReference"/>
        </w:rPr>
        <w:footnoteRef/>
      </w:r>
      <w:r>
        <w:t xml:space="preserve"> </w:t>
      </w:r>
      <w:r w:rsidRPr="00B605CD">
        <w:rPr>
          <w:i/>
        </w:rPr>
        <w:t>Id.</w:t>
      </w:r>
    </w:p>
  </w:footnote>
  <w:footnote w:id="193">
    <w:p w:rsidR="009C0565" w:rsidP="006F7AD6" w14:paraId="17C0C26A" w14:textId="77777777">
      <w:pPr>
        <w:pStyle w:val="FootnoteText"/>
      </w:pPr>
      <w:r>
        <w:rPr>
          <w:rStyle w:val="FootnoteReference"/>
        </w:rPr>
        <w:footnoteRef/>
      </w:r>
      <w:r>
        <w:t xml:space="preserve"> NAICS code 517210.  </w:t>
      </w:r>
      <w:r w:rsidRPr="00C114BE">
        <w:rPr>
          <w:i/>
        </w:rPr>
        <w:t>See</w:t>
      </w:r>
      <w:r>
        <w:t xml:space="preserve"> </w:t>
      </w:r>
      <w:hyperlink r:id="rId9" w:history="1">
        <w:r w:rsidRPr="00C114BE">
          <w:rPr>
            <w:rStyle w:val="Hyperlink"/>
          </w:rPr>
          <w:t>http://www.census.gov/cgi-bin/ssd/naics/naiscsrch</w:t>
        </w:r>
      </w:hyperlink>
      <w:r>
        <w:t>.</w:t>
      </w:r>
    </w:p>
  </w:footnote>
  <w:footnote w:id="194">
    <w:p w:rsidR="009C0565" w:rsidRPr="002D704F" w:rsidP="006F7AD6" w14:paraId="58EF1BE5" w14:textId="77777777">
      <w:pPr>
        <w:pStyle w:val="FootnoteText"/>
        <w:spacing w:after="0"/>
      </w:pPr>
      <w:r>
        <w:rPr>
          <w:rStyle w:val="FootnoteReference"/>
        </w:rPr>
        <w:footnoteRef/>
      </w:r>
      <w:r>
        <w:t xml:space="preserve"> </w:t>
      </w:r>
      <w:r>
        <w:fldChar w:fldCharType="begin"/>
      </w:r>
      <w:r>
        <w:instrText xml:space="preserve"> HYPERLINK "</w:instrText>
      </w:r>
      <w:r w:rsidRPr="002D704F">
        <w:instrText>http://factfinder.census.gov/faces/tableservices/jsf/pages/productview.xhtml?</w:instrText>
      </w:r>
    </w:p>
    <w:p w:rsidR="009C0565" w:rsidRPr="00783D14" w:rsidP="006F7AD6" w14:paraId="680E13A7" w14:textId="77777777">
      <w:pPr>
        <w:pStyle w:val="FootnoteText"/>
        <w:spacing w:after="0"/>
        <w:rPr>
          <w:rStyle w:val="Hyperlink"/>
        </w:rPr>
      </w:pPr>
      <w:r w:rsidRPr="002D704F">
        <w:instrText>pid=ECN_2012_US_51SSSZ5&amp;prodType=table</w:instrText>
      </w:r>
      <w:r>
        <w:instrText xml:space="preserve">" </w:instrText>
      </w:r>
      <w:r>
        <w:fldChar w:fldCharType="separate"/>
      </w:r>
      <w:r w:rsidRPr="00783D14">
        <w:rPr>
          <w:rStyle w:val="Hyperlink"/>
        </w:rPr>
        <w:t>http://factfinder.census.gov/faces/tableservices/jsf/pages/productview.xhtml?</w:t>
      </w:r>
    </w:p>
    <w:p w:rsidR="009C0565" w:rsidRPr="009975E0" w:rsidP="006F7AD6" w14:paraId="7F14EA58" w14:textId="77777777">
      <w:pPr>
        <w:pStyle w:val="FootnoteText"/>
      </w:pPr>
      <w:r w:rsidRPr="00783D14">
        <w:rPr>
          <w:rStyle w:val="Hyperlink"/>
        </w:rPr>
        <w:t>pid=ECN_2012_US_51SSSZ5&amp;prodType=table</w:t>
      </w:r>
      <w:r>
        <w:fldChar w:fldCharType="end"/>
      </w:r>
      <w:r w:rsidRPr="009975E0">
        <w:t>.</w:t>
      </w:r>
    </w:p>
  </w:footnote>
  <w:footnote w:id="195">
    <w:p w:rsidR="009C0565" w:rsidRPr="002D704F" w:rsidP="006F7AD6" w14:paraId="606F3BC3" w14:textId="77777777">
      <w:pPr>
        <w:pStyle w:val="FootnoteText"/>
        <w:spacing w:after="0"/>
      </w:pPr>
      <w:r>
        <w:rPr>
          <w:rStyle w:val="FootnoteReference"/>
        </w:rPr>
        <w:footnoteRef/>
      </w:r>
      <w:r>
        <w:t xml:space="preserve"> </w:t>
      </w:r>
      <w:r>
        <w:fldChar w:fldCharType="begin"/>
      </w:r>
      <w:r>
        <w:instrText xml:space="preserve"> HYPERLINK "</w:instrText>
      </w:r>
      <w:r w:rsidRPr="002D704F">
        <w:instrText>http://factfinder.census.gov/faces/tableservices/jsf/pages/productview.xhtml?</w:instrText>
      </w:r>
    </w:p>
    <w:p w:rsidR="009C0565" w:rsidRPr="00783D14" w:rsidP="006F7AD6" w14:paraId="2654832E" w14:textId="77777777">
      <w:pPr>
        <w:pStyle w:val="FootnoteText"/>
        <w:spacing w:after="0"/>
        <w:rPr>
          <w:rStyle w:val="Hyperlink"/>
        </w:rPr>
      </w:pPr>
      <w:r w:rsidRPr="002D704F">
        <w:instrText>pid=ECN_2012_US_51SSSZ5&amp;prodType=table</w:instrText>
      </w:r>
      <w:r>
        <w:instrText xml:space="preserve">" </w:instrText>
      </w:r>
      <w:r>
        <w:fldChar w:fldCharType="separate"/>
      </w:r>
      <w:r w:rsidRPr="00783D14">
        <w:rPr>
          <w:rStyle w:val="Hyperlink"/>
        </w:rPr>
        <w:t>http://factfinder.census.gov/faces/tableservices/jsf/pages/productview.xhtml?</w:t>
      </w:r>
    </w:p>
    <w:p w:rsidR="009C0565" w:rsidRPr="009975E0" w:rsidP="006F7AD6" w14:paraId="13393F4D" w14:textId="77777777">
      <w:pPr>
        <w:pStyle w:val="FootnoteText"/>
      </w:pPr>
      <w:r w:rsidRPr="00783D14">
        <w:rPr>
          <w:rStyle w:val="Hyperlink"/>
        </w:rPr>
        <w:t>pid=ECN_2012_US_51SSSZ5&amp;prodType=table</w:t>
      </w:r>
      <w:r>
        <w:fldChar w:fldCharType="end"/>
      </w:r>
      <w:r w:rsidRPr="009975E0">
        <w:t>.</w:t>
      </w:r>
    </w:p>
  </w:footnote>
  <w:footnote w:id="196">
    <w:p w:rsidR="009C0565" w:rsidP="006F7AD6" w14:paraId="163E1A4F" w14:textId="77777777">
      <w:pPr>
        <w:pStyle w:val="FootnoteText"/>
      </w:pPr>
      <w:r>
        <w:rPr>
          <w:rStyle w:val="FootnoteReference"/>
        </w:rPr>
        <w:footnoteRef/>
      </w:r>
      <w:r>
        <w:t xml:space="preserve"> </w:t>
      </w:r>
      <w:r w:rsidRPr="00CB2DF4">
        <w:rPr>
          <w:rFonts w:ascii="Times New Roman Italic" w:hAnsi="Times New Roman Italic"/>
          <w:i/>
        </w:rPr>
        <w:t>Trends in Telephone Service</w:t>
      </w:r>
      <w:r>
        <w:t>, at tbl.</w:t>
      </w:r>
      <w:r>
        <w:rPr>
          <w:color w:val="000000"/>
        </w:rPr>
        <w:t xml:space="preserve"> 5.3.</w:t>
      </w:r>
    </w:p>
  </w:footnote>
  <w:footnote w:id="197">
    <w:p w:rsidR="009C0565" w:rsidP="006F7AD6" w14:paraId="6783F80D" w14:textId="77777777">
      <w:pPr>
        <w:pStyle w:val="FootnoteText"/>
      </w:pPr>
      <w:r>
        <w:rPr>
          <w:rStyle w:val="FootnoteReference"/>
        </w:rPr>
        <w:footnoteRef/>
      </w:r>
      <w:r>
        <w:t xml:space="preserve"> </w:t>
      </w:r>
      <w:r w:rsidRPr="00233E31">
        <w:rPr>
          <w:i/>
        </w:rPr>
        <w:t>Id.</w:t>
      </w:r>
    </w:p>
  </w:footnote>
  <w:footnote w:id="198">
    <w:p w:rsidR="009C0565" w:rsidP="006F7AD6" w14:paraId="4CD00322" w14:textId="77777777">
      <w:pPr>
        <w:pStyle w:val="FootnoteText"/>
      </w:pPr>
      <w:r>
        <w:rPr>
          <w:rStyle w:val="FootnoteReference"/>
          <w:szCs w:val="22"/>
        </w:rPr>
        <w:footnoteRef/>
      </w:r>
      <w:r>
        <w:rPr>
          <w:szCs w:val="22"/>
        </w:rPr>
        <w:t xml:space="preserve"> U.S. Census Bureau, 2012 NAICS code Economic Definitions,</w:t>
      </w:r>
      <w:r>
        <w:rPr>
          <w:bCs/>
          <w:szCs w:val="22"/>
        </w:rPr>
        <w:t xml:space="preserve"> </w:t>
      </w:r>
      <w:hyperlink r:id="rId10" w:history="1">
        <w:r w:rsidRPr="00783D14">
          <w:rPr>
            <w:rStyle w:val="Hyperlink"/>
            <w:bCs/>
            <w:szCs w:val="22"/>
          </w:rPr>
          <w:t>http://www.census.gov.cgi-bin/sssd/naics/naicsrch</w:t>
        </w:r>
      </w:hyperlink>
      <w:r>
        <w:rPr>
          <w:bCs/>
          <w:szCs w:val="22"/>
        </w:rPr>
        <w:t>.</w:t>
      </w:r>
    </w:p>
  </w:footnote>
  <w:footnote w:id="199">
    <w:p w:rsidR="009C0565" w:rsidP="006F7AD6" w14:paraId="63150538" w14:textId="77777777">
      <w:pPr>
        <w:pStyle w:val="FootnoteText"/>
      </w:pPr>
      <w:r>
        <w:rPr>
          <w:rStyle w:val="FootnoteReference"/>
        </w:rPr>
        <w:footnoteRef/>
      </w:r>
      <w:r>
        <w:t xml:space="preserve"> 13 CFR § 121.201, NAICS code 515120.</w:t>
      </w:r>
    </w:p>
  </w:footnote>
  <w:footnote w:id="200">
    <w:p w:rsidR="009C0565" w:rsidP="006F7AD6" w14:paraId="38761554" w14:textId="77777777">
      <w:pPr>
        <w:pStyle w:val="FootnoteText"/>
      </w:pPr>
      <w:r>
        <w:rPr>
          <w:rStyle w:val="FootnoteReference"/>
        </w:rPr>
        <w:footnoteRef/>
      </w:r>
      <w:r>
        <w:t xml:space="preserve"> </w:t>
      </w:r>
      <w:r>
        <w:rPr>
          <w:i/>
        </w:rPr>
        <w:t>See</w:t>
      </w:r>
      <w:r>
        <w:t xml:space="preserve"> </w:t>
      </w:r>
      <w:r>
        <w:rPr>
          <w:i/>
        </w:rPr>
        <w:t>FCC News Release</w:t>
      </w:r>
      <w:r>
        <w:t xml:space="preserve">, “Broadcast Station Totals as of December 31, 2011,” dated January 6, 2012; </w:t>
      </w:r>
      <w:hyperlink r:id="rId11" w:history="1">
        <w:r>
          <w:rPr>
            <w:rStyle w:val="Hyperlink"/>
          </w:rPr>
          <w:t>http://transition.fcc.gov/Daily_Releases/Daily_Business/2012/db0106/DOC-311837A1.pdf</w:t>
        </w:r>
      </w:hyperlink>
      <w:r>
        <w:t xml:space="preserve">. </w:t>
      </w:r>
    </w:p>
  </w:footnote>
  <w:footnote w:id="201">
    <w:p w:rsidR="009C0565" w:rsidP="006F7AD6" w14:paraId="251D0525" w14:textId="77777777">
      <w:pPr>
        <w:pStyle w:val="FootnoteText"/>
      </w:pPr>
      <w:r>
        <w:rPr>
          <w:rStyle w:val="FootnoteReference"/>
        </w:rPr>
        <w:footnoteRef/>
      </w:r>
      <w:r>
        <w:t xml:space="preserve"> We recognize that BIA’s estimate differs slightly from the FCC total given </w:t>
      </w:r>
      <w:r>
        <w:rPr>
          <w:i/>
        </w:rPr>
        <w:t>supra</w:t>
      </w:r>
      <w:r>
        <w:t>.</w:t>
      </w:r>
    </w:p>
  </w:footnote>
  <w:footnote w:id="202">
    <w:p w:rsidR="009C0565" w:rsidP="006F7AD6" w14:paraId="655B16CF" w14:textId="77777777">
      <w:pPr>
        <w:pStyle w:val="FootnoteText"/>
      </w:pPr>
      <w:r>
        <w:rPr>
          <w:rStyle w:val="FootnoteReference"/>
          <w:szCs w:val="22"/>
        </w:rPr>
        <w:footnoteRef/>
      </w:r>
      <w:r>
        <w:rPr>
          <w:szCs w:val="22"/>
        </w:rPr>
        <w:t xml:space="preserve"> “[Business concerns] are affiliates of each other when one concern controls or has the power to control the other or a third party or parties controls or has to power to control both.”  13 CFR § 21.103(a)(1).</w:t>
      </w:r>
    </w:p>
  </w:footnote>
  <w:footnote w:id="203">
    <w:p w:rsidR="009C0565" w:rsidP="006F7AD6" w14:paraId="7286F024" w14:textId="77777777">
      <w:pPr>
        <w:pStyle w:val="FootnoteText"/>
      </w:pPr>
      <w:r>
        <w:rPr>
          <w:rStyle w:val="FootnoteReference"/>
        </w:rPr>
        <w:footnoteRef/>
      </w:r>
      <w:r>
        <w:t xml:space="preserve"> </w:t>
      </w:r>
      <w:r>
        <w:rPr>
          <w:i/>
        </w:rPr>
        <w:t>See</w:t>
      </w:r>
      <w:r>
        <w:t xml:space="preserve"> </w:t>
      </w:r>
      <w:r>
        <w:rPr>
          <w:i/>
        </w:rPr>
        <w:t>FCC News Release</w:t>
      </w:r>
      <w:r>
        <w:t xml:space="preserve">, “Broadcast Station Totals as of December 31, 2011,” dated January 6, 2012; </w:t>
      </w:r>
      <w:hyperlink r:id="rId11" w:history="1">
        <w:r>
          <w:rPr>
            <w:rStyle w:val="Hyperlink"/>
          </w:rPr>
          <w:t>http://transition.fcc.gov/Daily_Releases/Daily_Business/2012/db0106/DOC-311837A1.pdf</w:t>
        </w:r>
      </w:hyperlink>
      <w:r>
        <w:t xml:space="preserve">. </w:t>
      </w:r>
    </w:p>
  </w:footnote>
  <w:footnote w:id="204">
    <w:p w:rsidR="009C0565" w:rsidP="006F7AD6" w14:paraId="3DB79954" w14:textId="77777777">
      <w:pPr>
        <w:pStyle w:val="FootnoteText"/>
      </w:pPr>
      <w:r>
        <w:rPr>
          <w:rStyle w:val="FootnoteReference"/>
        </w:rPr>
        <w:footnoteRef/>
      </w:r>
      <w:r>
        <w:t xml:space="preserve"> </w:t>
      </w:r>
      <w:r>
        <w:rPr>
          <w:i/>
        </w:rPr>
        <w:t>See generally</w:t>
      </w:r>
      <w:r>
        <w:t xml:space="preserve"> 5 U.S.C. §§ 601(4), (6).  Noncommercial television stations are not required to pay regulatory fees.  47 U.S.C. § 159(e)(1)(C).</w:t>
      </w:r>
    </w:p>
  </w:footnote>
  <w:footnote w:id="205">
    <w:p w:rsidR="009C0565" w:rsidP="006F7AD6" w14:paraId="4781F5EB" w14:textId="77777777">
      <w:pPr>
        <w:pStyle w:val="FootnoteText"/>
      </w:pPr>
      <w:r>
        <w:rPr>
          <w:rStyle w:val="FootnoteReference"/>
        </w:rPr>
        <w:footnoteRef/>
      </w:r>
      <w:r>
        <w:t xml:space="preserve"> </w:t>
      </w:r>
      <w:r>
        <w:rPr>
          <w:i/>
        </w:rPr>
        <w:t>See</w:t>
      </w:r>
      <w:r>
        <w:t xml:space="preserve"> </w:t>
      </w:r>
      <w:r>
        <w:rPr>
          <w:i/>
        </w:rPr>
        <w:t>FCC News Release</w:t>
      </w:r>
      <w:r>
        <w:t xml:space="preserve">, “Broadcast Station Totals as of December 31, 2011,” dated January 6, 2012; </w:t>
      </w:r>
      <w:hyperlink r:id="rId11" w:history="1">
        <w:r>
          <w:rPr>
            <w:rStyle w:val="Hyperlink"/>
          </w:rPr>
          <w:t>http://transition.fcc.gov/Daily_Releases/Daily_Business/2012/db0106/DOC-311837A1.pdf</w:t>
        </w:r>
      </w:hyperlink>
      <w:r>
        <w:t>.</w:t>
      </w:r>
    </w:p>
  </w:footnote>
  <w:footnote w:id="206">
    <w:p w:rsidR="009C0565" w:rsidP="006F7AD6" w14:paraId="5FC4205F" w14:textId="77777777">
      <w:pPr>
        <w:pStyle w:val="FootnoteText"/>
      </w:pPr>
      <w:r>
        <w:rPr>
          <w:rStyle w:val="FootnoteReference"/>
        </w:rPr>
        <w:footnoteRef/>
      </w:r>
      <w:r>
        <w:rPr>
          <w:bCs/>
          <w:szCs w:val="22"/>
        </w:rPr>
        <w:t xml:space="preserve"> </w:t>
      </w:r>
      <w:hyperlink r:id="rId10" w:history="1">
        <w:r w:rsidRPr="00783D14">
          <w:rPr>
            <w:rStyle w:val="Hyperlink"/>
            <w:szCs w:val="22"/>
          </w:rPr>
          <w:t>http://www.census.gov.cgi-bin/sssd/naics/naicsrch</w:t>
        </w:r>
      </w:hyperlink>
      <w:r>
        <w:rPr>
          <w:szCs w:val="22"/>
        </w:rPr>
        <w:t xml:space="preserve">. </w:t>
      </w:r>
    </w:p>
  </w:footnote>
  <w:footnote w:id="207">
    <w:p w:rsidR="009C0565" w:rsidP="006F7AD6" w14:paraId="021ABADA" w14:textId="77777777">
      <w:pPr>
        <w:pStyle w:val="FootnoteText"/>
      </w:pPr>
      <w:r>
        <w:rPr>
          <w:rStyle w:val="FootnoteReference"/>
        </w:rPr>
        <w:footnoteRef/>
      </w:r>
      <w:r>
        <w:t xml:space="preserve"> 13 CFR</w:t>
      </w:r>
      <w:r>
        <w:rPr>
          <w:szCs w:val="22"/>
        </w:rPr>
        <w:t xml:space="preserve"> § </w:t>
      </w:r>
      <w:r>
        <w:t>121.201, NAICS code 515112.</w:t>
      </w:r>
    </w:p>
  </w:footnote>
  <w:footnote w:id="208">
    <w:p w:rsidR="009C0565" w:rsidRPr="002D704F" w:rsidP="006F7AD6" w14:paraId="567EE49B" w14:textId="77777777">
      <w:pPr>
        <w:pStyle w:val="FootnoteText"/>
        <w:spacing w:after="0"/>
      </w:pPr>
      <w:r>
        <w:rPr>
          <w:rStyle w:val="FootnoteReference"/>
        </w:rPr>
        <w:footnoteRef/>
      </w:r>
      <w:r>
        <w:t xml:space="preserve"> </w:t>
      </w:r>
      <w:r>
        <w:fldChar w:fldCharType="begin"/>
      </w:r>
      <w:r>
        <w:instrText xml:space="preserve"> HYPERLINK "</w:instrText>
      </w:r>
      <w:r w:rsidRPr="002D704F">
        <w:instrText>http://factfinder.census.gov/faces/tableservices/jsf/pages/productview.xhtml?</w:instrText>
      </w:r>
    </w:p>
    <w:p w:rsidR="009C0565" w:rsidRPr="00783D14" w:rsidP="006F7AD6" w14:paraId="5D14FCFB" w14:textId="77777777">
      <w:pPr>
        <w:pStyle w:val="FootnoteText"/>
        <w:spacing w:after="0"/>
        <w:rPr>
          <w:rStyle w:val="Hyperlink"/>
        </w:rPr>
      </w:pPr>
      <w:r w:rsidRPr="002D704F">
        <w:instrText>pid=ECN_2012_US_51SSSZ5&amp;prodType=table</w:instrText>
      </w:r>
      <w:r>
        <w:instrText xml:space="preserve">" </w:instrText>
      </w:r>
      <w:r>
        <w:fldChar w:fldCharType="separate"/>
      </w:r>
      <w:r w:rsidRPr="00783D14">
        <w:rPr>
          <w:rStyle w:val="Hyperlink"/>
        </w:rPr>
        <w:t>http://factfinder.census.gov/faces/tableservices/jsf/pages/productview.xhtml?</w:t>
      </w:r>
    </w:p>
    <w:p w:rsidR="009C0565" w:rsidRPr="009975E0" w:rsidP="006F7AD6" w14:paraId="0939FE88" w14:textId="77777777">
      <w:pPr>
        <w:pStyle w:val="FootnoteText"/>
      </w:pPr>
      <w:r w:rsidRPr="00783D14">
        <w:rPr>
          <w:rStyle w:val="Hyperlink"/>
        </w:rPr>
        <w:t>pid=ECN_2012_US_51SSSZ5&amp;prodType=table</w:t>
      </w:r>
      <w:r>
        <w:fldChar w:fldCharType="end"/>
      </w:r>
      <w:r w:rsidRPr="009975E0">
        <w:t>.</w:t>
      </w:r>
    </w:p>
  </w:footnote>
  <w:footnote w:id="209">
    <w:p w:rsidR="009C0565" w:rsidRPr="00DE61B6" w:rsidP="006F7AD6" w14:paraId="10E6569D" w14:textId="77777777">
      <w:pPr>
        <w:pStyle w:val="FootnoteText"/>
        <w:spacing w:after="0"/>
      </w:pPr>
      <w:r>
        <w:rPr>
          <w:rStyle w:val="FootnoteReference"/>
        </w:rPr>
        <w:footnoteRef/>
      </w:r>
      <w:r>
        <w:t xml:space="preserve"> </w:t>
      </w:r>
      <w:r>
        <w:fldChar w:fldCharType="begin"/>
      </w:r>
      <w:r>
        <w:instrText xml:space="preserve"> HYPERLINK "</w:instrText>
      </w:r>
      <w:r w:rsidRPr="00DE61B6">
        <w:instrText>http://factfinder.census.gov/faces/tableservices/jsf/pages/productview.xhtml?</w:instrText>
      </w:r>
    </w:p>
    <w:p w:rsidR="009C0565" w:rsidRPr="00A54FE6" w:rsidP="006F7AD6" w14:paraId="6F958924" w14:textId="77777777">
      <w:pPr>
        <w:pStyle w:val="FootnoteText"/>
        <w:spacing w:after="0"/>
        <w:rPr>
          <w:rStyle w:val="Hyperlink"/>
        </w:rPr>
      </w:pPr>
      <w:r w:rsidRPr="00DE61B6">
        <w:instrText>pid=ECN_2012_US_51SSSZ5&amp;prodType=table</w:instrText>
      </w:r>
      <w:r>
        <w:instrText xml:space="preserve">" </w:instrText>
      </w:r>
      <w:r>
        <w:fldChar w:fldCharType="separate"/>
      </w:r>
      <w:r w:rsidRPr="00A54FE6">
        <w:rPr>
          <w:rStyle w:val="Hyperlink"/>
        </w:rPr>
        <w:t>http://factfinder.census.gov/faces/tableservices/jsf/pages/productview.xhtml?</w:t>
      </w:r>
    </w:p>
    <w:p w:rsidR="009C0565" w:rsidRPr="00B013DC" w:rsidP="006F7AD6" w14:paraId="56BB2E8D" w14:textId="77777777">
      <w:pPr>
        <w:pStyle w:val="FootnoteText"/>
      </w:pPr>
      <w:r w:rsidRPr="00A54FE6">
        <w:rPr>
          <w:rStyle w:val="Hyperlink"/>
        </w:rPr>
        <w:t>pid=ECN_2012_US_51SSSZ5&amp;prodType=table</w:t>
      </w:r>
      <w:r>
        <w:fldChar w:fldCharType="end"/>
      </w:r>
      <w:r w:rsidRPr="00B013DC">
        <w:t>.</w:t>
      </w:r>
    </w:p>
  </w:footnote>
  <w:footnote w:id="210">
    <w:p w:rsidR="009C0565" w:rsidP="006F7AD6" w14:paraId="65F5B674" w14:textId="77777777">
      <w:pPr>
        <w:pStyle w:val="ParaNum"/>
        <w:numPr>
          <w:ilvl w:val="0"/>
          <w:numId w:val="0"/>
        </w:numPr>
        <w:tabs>
          <w:tab w:val="left" w:pos="720"/>
        </w:tabs>
      </w:pPr>
      <w:r>
        <w:rPr>
          <w:rStyle w:val="FootnoteReference"/>
          <w:szCs w:val="22"/>
        </w:rPr>
        <w:footnoteRef/>
      </w:r>
      <w:r>
        <w:rPr>
          <w:sz w:val="20"/>
          <w:szCs w:val="22"/>
        </w:rPr>
        <w:t xml:space="preserve"> “</w:t>
      </w:r>
      <w:r>
        <w:rPr>
          <w:sz w:val="20"/>
        </w:rPr>
        <w:t>Concerns and entities are affiliates of each other when one controls or has the power to control the other, or a third party or parties controls or has the power to control both. It does not matter whether control is exercised, so long as the power to control exists.</w:t>
      </w:r>
      <w:r>
        <w:rPr>
          <w:sz w:val="20"/>
          <w:szCs w:val="22"/>
        </w:rPr>
        <w:t>”  13 CFR § 121.103(a)(1).</w:t>
      </w:r>
    </w:p>
  </w:footnote>
  <w:footnote w:id="211">
    <w:p w:rsidR="009C0565" w:rsidP="006F7AD6" w14:paraId="1E657B2D" w14:textId="77777777">
      <w:pPr>
        <w:pStyle w:val="FootnoteText"/>
      </w:pPr>
      <w:r>
        <w:rPr>
          <w:rStyle w:val="FootnoteReference"/>
        </w:rPr>
        <w:footnoteRef/>
      </w:r>
      <w:r>
        <w:t xml:space="preserve"> 13 CFR </w:t>
      </w:r>
      <w:r>
        <w:rPr>
          <w:szCs w:val="22"/>
        </w:rPr>
        <w:t>§ 121.102(b) (an SBA regulation).</w:t>
      </w:r>
    </w:p>
  </w:footnote>
  <w:footnote w:id="212">
    <w:p w:rsidR="009C0565" w:rsidP="006F7AD6" w14:paraId="36332A91" w14:textId="77777777">
      <w:pPr>
        <w:pStyle w:val="FootnoteText"/>
      </w:pPr>
      <w:r>
        <w:rPr>
          <w:rStyle w:val="FootnoteReference"/>
        </w:rPr>
        <w:footnoteRef/>
      </w:r>
      <w:r>
        <w:t xml:space="preserve"> </w:t>
      </w:r>
      <w:r w:rsidRPr="0092092E">
        <w:rPr>
          <w:rStyle w:val="Hyperlink"/>
        </w:rPr>
        <w:t>https://www.census.gov.cgi-bin/sssd/naics/naicsrch</w:t>
      </w:r>
      <w:r>
        <w:rPr>
          <w:szCs w:val="22"/>
        </w:rPr>
        <w:t xml:space="preserve">. </w:t>
      </w:r>
    </w:p>
  </w:footnote>
  <w:footnote w:id="213">
    <w:p w:rsidR="009C0565" w:rsidRPr="002D704F" w:rsidP="006F7AD6" w14:paraId="63F4BF83" w14:textId="77777777">
      <w:pPr>
        <w:pStyle w:val="FootnoteText"/>
        <w:spacing w:after="0"/>
      </w:pPr>
      <w:r>
        <w:rPr>
          <w:rStyle w:val="FootnoteReference"/>
        </w:rPr>
        <w:footnoteRef/>
      </w:r>
      <w:r>
        <w:t xml:space="preserve"> </w:t>
      </w:r>
      <w:r>
        <w:fldChar w:fldCharType="begin"/>
      </w:r>
      <w:r>
        <w:instrText xml:space="preserve"> HYPERLINK "</w:instrText>
      </w:r>
      <w:r w:rsidRPr="002D704F">
        <w:instrText>http://factfinder.census.gov/faces/tableservices/jsf/pages/productview.xhtml?</w:instrText>
      </w:r>
    </w:p>
    <w:p w:rsidR="009C0565" w:rsidRPr="00783D14" w:rsidP="006F7AD6" w14:paraId="3F63DF54" w14:textId="77777777">
      <w:pPr>
        <w:pStyle w:val="FootnoteText"/>
        <w:spacing w:after="0"/>
        <w:rPr>
          <w:rStyle w:val="Hyperlink"/>
        </w:rPr>
      </w:pPr>
      <w:r w:rsidRPr="002D704F">
        <w:instrText>pid=ECN_2012_US_51SSSZ5&amp;prodType=table</w:instrText>
      </w:r>
      <w:r>
        <w:instrText xml:space="preserve">" </w:instrText>
      </w:r>
      <w:r>
        <w:fldChar w:fldCharType="separate"/>
      </w:r>
      <w:r w:rsidRPr="00783D14">
        <w:rPr>
          <w:rStyle w:val="Hyperlink"/>
        </w:rPr>
        <w:t>http://factfinder.census.gov/faces/tableservices/jsf/pages/productview.xhtml?</w:t>
      </w:r>
    </w:p>
    <w:p w:rsidR="009C0565" w:rsidRPr="009975E0" w:rsidP="006F7AD6" w14:paraId="757B7214" w14:textId="77777777">
      <w:pPr>
        <w:pStyle w:val="FootnoteText"/>
      </w:pPr>
      <w:r w:rsidRPr="00783D14">
        <w:rPr>
          <w:rStyle w:val="Hyperlink"/>
        </w:rPr>
        <w:t>pid=ECN_2012_US_51SSSZ5&amp;prodType=table</w:t>
      </w:r>
      <w:r>
        <w:fldChar w:fldCharType="end"/>
      </w:r>
      <w:r w:rsidRPr="009975E0">
        <w:t>.</w:t>
      </w:r>
    </w:p>
  </w:footnote>
  <w:footnote w:id="214">
    <w:p w:rsidR="009C0565" w:rsidP="006F7AD6" w14:paraId="1BD45DEE" w14:textId="77777777">
      <w:pPr>
        <w:pStyle w:val="FootnoteText"/>
      </w:pPr>
      <w:r>
        <w:rPr>
          <w:rStyle w:val="FootnoteReference"/>
        </w:rPr>
        <w:footnoteRef/>
      </w:r>
      <w:r>
        <w:t xml:space="preserve"> </w:t>
      </w:r>
      <w:hyperlink r:id="rId12" w:history="1">
        <w:r w:rsidRPr="00A54FE6">
          <w:rPr>
            <w:rStyle w:val="Hyperlink"/>
          </w:rPr>
          <w:t>http://factfinder.census.gov/faces/tableservices/jsf/pages/productview.xhtml?pid=ECN_2012_US-51SSSZ5&amp;prodType=Table</w:t>
        </w:r>
      </w:hyperlink>
      <w:r>
        <w:t>.</w:t>
      </w:r>
    </w:p>
  </w:footnote>
  <w:footnote w:id="215">
    <w:p w:rsidR="009C0565" w:rsidP="006F7AD6" w14:paraId="3D244642" w14:textId="77777777">
      <w:pPr>
        <w:pStyle w:val="FootnoteText"/>
      </w:pPr>
      <w:r>
        <w:rPr>
          <w:rStyle w:val="FootnoteReference"/>
        </w:rPr>
        <w:footnoteRef/>
      </w:r>
      <w:r>
        <w:t xml:space="preserve"> 47 CFR </w:t>
      </w:r>
      <w:r w:rsidRPr="00133697">
        <w:t>§</w:t>
      </w:r>
      <w:r>
        <w:t xml:space="preserve"> 76.901(e).</w:t>
      </w:r>
    </w:p>
  </w:footnote>
  <w:footnote w:id="216">
    <w:p w:rsidR="009C0565" w:rsidP="006F7AD6" w14:paraId="33A820CD" w14:textId="77777777">
      <w:pPr>
        <w:pStyle w:val="FootnoteText"/>
      </w:pPr>
      <w:r>
        <w:rPr>
          <w:rStyle w:val="FootnoteReference"/>
        </w:rPr>
        <w:footnoteRef/>
      </w:r>
      <w:r>
        <w:t xml:space="preserve"> August 15, 2015 Report from the Media Bureau based on data contained in the Commission’s Cable Operations and Licensing System (COALS).  </w:t>
      </w:r>
      <w:r w:rsidRPr="00AD3532">
        <w:rPr>
          <w:i/>
        </w:rPr>
        <w:t>See</w:t>
      </w:r>
      <w:r>
        <w:t xml:space="preserve"> </w:t>
      </w:r>
      <w:r w:rsidRPr="00AD3532">
        <w:rPr>
          <w:rStyle w:val="Hyperlink"/>
        </w:rPr>
        <w:t>www/fcc.gov/coals</w:t>
      </w:r>
      <w:r>
        <w:t>.</w:t>
      </w:r>
    </w:p>
  </w:footnote>
  <w:footnote w:id="217">
    <w:p w:rsidR="009C0565" w:rsidP="006F7AD6" w14:paraId="53FF359C" w14:textId="77777777">
      <w:pPr>
        <w:pStyle w:val="FootnoteText"/>
      </w:pPr>
      <w:r>
        <w:rPr>
          <w:rStyle w:val="FootnoteReference"/>
        </w:rPr>
        <w:footnoteRef/>
      </w:r>
      <w:r>
        <w:t xml:space="preserve"> </w:t>
      </w:r>
      <w:r w:rsidRPr="002B1B38">
        <w:rPr>
          <w:i/>
        </w:rPr>
        <w:t>See</w:t>
      </w:r>
      <w:r>
        <w:t xml:space="preserve"> SNL KAGAN at </w:t>
      </w:r>
      <w:hyperlink r:id="rId13" w:history="1">
        <w:r w:rsidRPr="00256AD6">
          <w:rPr>
            <w:rStyle w:val="Hyperlink"/>
          </w:rPr>
          <w:t>www.snl.com/interactiveX</w:t>
        </w:r>
      </w:hyperlink>
      <w:r w:rsidRPr="005C421A">
        <w:rPr>
          <w:rStyle w:val="Hyperlink"/>
        </w:rPr>
        <w:t>/top cableMSOs aspx?period2015Q1&amp;sortcol=subscribersbasic&amp;sortorder=desc</w:t>
      </w:r>
      <w:r>
        <w:rPr>
          <w:rStyle w:val="Hyperlink"/>
        </w:rPr>
        <w:t>.</w:t>
      </w:r>
    </w:p>
  </w:footnote>
  <w:footnote w:id="218">
    <w:p w:rsidR="009C0565" w:rsidP="006F7AD6" w14:paraId="00B8730C" w14:textId="77777777">
      <w:pPr>
        <w:pStyle w:val="FootnoteText"/>
      </w:pPr>
      <w:r>
        <w:rPr>
          <w:rStyle w:val="FootnoteReference"/>
        </w:rPr>
        <w:footnoteRef/>
      </w:r>
      <w:r>
        <w:t xml:space="preserve"> 47 CFR </w:t>
      </w:r>
      <w:r w:rsidRPr="00133697">
        <w:t>§</w:t>
      </w:r>
      <w:r>
        <w:t xml:space="preserve"> 76.901(c).</w:t>
      </w:r>
    </w:p>
  </w:footnote>
  <w:footnote w:id="219">
    <w:p w:rsidR="009C0565" w:rsidP="006F7AD6" w14:paraId="3F2250E0" w14:textId="77777777">
      <w:pPr>
        <w:pStyle w:val="FootnoteText"/>
      </w:pPr>
      <w:r>
        <w:rPr>
          <w:rStyle w:val="FootnoteReference"/>
        </w:rPr>
        <w:footnoteRef/>
      </w:r>
      <w:r>
        <w:t xml:space="preserve"> </w:t>
      </w:r>
      <w:r w:rsidRPr="002B1B38">
        <w:rPr>
          <w:i/>
        </w:rPr>
        <w:t xml:space="preserve">See </w:t>
      </w:r>
      <w:r>
        <w:t xml:space="preserve">footnote 2, </w:t>
      </w:r>
      <w:r w:rsidRPr="002B1B38">
        <w:rPr>
          <w:i/>
        </w:rPr>
        <w:t>supra</w:t>
      </w:r>
      <w:r>
        <w:t>.</w:t>
      </w:r>
    </w:p>
  </w:footnote>
  <w:footnote w:id="220">
    <w:p w:rsidR="009C0565" w:rsidP="006F7AD6" w14:paraId="22858016" w14:textId="77777777">
      <w:pPr>
        <w:pStyle w:val="FootnoteText"/>
      </w:pPr>
      <w:r>
        <w:rPr>
          <w:rStyle w:val="FootnoteReference"/>
        </w:rPr>
        <w:footnoteRef/>
      </w:r>
      <w:r>
        <w:t xml:space="preserve"> August 5, 2015 report from the Media Bureau based on its research in COALS.  </w:t>
      </w:r>
      <w:r w:rsidRPr="00AD3532">
        <w:rPr>
          <w:i/>
        </w:rPr>
        <w:t>See</w:t>
      </w:r>
      <w:r>
        <w:t xml:space="preserve"> </w:t>
      </w:r>
      <w:hyperlink r:id="rId14" w:history="1">
        <w:r w:rsidRPr="00AD3532">
          <w:rPr>
            <w:rStyle w:val="Hyperlink"/>
          </w:rPr>
          <w:t>www.fcc.gov</w:t>
        </w:r>
      </w:hyperlink>
      <w:r w:rsidRPr="00AD3532">
        <w:rPr>
          <w:rStyle w:val="Hyperlink"/>
        </w:rPr>
        <w:t>/coals</w:t>
      </w:r>
      <w:r>
        <w:rPr>
          <w:rStyle w:val="Hyperlink"/>
        </w:rPr>
        <w:t>.</w:t>
      </w:r>
    </w:p>
  </w:footnote>
  <w:footnote w:id="221">
    <w:p w:rsidR="009C0565" w:rsidP="006F7AD6" w14:paraId="768FA1B5" w14:textId="77777777">
      <w:pPr>
        <w:pStyle w:val="FootnoteText"/>
      </w:pPr>
      <w:r>
        <w:rPr>
          <w:rStyle w:val="FootnoteReference"/>
        </w:rPr>
        <w:footnoteRef/>
      </w:r>
      <w:r>
        <w:t xml:space="preserve"> 47 CFR </w:t>
      </w:r>
      <w:r w:rsidRPr="00133697">
        <w:t>§</w:t>
      </w:r>
      <w:r>
        <w:t xml:space="preserve"> 76.901 (f) and notes ff. 1, 2, and 3.</w:t>
      </w:r>
    </w:p>
  </w:footnote>
  <w:footnote w:id="222">
    <w:p w:rsidR="009C0565" w:rsidP="006F7AD6" w14:paraId="7F3B9529" w14:textId="77777777">
      <w:pPr>
        <w:pStyle w:val="FootnoteText"/>
      </w:pPr>
      <w:r>
        <w:rPr>
          <w:rStyle w:val="FootnoteReference"/>
        </w:rPr>
        <w:footnoteRef/>
      </w:r>
      <w:r>
        <w:t xml:space="preserve"> </w:t>
      </w:r>
      <w:r w:rsidRPr="002B1B38">
        <w:rPr>
          <w:i/>
        </w:rPr>
        <w:t>See</w:t>
      </w:r>
      <w:r>
        <w:t xml:space="preserve"> SNL KAGAN at </w:t>
      </w:r>
      <w:r w:rsidRPr="005C421A">
        <w:rPr>
          <w:rStyle w:val="Hyperlink"/>
        </w:rPr>
        <w:t>www.snl.com/interactivex/MultichannelIndustryBenchmarks.aspx</w:t>
      </w:r>
      <w:r>
        <w:rPr>
          <w:rStyle w:val="Hyperlink"/>
        </w:rPr>
        <w:t>.</w:t>
      </w:r>
    </w:p>
  </w:footnote>
  <w:footnote w:id="223">
    <w:p w:rsidR="009C0565" w:rsidP="006F7AD6" w14:paraId="2BD64234" w14:textId="77777777">
      <w:pPr>
        <w:pStyle w:val="FootnoteText"/>
      </w:pPr>
      <w:r>
        <w:rPr>
          <w:rStyle w:val="FootnoteReference"/>
        </w:rPr>
        <w:footnoteRef/>
      </w:r>
      <w:r>
        <w:t xml:space="preserve"> 47 CFR </w:t>
      </w:r>
      <w:r w:rsidRPr="00133697">
        <w:t>§</w:t>
      </w:r>
      <w:r>
        <w:t xml:space="preserve"> 76.901(f) and notes ff. 1, 2, and 3.</w:t>
      </w:r>
    </w:p>
  </w:footnote>
  <w:footnote w:id="224">
    <w:p w:rsidR="009C0565" w:rsidP="006F7AD6" w14:paraId="55B6858E" w14:textId="77777777">
      <w:pPr>
        <w:pStyle w:val="FootnoteText"/>
      </w:pPr>
      <w:r>
        <w:rPr>
          <w:rStyle w:val="FootnoteReference"/>
        </w:rPr>
        <w:footnoteRef/>
      </w:r>
      <w:r>
        <w:t xml:space="preserve"> </w:t>
      </w:r>
      <w:r w:rsidRPr="002B1B38">
        <w:rPr>
          <w:i/>
        </w:rPr>
        <w:t>See</w:t>
      </w:r>
      <w:r>
        <w:t xml:space="preserve"> SNL KAGAN at </w:t>
      </w:r>
      <w:hyperlink r:id="rId15" w:history="1">
        <w:r w:rsidRPr="005C421A">
          <w:rPr>
            <w:rStyle w:val="Hyperlink"/>
          </w:rPr>
          <w:t>www.snl.com/Interactivex/TopCable</w:t>
        </w:r>
      </w:hyperlink>
      <w:r w:rsidRPr="005C421A">
        <w:rPr>
          <w:rStyle w:val="Hyperlink"/>
        </w:rPr>
        <w:t xml:space="preserve"> MSOs.aspx</w:t>
      </w:r>
      <w:r>
        <w:rPr>
          <w:rStyle w:val="Hyperlink"/>
        </w:rPr>
        <w:t>.</w:t>
      </w:r>
    </w:p>
  </w:footnote>
  <w:footnote w:id="225">
    <w:p w:rsidR="009C0565" w:rsidP="006F7AD6" w14:paraId="562E690F" w14:textId="77777777">
      <w:pPr>
        <w:pStyle w:val="FootnoteText"/>
      </w:pPr>
      <w:r>
        <w:rPr>
          <w:rStyle w:val="FootnoteReference"/>
        </w:rPr>
        <w:footnoteRef/>
      </w:r>
      <w:r>
        <w:t xml:space="preserve"> </w:t>
      </w:r>
      <w:r w:rsidRPr="00133697">
        <w:t xml:space="preserve">The Commission does receive such information on a case-by-case basis if a cable operator appeals a local franchise authority's finding that the operator does not qualify as a small cable operator pursuant to </w:t>
      </w:r>
      <w:r>
        <w:t xml:space="preserve">47 CFR </w:t>
      </w:r>
      <w:r w:rsidRPr="00133697">
        <w:t>§ 76.901(f) of the Commission</w:t>
      </w:r>
      <w:r>
        <w:t>’</w:t>
      </w:r>
      <w:r w:rsidRPr="00133697">
        <w:t>s rules</w:t>
      </w:r>
      <w:r w:rsidRPr="002B1B38">
        <w:rPr>
          <w:i/>
        </w:rPr>
        <w:t>.</w:t>
      </w:r>
      <w:r>
        <w:rPr>
          <w:i/>
        </w:rPr>
        <w:t xml:space="preserve"> </w:t>
      </w:r>
      <w:r w:rsidRPr="002B1B38">
        <w:rPr>
          <w:i/>
        </w:rPr>
        <w:t xml:space="preserve"> See</w:t>
      </w:r>
      <w:r w:rsidRPr="00133697">
        <w:t xml:space="preserve"> 47 CFR § 76.901(f).</w:t>
      </w:r>
    </w:p>
  </w:footnote>
  <w:footnote w:id="226">
    <w:p w:rsidR="009C0565" w:rsidP="006F7AD6" w14:paraId="4D81416F" w14:textId="77777777">
      <w:pPr>
        <w:pStyle w:val="FootnoteText"/>
      </w:pPr>
      <w:r>
        <w:rPr>
          <w:rStyle w:val="FootnoteReference"/>
        </w:rPr>
        <w:footnoteRef/>
      </w:r>
      <w:r>
        <w:t xml:space="preserve"> </w:t>
      </w:r>
      <w:hyperlink r:id="rId7" w:history="1">
        <w:r w:rsidRPr="00365B1A">
          <w:rPr>
            <w:rStyle w:val="Hyperlink"/>
          </w:rPr>
          <w:t>http://www.census.gov/cgi-bin/sssd/naics/naicsrch</w:t>
        </w:r>
      </w:hyperlink>
      <w:r>
        <w:t xml:space="preserve">. </w:t>
      </w:r>
    </w:p>
  </w:footnote>
  <w:footnote w:id="227">
    <w:p w:rsidR="009C0565" w:rsidP="006F7AD6" w14:paraId="72B8291F" w14:textId="77777777">
      <w:pPr>
        <w:pStyle w:val="FootnoteText"/>
      </w:pPr>
      <w:r>
        <w:rPr>
          <w:rStyle w:val="FootnoteReference"/>
        </w:rPr>
        <w:footnoteRef/>
      </w:r>
      <w:r>
        <w:t xml:space="preserve"> NAICs code 517110; 13 CFR</w:t>
      </w:r>
      <w:r w:rsidRPr="00A7270F">
        <w:t xml:space="preserve"> </w:t>
      </w:r>
      <w:r w:rsidRPr="00133697">
        <w:t>§</w:t>
      </w:r>
      <w:r>
        <w:t xml:space="preserve"> </w:t>
      </w:r>
      <w:r w:rsidRPr="00A7270F">
        <w:t>121.201.</w:t>
      </w:r>
    </w:p>
  </w:footnote>
  <w:footnote w:id="228">
    <w:p w:rsidR="009C0565" w:rsidRPr="00632EB8" w:rsidP="006F7AD6" w14:paraId="1E0E7663" w14:textId="77777777">
      <w:pPr>
        <w:pStyle w:val="FootnoteText"/>
        <w:spacing w:after="0"/>
      </w:pPr>
      <w:r>
        <w:rPr>
          <w:rStyle w:val="FootnoteReference"/>
        </w:rPr>
        <w:footnoteRef/>
      </w:r>
      <w:r>
        <w:t xml:space="preserve"> </w:t>
      </w:r>
      <w:r>
        <w:fldChar w:fldCharType="begin"/>
      </w:r>
      <w:r>
        <w:instrText xml:space="preserve"> HYPERLINK "</w:instrText>
      </w:r>
      <w:r w:rsidRPr="00632EB8">
        <w:instrText>http://factfinder.census.gov/faces/tableservices.jasf/pages/productview.xhtml?</w:instrText>
      </w:r>
    </w:p>
    <w:p w:rsidR="009C0565" w:rsidRPr="00783D14" w:rsidP="006F7AD6" w14:paraId="2BE06BA3" w14:textId="77777777">
      <w:pPr>
        <w:pStyle w:val="FootnoteText"/>
        <w:spacing w:after="0"/>
        <w:rPr>
          <w:rStyle w:val="Hyperlink"/>
        </w:rPr>
      </w:pPr>
      <w:r w:rsidRPr="00632EB8">
        <w:instrText>pid+ECN_2012_US.51SSSZ4&amp;prodType=table</w:instrText>
      </w:r>
      <w:r>
        <w:instrText xml:space="preserve">" </w:instrText>
      </w:r>
      <w:r>
        <w:fldChar w:fldCharType="separate"/>
      </w:r>
      <w:r w:rsidRPr="00783D14">
        <w:rPr>
          <w:rStyle w:val="Hyperlink"/>
        </w:rPr>
        <w:t>http://factfinder.census.gov/faces/tableservices.jasf/pages/productview.xhtml?</w:t>
      </w:r>
    </w:p>
    <w:p w:rsidR="009C0565" w:rsidP="006F7AD6" w14:paraId="5B8E247B" w14:textId="77777777">
      <w:pPr>
        <w:pStyle w:val="FootnoteText"/>
      </w:pPr>
      <w:r w:rsidRPr="00783D14">
        <w:rPr>
          <w:rStyle w:val="Hyperlink"/>
        </w:rPr>
        <w:t>pid+ECN_2012_US.51SSSZ4&amp;prodType=table</w:t>
      </w:r>
      <w:r>
        <w:fldChar w:fldCharType="end"/>
      </w:r>
      <w:r>
        <w:rPr>
          <w:sz w:val="16"/>
          <w:szCs w:val="16"/>
        </w:rPr>
        <w:t>.</w:t>
      </w:r>
      <w:r>
        <w:t xml:space="preserve"> </w:t>
      </w:r>
    </w:p>
  </w:footnote>
  <w:footnote w:id="229">
    <w:p w:rsidR="009C0565" w:rsidP="006F7AD6" w14:paraId="771A5B78" w14:textId="77777777">
      <w:pPr>
        <w:pStyle w:val="FootnoteText"/>
      </w:pPr>
      <w:r>
        <w:rPr>
          <w:rStyle w:val="FootnoteReference"/>
        </w:rPr>
        <w:footnoteRef/>
      </w:r>
      <w:r>
        <w:t xml:space="preserve"> </w:t>
      </w:r>
      <w:r w:rsidRPr="007B5DCE">
        <w:rPr>
          <w:i/>
        </w:rPr>
        <w:t>See</w:t>
      </w:r>
      <w:r>
        <w:t xml:space="preserve"> </w:t>
      </w:r>
      <w:r w:rsidRPr="007B5DCE">
        <w:rPr>
          <w:i/>
        </w:rPr>
        <w:t>15</w:t>
      </w:r>
      <w:r w:rsidRPr="007B5DCE">
        <w:rPr>
          <w:i/>
          <w:vertAlign w:val="superscript"/>
        </w:rPr>
        <w:t>th</w:t>
      </w:r>
      <w:r w:rsidRPr="007B5DCE">
        <w:rPr>
          <w:i/>
        </w:rPr>
        <w:t xml:space="preserve"> Annual Video Competition Report</w:t>
      </w:r>
      <w:r>
        <w:t xml:space="preserve">, 28 FCC Rcd at 1057, Section 27.  </w:t>
      </w:r>
    </w:p>
  </w:footnote>
  <w:footnote w:id="230">
    <w:p w:rsidR="009C0565" w:rsidP="006F7AD6" w14:paraId="49341429" w14:textId="77777777">
      <w:pPr>
        <w:pStyle w:val="FootnoteText"/>
      </w:pPr>
      <w:r>
        <w:rPr>
          <w:rStyle w:val="FootnoteReference"/>
        </w:rPr>
        <w:footnoteRef/>
      </w:r>
      <w:r>
        <w:t xml:space="preserve"> </w:t>
      </w:r>
      <w:hyperlink r:id="rId16" w:history="1">
        <w:r w:rsidRPr="00900913">
          <w:rPr>
            <w:rStyle w:val="Hyperlink"/>
          </w:rPr>
          <w:t>http://www.census.gov/cgi-bin/ssssd/naics/naicsrch</w:t>
        </w:r>
      </w:hyperlink>
      <w:r>
        <w:t>.</w:t>
      </w:r>
    </w:p>
  </w:footnote>
  <w:footnote w:id="231">
    <w:p w:rsidR="009C0565" w:rsidP="006F7AD6" w14:paraId="6DF6559D" w14:textId="77777777">
      <w:pPr>
        <w:pStyle w:val="FootnoteText"/>
      </w:pPr>
      <w:r>
        <w:rPr>
          <w:rStyle w:val="FootnoteReference"/>
        </w:rPr>
        <w:footnoteRef/>
      </w:r>
      <w:r>
        <w:t xml:space="preserve"> 13 CFR </w:t>
      </w:r>
      <w:r w:rsidRPr="00133697">
        <w:t>§</w:t>
      </w:r>
      <w:r>
        <w:t xml:space="preserve"> 121.201; NAICs code 517919.</w:t>
      </w:r>
    </w:p>
  </w:footnote>
  <w:footnote w:id="232">
    <w:p w:rsidR="009C0565" w:rsidRPr="00CB2E37" w:rsidP="006F7AD6" w14:paraId="1E3F5762" w14:textId="77777777">
      <w:pPr>
        <w:pStyle w:val="FootnoteText"/>
        <w:spacing w:after="0"/>
      </w:pPr>
      <w:r>
        <w:rPr>
          <w:rStyle w:val="FootnoteReference"/>
        </w:rPr>
        <w:footnoteRef/>
      </w:r>
      <w:r>
        <w:t xml:space="preserve"> </w:t>
      </w:r>
      <w:r>
        <w:fldChar w:fldCharType="begin"/>
      </w:r>
      <w:r>
        <w:instrText xml:space="preserve"> HYPERLINK "</w:instrText>
      </w:r>
      <w:r w:rsidRPr="00CB2E37">
        <w:instrText>http://factfinder.census.gov/faces/tableservices.jasf/pages/productview.xhtml?</w:instrText>
      </w:r>
    </w:p>
    <w:p w:rsidR="009C0565" w:rsidRPr="00783D14" w:rsidP="006F7AD6" w14:paraId="7F07FB14" w14:textId="77777777">
      <w:pPr>
        <w:pStyle w:val="FootnoteText"/>
        <w:spacing w:after="0"/>
        <w:rPr>
          <w:rStyle w:val="Hyperlink"/>
        </w:rPr>
      </w:pPr>
      <w:r w:rsidRPr="00CB2E37">
        <w:instrText>pid+ECN_2012_US.51SSSZ4&amp;prodType=table</w:instrText>
      </w:r>
      <w:r>
        <w:instrText xml:space="preserve">" </w:instrText>
      </w:r>
      <w:r>
        <w:fldChar w:fldCharType="separate"/>
      </w:r>
      <w:r w:rsidRPr="00783D14">
        <w:rPr>
          <w:rStyle w:val="Hyperlink"/>
        </w:rPr>
        <w:t>http://factfinder.census.gov/faces/tableservices.jasf/pages/productview.xhtml?</w:t>
      </w:r>
    </w:p>
    <w:p w:rsidR="009C0565" w:rsidP="006F7AD6" w14:paraId="70381C1C" w14:textId="77777777">
      <w:pPr>
        <w:pStyle w:val="FootnoteText"/>
      </w:pPr>
      <w:r w:rsidRPr="00783D14">
        <w:rPr>
          <w:rStyle w:val="Hyperlink"/>
        </w:rPr>
        <w:t>pid+ECN_2012_US.51SSSZ4&amp;prodType=table</w:t>
      </w:r>
      <w:r>
        <w:fldChar w:fldCharType="end"/>
      </w:r>
      <w:r>
        <w:rPr>
          <w:sz w:val="16"/>
          <w:szCs w:val="16"/>
        </w:rPr>
        <w:t>.</w:t>
      </w:r>
    </w:p>
  </w:footnote>
  <w:footnote w:id="233">
    <w:p w:rsidR="009C0565" w:rsidP="006F7AD6" w14:paraId="339B431A" w14:textId="77777777">
      <w:pPr>
        <w:pStyle w:val="FootnoteText"/>
      </w:pPr>
      <w:r>
        <w:rPr>
          <w:rStyle w:val="FootnoteReference"/>
        </w:rPr>
        <w:footnoteRef/>
      </w:r>
      <w:r>
        <w:t xml:space="preserve"> </w:t>
      </w:r>
      <w:r w:rsidRPr="00B80C6E">
        <w:rPr>
          <w:i/>
        </w:rPr>
        <w:t>See</w:t>
      </w:r>
      <w:r>
        <w:t xml:space="preserve"> 47 CFR </w:t>
      </w:r>
      <w:r w:rsidRPr="00133697">
        <w:t>§</w:t>
      </w:r>
      <w:r>
        <w:t xml:space="preserve"> 52.101(b).</w:t>
      </w:r>
    </w:p>
  </w:footnote>
  <w:footnote w:id="234">
    <w:p w:rsidR="009C0565" w:rsidP="006F7AD6" w14:paraId="666A09B2" w14:textId="77777777">
      <w:pPr>
        <w:pStyle w:val="FootnoteText"/>
      </w:pPr>
      <w:r>
        <w:rPr>
          <w:rStyle w:val="FootnoteReference"/>
        </w:rPr>
        <w:footnoteRef/>
      </w:r>
      <w:r>
        <w:t xml:space="preserve"> 13 CFR </w:t>
      </w:r>
      <w:r w:rsidRPr="00133697">
        <w:t>§</w:t>
      </w:r>
      <w:r>
        <w:t xml:space="preserve"> 121.201, NAICS code 517110.</w:t>
      </w:r>
    </w:p>
  </w:footnote>
  <w:footnote w:id="235">
    <w:p w:rsidR="009C0565" w:rsidP="006F7AD6" w14:paraId="0D02D5EC" w14:textId="77777777">
      <w:pPr>
        <w:pStyle w:val="FootnoteText"/>
      </w:pPr>
      <w:r>
        <w:rPr>
          <w:rStyle w:val="FootnoteReference"/>
        </w:rPr>
        <w:footnoteRef/>
      </w:r>
      <w:r>
        <w:t xml:space="preserve"> </w:t>
      </w:r>
      <w:r w:rsidRPr="007D381C">
        <w:rPr>
          <w:i/>
        </w:rPr>
        <w:t>Id</w:t>
      </w:r>
      <w:r>
        <w:t>.</w:t>
      </w:r>
    </w:p>
  </w:footnote>
  <w:footnote w:id="236">
    <w:p w:rsidR="009C0565" w:rsidP="006F7AD6" w14:paraId="40D5738F" w14:textId="77777777">
      <w:pPr>
        <w:pStyle w:val="FootnoteText"/>
      </w:pPr>
      <w:r>
        <w:rPr>
          <w:rStyle w:val="FootnoteReference"/>
        </w:rPr>
        <w:footnoteRef/>
      </w:r>
      <w:r>
        <w:t xml:space="preserve"> </w:t>
      </w:r>
      <w:r w:rsidRPr="00CD3CED">
        <w:rPr>
          <w:rStyle w:val="Hyperlink"/>
        </w:rPr>
        <w:t>http://www.census,gov/cgi-bin/sssd/naics.naicsrch</w:t>
      </w:r>
      <w:r>
        <w:rPr>
          <w:rStyle w:val="Hyperlink"/>
        </w:rPr>
        <w:t>.</w:t>
      </w:r>
    </w:p>
  </w:footnote>
  <w:footnote w:id="237">
    <w:p w:rsidR="009C0565" w:rsidP="006F7AD6" w14:paraId="57BF10F6" w14:textId="77777777">
      <w:pPr>
        <w:pStyle w:val="FootnoteText"/>
      </w:pPr>
      <w:r>
        <w:rPr>
          <w:rStyle w:val="FootnoteReference"/>
        </w:rPr>
        <w:footnoteRef/>
      </w:r>
      <w:r>
        <w:t xml:space="preserve"> 13 CFR </w:t>
      </w:r>
      <w:r w:rsidRPr="00133697">
        <w:t>§</w:t>
      </w:r>
      <w:r>
        <w:t xml:space="preserve"> 120,201, NAICS code 517110.</w:t>
      </w:r>
    </w:p>
  </w:footnote>
  <w:footnote w:id="238">
    <w:p w:rsidR="009C0565" w:rsidRPr="00B141B0" w:rsidP="006F7AD6" w14:paraId="57FA894E" w14:textId="77777777">
      <w:pPr>
        <w:pStyle w:val="FootnoteText"/>
        <w:spacing w:after="0"/>
      </w:pPr>
      <w:r>
        <w:rPr>
          <w:rStyle w:val="FootnoteReference"/>
        </w:rPr>
        <w:footnoteRef/>
      </w:r>
      <w:r>
        <w:t xml:space="preserve"> </w:t>
      </w:r>
      <w:r>
        <w:fldChar w:fldCharType="begin"/>
      </w:r>
      <w:r>
        <w:instrText xml:space="preserve"> HYPERLINK "</w:instrText>
      </w:r>
      <w:r w:rsidRPr="00B141B0">
        <w:instrText>http://factfinder.census.gov/faces/tableservices/jsf/pages/productview.xhtml?</w:instrText>
      </w:r>
    </w:p>
    <w:p w:rsidR="009C0565" w:rsidRPr="00A54FE6" w:rsidP="006F7AD6" w14:paraId="41724A4E" w14:textId="77777777">
      <w:pPr>
        <w:pStyle w:val="FootnoteText"/>
        <w:spacing w:after="0"/>
        <w:rPr>
          <w:rStyle w:val="Hyperlink"/>
        </w:rPr>
      </w:pPr>
      <w:r w:rsidRPr="00B141B0">
        <w:instrText>pid=ECN_2012_US_51SSSZ4&amp;prodType=table</w:instrText>
      </w:r>
      <w:r>
        <w:instrText xml:space="preserve">" </w:instrText>
      </w:r>
      <w:r>
        <w:fldChar w:fldCharType="separate"/>
      </w:r>
      <w:r w:rsidRPr="00A54FE6">
        <w:rPr>
          <w:rStyle w:val="Hyperlink"/>
        </w:rPr>
        <w:t>http://factfinder.census.gov/faces/tableservices/jsf/pages/productview.xhtml?</w:t>
      </w:r>
    </w:p>
    <w:p w:rsidR="009C0565" w:rsidRPr="00B013DC" w:rsidP="006F7AD6" w14:paraId="58996B6D" w14:textId="77777777">
      <w:pPr>
        <w:pStyle w:val="FootnoteText"/>
      </w:pPr>
      <w:r w:rsidRPr="00A54FE6">
        <w:rPr>
          <w:rStyle w:val="Hyperlink"/>
        </w:rPr>
        <w:t>pid=ECN_2012_US_51SSSZ4&amp;prodType=table</w:t>
      </w:r>
      <w:r>
        <w:fldChar w:fldCharType="end"/>
      </w:r>
      <w:r w:rsidRPr="00B013DC">
        <w:t>.</w:t>
      </w:r>
    </w:p>
  </w:footnote>
  <w:footnote w:id="239">
    <w:p w:rsidR="009C0565" w:rsidP="006F7AD6" w14:paraId="10BB0D51" w14:textId="77777777">
      <w:pPr>
        <w:pStyle w:val="FootnoteText"/>
      </w:pPr>
      <w:r>
        <w:rPr>
          <w:rStyle w:val="FootnoteReference"/>
        </w:rPr>
        <w:footnoteRef/>
      </w:r>
      <w:r>
        <w:t xml:space="preserve"> </w:t>
      </w:r>
      <w:r w:rsidRPr="00CD3CED">
        <w:rPr>
          <w:rStyle w:val="Hyperlink"/>
        </w:rPr>
        <w:t>http://www.census,gov/cgi-bin/sssd/naics.naicsrch</w:t>
      </w:r>
      <w:r>
        <w:t>.</w:t>
      </w:r>
    </w:p>
  </w:footnote>
  <w:footnote w:id="240">
    <w:p w:rsidR="009C0565" w:rsidP="006F7AD6" w14:paraId="72FA924C" w14:textId="77777777">
      <w:pPr>
        <w:pStyle w:val="FootnoteText"/>
      </w:pPr>
      <w:r>
        <w:rPr>
          <w:rStyle w:val="FootnoteReference"/>
        </w:rPr>
        <w:footnoteRef/>
      </w:r>
      <w:r>
        <w:t xml:space="preserve"> 13 CFR </w:t>
      </w:r>
      <w:r w:rsidRPr="00133697">
        <w:t>§</w:t>
      </w:r>
      <w:r>
        <w:t xml:space="preserve"> 120.201, NAICS code 517120.</w:t>
      </w:r>
    </w:p>
  </w:footnote>
  <w:footnote w:id="241">
    <w:p w:rsidR="009C0565" w:rsidRPr="00B141B0" w:rsidP="006F7AD6" w14:paraId="11CB5E74" w14:textId="77777777">
      <w:pPr>
        <w:pStyle w:val="FootnoteText"/>
        <w:spacing w:after="0"/>
      </w:pPr>
      <w:r>
        <w:rPr>
          <w:rStyle w:val="FootnoteReference"/>
        </w:rPr>
        <w:footnoteRef/>
      </w:r>
      <w:r>
        <w:t xml:space="preserve"> </w:t>
      </w:r>
      <w:r>
        <w:fldChar w:fldCharType="begin"/>
      </w:r>
      <w:r>
        <w:instrText xml:space="preserve"> HYPERLINK "</w:instrText>
      </w:r>
      <w:r w:rsidRPr="00B141B0">
        <w:instrText>http://factfinder.census.gov/faces/tableservices/jsf/pages/productview.xhtml?</w:instrText>
      </w:r>
    </w:p>
    <w:p w:rsidR="009C0565" w:rsidRPr="00A54FE6" w:rsidP="006F7AD6" w14:paraId="41F350E5" w14:textId="77777777">
      <w:pPr>
        <w:pStyle w:val="FootnoteText"/>
        <w:spacing w:after="0"/>
        <w:rPr>
          <w:rStyle w:val="Hyperlink"/>
        </w:rPr>
      </w:pPr>
      <w:r w:rsidRPr="00B141B0">
        <w:instrText>pid=ECN_2012_US_51SSSZ4&amp;prodType=table</w:instrText>
      </w:r>
      <w:r>
        <w:instrText xml:space="preserve">" </w:instrText>
      </w:r>
      <w:r>
        <w:fldChar w:fldCharType="separate"/>
      </w:r>
      <w:r w:rsidRPr="00A54FE6">
        <w:rPr>
          <w:rStyle w:val="Hyperlink"/>
        </w:rPr>
        <w:t>http://factfinder.census.gov/faces/tableservices/jsf/pages/productview.xhtml?</w:t>
      </w:r>
    </w:p>
    <w:p w:rsidR="009C0565" w:rsidRPr="00B013DC" w:rsidP="006F7AD6" w14:paraId="2E734958" w14:textId="77777777">
      <w:pPr>
        <w:pStyle w:val="FootnoteText"/>
      </w:pPr>
      <w:r w:rsidRPr="00A54FE6">
        <w:rPr>
          <w:rStyle w:val="Hyperlink"/>
        </w:rPr>
        <w:t>pid=ECN_2012_US_51SSSZ4&amp;prodType=table</w:t>
      </w:r>
      <w:r>
        <w:fldChar w:fldCharType="end"/>
      </w:r>
      <w:r w:rsidRPr="00B013DC">
        <w:t>.</w:t>
      </w:r>
    </w:p>
  </w:footnote>
  <w:footnote w:id="242">
    <w:p w:rsidR="009C0565" w:rsidP="006F7AD6" w14:paraId="17D17AE1" w14:textId="77777777">
      <w:pPr>
        <w:pStyle w:val="FootnoteText"/>
      </w:pPr>
      <w:r>
        <w:rPr>
          <w:rStyle w:val="FootnoteReference"/>
        </w:rPr>
        <w:footnoteRef/>
      </w:r>
      <w:r>
        <w:t xml:space="preserve"> 13 CFR </w:t>
      </w:r>
      <w:r w:rsidRPr="00133697">
        <w:t>§</w:t>
      </w:r>
      <w:r>
        <w:t xml:space="preserve"> 120.201, NAICS code 541890.</w:t>
      </w:r>
    </w:p>
  </w:footnote>
  <w:footnote w:id="243">
    <w:p w:rsidR="009C0565" w:rsidP="006F7AD6" w14:paraId="5A63CF45" w14:textId="77777777">
      <w:pPr>
        <w:pStyle w:val="FootnoteText"/>
      </w:pPr>
      <w:r>
        <w:rPr>
          <w:rStyle w:val="FootnoteReference"/>
        </w:rPr>
        <w:footnoteRef/>
      </w:r>
      <w:r>
        <w:t xml:space="preserve"> 13 CFR </w:t>
      </w:r>
      <w:r w:rsidRPr="00133697">
        <w:t>§</w:t>
      </w:r>
      <w:r>
        <w:t xml:space="preserve"> 120.201, NAICS code 541618.</w:t>
      </w:r>
    </w:p>
  </w:footnote>
  <w:footnote w:id="244">
    <w:p w:rsidR="009C0565" w:rsidP="006F7AD6" w14:paraId="4213797C" w14:textId="77777777">
      <w:pPr>
        <w:pStyle w:val="FootnoteText"/>
      </w:pPr>
      <w:r>
        <w:rPr>
          <w:rStyle w:val="FootnoteReference"/>
        </w:rPr>
        <w:footnoteRef/>
      </w:r>
      <w:r>
        <w:t xml:space="preserve"> </w:t>
      </w:r>
      <w:r w:rsidRPr="00CD3CED">
        <w:rPr>
          <w:rStyle w:val="Hyperlink"/>
        </w:rPr>
        <w:t>http://www.census,gov/cgi-bin/sssd/naics.naicsrch</w:t>
      </w:r>
      <w:r>
        <w:rPr>
          <w:rStyle w:val="Hyperlink"/>
        </w:rPr>
        <w:t>.</w:t>
      </w:r>
    </w:p>
  </w:footnote>
  <w:footnote w:id="245">
    <w:p w:rsidR="009C0565" w:rsidP="006F7AD6" w14:paraId="002867B6" w14:textId="77777777">
      <w:pPr>
        <w:pStyle w:val="FootnoteText"/>
      </w:pPr>
      <w:r>
        <w:rPr>
          <w:rStyle w:val="FootnoteReference"/>
        </w:rPr>
        <w:footnoteRef/>
      </w:r>
      <w:r>
        <w:t xml:space="preserve"> </w:t>
      </w:r>
      <w:r w:rsidRPr="00A017E4">
        <w:t xml:space="preserve">13 CFR </w:t>
      </w:r>
      <w:r w:rsidRPr="00133697">
        <w:t>§</w:t>
      </w:r>
      <w:r>
        <w:t xml:space="preserve"> 120.201, NAICS c</w:t>
      </w:r>
      <w:r w:rsidRPr="00A017E4">
        <w:t>ode 541890</w:t>
      </w:r>
      <w:r>
        <w:t>.</w:t>
      </w:r>
    </w:p>
  </w:footnote>
  <w:footnote w:id="246">
    <w:p w:rsidR="009C0565" w:rsidRPr="00B141B0" w:rsidP="006F7AD6" w14:paraId="291F668B" w14:textId="77777777">
      <w:pPr>
        <w:pStyle w:val="FootnoteText"/>
        <w:spacing w:after="0"/>
      </w:pPr>
      <w:r>
        <w:rPr>
          <w:rStyle w:val="FootnoteReference"/>
        </w:rPr>
        <w:footnoteRef/>
      </w:r>
      <w:r>
        <w:t xml:space="preserve"> </w:t>
      </w:r>
      <w:r>
        <w:fldChar w:fldCharType="begin"/>
      </w:r>
      <w:r>
        <w:instrText xml:space="preserve"> HYPERLINK "</w:instrText>
      </w:r>
      <w:r w:rsidRPr="00B141B0">
        <w:instrText>http://factfinder.census.gov/faces/tableservices/jsf/pages/productview.xhtml?</w:instrText>
      </w:r>
    </w:p>
    <w:p w:rsidR="009C0565" w:rsidRPr="00A54FE6" w:rsidP="006F7AD6" w14:paraId="34ADA988" w14:textId="77777777">
      <w:pPr>
        <w:pStyle w:val="FootnoteText"/>
        <w:spacing w:after="0"/>
        <w:rPr>
          <w:rStyle w:val="Hyperlink"/>
        </w:rPr>
      </w:pPr>
      <w:r w:rsidRPr="00B141B0">
        <w:instrText>pid=ECN_2012_US_51SSSZ4&amp;prodType=table</w:instrText>
      </w:r>
      <w:r>
        <w:instrText xml:space="preserve">" </w:instrText>
      </w:r>
      <w:r>
        <w:fldChar w:fldCharType="separate"/>
      </w:r>
      <w:r w:rsidRPr="00A54FE6">
        <w:rPr>
          <w:rStyle w:val="Hyperlink"/>
        </w:rPr>
        <w:t>http://factfinder.census.gov/faces/tableservices/jsf/pages/productview.xhtml?</w:t>
      </w:r>
    </w:p>
    <w:p w:rsidR="009C0565" w:rsidRPr="00B013DC" w:rsidP="006F7AD6" w14:paraId="054D8FC4" w14:textId="77777777">
      <w:pPr>
        <w:pStyle w:val="FootnoteText"/>
      </w:pPr>
      <w:r w:rsidRPr="00A54FE6">
        <w:rPr>
          <w:rStyle w:val="Hyperlink"/>
        </w:rPr>
        <w:t>pid=ECN_2012_US_51SSSZ4&amp;prodType=table</w:t>
      </w:r>
      <w:r>
        <w:fldChar w:fldCharType="end"/>
      </w:r>
      <w:r w:rsidRPr="00B013DC">
        <w:t>.</w:t>
      </w:r>
    </w:p>
  </w:footnote>
  <w:footnote w:id="247">
    <w:p w:rsidR="009C0565" w:rsidP="006F7AD6" w14:paraId="0B90FF04" w14:textId="77777777">
      <w:pPr>
        <w:pStyle w:val="FootnoteText"/>
      </w:pPr>
      <w:r>
        <w:rPr>
          <w:rStyle w:val="FootnoteReference"/>
        </w:rPr>
        <w:footnoteRef/>
      </w:r>
      <w:r w:rsidRPr="00470358">
        <w:t xml:space="preserve"> </w:t>
      </w:r>
      <w:r w:rsidRPr="00B974AD">
        <w:rPr>
          <w:rStyle w:val="Hyperlink"/>
        </w:rPr>
        <w:t>http://www.census,gov/cgi-bin/sssd/naics.naicsrch</w:t>
      </w:r>
      <w:r>
        <w:t>.</w:t>
      </w:r>
    </w:p>
  </w:footnote>
  <w:footnote w:id="248">
    <w:p w:rsidR="009C0565" w:rsidP="006F7AD6" w14:paraId="5493E164" w14:textId="77777777">
      <w:pPr>
        <w:pStyle w:val="FootnoteText"/>
      </w:pPr>
      <w:r>
        <w:rPr>
          <w:rStyle w:val="FootnoteReference"/>
        </w:rPr>
        <w:footnoteRef/>
      </w:r>
      <w:r>
        <w:t xml:space="preserve"> 13 CFR </w:t>
      </w:r>
      <w:r w:rsidRPr="00133697">
        <w:t>§</w:t>
      </w:r>
      <w:r>
        <w:t xml:space="preserve"> 120.201, NAICS code 514618.</w:t>
      </w:r>
    </w:p>
  </w:footnote>
  <w:footnote w:id="249">
    <w:p w:rsidR="009C0565" w:rsidRPr="00B141B0" w:rsidP="006F7AD6" w14:paraId="483AA839" w14:textId="77777777">
      <w:pPr>
        <w:pStyle w:val="FootnoteText"/>
        <w:spacing w:after="0"/>
      </w:pPr>
      <w:r>
        <w:rPr>
          <w:rStyle w:val="FootnoteReference"/>
        </w:rPr>
        <w:footnoteRef/>
      </w:r>
      <w:r>
        <w:t xml:space="preserve"> </w:t>
      </w:r>
      <w:r>
        <w:fldChar w:fldCharType="begin"/>
      </w:r>
      <w:r>
        <w:instrText xml:space="preserve"> HYPERLINK "</w:instrText>
      </w:r>
      <w:r w:rsidRPr="00B141B0">
        <w:instrText>http://factfinder.census.gov/faces/tableservices/jsf/pages/productview.xhtml?</w:instrText>
      </w:r>
    </w:p>
    <w:p w:rsidR="009C0565" w:rsidRPr="00A54FE6" w:rsidP="006F7AD6" w14:paraId="0D5465F5" w14:textId="77777777">
      <w:pPr>
        <w:pStyle w:val="FootnoteText"/>
        <w:spacing w:after="0"/>
        <w:rPr>
          <w:rStyle w:val="Hyperlink"/>
        </w:rPr>
      </w:pPr>
      <w:r w:rsidRPr="00B141B0">
        <w:instrText>pid=ECN_2012_US_51SSSZ4&amp;prodType=table</w:instrText>
      </w:r>
      <w:r>
        <w:instrText xml:space="preserve">" </w:instrText>
      </w:r>
      <w:r>
        <w:fldChar w:fldCharType="separate"/>
      </w:r>
      <w:r w:rsidRPr="00A54FE6">
        <w:rPr>
          <w:rStyle w:val="Hyperlink"/>
        </w:rPr>
        <w:t>http://factfinder.census.gov/faces/tableservices/jsf/pages/productview.xhtml?</w:t>
      </w:r>
    </w:p>
    <w:p w:rsidR="009C0565" w:rsidRPr="00B013DC" w:rsidP="006F7AD6" w14:paraId="79D813E9" w14:textId="77777777">
      <w:pPr>
        <w:pStyle w:val="FootnoteText"/>
      </w:pPr>
      <w:r w:rsidRPr="00A54FE6">
        <w:rPr>
          <w:rStyle w:val="Hyperlink"/>
        </w:rPr>
        <w:t>pid=ECN_2012_US_51SSSZ4&amp;prodType=table</w:t>
      </w:r>
      <w:r>
        <w:fldChar w:fldCharType="end"/>
      </w:r>
      <w:r w:rsidRPr="00B013DC">
        <w:t>.</w:t>
      </w:r>
    </w:p>
  </w:footnote>
  <w:footnote w:id="250">
    <w:p w:rsidR="009C0565" w:rsidP="006F7AD6" w14:paraId="7180BC6A" w14:textId="77777777">
      <w:pPr>
        <w:pStyle w:val="FootnoteText"/>
      </w:pPr>
      <w:r>
        <w:rPr>
          <w:rStyle w:val="FootnoteReference"/>
        </w:rPr>
        <w:footnoteRef/>
      </w:r>
      <w:r>
        <w:t xml:space="preserve"> The four NAICS code-based categories selected above to provide definitions for Carrier and Non-Carrier RespOrgs were selected because as a group they refer generically and comprehensively to all RespOrgs.   </w:t>
      </w:r>
    </w:p>
  </w:footnote>
  <w:footnote w:id="251">
    <w:p w:rsidR="009C0565" w:rsidP="006F7AD6" w14:paraId="72C92890" w14:textId="77777777">
      <w:pPr>
        <w:pStyle w:val="FootnoteText"/>
      </w:pPr>
      <w:r>
        <w:rPr>
          <w:rStyle w:val="FootnoteReference"/>
        </w:rPr>
        <w:footnoteRef/>
      </w:r>
      <w:r>
        <w:t xml:space="preserve"> </w:t>
      </w:r>
      <w:r w:rsidRPr="00185ED3">
        <w:t>5 U.S.C. § 603(c)(1)–(c)(4).</w:t>
      </w:r>
    </w:p>
  </w:footnote>
  <w:footnote w:id="252">
    <w:p w:rsidR="009C0565" w:rsidP="006F7AD6" w14:paraId="2A261878" w14:textId="77777777">
      <w:pPr>
        <w:pStyle w:val="FootnoteText"/>
      </w:pPr>
      <w:r w:rsidRPr="00A60D33">
        <w:rPr>
          <w:rStyle w:val="FootnoteReference"/>
        </w:rPr>
        <w:footnoteRef/>
      </w:r>
      <w:r w:rsidRPr="00A60D33">
        <w:t xml:space="preserve"> 47 U.S.C. §§ 159(a)(“</w:t>
      </w:r>
      <w:r w:rsidRPr="00A60D33">
        <w:rPr>
          <w:color w:val="212121"/>
        </w:rPr>
        <w:t>shall assess and collect regulatory fees”)</w:t>
      </w:r>
      <w:r>
        <w:rPr>
          <w:color w:val="212121"/>
        </w:rPr>
        <w:t xml:space="preserve">, </w:t>
      </w:r>
      <w:r w:rsidRPr="00A60D33">
        <w:rPr>
          <w:color w:val="212121"/>
        </w:rPr>
        <w:t>159(b)</w:t>
      </w:r>
      <w:r>
        <w:rPr>
          <w:color w:val="212121"/>
        </w:rPr>
        <w:t xml:space="preserve"> </w:t>
      </w:r>
      <w:r w:rsidRPr="00A60D33">
        <w:rPr>
          <w:color w:val="212121"/>
        </w:rPr>
        <w:t>(“Commission shall assess and collect regulatory fees at such rates as the Commission shall establish in a schedule of regulatory fees that will result in the collection, in each fiscal year, of an amount that can reasonably be expected to equal the amounts described in subsection (a) with respect to such fiscal year</w:t>
      </w:r>
      <w:r>
        <w:rPr>
          <w:color w:val="212121"/>
        </w:rPr>
        <w:t>.”)</w:t>
      </w:r>
      <w:r w:rsidRPr="00A4167C">
        <w:t xml:space="preserve">.  </w:t>
      </w:r>
      <w:r w:rsidRPr="00400E2A">
        <w:rPr>
          <w:i/>
        </w:rPr>
        <w:t>See also</w:t>
      </w:r>
      <w:r w:rsidRPr="00A4167C">
        <w:t xml:space="preserve"> 47 U.S.C. § 156(b)</w:t>
      </w:r>
      <w:r w:rsidRPr="00A4167C">
        <w:rPr>
          <w:snapToGrid w:val="0"/>
          <w:color w:val="212121"/>
          <w:kern w:val="2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0565" w:rsidP="00810B6F" w14:paraId="12858CB0" w14:textId="58A794CA">
    <w:pPr>
      <w:pStyle w:val="Header"/>
      <w:rPr>
        <w:b w:val="0"/>
      </w:rPr>
    </w:pPr>
    <w:r>
      <w:tab/>
      <w:t>Federal Communications Commission</w:t>
    </w:r>
    <w:r>
      <w:tab/>
      <w:t>FCC 19-37</w:t>
    </w:r>
  </w:p>
  <w:p w:rsidR="009C0565" w14:paraId="2872EE4B" w14:textId="671FAF13">
    <w:pPr>
      <w:tabs>
        <w:tab w:val="left" w:pos="-720"/>
      </w:tabs>
      <w:suppressAutoHyphens/>
      <w:spacing w:line="19" w:lineRule="exact"/>
      <w:rPr>
        <w:spacing w:val="-2"/>
      </w:rPr>
    </w:pPr>
    <w:r>
      <w:rPr>
        <w:noProof/>
      </w:rPr>
      <mc:AlternateContent>
        <mc:Choice Requires="wps">
          <w:drawing>
            <wp:anchor distT="0" distB="0" distL="114300" distR="114300" simplePos="0" relativeHeight="251666432" behindDoc="1" locked="0" layoutInCell="0" allowOverlap="1">
              <wp:simplePos x="0" y="0"/>
              <wp:positionH relativeFrom="margin">
                <wp:posOffset>0</wp:posOffset>
              </wp:positionH>
              <wp:positionV relativeFrom="paragraph">
                <wp:posOffset>0</wp:posOffset>
              </wp:positionV>
              <wp:extent cx="5943600" cy="12065"/>
              <wp:effectExtent l="0" t="0" r="0" b="0"/>
              <wp:wrapNone/>
              <wp:docPr id="8" name="Rectangle 102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02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9024" o:allowincell="f" fillcolor="black" stroked="f" strokeweight="0.05pt">
              <w10:wrap anchorx="margin"/>
            </v:rect>
          </w:pict>
        </mc:Fallback>
      </mc:AlternateContent>
    </w:r>
  </w:p>
  <w:p w:rsidR="009C0565" w14:paraId="5C2C691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0565" w:rsidP="00810B6F" w14:paraId="0591304E" w14:textId="6C6387C6">
    <w:pPr>
      <w:pStyle w:val="Header"/>
      <w:rPr>
        <w:b w:val="0"/>
      </w:rPr>
    </w:pPr>
    <w:r>
      <w:rPr>
        <w:noProof/>
      </w:rPr>
      <mc:AlternateContent>
        <mc:Choice Requires="wps">
          <w:drawing>
            <wp:anchor distT="0" distB="0" distL="114300" distR="114300" simplePos="0" relativeHeight="251668480"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7" name="Rectangle 102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026"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46976" o:allowincell="f" fillcolor="black" stroked="f" strokeweight="0.05pt">
              <w10:wrap anchorx="margin"/>
            </v:rect>
          </w:pict>
        </mc:Fallback>
      </mc:AlternateContent>
    </w:r>
    <w:r>
      <w:tab/>
      <w:t>Federal Communications Commission</w:t>
    </w:r>
    <w:r>
      <w:tab/>
      <w:t>FCC 19-37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0565" w:rsidP="00810B6F" w14:paraId="3B7ECB59" w14:textId="1E8C7F69">
    <w:pPr>
      <w:pStyle w:val="Header"/>
      <w:rPr>
        <w:b w:val="0"/>
      </w:rPr>
    </w:pPr>
    <w:r>
      <w:tab/>
      <w:t>Federal Communications Commission</w:t>
    </w:r>
    <w:r>
      <w:tab/>
      <w:t>FCC 19-37</w:t>
    </w:r>
  </w:p>
  <w:p w:rsidR="009C0565" w14:paraId="0A4BE090" w14:textId="0CF34506">
    <w:pPr>
      <w:tabs>
        <w:tab w:val="left" w:pos="-720"/>
      </w:tabs>
      <w:suppressAutoHyphens/>
      <w:spacing w:line="19" w:lineRule="exact"/>
      <w:rPr>
        <w:spacing w:val="-2"/>
      </w:rPr>
    </w:pPr>
    <w:r>
      <w:rPr>
        <w:noProof/>
      </w:rPr>
      <mc:AlternateContent>
        <mc:Choice Requires="wps">
          <w:drawing>
            <wp:anchor distT="0" distB="0" distL="114300" distR="114300" simplePos="0" relativeHeight="251670528" behindDoc="1" locked="0" layoutInCell="0" allowOverlap="1">
              <wp:simplePos x="0" y="0"/>
              <wp:positionH relativeFrom="margin">
                <wp:posOffset>0</wp:posOffset>
              </wp:positionH>
              <wp:positionV relativeFrom="paragraph">
                <wp:posOffset>0</wp:posOffset>
              </wp:positionV>
              <wp:extent cx="5943600" cy="12065"/>
              <wp:effectExtent l="0" t="0" r="0" b="0"/>
              <wp:wrapNone/>
              <wp:docPr id="6"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4"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4928" o:allowincell="f" fillcolor="black" stroked="f" strokeweight="0.05pt">
              <w10:wrap anchorx="margin"/>
            </v:rect>
          </w:pict>
        </mc:Fallback>
      </mc:AlternateContent>
    </w:r>
  </w:p>
  <w:p w:rsidR="009C0565" w14:paraId="1BF2B5E1"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0565" w:rsidP="00810B6F" w14:paraId="65224498" w14:textId="6B010CA6">
    <w:pPr>
      <w:pStyle w:val="Header"/>
      <w:rPr>
        <w:b w:val="0"/>
      </w:rPr>
    </w:pPr>
    <w:r>
      <w:rPr>
        <w:noProof/>
      </w:rPr>
      <mc:AlternateContent>
        <mc:Choice Requires="wps">
          <w:drawing>
            <wp:anchor distT="0" distB="0" distL="114300" distR="114300" simplePos="0" relativeHeight="251672576"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5" name="Rectangle 102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028"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42880" o:allowincell="f" fillcolor="black" stroked="f" strokeweight="0.05pt">
              <w10:wrap anchorx="margin"/>
            </v:rect>
          </w:pict>
        </mc:Fallback>
      </mc:AlternateContent>
    </w:r>
    <w:r>
      <w:tab/>
      <w:t>Federal Communications Commission</w:t>
    </w:r>
    <w:r>
      <w:tab/>
      <w:t>FCC 19-37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0565" w:rsidP="00810B6F" w14:paraId="2378CDC7" w14:textId="74BC4A14">
    <w:pPr>
      <w:pStyle w:val="Header"/>
      <w:rPr>
        <w:b w:val="0"/>
      </w:rPr>
    </w:pPr>
    <w:r>
      <w:tab/>
      <w:t>Federal Communications Commission</w:t>
    </w:r>
    <w:r>
      <w:tab/>
      <w:t>FCC 19-37</w:t>
    </w:r>
  </w:p>
  <w:p w:rsidR="009C0565" w14:paraId="6C7B21C2" w14:textId="59531AB9">
    <w:pPr>
      <w:tabs>
        <w:tab w:val="left" w:pos="-720"/>
      </w:tabs>
      <w:suppressAutoHyphens/>
      <w:spacing w:line="19" w:lineRule="exact"/>
      <w:rPr>
        <w:spacing w:val="-2"/>
      </w:rPr>
    </w:pPr>
    <w:r>
      <w:rPr>
        <w:noProof/>
      </w:rPr>
      <mc:AlternateContent>
        <mc:Choice Requires="wps">
          <w:drawing>
            <wp:anchor distT="0" distB="0" distL="114300" distR="114300" simplePos="0" relativeHeight="251662336"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02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029" o:spid="_x0000_s2053"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p>
  <w:p w:rsidR="009C0565" w14:paraId="4ACB00D8" w14:textId="77777777">
    <w:pPr>
      <w:spacing w:after="389"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0565" w:rsidP="00810B6F" w14:paraId="4DEB0C4E" w14:textId="42F62FAE">
    <w:pPr>
      <w:pStyle w:val="Header"/>
      <w:rPr>
        <w:b w:val="0"/>
      </w:rPr>
    </w:pPr>
    <w:r>
      <w:rPr>
        <w:noProof/>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3" name="Rectangle 103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030" o:spid="_x0000_s2054"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r>
      <w:tab/>
      <w:t>Federal Communications Commission</w:t>
    </w:r>
    <w:r>
      <w:tab/>
    </w:r>
    <w:r>
      <w:rPr>
        <w:spacing w:val="-2"/>
      </w:rPr>
      <w:t>FCC 19-37</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0565" w:rsidP="00810B6F" w14:paraId="03A954F0" w14:textId="5E8AD255">
    <w:pPr>
      <w:pStyle w:val="Header"/>
      <w:rPr>
        <w:b w:val="0"/>
      </w:rPr>
    </w:pPr>
    <w:r>
      <w:tab/>
      <w:t>Federal Communications Commission</w:t>
    </w:r>
    <w:r>
      <w:tab/>
      <w:t>FCC 19-37</w:t>
    </w:r>
  </w:p>
  <w:p w:rsidR="009C0565" w14:paraId="122C2D78" w14:textId="581E55DB">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5"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C0565" w14:paraId="43D90380" w14:textId="77777777">
    <w:pPr>
      <w:spacing w:after="389" w:line="100" w:lineRule="exact"/>
      <w:rPr>
        <w:sz w:val="1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0565" w:rsidP="00810B6F" w14:paraId="5EAAD78A" w14:textId="0187EEC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6"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FCC 19-37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20B2D37"/>
    <w:multiLevelType w:val="hybridMultilevel"/>
    <w:tmpl w:val="7E94987C"/>
    <w:lvl w:ilvl="0">
      <w:start w:val="1"/>
      <w:numFmt w:val="bullet"/>
      <w:lvlText w:val=""/>
      <w:lvlJc w:val="left"/>
      <w:pPr>
        <w:ind w:left="774" w:hanging="360"/>
      </w:pPr>
      <w:rPr>
        <w:rFonts w:ascii="Symbol" w:hAnsi="Symbol" w:hint="default"/>
      </w:rPr>
    </w:lvl>
    <w:lvl w:ilvl="1" w:tentative="1">
      <w:start w:val="1"/>
      <w:numFmt w:val="bullet"/>
      <w:lvlText w:val="o"/>
      <w:lvlJc w:val="left"/>
      <w:pPr>
        <w:ind w:left="1494" w:hanging="360"/>
      </w:pPr>
      <w:rPr>
        <w:rFonts w:ascii="Courier New" w:hAnsi="Courier New" w:cs="Courier New" w:hint="default"/>
      </w:rPr>
    </w:lvl>
    <w:lvl w:ilvl="2" w:tentative="1">
      <w:start w:val="1"/>
      <w:numFmt w:val="bullet"/>
      <w:lvlText w:val=""/>
      <w:lvlJc w:val="left"/>
      <w:pPr>
        <w:ind w:left="2214" w:hanging="360"/>
      </w:pPr>
      <w:rPr>
        <w:rFonts w:ascii="Wingdings" w:hAnsi="Wingdings" w:hint="default"/>
      </w:rPr>
    </w:lvl>
    <w:lvl w:ilvl="3" w:tentative="1">
      <w:start w:val="1"/>
      <w:numFmt w:val="bullet"/>
      <w:lvlText w:val=""/>
      <w:lvlJc w:val="left"/>
      <w:pPr>
        <w:ind w:left="2934" w:hanging="360"/>
      </w:pPr>
      <w:rPr>
        <w:rFonts w:ascii="Symbol" w:hAnsi="Symbol" w:hint="default"/>
      </w:rPr>
    </w:lvl>
    <w:lvl w:ilvl="4" w:tentative="1">
      <w:start w:val="1"/>
      <w:numFmt w:val="bullet"/>
      <w:lvlText w:val="o"/>
      <w:lvlJc w:val="left"/>
      <w:pPr>
        <w:ind w:left="3654" w:hanging="360"/>
      </w:pPr>
      <w:rPr>
        <w:rFonts w:ascii="Courier New" w:hAnsi="Courier New" w:cs="Courier New" w:hint="default"/>
      </w:rPr>
    </w:lvl>
    <w:lvl w:ilvl="5" w:tentative="1">
      <w:start w:val="1"/>
      <w:numFmt w:val="bullet"/>
      <w:lvlText w:val=""/>
      <w:lvlJc w:val="left"/>
      <w:pPr>
        <w:ind w:left="4374" w:hanging="360"/>
      </w:pPr>
      <w:rPr>
        <w:rFonts w:ascii="Wingdings" w:hAnsi="Wingdings" w:hint="default"/>
      </w:rPr>
    </w:lvl>
    <w:lvl w:ilvl="6" w:tentative="1">
      <w:start w:val="1"/>
      <w:numFmt w:val="bullet"/>
      <w:lvlText w:val=""/>
      <w:lvlJc w:val="left"/>
      <w:pPr>
        <w:ind w:left="5094" w:hanging="360"/>
      </w:pPr>
      <w:rPr>
        <w:rFonts w:ascii="Symbol" w:hAnsi="Symbol" w:hint="default"/>
      </w:rPr>
    </w:lvl>
    <w:lvl w:ilvl="7" w:tentative="1">
      <w:start w:val="1"/>
      <w:numFmt w:val="bullet"/>
      <w:lvlText w:val="o"/>
      <w:lvlJc w:val="left"/>
      <w:pPr>
        <w:ind w:left="5814" w:hanging="360"/>
      </w:pPr>
      <w:rPr>
        <w:rFonts w:ascii="Courier New" w:hAnsi="Courier New" w:cs="Courier New" w:hint="default"/>
      </w:rPr>
    </w:lvl>
    <w:lvl w:ilvl="8" w:tentative="1">
      <w:start w:val="1"/>
      <w:numFmt w:val="bullet"/>
      <w:lvlText w:val=""/>
      <w:lvlJc w:val="left"/>
      <w:pPr>
        <w:ind w:left="6534"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5D73632"/>
    <w:multiLevelType w:val="hybridMultilevel"/>
    <w:tmpl w:val="8FD2D102"/>
    <w:lvl w:ilvl="0">
      <w:start w:val="1"/>
      <w:numFmt w:val="bullet"/>
      <w:lvlText w:val=""/>
      <w:lvlJc w:val="left"/>
      <w:pPr>
        <w:ind w:left="450" w:hanging="360"/>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tentative="1">
      <w:start w:val="1"/>
      <w:numFmt w:val="bullet"/>
      <w:lvlText w:val=""/>
      <w:lvlJc w:val="left"/>
      <w:pPr>
        <w:ind w:left="6210" w:hanging="360"/>
      </w:pPr>
      <w:rPr>
        <w:rFonts w:ascii="Wingdings" w:hAnsi="Wingdings" w:hint="default"/>
      </w:rPr>
    </w:lvl>
  </w:abstractNum>
  <w:abstractNum w:abstractNumId="6">
    <w:nsid w:val="3D07680E"/>
    <w:multiLevelType w:val="hybridMultilevel"/>
    <w:tmpl w:val="96DE426A"/>
    <w:lvl w:ilvl="0">
      <w:start w:val="1"/>
      <w:numFmt w:val="bullet"/>
      <w:lvlText w:val=""/>
      <w:lvlJc w:val="left"/>
      <w:pPr>
        <w:ind w:left="1350" w:hanging="360"/>
      </w:pPr>
      <w:rPr>
        <w:rFonts w:ascii="Symbol" w:hAnsi="Symbol" w:hint="default"/>
      </w:rPr>
    </w:lvl>
    <w:lvl w:ilvl="1">
      <w:start w:val="1"/>
      <w:numFmt w:val="bullet"/>
      <w:lvlText w:val="o"/>
      <w:lvlJc w:val="left"/>
      <w:pPr>
        <w:ind w:left="2070" w:hanging="360"/>
      </w:pPr>
      <w:rPr>
        <w:rFonts w:ascii="Courier New" w:hAnsi="Courier New" w:cs="Courier New" w:hint="default"/>
      </w:rPr>
    </w:lvl>
    <w:lvl w:ilvl="2" w:tentative="1">
      <w:start w:val="1"/>
      <w:numFmt w:val="bullet"/>
      <w:lvlText w:val=""/>
      <w:lvlJc w:val="left"/>
      <w:pPr>
        <w:ind w:left="2790" w:hanging="360"/>
      </w:pPr>
      <w:rPr>
        <w:rFonts w:ascii="Wingdings" w:hAnsi="Wingdings" w:hint="default"/>
      </w:rPr>
    </w:lvl>
    <w:lvl w:ilvl="3" w:tentative="1">
      <w:start w:val="1"/>
      <w:numFmt w:val="bullet"/>
      <w:lvlText w:val=""/>
      <w:lvlJc w:val="left"/>
      <w:pPr>
        <w:ind w:left="3510" w:hanging="360"/>
      </w:pPr>
      <w:rPr>
        <w:rFonts w:ascii="Symbol" w:hAnsi="Symbol" w:hint="default"/>
      </w:rPr>
    </w:lvl>
    <w:lvl w:ilvl="4" w:tentative="1">
      <w:start w:val="1"/>
      <w:numFmt w:val="bullet"/>
      <w:lvlText w:val="o"/>
      <w:lvlJc w:val="left"/>
      <w:pPr>
        <w:ind w:left="4230" w:hanging="360"/>
      </w:pPr>
      <w:rPr>
        <w:rFonts w:ascii="Courier New" w:hAnsi="Courier New" w:cs="Courier New" w:hint="default"/>
      </w:rPr>
    </w:lvl>
    <w:lvl w:ilvl="5" w:tentative="1">
      <w:start w:val="1"/>
      <w:numFmt w:val="bullet"/>
      <w:lvlText w:val=""/>
      <w:lvlJc w:val="left"/>
      <w:pPr>
        <w:ind w:left="4950" w:hanging="360"/>
      </w:pPr>
      <w:rPr>
        <w:rFonts w:ascii="Wingdings" w:hAnsi="Wingdings" w:hint="default"/>
      </w:rPr>
    </w:lvl>
    <w:lvl w:ilvl="6" w:tentative="1">
      <w:start w:val="1"/>
      <w:numFmt w:val="bullet"/>
      <w:lvlText w:val=""/>
      <w:lvlJc w:val="left"/>
      <w:pPr>
        <w:ind w:left="5670" w:hanging="360"/>
      </w:pPr>
      <w:rPr>
        <w:rFonts w:ascii="Symbol" w:hAnsi="Symbol" w:hint="default"/>
      </w:rPr>
    </w:lvl>
    <w:lvl w:ilvl="7" w:tentative="1">
      <w:start w:val="1"/>
      <w:numFmt w:val="bullet"/>
      <w:lvlText w:val="o"/>
      <w:lvlJc w:val="left"/>
      <w:pPr>
        <w:ind w:left="6390" w:hanging="360"/>
      </w:pPr>
      <w:rPr>
        <w:rFonts w:ascii="Courier New" w:hAnsi="Courier New" w:cs="Courier New" w:hint="default"/>
      </w:rPr>
    </w:lvl>
    <w:lvl w:ilvl="8" w:tentative="1">
      <w:start w:val="1"/>
      <w:numFmt w:val="bullet"/>
      <w:lvlText w:val=""/>
      <w:lvlJc w:val="left"/>
      <w:pPr>
        <w:ind w:left="7110" w:hanging="360"/>
      </w:pPr>
      <w:rPr>
        <w:rFonts w:ascii="Wingdings" w:hAnsi="Wingdings" w:hint="default"/>
      </w:rPr>
    </w:lvl>
  </w:abstractNum>
  <w:abstractNum w:abstractNumId="7">
    <w:nsid w:val="4D950896"/>
    <w:multiLevelType w:val="hybridMultilevel"/>
    <w:tmpl w:val="72F0C27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6F37FDC"/>
    <w:multiLevelType w:val="hybridMultilevel"/>
    <w:tmpl w:val="62944210"/>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0">
    <w:nsid w:val="5B81240C"/>
    <w:multiLevelType w:val="hybridMultilevel"/>
    <w:tmpl w:val="292E23E6"/>
    <w:lvl w:ilvl="0">
      <w:start w:val="1"/>
      <w:numFmt w:val="bullet"/>
      <w:lvlText w:val=""/>
      <w:lvlJc w:val="left"/>
      <w:pPr>
        <w:tabs>
          <w:tab w:val="num" w:pos="810"/>
        </w:tabs>
        <w:ind w:left="810" w:hanging="360"/>
      </w:pPr>
      <w:rPr>
        <w:rFonts w:ascii="Symbol" w:hAnsi="Symbol" w:hint="default"/>
      </w:rPr>
    </w:lvl>
    <w:lvl w:ilvl="1" w:tentative="1">
      <w:start w:val="1"/>
      <w:numFmt w:val="bullet"/>
      <w:lvlText w:val="o"/>
      <w:lvlJc w:val="left"/>
      <w:pPr>
        <w:tabs>
          <w:tab w:val="num" w:pos="1530"/>
        </w:tabs>
        <w:ind w:left="1530" w:hanging="360"/>
      </w:pPr>
      <w:rPr>
        <w:rFonts w:ascii="Courier New" w:hAnsi="Courier New" w:hint="default"/>
      </w:rPr>
    </w:lvl>
    <w:lvl w:ilvl="2" w:tentative="1">
      <w:start w:val="1"/>
      <w:numFmt w:val="bullet"/>
      <w:lvlText w:val=""/>
      <w:lvlJc w:val="left"/>
      <w:pPr>
        <w:tabs>
          <w:tab w:val="num" w:pos="2250"/>
        </w:tabs>
        <w:ind w:left="2250" w:hanging="360"/>
      </w:pPr>
      <w:rPr>
        <w:rFonts w:ascii="Wingdings" w:hAnsi="Wingdings" w:hint="default"/>
      </w:rPr>
    </w:lvl>
    <w:lvl w:ilvl="3" w:tentative="1">
      <w:start w:val="1"/>
      <w:numFmt w:val="bullet"/>
      <w:lvlText w:val=""/>
      <w:lvlJc w:val="left"/>
      <w:pPr>
        <w:tabs>
          <w:tab w:val="num" w:pos="2970"/>
        </w:tabs>
        <w:ind w:left="2970" w:hanging="360"/>
      </w:pPr>
      <w:rPr>
        <w:rFonts w:ascii="Symbol" w:hAnsi="Symbol" w:hint="default"/>
      </w:rPr>
    </w:lvl>
    <w:lvl w:ilvl="4" w:tentative="1">
      <w:start w:val="1"/>
      <w:numFmt w:val="bullet"/>
      <w:lvlText w:val="o"/>
      <w:lvlJc w:val="left"/>
      <w:pPr>
        <w:tabs>
          <w:tab w:val="num" w:pos="3690"/>
        </w:tabs>
        <w:ind w:left="3690" w:hanging="360"/>
      </w:pPr>
      <w:rPr>
        <w:rFonts w:ascii="Courier New" w:hAnsi="Courier New" w:hint="default"/>
      </w:rPr>
    </w:lvl>
    <w:lvl w:ilvl="5" w:tentative="1">
      <w:start w:val="1"/>
      <w:numFmt w:val="bullet"/>
      <w:lvlText w:val=""/>
      <w:lvlJc w:val="left"/>
      <w:pPr>
        <w:tabs>
          <w:tab w:val="num" w:pos="4410"/>
        </w:tabs>
        <w:ind w:left="4410" w:hanging="360"/>
      </w:pPr>
      <w:rPr>
        <w:rFonts w:ascii="Wingdings" w:hAnsi="Wingdings" w:hint="default"/>
      </w:rPr>
    </w:lvl>
    <w:lvl w:ilvl="6" w:tentative="1">
      <w:start w:val="1"/>
      <w:numFmt w:val="bullet"/>
      <w:lvlText w:val=""/>
      <w:lvlJc w:val="left"/>
      <w:pPr>
        <w:tabs>
          <w:tab w:val="num" w:pos="5130"/>
        </w:tabs>
        <w:ind w:left="5130" w:hanging="360"/>
      </w:pPr>
      <w:rPr>
        <w:rFonts w:ascii="Symbol" w:hAnsi="Symbol" w:hint="default"/>
      </w:rPr>
    </w:lvl>
    <w:lvl w:ilvl="7" w:tentative="1">
      <w:start w:val="1"/>
      <w:numFmt w:val="bullet"/>
      <w:lvlText w:val="o"/>
      <w:lvlJc w:val="left"/>
      <w:pPr>
        <w:tabs>
          <w:tab w:val="num" w:pos="5850"/>
        </w:tabs>
        <w:ind w:left="5850" w:hanging="360"/>
      </w:pPr>
      <w:rPr>
        <w:rFonts w:ascii="Courier New" w:hAnsi="Courier New" w:hint="default"/>
      </w:rPr>
    </w:lvl>
    <w:lvl w:ilvl="8" w:tentative="1">
      <w:start w:val="1"/>
      <w:numFmt w:val="bullet"/>
      <w:lvlText w:val=""/>
      <w:lvlJc w:val="left"/>
      <w:pPr>
        <w:tabs>
          <w:tab w:val="num" w:pos="6570"/>
        </w:tabs>
        <w:ind w:left="6570" w:hanging="360"/>
      </w:pPr>
      <w:rPr>
        <w:rFonts w:ascii="Wingdings" w:hAnsi="Wingdings" w:hint="default"/>
      </w:rPr>
    </w:lvl>
  </w:abstractNum>
  <w:abstractNum w:abstractNumId="11">
    <w:nsid w:val="5E273B77"/>
    <w:multiLevelType w:val="hybridMultilevel"/>
    <w:tmpl w:val="2E62B27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3">
    <w:nsid w:val="674B6628"/>
    <w:multiLevelType w:val="hybridMultilevel"/>
    <w:tmpl w:val="2B84DCA4"/>
    <w:lvl w:ilvl="0">
      <w:start w:val="19"/>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6D2B48D2"/>
    <w:multiLevelType w:val="singleLevel"/>
    <w:tmpl w:val="462A4EC8"/>
    <w:lvl w:ilvl="0">
      <w:start w:val="1"/>
      <w:numFmt w:val="decimal"/>
      <w:pStyle w:val="Paranum0"/>
      <w:lvlText w:val="%1."/>
      <w:lvlJc w:val="left"/>
      <w:pPr>
        <w:tabs>
          <w:tab w:val="num" w:pos="1080"/>
        </w:tabs>
        <w:ind w:left="0" w:firstLine="720"/>
      </w:pPr>
      <w:rPr>
        <w:b w:val="0"/>
        <w:color w:val="auto"/>
      </w:rPr>
    </w:lvl>
  </w:abstractNum>
  <w:abstractNum w:abstractNumId="15">
    <w:nsid w:val="6D4829E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47E68EB"/>
    <w:multiLevelType w:val="hybridMultilevel"/>
    <w:tmpl w:val="7E1C544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7835594B"/>
    <w:multiLevelType w:val="hybridMultilevel"/>
    <w:tmpl w:val="A008D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AFD7DCC"/>
    <w:multiLevelType w:val="hybridMultilevel"/>
    <w:tmpl w:val="7B9C87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4"/>
  </w:num>
  <w:num w:numId="4">
    <w:abstractNumId w:val="8"/>
  </w:num>
  <w:num w:numId="5">
    <w:abstractNumId w:val="3"/>
  </w:num>
  <w:num w:numId="6">
    <w:abstractNumId w:val="0"/>
  </w:num>
  <w:num w:numId="7">
    <w:abstractNumId w:val="12"/>
    <w:lvlOverride w:ilvl="0">
      <w:startOverride w:val="1"/>
    </w:lvlOverride>
  </w:num>
  <w:num w:numId="8">
    <w:abstractNumId w:val="15"/>
  </w:num>
  <w:num w:numId="9">
    <w:abstractNumId w:val="14"/>
  </w:num>
  <w:num w:numId="10">
    <w:abstractNumId w:val="10"/>
  </w:num>
  <w:num w:numId="11">
    <w:abstractNumId w:val="6"/>
  </w:num>
  <w:num w:numId="12">
    <w:abstractNumId w:val="4"/>
    <w:lvlOverride w:ilvl="0">
      <w:startOverride w:val="1"/>
    </w:lvlOverride>
    <w:lvlOverride w:ilvl="1">
      <w:startOverride w:val="1"/>
    </w:lvlOverride>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11"/>
  </w:num>
  <w:num w:numId="17">
    <w:abstractNumId w:val="16"/>
  </w:num>
  <w:num w:numId="18">
    <w:abstractNumId w:val="12"/>
    <w:lvlOverride w:ilvl="0">
      <w:startOverride w:val="1"/>
    </w:lvlOverride>
  </w:num>
  <w:num w:numId="19">
    <w:abstractNumId w:val="18"/>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3"/>
  </w:num>
  <w:num w:numId="24">
    <w:abstractNumId w:val="12"/>
    <w:lvlOverride w:ilvl="0">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2"/>
    <w:lvlOverride w:ilvl="0">
      <w:startOverride w:val="1"/>
    </w:lvlOverride>
  </w:num>
  <w:num w:numId="30">
    <w:abstractNumId w:val="9"/>
  </w:num>
  <w:num w:numId="31">
    <w:abstractNumId w:val="12"/>
    <w:lvlOverride w:ilvl="0">
      <w:startOverride w:val="1"/>
    </w:lvlOverride>
  </w:num>
  <w:num w:numId="32">
    <w:abstractNumId w:val="12"/>
    <w:lvlOverride w:ilvl="0">
      <w:startOverride w:val="1"/>
    </w:lvlOverride>
  </w:num>
  <w:num w:numId="33">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AD6"/>
    <w:rsid w:val="0000664D"/>
    <w:rsid w:val="00011A7E"/>
    <w:rsid w:val="00016B57"/>
    <w:rsid w:val="00020395"/>
    <w:rsid w:val="000235E4"/>
    <w:rsid w:val="00023E75"/>
    <w:rsid w:val="00032A65"/>
    <w:rsid w:val="00036039"/>
    <w:rsid w:val="00037586"/>
    <w:rsid w:val="00037A64"/>
    <w:rsid w:val="00037F90"/>
    <w:rsid w:val="00040C8F"/>
    <w:rsid w:val="00041EB3"/>
    <w:rsid w:val="000542CB"/>
    <w:rsid w:val="00070296"/>
    <w:rsid w:val="00074688"/>
    <w:rsid w:val="00075A20"/>
    <w:rsid w:val="0008354F"/>
    <w:rsid w:val="000859C7"/>
    <w:rsid w:val="000875BF"/>
    <w:rsid w:val="00096D8C"/>
    <w:rsid w:val="000A70F5"/>
    <w:rsid w:val="000B68BA"/>
    <w:rsid w:val="000C0B65"/>
    <w:rsid w:val="000C321D"/>
    <w:rsid w:val="000C4C61"/>
    <w:rsid w:val="000E05FE"/>
    <w:rsid w:val="000E2106"/>
    <w:rsid w:val="000E3D42"/>
    <w:rsid w:val="00107DF1"/>
    <w:rsid w:val="00113891"/>
    <w:rsid w:val="001163F6"/>
    <w:rsid w:val="00122BD5"/>
    <w:rsid w:val="0012774E"/>
    <w:rsid w:val="00133697"/>
    <w:rsid w:val="00133AAB"/>
    <w:rsid w:val="00133F79"/>
    <w:rsid w:val="00137EED"/>
    <w:rsid w:val="00141957"/>
    <w:rsid w:val="00153254"/>
    <w:rsid w:val="00185ED3"/>
    <w:rsid w:val="00194A66"/>
    <w:rsid w:val="001C3703"/>
    <w:rsid w:val="001D1C0E"/>
    <w:rsid w:val="001D6BCF"/>
    <w:rsid w:val="001E01CA"/>
    <w:rsid w:val="001E07D8"/>
    <w:rsid w:val="001E39E8"/>
    <w:rsid w:val="001F5AD5"/>
    <w:rsid w:val="00210BE5"/>
    <w:rsid w:val="00217CE4"/>
    <w:rsid w:val="00222625"/>
    <w:rsid w:val="00233E31"/>
    <w:rsid w:val="00235678"/>
    <w:rsid w:val="002478FE"/>
    <w:rsid w:val="00253D52"/>
    <w:rsid w:val="00254219"/>
    <w:rsid w:val="00256AD6"/>
    <w:rsid w:val="002712EA"/>
    <w:rsid w:val="002716F1"/>
    <w:rsid w:val="00275CF5"/>
    <w:rsid w:val="00277069"/>
    <w:rsid w:val="00280043"/>
    <w:rsid w:val="0028301F"/>
    <w:rsid w:val="00283D08"/>
    <w:rsid w:val="00285017"/>
    <w:rsid w:val="00296348"/>
    <w:rsid w:val="002A1E78"/>
    <w:rsid w:val="002A2D2E"/>
    <w:rsid w:val="002B1B38"/>
    <w:rsid w:val="002C00E8"/>
    <w:rsid w:val="002D704F"/>
    <w:rsid w:val="002E0230"/>
    <w:rsid w:val="002E14F4"/>
    <w:rsid w:val="002E4B94"/>
    <w:rsid w:val="002F328C"/>
    <w:rsid w:val="003011DA"/>
    <w:rsid w:val="00304149"/>
    <w:rsid w:val="00306B15"/>
    <w:rsid w:val="003127B7"/>
    <w:rsid w:val="00317656"/>
    <w:rsid w:val="003216AF"/>
    <w:rsid w:val="00323BFE"/>
    <w:rsid w:val="00325DFB"/>
    <w:rsid w:val="00343749"/>
    <w:rsid w:val="0035088B"/>
    <w:rsid w:val="00357400"/>
    <w:rsid w:val="003610E3"/>
    <w:rsid w:val="00365B1A"/>
    <w:rsid w:val="003660ED"/>
    <w:rsid w:val="00376E20"/>
    <w:rsid w:val="003A6AC6"/>
    <w:rsid w:val="003A6C8B"/>
    <w:rsid w:val="003A7E7C"/>
    <w:rsid w:val="003B0550"/>
    <w:rsid w:val="003B3D2A"/>
    <w:rsid w:val="003B694F"/>
    <w:rsid w:val="003C5186"/>
    <w:rsid w:val="003C560E"/>
    <w:rsid w:val="003F171C"/>
    <w:rsid w:val="00400E2A"/>
    <w:rsid w:val="004076C3"/>
    <w:rsid w:val="00410E02"/>
    <w:rsid w:val="0041294C"/>
    <w:rsid w:val="00412FC5"/>
    <w:rsid w:val="0041568D"/>
    <w:rsid w:val="00422276"/>
    <w:rsid w:val="004242F1"/>
    <w:rsid w:val="004264F2"/>
    <w:rsid w:val="00432F1F"/>
    <w:rsid w:val="00445A00"/>
    <w:rsid w:val="00451B0F"/>
    <w:rsid w:val="00461FF4"/>
    <w:rsid w:val="00470358"/>
    <w:rsid w:val="00481C66"/>
    <w:rsid w:val="00494F81"/>
    <w:rsid w:val="004A18A6"/>
    <w:rsid w:val="004A209C"/>
    <w:rsid w:val="004A56AB"/>
    <w:rsid w:val="004A6A5A"/>
    <w:rsid w:val="004B79DA"/>
    <w:rsid w:val="004C0F54"/>
    <w:rsid w:val="004C2EE3"/>
    <w:rsid w:val="004C6CF9"/>
    <w:rsid w:val="004D1663"/>
    <w:rsid w:val="004E4A22"/>
    <w:rsid w:val="004E7F9D"/>
    <w:rsid w:val="004F6810"/>
    <w:rsid w:val="0050146D"/>
    <w:rsid w:val="00504937"/>
    <w:rsid w:val="00511968"/>
    <w:rsid w:val="00527A81"/>
    <w:rsid w:val="00532820"/>
    <w:rsid w:val="0053390F"/>
    <w:rsid w:val="005354D7"/>
    <w:rsid w:val="00542C41"/>
    <w:rsid w:val="00545F29"/>
    <w:rsid w:val="0055614C"/>
    <w:rsid w:val="00561150"/>
    <w:rsid w:val="00565E15"/>
    <w:rsid w:val="00566D06"/>
    <w:rsid w:val="0057411C"/>
    <w:rsid w:val="0058075D"/>
    <w:rsid w:val="00584333"/>
    <w:rsid w:val="005A30D5"/>
    <w:rsid w:val="005B31F2"/>
    <w:rsid w:val="005B58F6"/>
    <w:rsid w:val="005C421A"/>
    <w:rsid w:val="005C6A55"/>
    <w:rsid w:val="005E14C2"/>
    <w:rsid w:val="005E2F94"/>
    <w:rsid w:val="00607BA5"/>
    <w:rsid w:val="0061180A"/>
    <w:rsid w:val="00614D13"/>
    <w:rsid w:val="00617917"/>
    <w:rsid w:val="00626EB6"/>
    <w:rsid w:val="00632EB8"/>
    <w:rsid w:val="006358BC"/>
    <w:rsid w:val="00655D03"/>
    <w:rsid w:val="006560AB"/>
    <w:rsid w:val="00670BCB"/>
    <w:rsid w:val="0067355D"/>
    <w:rsid w:val="00683388"/>
    <w:rsid w:val="00683F84"/>
    <w:rsid w:val="00686D69"/>
    <w:rsid w:val="0069017D"/>
    <w:rsid w:val="0069323C"/>
    <w:rsid w:val="00697145"/>
    <w:rsid w:val="006A6A81"/>
    <w:rsid w:val="006B3631"/>
    <w:rsid w:val="006C5AF9"/>
    <w:rsid w:val="006D312C"/>
    <w:rsid w:val="006D6945"/>
    <w:rsid w:val="006E149E"/>
    <w:rsid w:val="006E1769"/>
    <w:rsid w:val="006E2987"/>
    <w:rsid w:val="006F6C54"/>
    <w:rsid w:val="006F7393"/>
    <w:rsid w:val="006F7AD6"/>
    <w:rsid w:val="0070224F"/>
    <w:rsid w:val="00703602"/>
    <w:rsid w:val="007115F7"/>
    <w:rsid w:val="0072247C"/>
    <w:rsid w:val="00747ACB"/>
    <w:rsid w:val="00750FCD"/>
    <w:rsid w:val="0075435B"/>
    <w:rsid w:val="00761D36"/>
    <w:rsid w:val="00782402"/>
    <w:rsid w:val="00783D14"/>
    <w:rsid w:val="00785689"/>
    <w:rsid w:val="00790B92"/>
    <w:rsid w:val="0079754B"/>
    <w:rsid w:val="007A11F8"/>
    <w:rsid w:val="007A1E6D"/>
    <w:rsid w:val="007A2458"/>
    <w:rsid w:val="007B0EB2"/>
    <w:rsid w:val="007B2E58"/>
    <w:rsid w:val="007B4812"/>
    <w:rsid w:val="007B5DCE"/>
    <w:rsid w:val="007B65BD"/>
    <w:rsid w:val="007B6CE7"/>
    <w:rsid w:val="007C33EB"/>
    <w:rsid w:val="007C6133"/>
    <w:rsid w:val="007D381C"/>
    <w:rsid w:val="007D4238"/>
    <w:rsid w:val="007E19B2"/>
    <w:rsid w:val="007E4C8D"/>
    <w:rsid w:val="007E63E6"/>
    <w:rsid w:val="007E659F"/>
    <w:rsid w:val="007F0772"/>
    <w:rsid w:val="007F6AA7"/>
    <w:rsid w:val="007F7B4B"/>
    <w:rsid w:val="00804676"/>
    <w:rsid w:val="00810B6F"/>
    <w:rsid w:val="00810C0D"/>
    <w:rsid w:val="00815FD9"/>
    <w:rsid w:val="00820DF8"/>
    <w:rsid w:val="00822CE0"/>
    <w:rsid w:val="008258FF"/>
    <w:rsid w:val="00840BF3"/>
    <w:rsid w:val="00841AB1"/>
    <w:rsid w:val="00854F79"/>
    <w:rsid w:val="00860117"/>
    <w:rsid w:val="0087135C"/>
    <w:rsid w:val="00881C51"/>
    <w:rsid w:val="00882C03"/>
    <w:rsid w:val="0088462E"/>
    <w:rsid w:val="00886011"/>
    <w:rsid w:val="00891AAC"/>
    <w:rsid w:val="00895F6A"/>
    <w:rsid w:val="00896B82"/>
    <w:rsid w:val="00897A1E"/>
    <w:rsid w:val="008A0FEA"/>
    <w:rsid w:val="008A4B2E"/>
    <w:rsid w:val="008A5A5E"/>
    <w:rsid w:val="008C600A"/>
    <w:rsid w:val="008C68F1"/>
    <w:rsid w:val="008D79FB"/>
    <w:rsid w:val="008F7D44"/>
    <w:rsid w:val="00900913"/>
    <w:rsid w:val="00901A0F"/>
    <w:rsid w:val="0092092E"/>
    <w:rsid w:val="00921803"/>
    <w:rsid w:val="00926503"/>
    <w:rsid w:val="00936EB7"/>
    <w:rsid w:val="00940E2F"/>
    <w:rsid w:val="009542DB"/>
    <w:rsid w:val="00955A74"/>
    <w:rsid w:val="00966D56"/>
    <w:rsid w:val="00970E93"/>
    <w:rsid w:val="009713EF"/>
    <w:rsid w:val="009726D8"/>
    <w:rsid w:val="00981B42"/>
    <w:rsid w:val="0098463D"/>
    <w:rsid w:val="00990013"/>
    <w:rsid w:val="009950C8"/>
    <w:rsid w:val="00995C9F"/>
    <w:rsid w:val="009975E0"/>
    <w:rsid w:val="00997A35"/>
    <w:rsid w:val="009A54FB"/>
    <w:rsid w:val="009C0565"/>
    <w:rsid w:val="009D7308"/>
    <w:rsid w:val="009D7DC0"/>
    <w:rsid w:val="009F0EAA"/>
    <w:rsid w:val="009F76DB"/>
    <w:rsid w:val="00A017E4"/>
    <w:rsid w:val="00A032ED"/>
    <w:rsid w:val="00A07D6B"/>
    <w:rsid w:val="00A1103B"/>
    <w:rsid w:val="00A1340D"/>
    <w:rsid w:val="00A211A0"/>
    <w:rsid w:val="00A242B0"/>
    <w:rsid w:val="00A301CF"/>
    <w:rsid w:val="00A32C3B"/>
    <w:rsid w:val="00A4167C"/>
    <w:rsid w:val="00A45F4F"/>
    <w:rsid w:val="00A54FE6"/>
    <w:rsid w:val="00A600A9"/>
    <w:rsid w:val="00A60835"/>
    <w:rsid w:val="00A60D33"/>
    <w:rsid w:val="00A64500"/>
    <w:rsid w:val="00A7270F"/>
    <w:rsid w:val="00A727BC"/>
    <w:rsid w:val="00A76A6E"/>
    <w:rsid w:val="00A81EEF"/>
    <w:rsid w:val="00A85891"/>
    <w:rsid w:val="00A94765"/>
    <w:rsid w:val="00A972E1"/>
    <w:rsid w:val="00AA01B6"/>
    <w:rsid w:val="00AA2D96"/>
    <w:rsid w:val="00AA55B7"/>
    <w:rsid w:val="00AA5B9E"/>
    <w:rsid w:val="00AB2407"/>
    <w:rsid w:val="00AB53DF"/>
    <w:rsid w:val="00AC268F"/>
    <w:rsid w:val="00AD0819"/>
    <w:rsid w:val="00AD3532"/>
    <w:rsid w:val="00AE16C6"/>
    <w:rsid w:val="00AE792C"/>
    <w:rsid w:val="00AF1916"/>
    <w:rsid w:val="00AF4245"/>
    <w:rsid w:val="00AF4BE8"/>
    <w:rsid w:val="00B013DC"/>
    <w:rsid w:val="00B07E5C"/>
    <w:rsid w:val="00B141B0"/>
    <w:rsid w:val="00B31A37"/>
    <w:rsid w:val="00B400CE"/>
    <w:rsid w:val="00B50F08"/>
    <w:rsid w:val="00B60211"/>
    <w:rsid w:val="00B605CD"/>
    <w:rsid w:val="00B64A88"/>
    <w:rsid w:val="00B80C6E"/>
    <w:rsid w:val="00B811F7"/>
    <w:rsid w:val="00B90DD2"/>
    <w:rsid w:val="00B9131A"/>
    <w:rsid w:val="00B920CB"/>
    <w:rsid w:val="00B9606B"/>
    <w:rsid w:val="00B96D11"/>
    <w:rsid w:val="00B974AD"/>
    <w:rsid w:val="00BA5DC6"/>
    <w:rsid w:val="00BA6196"/>
    <w:rsid w:val="00BB229F"/>
    <w:rsid w:val="00BB7BA8"/>
    <w:rsid w:val="00BC1202"/>
    <w:rsid w:val="00BC68EC"/>
    <w:rsid w:val="00BC6D8C"/>
    <w:rsid w:val="00BD3ED3"/>
    <w:rsid w:val="00BD59DB"/>
    <w:rsid w:val="00BE4D74"/>
    <w:rsid w:val="00BE7716"/>
    <w:rsid w:val="00BF4959"/>
    <w:rsid w:val="00BF6A95"/>
    <w:rsid w:val="00C04445"/>
    <w:rsid w:val="00C04F7A"/>
    <w:rsid w:val="00C0661D"/>
    <w:rsid w:val="00C114BE"/>
    <w:rsid w:val="00C155EC"/>
    <w:rsid w:val="00C16F4B"/>
    <w:rsid w:val="00C34006"/>
    <w:rsid w:val="00C36B4C"/>
    <w:rsid w:val="00C426B1"/>
    <w:rsid w:val="00C5052D"/>
    <w:rsid w:val="00C66160"/>
    <w:rsid w:val="00C71B0F"/>
    <w:rsid w:val="00C721AC"/>
    <w:rsid w:val="00C7554B"/>
    <w:rsid w:val="00C80814"/>
    <w:rsid w:val="00C82293"/>
    <w:rsid w:val="00C84780"/>
    <w:rsid w:val="00C84ED3"/>
    <w:rsid w:val="00C90D6A"/>
    <w:rsid w:val="00CA247E"/>
    <w:rsid w:val="00CA5BC1"/>
    <w:rsid w:val="00CA695F"/>
    <w:rsid w:val="00CA69FC"/>
    <w:rsid w:val="00CA6D21"/>
    <w:rsid w:val="00CB2DF4"/>
    <w:rsid w:val="00CB2E37"/>
    <w:rsid w:val="00CC72B6"/>
    <w:rsid w:val="00CD2BDB"/>
    <w:rsid w:val="00CD3CED"/>
    <w:rsid w:val="00CE7F26"/>
    <w:rsid w:val="00CF2B90"/>
    <w:rsid w:val="00CF516C"/>
    <w:rsid w:val="00CF5E5C"/>
    <w:rsid w:val="00CF6908"/>
    <w:rsid w:val="00D01FEF"/>
    <w:rsid w:val="00D0218D"/>
    <w:rsid w:val="00D03646"/>
    <w:rsid w:val="00D05439"/>
    <w:rsid w:val="00D07DE5"/>
    <w:rsid w:val="00D15B65"/>
    <w:rsid w:val="00D23917"/>
    <w:rsid w:val="00D2430F"/>
    <w:rsid w:val="00D25FB5"/>
    <w:rsid w:val="00D44223"/>
    <w:rsid w:val="00D4781D"/>
    <w:rsid w:val="00D52937"/>
    <w:rsid w:val="00D66C2A"/>
    <w:rsid w:val="00D677A6"/>
    <w:rsid w:val="00D85FB4"/>
    <w:rsid w:val="00D9089C"/>
    <w:rsid w:val="00D90EF6"/>
    <w:rsid w:val="00DA2529"/>
    <w:rsid w:val="00DB0537"/>
    <w:rsid w:val="00DB130A"/>
    <w:rsid w:val="00DB2EBB"/>
    <w:rsid w:val="00DC10A1"/>
    <w:rsid w:val="00DC5A7D"/>
    <w:rsid w:val="00DC655F"/>
    <w:rsid w:val="00DD0B59"/>
    <w:rsid w:val="00DD6522"/>
    <w:rsid w:val="00DD7EBD"/>
    <w:rsid w:val="00DE0626"/>
    <w:rsid w:val="00DE078A"/>
    <w:rsid w:val="00DE0DD0"/>
    <w:rsid w:val="00DE61B6"/>
    <w:rsid w:val="00DE676B"/>
    <w:rsid w:val="00DF19E2"/>
    <w:rsid w:val="00DF3990"/>
    <w:rsid w:val="00DF62B6"/>
    <w:rsid w:val="00E024DD"/>
    <w:rsid w:val="00E07225"/>
    <w:rsid w:val="00E11017"/>
    <w:rsid w:val="00E219C5"/>
    <w:rsid w:val="00E27716"/>
    <w:rsid w:val="00E4629D"/>
    <w:rsid w:val="00E52E8F"/>
    <w:rsid w:val="00E5409F"/>
    <w:rsid w:val="00E62F4E"/>
    <w:rsid w:val="00E720BF"/>
    <w:rsid w:val="00E748E6"/>
    <w:rsid w:val="00E832C4"/>
    <w:rsid w:val="00E96728"/>
    <w:rsid w:val="00EB63BD"/>
    <w:rsid w:val="00EB6B52"/>
    <w:rsid w:val="00ED68F6"/>
    <w:rsid w:val="00EE2B52"/>
    <w:rsid w:val="00EE5190"/>
    <w:rsid w:val="00EE58D5"/>
    <w:rsid w:val="00EE6488"/>
    <w:rsid w:val="00EE74FB"/>
    <w:rsid w:val="00EF13D7"/>
    <w:rsid w:val="00F021FA"/>
    <w:rsid w:val="00F12B45"/>
    <w:rsid w:val="00F21039"/>
    <w:rsid w:val="00F24ABA"/>
    <w:rsid w:val="00F350B5"/>
    <w:rsid w:val="00F5497E"/>
    <w:rsid w:val="00F55CB8"/>
    <w:rsid w:val="00F61546"/>
    <w:rsid w:val="00F62E97"/>
    <w:rsid w:val="00F641E0"/>
    <w:rsid w:val="00F64209"/>
    <w:rsid w:val="00F64ABC"/>
    <w:rsid w:val="00F7036E"/>
    <w:rsid w:val="00F704D8"/>
    <w:rsid w:val="00F732E2"/>
    <w:rsid w:val="00F93BF5"/>
    <w:rsid w:val="00F965F8"/>
    <w:rsid w:val="00F9714B"/>
    <w:rsid w:val="00F9779C"/>
    <w:rsid w:val="00FB428B"/>
    <w:rsid w:val="00FC257F"/>
    <w:rsid w:val="00FD73FD"/>
    <w:rsid w:val="00FF25C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598D8C5-96F1-48C8-B737-647B7C358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uiPriority="11"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AB"/>
    <w:pPr>
      <w:widowControl w:val="0"/>
    </w:pPr>
    <w:rPr>
      <w:snapToGrid w:val="0"/>
      <w:kern w:val="28"/>
      <w:sz w:val="22"/>
    </w:rPr>
  </w:style>
  <w:style w:type="paragraph" w:styleId="Heading1">
    <w:name w:val="heading 1"/>
    <w:basedOn w:val="Normal"/>
    <w:next w:val="ParaNum"/>
    <w:link w:val="Heading1Char"/>
    <w:qFormat/>
    <w:rsid w:val="006560A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 Char Char Char,Heading 2 Char Char Char Char Char Char1 Char,Heading 2 Char1,Heading 2 Char1 Char Char,Heading 2 Char1 Char Char Char Char1 Char,Heading 2 Char1 Char Char1,Heading 2 Char1 Char Char1 Char Char"/>
    <w:basedOn w:val="Normal"/>
    <w:next w:val="ParaNum"/>
    <w:link w:val="Heading2Char2"/>
    <w:autoRedefine/>
    <w:qFormat/>
    <w:rsid w:val="006560AB"/>
    <w:pPr>
      <w:keepNext/>
      <w:numPr>
        <w:ilvl w:val="1"/>
        <w:numId w:val="3"/>
      </w:numPr>
      <w:spacing w:after="120"/>
      <w:outlineLvl w:val="1"/>
    </w:pPr>
    <w:rPr>
      <w:b/>
    </w:rPr>
  </w:style>
  <w:style w:type="paragraph" w:styleId="Heading3">
    <w:name w:val="heading 3"/>
    <w:basedOn w:val="Normal"/>
    <w:next w:val="ParaNum"/>
    <w:link w:val="Heading3Char"/>
    <w:qFormat/>
    <w:rsid w:val="006560AB"/>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6560AB"/>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6560AB"/>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6560AB"/>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6560AB"/>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6560A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6560A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560A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560AB"/>
  </w:style>
  <w:style w:type="paragraph" w:customStyle="1" w:styleId="ParaNum">
    <w:name w:val="ParaNum"/>
    <w:basedOn w:val="Normal"/>
    <w:link w:val="ParaNumChar1"/>
    <w:rsid w:val="006560AB"/>
    <w:pPr>
      <w:numPr>
        <w:numId w:val="2"/>
      </w:numPr>
      <w:tabs>
        <w:tab w:val="clear" w:pos="1080"/>
        <w:tab w:val="num" w:pos="1440"/>
      </w:tabs>
      <w:spacing w:after="120"/>
    </w:pPr>
  </w:style>
  <w:style w:type="paragraph" w:styleId="EndnoteText">
    <w:name w:val="endnote text"/>
    <w:basedOn w:val="Normal"/>
    <w:link w:val="EndnoteTextChar"/>
    <w:semiHidden/>
    <w:rsid w:val="006560AB"/>
    <w:rPr>
      <w:sz w:val="20"/>
    </w:rPr>
  </w:style>
  <w:style w:type="character" w:styleId="EndnoteReference">
    <w:name w:val="endnote reference"/>
    <w:semiHidden/>
    <w:rsid w:val="006560AB"/>
    <w:rPr>
      <w:vertAlign w:val="superscript"/>
    </w:rPr>
  </w:style>
  <w:style w:type="paragraph" w:styleId="FootnoteText">
    <w:name w:val="footnote text"/>
    <w:aliases w:val="ALTS FOOTNOTE,Footnote Text Ch,Footnote Text Char Char,Footnote Text Char Char Char1 Char Char Char,Footnote Text Char Char1 Char Char,Footnote Text Char1 Char Char1,Footnote Text Char2,Footnote Text Char3 Char Char Char Char,fn,rrfootnote"/>
    <w:link w:val="FootnoteTextChar"/>
    <w:rsid w:val="006560AB"/>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6560AB"/>
    <w:rPr>
      <w:rFonts w:ascii="Times New Roman" w:hAnsi="Times New Roman"/>
      <w:dstrike w:val="0"/>
      <w:color w:val="auto"/>
      <w:sz w:val="20"/>
      <w:vertAlign w:val="superscript"/>
    </w:rPr>
  </w:style>
  <w:style w:type="paragraph" w:styleId="TOC1">
    <w:name w:val="toc 1"/>
    <w:basedOn w:val="Normal"/>
    <w:next w:val="Normal"/>
    <w:rsid w:val="006560AB"/>
    <w:pPr>
      <w:tabs>
        <w:tab w:val="left" w:pos="360"/>
        <w:tab w:val="right" w:leader="dot" w:pos="9360"/>
      </w:tabs>
      <w:suppressAutoHyphens/>
      <w:ind w:left="360" w:right="720" w:hanging="360"/>
    </w:pPr>
    <w:rPr>
      <w:caps/>
      <w:noProof/>
    </w:rPr>
  </w:style>
  <w:style w:type="paragraph" w:styleId="TOC2">
    <w:name w:val="toc 2"/>
    <w:basedOn w:val="Normal"/>
    <w:next w:val="Normal"/>
    <w:rsid w:val="006560AB"/>
    <w:pPr>
      <w:tabs>
        <w:tab w:val="left" w:pos="720"/>
        <w:tab w:val="right" w:leader="dot" w:pos="9360"/>
      </w:tabs>
      <w:suppressAutoHyphens/>
      <w:ind w:left="720" w:right="720" w:hanging="360"/>
    </w:pPr>
    <w:rPr>
      <w:noProof/>
    </w:rPr>
  </w:style>
  <w:style w:type="paragraph" w:styleId="TOC3">
    <w:name w:val="toc 3"/>
    <w:basedOn w:val="Normal"/>
    <w:next w:val="Normal"/>
    <w:rsid w:val="006560A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560A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560A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560A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560A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560A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560A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560AB"/>
    <w:pPr>
      <w:tabs>
        <w:tab w:val="right" w:pos="9360"/>
      </w:tabs>
      <w:suppressAutoHyphens/>
    </w:pPr>
  </w:style>
  <w:style w:type="character" w:customStyle="1" w:styleId="EquationCaption">
    <w:name w:val="_Equation Caption"/>
    <w:rsid w:val="006560AB"/>
  </w:style>
  <w:style w:type="paragraph" w:styleId="Header">
    <w:name w:val="header"/>
    <w:basedOn w:val="Normal"/>
    <w:link w:val="HeaderChar"/>
    <w:autoRedefine/>
    <w:rsid w:val="006560AB"/>
    <w:pPr>
      <w:tabs>
        <w:tab w:val="center" w:pos="4680"/>
        <w:tab w:val="right" w:pos="9360"/>
      </w:tabs>
    </w:pPr>
    <w:rPr>
      <w:b/>
    </w:rPr>
  </w:style>
  <w:style w:type="paragraph" w:styleId="Footer">
    <w:name w:val="footer"/>
    <w:basedOn w:val="Normal"/>
    <w:link w:val="FooterChar"/>
    <w:uiPriority w:val="99"/>
    <w:rsid w:val="006560AB"/>
    <w:pPr>
      <w:tabs>
        <w:tab w:val="center" w:pos="4320"/>
        <w:tab w:val="right" w:pos="8640"/>
      </w:tabs>
    </w:pPr>
  </w:style>
  <w:style w:type="character" w:styleId="PageNumber">
    <w:name w:val="page number"/>
    <w:basedOn w:val="DefaultParagraphFont"/>
    <w:rsid w:val="006560AB"/>
  </w:style>
  <w:style w:type="paragraph" w:styleId="BlockText">
    <w:name w:val="Block Text"/>
    <w:basedOn w:val="Normal"/>
    <w:rsid w:val="006560AB"/>
    <w:pPr>
      <w:spacing w:after="240"/>
      <w:ind w:left="1440" w:right="1440"/>
    </w:pPr>
  </w:style>
  <w:style w:type="paragraph" w:customStyle="1" w:styleId="Paratitle">
    <w:name w:val="Para title"/>
    <w:basedOn w:val="Normal"/>
    <w:rsid w:val="006560AB"/>
    <w:pPr>
      <w:tabs>
        <w:tab w:val="center" w:pos="9270"/>
      </w:tabs>
      <w:spacing w:after="240"/>
    </w:pPr>
    <w:rPr>
      <w:spacing w:val="-2"/>
    </w:rPr>
  </w:style>
  <w:style w:type="paragraph" w:customStyle="1" w:styleId="Bullet">
    <w:name w:val="Bullet"/>
    <w:basedOn w:val="Normal"/>
    <w:rsid w:val="006560AB"/>
    <w:pPr>
      <w:tabs>
        <w:tab w:val="left" w:pos="2160"/>
      </w:tabs>
      <w:spacing w:after="220"/>
      <w:ind w:left="2160" w:hanging="720"/>
    </w:pPr>
  </w:style>
  <w:style w:type="paragraph" w:customStyle="1" w:styleId="TableFormat">
    <w:name w:val="TableFormat"/>
    <w:basedOn w:val="Bullet"/>
    <w:rsid w:val="006560AB"/>
    <w:pPr>
      <w:tabs>
        <w:tab w:val="clear" w:pos="2160"/>
        <w:tab w:val="left" w:pos="5040"/>
      </w:tabs>
      <w:ind w:left="5040" w:hanging="3600"/>
    </w:pPr>
  </w:style>
  <w:style w:type="paragraph" w:customStyle="1" w:styleId="TOCTitle">
    <w:name w:val="TOC Title"/>
    <w:basedOn w:val="Normal"/>
    <w:rsid w:val="006560A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560AB"/>
    <w:pPr>
      <w:jc w:val="center"/>
    </w:pPr>
    <w:rPr>
      <w:rFonts w:ascii="Times New Roman Bold" w:hAnsi="Times New Roman Bold"/>
      <w:b/>
      <w:bCs/>
      <w:caps/>
      <w:szCs w:val="22"/>
    </w:rPr>
  </w:style>
  <w:style w:type="character" w:styleId="Hyperlink">
    <w:name w:val="Hyperlink"/>
    <w:rsid w:val="006560AB"/>
    <w:rPr>
      <w:color w:val="0000FF"/>
      <w:u w:val="single"/>
    </w:rPr>
  </w:style>
  <w:style w:type="character" w:customStyle="1" w:styleId="FooterChar">
    <w:name w:val="Footer Char"/>
    <w:link w:val="Footer"/>
    <w:uiPriority w:val="99"/>
    <w:rsid w:val="006560AB"/>
    <w:rPr>
      <w:snapToGrid w:val="0"/>
      <w:kern w:val="28"/>
      <w:sz w:val="22"/>
    </w:rPr>
  </w:style>
  <w:style w:type="character" w:styleId="Emphasis">
    <w:name w:val="Emphasis"/>
    <w:qFormat/>
    <w:rsid w:val="006F7AD6"/>
    <w:rPr>
      <w:i/>
      <w:iCs/>
    </w:rPr>
  </w:style>
  <w:style w:type="character" w:customStyle="1" w:styleId="FootnoteTextChar">
    <w:name w:val="Footnote Text Char"/>
    <w:aliases w:val="ALTS FOOTNOTE Char,Footnote Text Ch Char,Footnote Text Char Char Char,Footnote Text Char Char Char1 Char Char Char Char,Footnote Text Char Char1 Char Char Char,Footnote Text Char1 Char Char1 Char,Footnote Text Char2 Char,fn Char"/>
    <w:link w:val="FootnoteText"/>
    <w:rsid w:val="006F7AD6"/>
  </w:style>
  <w:style w:type="character" w:customStyle="1" w:styleId="ParaNumChar1">
    <w:name w:val="ParaNum Char1"/>
    <w:link w:val="ParaNum"/>
    <w:locked/>
    <w:rsid w:val="006F7AD6"/>
    <w:rPr>
      <w:snapToGrid w:val="0"/>
      <w:kern w:val="28"/>
      <w:sz w:val="22"/>
    </w:rPr>
  </w:style>
  <w:style w:type="character" w:customStyle="1" w:styleId="documentbody">
    <w:name w:val="documentbody"/>
    <w:rsid w:val="006F7AD6"/>
  </w:style>
  <w:style w:type="character" w:customStyle="1" w:styleId="searchterm">
    <w:name w:val="searchterm"/>
    <w:rsid w:val="006F7AD6"/>
  </w:style>
  <w:style w:type="character" w:customStyle="1" w:styleId="apple-converted-space">
    <w:name w:val="apple-converted-space"/>
    <w:rsid w:val="006F7AD6"/>
  </w:style>
  <w:style w:type="paragraph" w:styleId="Caption">
    <w:name w:val="caption"/>
    <w:basedOn w:val="Normal"/>
    <w:next w:val="Normal"/>
    <w:qFormat/>
    <w:rsid w:val="006F7AD6"/>
    <w:pPr>
      <w:spacing w:before="120" w:after="120"/>
    </w:pPr>
    <w:rPr>
      <w:b/>
      <w:snapToGrid/>
    </w:rPr>
  </w:style>
  <w:style w:type="numbering" w:customStyle="1" w:styleId="Style1">
    <w:name w:val="Style1"/>
    <w:uiPriority w:val="99"/>
    <w:rsid w:val="006F7AD6"/>
    <w:pPr>
      <w:numPr>
        <w:numId w:val="8"/>
      </w:numPr>
    </w:pPr>
  </w:style>
  <w:style w:type="paragraph" w:customStyle="1" w:styleId="Paranum0">
    <w:name w:val="Paranum"/>
    <w:rsid w:val="006F7AD6"/>
    <w:pPr>
      <w:numPr>
        <w:numId w:val="9"/>
      </w:numPr>
      <w:tabs>
        <w:tab w:val="left" w:pos="1440"/>
      </w:tabs>
      <w:spacing w:after="240"/>
      <w:jc w:val="both"/>
    </w:pPr>
    <w:rPr>
      <w:sz w:val="22"/>
    </w:rPr>
  </w:style>
  <w:style w:type="character" w:customStyle="1" w:styleId="Heading2Char2">
    <w:name w:val="Heading 2 Char2"/>
    <w:aliases w:val="Heading 2 Char Char,Heading 2 Char Char Char Char Char,Heading 2 Char Char Char Char Char Char1 Char Char,Heading 2 Char1 Char,Heading 2 Char1 Char Char Char,Heading 2 Char1 Char Char Char Char1 Char Char,Heading 2 Char1 Char Char1 Char"/>
    <w:link w:val="Heading2"/>
    <w:rsid w:val="006F7AD6"/>
    <w:rPr>
      <w:b/>
      <w:snapToGrid w:val="0"/>
      <w:kern w:val="28"/>
      <w:sz w:val="22"/>
    </w:rPr>
  </w:style>
  <w:style w:type="character" w:customStyle="1" w:styleId="Heading3Char">
    <w:name w:val="Heading 3 Char"/>
    <w:link w:val="Heading3"/>
    <w:rsid w:val="006F7AD6"/>
    <w:rPr>
      <w:b/>
      <w:snapToGrid w:val="0"/>
      <w:kern w:val="28"/>
      <w:sz w:val="22"/>
    </w:rPr>
  </w:style>
  <w:style w:type="character" w:styleId="CommentReference">
    <w:name w:val="annotation reference"/>
    <w:uiPriority w:val="99"/>
    <w:rsid w:val="006F7AD6"/>
    <w:rPr>
      <w:sz w:val="16"/>
      <w:szCs w:val="16"/>
    </w:rPr>
  </w:style>
  <w:style w:type="character" w:customStyle="1" w:styleId="Heading1Char">
    <w:name w:val="Heading 1 Char"/>
    <w:link w:val="Heading1"/>
    <w:rsid w:val="006F7AD6"/>
    <w:rPr>
      <w:rFonts w:ascii="Times New Roman Bold" w:hAnsi="Times New Roman Bold"/>
      <w:b/>
      <w:caps/>
      <w:snapToGrid w:val="0"/>
      <w:kern w:val="28"/>
      <w:sz w:val="22"/>
    </w:rPr>
  </w:style>
  <w:style w:type="character" w:customStyle="1" w:styleId="Footnote">
    <w:name w:val="Footnote"/>
    <w:rsid w:val="006F7AD6"/>
  </w:style>
  <w:style w:type="character" w:customStyle="1" w:styleId="FootnoteTextChar4">
    <w:name w:val="Footnote Text Char4"/>
    <w:aliases w:val="Footnote Text Char Char Char Char Char Char4,Footnote Text Char Char4 Char3,Footnote Text Char1 Char Char Char Char Char Char1,Footnote Text Char1 Char1 Char Char Char4,Footnote Text Char2 Char Char Char3,Footnote Text Char2 Char3"/>
    <w:rsid w:val="006F7AD6"/>
    <w:rPr>
      <w:rFonts w:cs="Times New Roman"/>
      <w:lang w:val="en-US" w:eastAsia="en-US" w:bidi="ar-SA"/>
    </w:rPr>
  </w:style>
  <w:style w:type="character" w:customStyle="1" w:styleId="documentbody1">
    <w:name w:val="documentbody1"/>
    <w:rsid w:val="006F7AD6"/>
    <w:rPr>
      <w:rFonts w:ascii="Verdana" w:hAnsi="Verdana" w:cs="Times New Roman"/>
      <w:sz w:val="19"/>
      <w:szCs w:val="19"/>
    </w:rPr>
  </w:style>
  <w:style w:type="paragraph" w:styleId="BalloonText">
    <w:name w:val="Balloon Text"/>
    <w:basedOn w:val="Normal"/>
    <w:link w:val="BalloonTextChar"/>
    <w:uiPriority w:val="99"/>
    <w:rsid w:val="006F7AD6"/>
    <w:rPr>
      <w:rFonts w:ascii="Segoe UI" w:hAnsi="Segoe UI" w:cs="Segoe UI"/>
      <w:sz w:val="18"/>
      <w:szCs w:val="18"/>
    </w:rPr>
  </w:style>
  <w:style w:type="character" w:customStyle="1" w:styleId="BalloonTextChar">
    <w:name w:val="Balloon Text Char"/>
    <w:link w:val="BalloonText"/>
    <w:uiPriority w:val="99"/>
    <w:rsid w:val="006F7AD6"/>
    <w:rPr>
      <w:rFonts w:ascii="Segoe UI" w:hAnsi="Segoe UI" w:cs="Segoe UI"/>
      <w:snapToGrid w:val="0"/>
      <w:kern w:val="28"/>
      <w:sz w:val="18"/>
      <w:szCs w:val="18"/>
    </w:rPr>
  </w:style>
  <w:style w:type="paragraph" w:styleId="CommentText">
    <w:name w:val="annotation text"/>
    <w:basedOn w:val="Normal"/>
    <w:link w:val="CommentTextChar"/>
    <w:rsid w:val="006F7AD6"/>
    <w:rPr>
      <w:sz w:val="20"/>
    </w:rPr>
  </w:style>
  <w:style w:type="character" w:customStyle="1" w:styleId="CommentTextChar">
    <w:name w:val="Comment Text Char"/>
    <w:link w:val="CommentText"/>
    <w:rsid w:val="006F7AD6"/>
    <w:rPr>
      <w:snapToGrid w:val="0"/>
      <w:kern w:val="28"/>
    </w:rPr>
  </w:style>
  <w:style w:type="paragraph" w:styleId="CommentSubject">
    <w:name w:val="annotation subject"/>
    <w:basedOn w:val="CommentText"/>
    <w:next w:val="CommentText"/>
    <w:link w:val="CommentSubjectChar"/>
    <w:rsid w:val="006F7AD6"/>
    <w:rPr>
      <w:b/>
      <w:bCs/>
    </w:rPr>
  </w:style>
  <w:style w:type="character" w:customStyle="1" w:styleId="CommentSubjectChar">
    <w:name w:val="Comment Subject Char"/>
    <w:link w:val="CommentSubject"/>
    <w:rsid w:val="006F7AD6"/>
    <w:rPr>
      <w:b/>
      <w:bCs/>
      <w:snapToGrid w:val="0"/>
      <w:kern w:val="28"/>
    </w:rPr>
  </w:style>
  <w:style w:type="character" w:customStyle="1" w:styleId="Heading4Char">
    <w:name w:val="Heading 4 Char"/>
    <w:link w:val="Heading4"/>
    <w:rsid w:val="006F7AD6"/>
    <w:rPr>
      <w:b/>
      <w:snapToGrid w:val="0"/>
      <w:kern w:val="28"/>
      <w:sz w:val="22"/>
    </w:rPr>
  </w:style>
  <w:style w:type="character" w:customStyle="1" w:styleId="Heading5Char">
    <w:name w:val="Heading 5 Char"/>
    <w:link w:val="Heading5"/>
    <w:rsid w:val="006F7AD6"/>
    <w:rPr>
      <w:b/>
      <w:snapToGrid w:val="0"/>
      <w:kern w:val="28"/>
      <w:sz w:val="22"/>
    </w:rPr>
  </w:style>
  <w:style w:type="character" w:customStyle="1" w:styleId="Heading6Char">
    <w:name w:val="Heading 6 Char"/>
    <w:aliases w:val="h6 Char"/>
    <w:link w:val="Heading6"/>
    <w:rsid w:val="006F7AD6"/>
    <w:rPr>
      <w:b/>
      <w:snapToGrid w:val="0"/>
      <w:kern w:val="28"/>
      <w:sz w:val="22"/>
    </w:rPr>
  </w:style>
  <w:style w:type="character" w:customStyle="1" w:styleId="Heading7Char">
    <w:name w:val="Heading 7 Char"/>
    <w:link w:val="Heading7"/>
    <w:rsid w:val="006F7AD6"/>
    <w:rPr>
      <w:b/>
      <w:snapToGrid w:val="0"/>
      <w:kern w:val="28"/>
      <w:sz w:val="22"/>
    </w:rPr>
  </w:style>
  <w:style w:type="character" w:customStyle="1" w:styleId="Heading8Char">
    <w:name w:val="Heading 8 Char"/>
    <w:link w:val="Heading8"/>
    <w:rsid w:val="006F7AD6"/>
    <w:rPr>
      <w:b/>
      <w:snapToGrid w:val="0"/>
      <w:kern w:val="28"/>
      <w:sz w:val="22"/>
    </w:rPr>
  </w:style>
  <w:style w:type="character" w:customStyle="1" w:styleId="Heading9Char">
    <w:name w:val="Heading 9 Char"/>
    <w:link w:val="Heading9"/>
    <w:rsid w:val="006F7AD6"/>
    <w:rPr>
      <w:b/>
      <w:snapToGrid w:val="0"/>
      <w:kern w:val="28"/>
      <w:sz w:val="22"/>
    </w:rPr>
  </w:style>
  <w:style w:type="paragraph" w:styleId="BodyText">
    <w:name w:val="Body Text"/>
    <w:basedOn w:val="Normal"/>
    <w:link w:val="BodyTextChar"/>
    <w:rsid w:val="006F7AD6"/>
    <w:pPr>
      <w:widowControl/>
    </w:pPr>
    <w:rPr>
      <w:rFonts w:ascii="CG Times (W1)" w:hAnsi="CG Times (W1)"/>
      <w:snapToGrid/>
      <w:kern w:val="0"/>
      <w:lang w:val="x-none" w:eastAsia="x-none"/>
    </w:rPr>
  </w:style>
  <w:style w:type="character" w:customStyle="1" w:styleId="BodyTextChar">
    <w:name w:val="Body Text Char"/>
    <w:link w:val="BodyText"/>
    <w:rsid w:val="006F7AD6"/>
    <w:rPr>
      <w:rFonts w:ascii="CG Times (W1)" w:hAnsi="CG Times (W1)"/>
      <w:sz w:val="22"/>
      <w:lang w:val="x-none" w:eastAsia="x-none"/>
    </w:rPr>
  </w:style>
  <w:style w:type="character" w:styleId="FollowedHyperlink">
    <w:name w:val="FollowedHyperlink"/>
    <w:uiPriority w:val="99"/>
    <w:rsid w:val="006F7AD6"/>
    <w:rPr>
      <w:color w:val="954F72"/>
      <w:u w:val="single"/>
    </w:rPr>
  </w:style>
  <w:style w:type="character" w:customStyle="1" w:styleId="cosearchterm">
    <w:name w:val="co_searchterm"/>
    <w:rsid w:val="006F7AD6"/>
  </w:style>
  <w:style w:type="character" w:customStyle="1" w:styleId="ParaNumChar">
    <w:name w:val="ParaNum Char"/>
    <w:locked/>
    <w:rsid w:val="006F7AD6"/>
    <w:rPr>
      <w:rFonts w:ascii="Times New Roman" w:eastAsia="Times New Roman" w:hAnsi="Times New Roman" w:cs="Times New Roman"/>
      <w:snapToGrid w:val="0"/>
      <w:kern w:val="28"/>
      <w:szCs w:val="20"/>
    </w:rPr>
  </w:style>
  <w:style w:type="character" w:customStyle="1" w:styleId="UnresolvedMention1">
    <w:name w:val="Unresolved Mention1"/>
    <w:uiPriority w:val="99"/>
    <w:semiHidden/>
    <w:unhideWhenUsed/>
    <w:rsid w:val="006F7AD6"/>
    <w:rPr>
      <w:color w:val="808080"/>
      <w:shd w:val="clear" w:color="auto" w:fill="E6E6E6"/>
    </w:rPr>
  </w:style>
  <w:style w:type="character" w:customStyle="1" w:styleId="HeaderChar">
    <w:name w:val="Header Char"/>
    <w:link w:val="Header"/>
    <w:rsid w:val="006F7AD6"/>
    <w:rPr>
      <w:b/>
      <w:snapToGrid w:val="0"/>
      <w:kern w:val="28"/>
      <w:sz w:val="22"/>
    </w:rPr>
  </w:style>
  <w:style w:type="character" w:customStyle="1" w:styleId="EndnoteTextChar">
    <w:name w:val="Endnote Text Char"/>
    <w:link w:val="EndnoteText"/>
    <w:semiHidden/>
    <w:rsid w:val="006F7AD6"/>
    <w:rPr>
      <w:snapToGrid w:val="0"/>
      <w:kern w:val="28"/>
    </w:rPr>
  </w:style>
  <w:style w:type="paragraph" w:styleId="ListParagraph">
    <w:name w:val="List Paragraph"/>
    <w:basedOn w:val="Normal"/>
    <w:uiPriority w:val="34"/>
    <w:qFormat/>
    <w:rsid w:val="006F7AD6"/>
    <w:pPr>
      <w:ind w:left="720"/>
      <w:contextualSpacing/>
    </w:pPr>
  </w:style>
  <w:style w:type="paragraph" w:customStyle="1" w:styleId="msonormal">
    <w:name w:val="msonormal"/>
    <w:basedOn w:val="Normal"/>
    <w:rsid w:val="006F7AD6"/>
    <w:pPr>
      <w:widowControl/>
      <w:spacing w:before="100" w:beforeAutospacing="1" w:after="100" w:afterAutospacing="1"/>
    </w:pPr>
    <w:rPr>
      <w:snapToGrid/>
      <w:kern w:val="0"/>
      <w:sz w:val="24"/>
      <w:szCs w:val="24"/>
    </w:rPr>
  </w:style>
  <w:style w:type="paragraph" w:customStyle="1" w:styleId="xl63">
    <w:name w:val="xl63"/>
    <w:basedOn w:val="Normal"/>
    <w:rsid w:val="006F7AD6"/>
    <w:pPr>
      <w:widowControl/>
      <w:pBdr>
        <w:top w:val="single" w:sz="8" w:space="0" w:color="auto"/>
        <w:left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b/>
      <w:bCs/>
      <w:snapToGrid/>
      <w:kern w:val="0"/>
      <w:sz w:val="18"/>
      <w:szCs w:val="18"/>
    </w:rPr>
  </w:style>
  <w:style w:type="paragraph" w:customStyle="1" w:styleId="xl64">
    <w:name w:val="xl64"/>
    <w:basedOn w:val="Normal"/>
    <w:rsid w:val="006F7AD6"/>
    <w:pPr>
      <w:widowControl/>
      <w:pBdr>
        <w:top w:val="single" w:sz="8" w:space="0" w:color="auto"/>
        <w:left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b/>
      <w:bCs/>
      <w:snapToGrid/>
      <w:kern w:val="0"/>
      <w:sz w:val="18"/>
      <w:szCs w:val="18"/>
    </w:rPr>
  </w:style>
  <w:style w:type="paragraph" w:customStyle="1" w:styleId="xl65">
    <w:name w:val="xl65"/>
    <w:basedOn w:val="Normal"/>
    <w:rsid w:val="006F7AD6"/>
    <w:pPr>
      <w:widowControl/>
      <w:spacing w:before="100" w:beforeAutospacing="1" w:after="100" w:afterAutospacing="1"/>
    </w:pPr>
    <w:rPr>
      <w:rFonts w:ascii="Arial" w:hAnsi="Arial" w:cs="Arial"/>
      <w:b/>
      <w:bCs/>
      <w:snapToGrid/>
      <w:kern w:val="0"/>
      <w:sz w:val="18"/>
      <w:szCs w:val="18"/>
    </w:rPr>
  </w:style>
  <w:style w:type="paragraph" w:customStyle="1" w:styleId="xl66">
    <w:name w:val="xl66"/>
    <w:basedOn w:val="Normal"/>
    <w:rsid w:val="006F7AD6"/>
    <w:pPr>
      <w:widowControl/>
      <w:pBdr>
        <w:left w:val="single" w:sz="4" w:space="0" w:color="auto"/>
        <w:bottom w:val="single" w:sz="4" w:space="0" w:color="auto"/>
        <w:right w:val="single" w:sz="4" w:space="0" w:color="auto"/>
      </w:pBdr>
      <w:spacing w:before="100" w:beforeAutospacing="1" w:after="100" w:afterAutospacing="1"/>
      <w:jc w:val="center"/>
    </w:pPr>
    <w:rPr>
      <w:rFonts w:ascii="Arial" w:hAnsi="Arial" w:cs="Arial"/>
      <w:snapToGrid/>
      <w:color w:val="333333"/>
      <w:kern w:val="0"/>
      <w:sz w:val="18"/>
      <w:szCs w:val="18"/>
    </w:rPr>
  </w:style>
  <w:style w:type="paragraph" w:customStyle="1" w:styleId="xl67">
    <w:name w:val="xl67"/>
    <w:basedOn w:val="Normal"/>
    <w:rsid w:val="006F7AD6"/>
    <w:pPr>
      <w:widowControl/>
      <w:pBdr>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color w:val="333333"/>
      <w:kern w:val="0"/>
      <w:sz w:val="18"/>
      <w:szCs w:val="18"/>
    </w:rPr>
  </w:style>
  <w:style w:type="paragraph" w:customStyle="1" w:styleId="xl68">
    <w:name w:val="xl68"/>
    <w:basedOn w:val="Normal"/>
    <w:rsid w:val="006F7AD6"/>
    <w:pPr>
      <w:widowControl/>
      <w:pBdr>
        <w:left w:val="single" w:sz="4" w:space="0" w:color="auto"/>
        <w:bottom w:val="single" w:sz="4" w:space="0" w:color="auto"/>
        <w:right w:val="single" w:sz="4" w:space="0" w:color="auto"/>
      </w:pBdr>
      <w:spacing w:before="100" w:beforeAutospacing="1" w:after="100" w:afterAutospacing="1"/>
    </w:pPr>
    <w:rPr>
      <w:rFonts w:ascii="Arial" w:hAnsi="Arial" w:cs="Arial"/>
      <w:snapToGrid/>
      <w:kern w:val="0"/>
      <w:sz w:val="18"/>
      <w:szCs w:val="18"/>
    </w:rPr>
  </w:style>
  <w:style w:type="paragraph" w:customStyle="1" w:styleId="xl69">
    <w:name w:val="xl69"/>
    <w:basedOn w:val="Normal"/>
    <w:rsid w:val="006F7AD6"/>
    <w:pPr>
      <w:widowControl/>
      <w:spacing w:before="100" w:beforeAutospacing="1" w:after="100" w:afterAutospacing="1"/>
    </w:pPr>
    <w:rPr>
      <w:rFonts w:ascii="Arial" w:hAnsi="Arial" w:cs="Arial"/>
      <w:snapToGrid/>
      <w:kern w:val="0"/>
      <w:sz w:val="18"/>
      <w:szCs w:val="18"/>
    </w:rPr>
  </w:style>
  <w:style w:type="paragraph" w:customStyle="1" w:styleId="xl70">
    <w:name w:val="xl70"/>
    <w:basedOn w:val="Normal"/>
    <w:rsid w:val="006F7A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napToGrid/>
      <w:color w:val="333333"/>
      <w:kern w:val="0"/>
      <w:sz w:val="18"/>
      <w:szCs w:val="18"/>
    </w:rPr>
  </w:style>
  <w:style w:type="paragraph" w:customStyle="1" w:styleId="xl71">
    <w:name w:val="xl71"/>
    <w:basedOn w:val="Normal"/>
    <w:rsid w:val="006F7AD6"/>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color w:val="333333"/>
      <w:kern w:val="0"/>
      <w:sz w:val="18"/>
      <w:szCs w:val="18"/>
    </w:rPr>
  </w:style>
  <w:style w:type="paragraph" w:customStyle="1" w:styleId="xl72">
    <w:name w:val="xl72"/>
    <w:basedOn w:val="Normal"/>
    <w:rsid w:val="006F7AD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kern w:val="0"/>
      <w:sz w:val="18"/>
      <w:szCs w:val="18"/>
    </w:rPr>
  </w:style>
  <w:style w:type="paragraph" w:customStyle="1" w:styleId="xl73">
    <w:name w:val="xl73"/>
    <w:basedOn w:val="Normal"/>
    <w:rsid w:val="006F7AD6"/>
    <w:pPr>
      <w:widowControl/>
      <w:pBdr>
        <w:left w:val="single" w:sz="4" w:space="0" w:color="auto"/>
        <w:bottom w:val="single" w:sz="4" w:space="0" w:color="auto"/>
        <w:right w:val="single" w:sz="4" w:space="0" w:color="auto"/>
      </w:pBdr>
      <w:spacing w:before="100" w:beforeAutospacing="1" w:after="100" w:afterAutospacing="1"/>
    </w:pPr>
    <w:rPr>
      <w:rFonts w:ascii="Arial" w:hAnsi="Arial" w:cs="Arial"/>
      <w:snapToGrid/>
      <w:kern w:val="0"/>
      <w:sz w:val="18"/>
      <w:szCs w:val="18"/>
    </w:rPr>
  </w:style>
  <w:style w:type="paragraph" w:customStyle="1" w:styleId="xl74">
    <w:name w:val="xl74"/>
    <w:basedOn w:val="Normal"/>
    <w:rsid w:val="006F7AD6"/>
    <w:pPr>
      <w:widowControl/>
      <w:pBdr>
        <w:left w:val="single" w:sz="4" w:space="0" w:color="auto"/>
        <w:bottom w:val="single" w:sz="4" w:space="0" w:color="auto"/>
        <w:right w:val="single" w:sz="4" w:space="0" w:color="auto"/>
      </w:pBdr>
      <w:spacing w:before="100" w:beforeAutospacing="1" w:after="100" w:afterAutospacing="1"/>
    </w:pPr>
    <w:rPr>
      <w:rFonts w:ascii="Arial" w:hAnsi="Arial" w:cs="Arial"/>
      <w:snapToGrid/>
      <w:color w:val="333333"/>
      <w:kern w:val="0"/>
      <w:sz w:val="18"/>
      <w:szCs w:val="18"/>
    </w:rPr>
  </w:style>
  <w:style w:type="paragraph" w:customStyle="1" w:styleId="xl75">
    <w:name w:val="xl75"/>
    <w:basedOn w:val="Normal"/>
    <w:rsid w:val="006F7AD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kern w:val="0"/>
      <w:sz w:val="18"/>
      <w:szCs w:val="18"/>
    </w:rPr>
  </w:style>
  <w:style w:type="paragraph" w:customStyle="1" w:styleId="xl76">
    <w:name w:val="xl76"/>
    <w:basedOn w:val="Normal"/>
    <w:rsid w:val="006F7AD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color w:val="333333"/>
      <w:kern w:val="0"/>
      <w:sz w:val="18"/>
      <w:szCs w:val="18"/>
    </w:rPr>
  </w:style>
  <w:style w:type="table" w:styleId="TableGrid">
    <w:name w:val="Table Grid"/>
    <w:basedOn w:val="TableNormal"/>
    <w:uiPriority w:val="39"/>
    <w:rsid w:val="006F7AD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6F7AD6"/>
    <w:rPr>
      <w:color w:val="605E5C"/>
      <w:shd w:val="clear" w:color="auto" w:fill="E1DFDD"/>
    </w:rPr>
  </w:style>
  <w:style w:type="paragraph" w:styleId="Revision">
    <w:name w:val="Revision"/>
    <w:hidden/>
    <w:uiPriority w:val="99"/>
    <w:semiHidden/>
    <w:rsid w:val="006F7AD6"/>
    <w:rPr>
      <w:snapToGrid w:val="0"/>
      <w:kern w:val="28"/>
      <w:sz w:val="22"/>
    </w:rPr>
  </w:style>
  <w:style w:type="paragraph" w:styleId="NormalWeb">
    <w:name w:val="Normal (Web)"/>
    <w:basedOn w:val="Normal"/>
    <w:unhideWhenUsed/>
    <w:rsid w:val="006F7AD6"/>
    <w:pPr>
      <w:widowControl/>
      <w:spacing w:before="100" w:beforeAutospacing="1" w:after="100" w:afterAutospacing="1"/>
    </w:pPr>
    <w:rPr>
      <w:snapToGrid/>
      <w:kern w:val="0"/>
      <w:sz w:val="24"/>
      <w:szCs w:val="24"/>
    </w:rPr>
  </w:style>
  <w:style w:type="paragraph" w:customStyle="1" w:styleId="xmsonormal">
    <w:name w:val="x_msonormal"/>
    <w:basedOn w:val="Normal"/>
    <w:rsid w:val="006F7AD6"/>
    <w:pPr>
      <w:widowControl/>
      <w:spacing w:before="100" w:beforeAutospacing="1" w:after="100" w:afterAutospacing="1"/>
    </w:pPr>
    <w:rPr>
      <w:snapToGrid/>
      <w:kern w:val="0"/>
      <w:sz w:val="24"/>
      <w:szCs w:val="24"/>
    </w:rPr>
  </w:style>
  <w:style w:type="character" w:styleId="LineNumber">
    <w:name w:val="line number"/>
    <w:rsid w:val="006F7AD6"/>
  </w:style>
  <w:style w:type="paragraph" w:styleId="Subtitle">
    <w:name w:val="Subtitle"/>
    <w:basedOn w:val="Normal"/>
    <w:next w:val="Normal"/>
    <w:link w:val="SubtitleChar"/>
    <w:uiPriority w:val="11"/>
    <w:qFormat/>
    <w:rsid w:val="006F7AD6"/>
    <w:pPr>
      <w:widowControl/>
      <w:numPr>
        <w:ilvl w:val="1"/>
      </w:numPr>
      <w:spacing w:after="160" w:line="259" w:lineRule="auto"/>
    </w:pPr>
    <w:rPr>
      <w:rFonts w:ascii="Calibri" w:hAnsi="Calibri"/>
      <w:snapToGrid/>
      <w:color w:val="5A5A5A"/>
      <w:spacing w:val="15"/>
      <w:kern w:val="0"/>
      <w:szCs w:val="22"/>
    </w:rPr>
  </w:style>
  <w:style w:type="character" w:customStyle="1" w:styleId="SubtitleChar">
    <w:name w:val="Subtitle Char"/>
    <w:link w:val="Subtitle"/>
    <w:uiPriority w:val="11"/>
    <w:rsid w:val="006F7AD6"/>
    <w:rPr>
      <w:rFonts w:ascii="Calibri" w:hAnsi="Calibri"/>
      <w:color w:val="5A5A5A"/>
      <w:spacing w:val="15"/>
      <w:sz w:val="22"/>
      <w:szCs w:val="22"/>
    </w:rPr>
  </w:style>
  <w:style w:type="character" w:customStyle="1" w:styleId="UnresolvedMention3">
    <w:name w:val="Unresolved Mention3"/>
    <w:uiPriority w:val="99"/>
    <w:semiHidden/>
    <w:unhideWhenUsed/>
    <w:rsid w:val="006F7AD6"/>
    <w:rPr>
      <w:color w:val="605E5C"/>
      <w:shd w:val="clear" w:color="auto" w:fill="E1DFDD"/>
    </w:rPr>
  </w:style>
  <w:style w:type="paragraph" w:customStyle="1" w:styleId="xl77">
    <w:name w:val="xl77"/>
    <w:basedOn w:val="Normal"/>
    <w:rsid w:val="006F7A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color w:val="70AD47"/>
      <w:kern w:val="0"/>
      <w:sz w:val="24"/>
      <w:szCs w:val="24"/>
    </w:rPr>
  </w:style>
  <w:style w:type="paragraph" w:customStyle="1" w:styleId="xl78">
    <w:name w:val="xl78"/>
    <w:basedOn w:val="Normal"/>
    <w:rsid w:val="006F7A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color w:val="70AD47"/>
      <w:kern w:val="0"/>
      <w:sz w:val="24"/>
      <w:szCs w:val="24"/>
    </w:rPr>
  </w:style>
  <w:style w:type="paragraph" w:customStyle="1" w:styleId="xl79">
    <w:name w:val="xl79"/>
    <w:basedOn w:val="Normal"/>
    <w:rsid w:val="006F7AD6"/>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b/>
      <w:bCs/>
      <w:snapToGrid/>
      <w:color w:val="70AD47"/>
      <w:kern w:val="0"/>
      <w:sz w:val="24"/>
      <w:szCs w:val="24"/>
    </w:rPr>
  </w:style>
  <w:style w:type="paragraph" w:customStyle="1" w:styleId="xl80">
    <w:name w:val="xl80"/>
    <w:basedOn w:val="Normal"/>
    <w:rsid w:val="006F7AD6"/>
    <w:pPr>
      <w:widowControl/>
      <w:pBdr>
        <w:top w:val="single" w:sz="4" w:space="0" w:color="auto"/>
        <w:left w:val="single" w:sz="4" w:space="0" w:color="auto"/>
        <w:bottom w:val="single" w:sz="4" w:space="0" w:color="auto"/>
        <w:right w:val="single" w:sz="4" w:space="0" w:color="auto"/>
      </w:pBdr>
      <w:shd w:val="clear" w:color="FFFFFF" w:fill="F8FBFC"/>
      <w:spacing w:before="100" w:beforeAutospacing="1" w:after="100" w:afterAutospacing="1"/>
    </w:pPr>
    <w:rPr>
      <w:b/>
      <w:bCs/>
      <w:snapToGrid/>
      <w:color w:val="70AD47"/>
      <w:kern w:val="0"/>
      <w:sz w:val="24"/>
      <w:szCs w:val="24"/>
    </w:rPr>
  </w:style>
  <w:style w:type="paragraph" w:customStyle="1" w:styleId="xl81">
    <w:name w:val="xl81"/>
    <w:basedOn w:val="Normal"/>
    <w:rsid w:val="006F7AD6"/>
    <w:pPr>
      <w:widowControl/>
      <w:pBdr>
        <w:top w:val="single" w:sz="4" w:space="0" w:color="auto"/>
        <w:left w:val="single" w:sz="4" w:space="0" w:color="auto"/>
        <w:bottom w:val="single" w:sz="4" w:space="0" w:color="auto"/>
        <w:right w:val="single" w:sz="4" w:space="0" w:color="auto"/>
      </w:pBdr>
      <w:shd w:val="clear" w:color="FFFFFF" w:fill="F8FBFC"/>
      <w:spacing w:before="100" w:beforeAutospacing="1" w:after="100" w:afterAutospacing="1"/>
    </w:pPr>
    <w:rPr>
      <w:b/>
      <w:bCs/>
      <w:snapToGrid/>
      <w:color w:val="FF0000"/>
      <w:kern w:val="0"/>
      <w:sz w:val="24"/>
      <w:szCs w:val="24"/>
    </w:rPr>
  </w:style>
  <w:style w:type="paragraph" w:customStyle="1" w:styleId="xl82">
    <w:name w:val="xl82"/>
    <w:basedOn w:val="Normal"/>
    <w:rsid w:val="006F7A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color w:val="FF0000"/>
      <w:kern w:val="0"/>
      <w:sz w:val="24"/>
      <w:szCs w:val="24"/>
    </w:rPr>
  </w:style>
  <w:style w:type="paragraph" w:customStyle="1" w:styleId="xl83">
    <w:name w:val="xl83"/>
    <w:basedOn w:val="Normal"/>
    <w:rsid w:val="006F7A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color w:val="00B050"/>
      <w:kern w:val="0"/>
      <w:sz w:val="24"/>
      <w:szCs w:val="24"/>
    </w:rPr>
  </w:style>
  <w:style w:type="paragraph" w:customStyle="1" w:styleId="xl84">
    <w:name w:val="xl84"/>
    <w:basedOn w:val="Normal"/>
    <w:rsid w:val="006F7A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color w:val="00B050"/>
      <w:kern w:val="0"/>
      <w:sz w:val="24"/>
      <w:szCs w:val="24"/>
    </w:rPr>
  </w:style>
  <w:style w:type="paragraph" w:customStyle="1" w:styleId="xl85">
    <w:name w:val="xl85"/>
    <w:basedOn w:val="Normal"/>
    <w:rsid w:val="006F7A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color w:val="00B050"/>
      <w:kern w:val="0"/>
      <w:sz w:val="24"/>
      <w:szCs w:val="24"/>
    </w:rPr>
  </w:style>
  <w:style w:type="paragraph" w:customStyle="1" w:styleId="xl86">
    <w:name w:val="xl86"/>
    <w:basedOn w:val="Normal"/>
    <w:rsid w:val="006F7AD6"/>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b/>
      <w:bCs/>
      <w:snapToGrid/>
      <w:color w:val="00B050"/>
      <w:kern w:val="0"/>
      <w:sz w:val="24"/>
      <w:szCs w:val="24"/>
    </w:rPr>
  </w:style>
  <w:style w:type="paragraph" w:customStyle="1" w:styleId="xl87">
    <w:name w:val="xl87"/>
    <w:basedOn w:val="Normal"/>
    <w:rsid w:val="006F7AD6"/>
    <w:pPr>
      <w:widowControl/>
      <w:spacing w:before="100" w:beforeAutospacing="1" w:after="100" w:afterAutospacing="1"/>
      <w:jc w:val="center"/>
    </w:pPr>
    <w:rPr>
      <w:snapToGrid/>
      <w:kern w:val="0"/>
      <w:sz w:val="24"/>
      <w:szCs w:val="24"/>
    </w:rPr>
  </w:style>
  <w:style w:type="paragraph" w:customStyle="1" w:styleId="xl88">
    <w:name w:val="xl88"/>
    <w:basedOn w:val="Normal"/>
    <w:rsid w:val="006F7A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kern w:val="0"/>
      <w:sz w:val="24"/>
      <w:szCs w:val="24"/>
    </w:rPr>
  </w:style>
  <w:style w:type="paragraph" w:customStyle="1" w:styleId="xl89">
    <w:name w:val="xl89"/>
    <w:basedOn w:val="Normal"/>
    <w:rsid w:val="006F7A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kern w:val="0"/>
      <w:sz w:val="24"/>
      <w:szCs w:val="24"/>
    </w:rPr>
  </w:style>
  <w:style w:type="paragraph" w:customStyle="1" w:styleId="xl90">
    <w:name w:val="xl90"/>
    <w:basedOn w:val="Normal"/>
    <w:rsid w:val="006F7A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kern w:val="0"/>
      <w:sz w:val="24"/>
      <w:szCs w:val="24"/>
    </w:rPr>
  </w:style>
  <w:style w:type="paragraph" w:customStyle="1" w:styleId="xl91">
    <w:name w:val="xl91"/>
    <w:basedOn w:val="Normal"/>
    <w:rsid w:val="006F7AD6"/>
    <w:pPr>
      <w:widowControl/>
      <w:pBdr>
        <w:top w:val="single" w:sz="4" w:space="0" w:color="auto"/>
        <w:left w:val="single" w:sz="4" w:space="0" w:color="auto"/>
        <w:bottom w:val="single" w:sz="4" w:space="0" w:color="auto"/>
        <w:right w:val="single" w:sz="4" w:space="0" w:color="auto"/>
      </w:pBdr>
      <w:shd w:val="clear" w:color="FFFFFF" w:fill="F8FBFC"/>
      <w:spacing w:before="100" w:beforeAutospacing="1" w:after="100" w:afterAutospacing="1"/>
    </w:pPr>
    <w:rPr>
      <w:b/>
      <w:bCs/>
      <w:snapToGrid/>
      <w:kern w:val="0"/>
      <w:sz w:val="24"/>
      <w:szCs w:val="24"/>
    </w:rPr>
  </w:style>
  <w:style w:type="paragraph" w:customStyle="1" w:styleId="xl92">
    <w:name w:val="xl92"/>
    <w:basedOn w:val="Normal"/>
    <w:rsid w:val="006F7AD6"/>
    <w:pPr>
      <w:widowControl/>
      <w:spacing w:before="100" w:beforeAutospacing="1" w:after="100" w:afterAutospacing="1"/>
    </w:pPr>
    <w:rPr>
      <w:snapToGrid/>
      <w:kern w:val="0"/>
      <w:sz w:val="24"/>
      <w:szCs w:val="24"/>
    </w:rPr>
  </w:style>
  <w:style w:type="paragraph" w:customStyle="1" w:styleId="xl93">
    <w:name w:val="xl93"/>
    <w:basedOn w:val="Normal"/>
    <w:rsid w:val="006F7AD6"/>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b/>
      <w:bCs/>
      <w:snapToGrid/>
      <w:kern w:val="0"/>
      <w:sz w:val="24"/>
      <w:szCs w:val="24"/>
    </w:rPr>
  </w:style>
  <w:style w:type="paragraph" w:customStyle="1" w:styleId="xl94">
    <w:name w:val="xl94"/>
    <w:basedOn w:val="Normal"/>
    <w:rsid w:val="006F7AD6"/>
    <w:pPr>
      <w:widowControl/>
      <w:spacing w:before="100" w:beforeAutospacing="1" w:after="100" w:afterAutospacing="1"/>
      <w:jc w:val="center"/>
    </w:pPr>
    <w:rPr>
      <w:snapToGrid/>
      <w:color w:val="FF0000"/>
      <w:kern w:val="0"/>
      <w:sz w:val="24"/>
      <w:szCs w:val="24"/>
    </w:rPr>
  </w:style>
  <w:style w:type="paragraph" w:customStyle="1" w:styleId="xl95">
    <w:name w:val="xl95"/>
    <w:basedOn w:val="Normal"/>
    <w:rsid w:val="006F7AD6"/>
    <w:pPr>
      <w:widowControl/>
      <w:spacing w:before="100" w:beforeAutospacing="1" w:after="100" w:afterAutospacing="1"/>
      <w:jc w:val="center"/>
    </w:pPr>
    <w:rPr>
      <w:snapToGrid/>
      <w:color w:val="70AD47"/>
      <w:kern w:val="0"/>
      <w:sz w:val="24"/>
      <w:szCs w:val="24"/>
    </w:rPr>
  </w:style>
  <w:style w:type="paragraph" w:customStyle="1" w:styleId="xl96">
    <w:name w:val="xl96"/>
    <w:basedOn w:val="Normal"/>
    <w:rsid w:val="006F7A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napToGrid/>
      <w:kern w:val="0"/>
      <w:sz w:val="24"/>
      <w:szCs w:val="24"/>
      <w:u w:val="single"/>
    </w:rPr>
  </w:style>
  <w:style w:type="paragraph" w:customStyle="1" w:styleId="xl97">
    <w:name w:val="xl97"/>
    <w:basedOn w:val="Normal"/>
    <w:rsid w:val="006F7A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napToGrid/>
      <w:kern w:val="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header" Target="header3.xml" /><Relationship Id="rId16" Type="http://schemas.openxmlformats.org/officeDocument/2006/relationships/footer" Target="footer4.xml" /><Relationship Id="rId17" Type="http://schemas.openxmlformats.org/officeDocument/2006/relationships/footer" Target="footer5.xml" /><Relationship Id="rId18" Type="http://schemas.openxmlformats.org/officeDocument/2006/relationships/header" Target="header4.xml" /><Relationship Id="rId19" Type="http://schemas.openxmlformats.org/officeDocument/2006/relationships/footer" Target="footer6.xml" /><Relationship Id="rId2" Type="http://schemas.openxmlformats.org/officeDocument/2006/relationships/settings" Target="settings.xml" /><Relationship Id="rId20" Type="http://schemas.openxmlformats.org/officeDocument/2006/relationships/hyperlink" Target="https://www.fcc.gov/licensing-databases/fees/regulatory-fees" TargetMode="External" /><Relationship Id="rId21" Type="http://schemas.openxmlformats.org/officeDocument/2006/relationships/header" Target="header5.xml" /><Relationship Id="rId22" Type="http://schemas.openxmlformats.org/officeDocument/2006/relationships/footer" Target="footer7.xml" /><Relationship Id="rId23" Type="http://schemas.openxmlformats.org/officeDocument/2006/relationships/footer" Target="footer8.xml" /><Relationship Id="rId24" Type="http://schemas.openxmlformats.org/officeDocument/2006/relationships/header" Target="header6.xml" /><Relationship Id="rId25" Type="http://schemas.openxmlformats.org/officeDocument/2006/relationships/footer" Target="footer9.xml" /><Relationship Id="rId26" Type="http://schemas.openxmlformats.org/officeDocument/2006/relationships/header" Target="header7.xml" /><Relationship Id="rId27" Type="http://schemas.openxmlformats.org/officeDocument/2006/relationships/footer" Target="footer10.xml" /><Relationship Id="rId28" Type="http://schemas.openxmlformats.org/officeDocument/2006/relationships/footer" Target="footer11.xml" /><Relationship Id="rId29" Type="http://schemas.openxmlformats.org/officeDocument/2006/relationships/header" Target="header8.xml" /><Relationship Id="rId3" Type="http://schemas.openxmlformats.org/officeDocument/2006/relationships/webSettings" Target="webSettings.xml" /><Relationship Id="rId30" Type="http://schemas.openxmlformats.org/officeDocument/2006/relationships/footer" Target="footer12.xml" /><Relationship Id="rId31" Type="http://schemas.openxmlformats.org/officeDocument/2006/relationships/theme" Target="theme/theme1.xml" /><Relationship Id="rId32" Type="http://schemas.openxmlformats.org/officeDocument/2006/relationships/numbering" Target="numbering.xml" /><Relationship Id="rId33"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hyperlink" Target="https://www.fcc.gov/regfees" TargetMode="External" /><Relationship Id="rId6" Type="http://schemas.openxmlformats.org/officeDocument/2006/relationships/hyperlink" Target="http://transition.fcc.gov/fees/regfees.html" TargetMode="External" /><Relationship Id="rId7" Type="http://schemas.openxmlformats.org/officeDocument/2006/relationships/hyperlink" Target="http://transition.fcc.gov/fees/wiretran.html" TargetMode="External" /><Relationship Id="rId8" Type="http://schemas.openxmlformats.org/officeDocument/2006/relationships/hyperlink" Target="http://apps.fcc.gov/ecfs/" TargetMode="External" /><Relationship Id="rId9" Type="http://schemas.openxmlformats.org/officeDocument/2006/relationships/hyperlink" Target="file://C:\Users\Thomas\AppData\Local\Microsoft\Windows\Temporary%20Internet%20Files\Content.IE5\AppData\Local\Microsoft\Windows\Temporary%20Internet%20Files\Content.IE5\Users\Mika.Savir\AppData\Local\Microsoft\Windows\Temporary%20Internet%20Files\AppData\Local\Microsoft\Windows\Temporary%20Internet%20Files\Content.IE5\Users\Roland.Helvajian\AppData\Local\Microsoft\Windows\Temporary%20Internet%20Files\Content.Outlook\Users\Mika.Savir\AppData\Local\Microsoft\Windows\Temporary%20Internet%20Files\Content.Outlook\Local%20Settings\Temporary%20Internet%20Files\Users\Mika.Savir\AppData\Local\Microsoft\Windows\Temporary%20Internet%20Files\AppData\Local\Microsoft\Windows\Temporary%20Internet%20Files\Content.IE5\Local%20Settings\Temporary%20Internet%20Files\AppData\Local\Microsoft\Windows\Temporary%20Internet%20Files\Content.IE5\Users\Mika.Savir\AppData\Local\Microsoft\Windows\Temporary%20Internet%20Files\Content.Outlook\204T2IWP\fcc504@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opens-office-economics-and-analytics" TargetMode="External" /><Relationship Id="rId10" Type="http://schemas.openxmlformats.org/officeDocument/2006/relationships/hyperlink" Target="http://www.census.gov.cgi-bin/sssd/naics/naicsrch" TargetMode="External" /><Relationship Id="rId11" Type="http://schemas.openxmlformats.org/officeDocument/2006/relationships/hyperlink" Target="http://transition.fcc.gov/Daily_Releases/Daily_Business/2012/db0106/DOC-311837A1.pdf" TargetMode="External" /><Relationship Id="rId12" Type="http://schemas.openxmlformats.org/officeDocument/2006/relationships/hyperlink" Target="http://factfinder.census.gov/faces/tableservices/jsf/pages/productview.xhtml?pid=ECN_2012_US-51SSSZ5&amp;prodType=Table" TargetMode="External" /><Relationship Id="rId13" Type="http://schemas.openxmlformats.org/officeDocument/2006/relationships/hyperlink" Target="http://www.snl.com/interactiveX" TargetMode="External" /><Relationship Id="rId14" Type="http://schemas.openxmlformats.org/officeDocument/2006/relationships/hyperlink" Target="http://www.fcc.gov" TargetMode="External" /><Relationship Id="rId15" Type="http://schemas.openxmlformats.org/officeDocument/2006/relationships/hyperlink" Target="http://www.snl.com/Interactivex/TopCable" TargetMode="External" /><Relationship Id="rId16" Type="http://schemas.openxmlformats.org/officeDocument/2006/relationships/hyperlink" Target="http://www.census.gov/cgi-bin/ssssd/naics/naicsrch" TargetMode="External" /><Relationship Id="rId2" Type="http://schemas.openxmlformats.org/officeDocument/2006/relationships/hyperlink" Target="http://www.whitehouse.gov/the-press-office/2011/06/13/executive-order-13576-delivering-efficient-effective-and-accountable-gov" TargetMode="External" /><Relationship Id="rId3" Type="http://schemas.openxmlformats.org/officeDocument/2006/relationships/hyperlink" Target="https://www.fcc.gov/licensing-databases/fees/regulatory-fees" TargetMode="External" /><Relationship Id="rId4" Type="http://schemas.openxmlformats.org/officeDocument/2006/relationships/hyperlink" Target="https://www.sba.gov/sites/default/files/advocacy/SB-FAQ-2016_WEB." TargetMode="External" /><Relationship Id="rId5" Type="http://schemas.openxmlformats.org/officeDocument/2006/relationships/hyperlink" Target="https://www.sba.gov/sites/default/files/advocacy/SB-FAQ-2016_WEB.pdf" TargetMode="External" /><Relationship Id="rId6" Type="http://schemas.openxmlformats.org/officeDocument/2006/relationships/hyperlink" Target="http://factfinder.census.gov/faces/tableservices/jsf/pages/productview.xhtml?pid=ECN_2012_US_51SSSZ5&amp;prodType=table" TargetMode="External" /><Relationship Id="rId7" Type="http://schemas.openxmlformats.org/officeDocument/2006/relationships/hyperlink" Target="http://www.census.gov/cgi-bin/sssd/naics/naicsrch" TargetMode="External" /><Relationship Id="rId8" Type="http://schemas.openxmlformats.org/officeDocument/2006/relationships/hyperlink" Target="http://www.census.gov/cgi-bin/ssd/naics/naicsrch" TargetMode="External" /><Relationship Id="rId9" Type="http://schemas.openxmlformats.org/officeDocument/2006/relationships/hyperlink" Target="http://www.census.gov/cgi-bin/ssd/naics/naiscsrch"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