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6287D" w:rsidRPr="00FB6AB7" w:rsidP="00C6287D">
      <w:pPr>
        <w:jc w:val="center"/>
        <w:rPr>
          <w:b/>
          <w:bCs/>
        </w:rPr>
      </w:pPr>
      <w:r w:rsidRPr="00B7446E">
        <w:rPr>
          <w:b/>
          <w:bCs/>
        </w:rPr>
        <w:t>Before the</w:t>
      </w:r>
    </w:p>
    <w:p w:rsidR="00C6287D" w:rsidRPr="003E0698" w:rsidP="00C6287D">
      <w:pPr>
        <w:pStyle w:val="StyleBoldCentered"/>
        <w:rPr>
          <w:rFonts w:ascii="Times New Roman" w:hAnsi="Times New Roman"/>
        </w:rPr>
      </w:pPr>
      <w:r w:rsidRPr="003E0698">
        <w:rPr>
          <w:rFonts w:ascii="Times New Roman" w:hAnsi="Times New Roman"/>
        </w:rPr>
        <w:t>F</w:t>
      </w:r>
      <w:r w:rsidRPr="003E0698">
        <w:rPr>
          <w:rFonts w:ascii="Times New Roman" w:hAnsi="Times New Roman"/>
          <w:caps w:val="0"/>
        </w:rPr>
        <w:t>ederal Communications Commission</w:t>
      </w:r>
    </w:p>
    <w:p w:rsidR="00C6287D" w:rsidRPr="003E0698" w:rsidP="00C6287D">
      <w:pPr>
        <w:pStyle w:val="StyleBoldCentered"/>
        <w:rPr>
          <w:rFonts w:ascii="Times New Roman" w:hAnsi="Times New Roman"/>
        </w:rPr>
      </w:pPr>
      <w:r w:rsidRPr="131B51E6">
        <w:rPr>
          <w:rFonts w:ascii="Times New Roman" w:hAnsi="Times New Roman"/>
          <w:caps w:val="0"/>
        </w:rPr>
        <w:t>Washington</w:t>
      </w:r>
      <w:r w:rsidRPr="01DFDF38">
        <w:rPr>
          <w:rFonts w:ascii="Times New Roman" w:hAnsi="Times New Roman"/>
          <w:caps w:val="0"/>
        </w:rPr>
        <w:t>, D.C. 20554</w:t>
      </w:r>
    </w:p>
    <w:p w:rsidR="00C6287D" w:rsidRPr="003E0698" w:rsidP="00C6287D"/>
    <w:p w:rsidR="00C6287D" w:rsidRPr="003E0698" w:rsidP="00C6287D"/>
    <w:tbl>
      <w:tblPr>
        <w:tblW w:w="0" w:type="auto"/>
        <w:tblLayout w:type="fixed"/>
        <w:tblLook w:val="04A0"/>
      </w:tblPr>
      <w:tblGrid>
        <w:gridCol w:w="4698"/>
        <w:gridCol w:w="630"/>
        <w:gridCol w:w="4248"/>
      </w:tblGrid>
      <w:tr w:rsidTr="00525353">
        <w:tblPrEx>
          <w:tblW w:w="0" w:type="auto"/>
          <w:tblLayout w:type="fixed"/>
          <w:tblLook w:val="04A0"/>
        </w:tblPrEx>
        <w:tc>
          <w:tcPr>
            <w:tcW w:w="4698" w:type="dxa"/>
          </w:tcPr>
          <w:p w:rsidR="00C6287D" w:rsidRPr="005B36BB" w:rsidP="00525353">
            <w:pPr>
              <w:tabs>
                <w:tab w:val="center" w:pos="4680"/>
              </w:tabs>
              <w:suppressAutoHyphens/>
              <w:rPr>
                <w:spacing w:val="-2"/>
              </w:rPr>
            </w:pPr>
            <w:r w:rsidRPr="005B36BB">
              <w:rPr>
                <w:spacing w:val="-2"/>
              </w:rPr>
              <w:t>In the Matter of</w:t>
            </w:r>
          </w:p>
          <w:p w:rsidR="00C6287D" w:rsidRPr="005B36BB" w:rsidP="00525353">
            <w:pPr>
              <w:tabs>
                <w:tab w:val="center" w:pos="4680"/>
              </w:tabs>
              <w:suppressAutoHyphens/>
              <w:rPr>
                <w:spacing w:val="-2"/>
              </w:rPr>
            </w:pPr>
          </w:p>
          <w:p w:rsidR="00C6287D" w:rsidRPr="005B36BB" w:rsidP="00525353">
            <w:pPr>
              <w:tabs>
                <w:tab w:val="center" w:pos="4680"/>
              </w:tabs>
              <w:suppressAutoHyphens/>
              <w:rPr>
                <w:spacing w:val="-2"/>
              </w:rPr>
            </w:pPr>
            <w:r w:rsidRPr="005B36BB">
              <w:rPr>
                <w:spacing w:val="-2"/>
              </w:rPr>
              <w:t>Inquiry Concerning Deployment of Advanced Telecommunications Capability to All Americans in a Reasonable and Timely Fashion</w:t>
            </w:r>
          </w:p>
        </w:tc>
        <w:tc>
          <w:tcPr>
            <w:tcW w:w="630" w:type="dxa"/>
            <w:hideMark/>
          </w:tcPr>
          <w:p w:rsidR="00C6287D" w:rsidRPr="005B36BB" w:rsidP="00525353">
            <w:pPr>
              <w:tabs>
                <w:tab w:val="center" w:pos="4680"/>
              </w:tabs>
              <w:suppressAutoHyphens/>
              <w:rPr>
                <w:b/>
                <w:spacing w:val="-2"/>
              </w:rPr>
            </w:pPr>
            <w:r w:rsidRPr="005B36BB">
              <w:rPr>
                <w:b/>
                <w:spacing w:val="-2"/>
              </w:rPr>
              <w:t>)</w:t>
            </w:r>
          </w:p>
          <w:p w:rsidR="00C6287D" w:rsidRPr="005B36BB" w:rsidP="00525353">
            <w:pPr>
              <w:tabs>
                <w:tab w:val="center" w:pos="4680"/>
              </w:tabs>
              <w:suppressAutoHyphens/>
              <w:rPr>
                <w:b/>
                <w:spacing w:val="-2"/>
              </w:rPr>
            </w:pPr>
            <w:r w:rsidRPr="005B36BB">
              <w:rPr>
                <w:b/>
                <w:spacing w:val="-2"/>
              </w:rPr>
              <w:t>)</w:t>
            </w:r>
          </w:p>
          <w:p w:rsidR="00C6287D" w:rsidRPr="005B36BB" w:rsidP="00525353">
            <w:pPr>
              <w:tabs>
                <w:tab w:val="center" w:pos="4680"/>
              </w:tabs>
              <w:suppressAutoHyphens/>
              <w:rPr>
                <w:b/>
                <w:spacing w:val="-2"/>
              </w:rPr>
            </w:pPr>
            <w:r w:rsidRPr="005B36BB">
              <w:rPr>
                <w:b/>
                <w:spacing w:val="-2"/>
              </w:rPr>
              <w:t>)</w:t>
            </w:r>
          </w:p>
          <w:p w:rsidR="00C6287D" w:rsidRPr="005B36BB" w:rsidP="00525353">
            <w:pPr>
              <w:tabs>
                <w:tab w:val="center" w:pos="4680"/>
              </w:tabs>
              <w:suppressAutoHyphens/>
              <w:rPr>
                <w:b/>
                <w:spacing w:val="-2"/>
              </w:rPr>
            </w:pPr>
            <w:r w:rsidRPr="005B36BB">
              <w:rPr>
                <w:b/>
                <w:spacing w:val="-2"/>
              </w:rPr>
              <w:t>)</w:t>
            </w:r>
          </w:p>
          <w:p w:rsidR="00C6287D" w:rsidRPr="005B36BB" w:rsidP="00525353">
            <w:pPr>
              <w:tabs>
                <w:tab w:val="center" w:pos="4680"/>
              </w:tabs>
              <w:suppressAutoHyphens/>
              <w:rPr>
                <w:spacing w:val="-2"/>
              </w:rPr>
            </w:pPr>
            <w:r w:rsidRPr="005B36BB">
              <w:rPr>
                <w:b/>
                <w:spacing w:val="-2"/>
              </w:rPr>
              <w:t>)</w:t>
            </w:r>
          </w:p>
        </w:tc>
        <w:tc>
          <w:tcPr>
            <w:tcW w:w="4248" w:type="dxa"/>
          </w:tcPr>
          <w:p w:rsidR="00C6287D" w:rsidRPr="005B36BB" w:rsidP="00525353">
            <w:pPr>
              <w:tabs>
                <w:tab w:val="center" w:pos="4680"/>
              </w:tabs>
              <w:suppressAutoHyphens/>
              <w:rPr>
                <w:spacing w:val="-2"/>
              </w:rPr>
            </w:pPr>
          </w:p>
          <w:p w:rsidR="00C6287D" w:rsidRPr="005B36BB" w:rsidP="00525353">
            <w:pPr>
              <w:pStyle w:val="TOAHeading"/>
              <w:tabs>
                <w:tab w:val="center" w:pos="4680"/>
              </w:tabs>
              <w:rPr>
                <w:spacing w:val="-2"/>
              </w:rPr>
            </w:pPr>
          </w:p>
          <w:p w:rsidR="00C6287D" w:rsidRPr="005B36BB" w:rsidP="00525353">
            <w:pPr>
              <w:tabs>
                <w:tab w:val="center" w:pos="4680"/>
              </w:tabs>
              <w:suppressAutoHyphens/>
              <w:rPr>
                <w:spacing w:val="-2"/>
              </w:rPr>
            </w:pPr>
            <w:r w:rsidRPr="005B36BB">
              <w:rPr>
                <w:spacing w:val="-2"/>
              </w:rPr>
              <w:t xml:space="preserve">GN Docket No. 18-238 </w:t>
            </w:r>
          </w:p>
        </w:tc>
      </w:tr>
    </w:tbl>
    <w:p w:rsidR="00C6287D" w:rsidRPr="003E0698" w:rsidP="00C6287D"/>
    <w:p w:rsidR="00C6287D" w:rsidRPr="003E0698" w:rsidP="00C6287D">
      <w:pPr>
        <w:pStyle w:val="StyleBoldCentered"/>
        <w:rPr>
          <w:rFonts w:ascii="Times New Roman" w:hAnsi="Times New Roman"/>
        </w:rPr>
      </w:pPr>
      <w:r w:rsidRPr="003E0698">
        <w:rPr>
          <w:rFonts w:ascii="Times New Roman" w:hAnsi="Times New Roman"/>
        </w:rPr>
        <w:t>2019 Broadband Deployment Report</w:t>
      </w:r>
    </w:p>
    <w:p w:rsidR="00C6287D" w:rsidRPr="003E0698" w:rsidP="00C6287D">
      <w:pPr>
        <w:tabs>
          <w:tab w:val="left" w:pos="-720"/>
        </w:tabs>
        <w:suppressAutoHyphens/>
        <w:spacing w:line="223" w:lineRule="auto"/>
        <w:rPr>
          <w:spacing w:val="-2"/>
        </w:rPr>
      </w:pPr>
    </w:p>
    <w:p w:rsidR="00C6287D" w:rsidRPr="003E0698" w:rsidP="00C6287D">
      <w:pPr>
        <w:tabs>
          <w:tab w:val="left" w:pos="720"/>
          <w:tab w:val="right" w:pos="9360"/>
        </w:tabs>
        <w:suppressAutoHyphens/>
        <w:spacing w:line="223" w:lineRule="auto"/>
        <w:rPr>
          <w:spacing w:val="-2"/>
        </w:rPr>
      </w:pPr>
      <w:r w:rsidRPr="003E0698">
        <w:rPr>
          <w:b/>
          <w:spacing w:val="-2"/>
        </w:rPr>
        <w:t xml:space="preserve">Adopted:  </w:t>
      </w:r>
      <w:r w:rsidR="00544DC6">
        <w:rPr>
          <w:b/>
          <w:spacing w:val="-2"/>
        </w:rPr>
        <w:t>May 8, 2019</w:t>
      </w:r>
      <w:r w:rsidRPr="003E0698">
        <w:rPr>
          <w:b/>
          <w:spacing w:val="-2"/>
        </w:rPr>
        <w:tab/>
        <w:t xml:space="preserve">Released:  </w:t>
      </w:r>
      <w:r w:rsidR="00544DC6">
        <w:rPr>
          <w:b/>
          <w:spacing w:val="-2"/>
        </w:rPr>
        <w:t xml:space="preserve">May </w:t>
      </w:r>
      <w:r w:rsidR="00590429">
        <w:rPr>
          <w:b/>
          <w:spacing w:val="-2"/>
        </w:rPr>
        <w:t>29</w:t>
      </w:r>
      <w:r w:rsidR="00544DC6">
        <w:rPr>
          <w:b/>
          <w:spacing w:val="-2"/>
        </w:rPr>
        <w:t>, 2019</w:t>
      </w:r>
    </w:p>
    <w:p w:rsidR="00C6287D" w:rsidRPr="003E0698" w:rsidP="00C6287D"/>
    <w:p w:rsidR="00C6287D" w:rsidRPr="003E0698" w:rsidP="00C6287D">
      <w:pPr>
        <w:rPr>
          <w:spacing w:val="-2"/>
        </w:rPr>
      </w:pPr>
      <w:r>
        <w:t>By the Commission: Commissioners O’Rielly and Carr issuing separate statements; Commissioners Rosenworcel and Starks dissenting and issuing separate statements.</w:t>
      </w:r>
    </w:p>
    <w:p w:rsidR="00C6287D" w:rsidP="00C6287D">
      <w:pPr>
        <w:pStyle w:val="TOCTitle"/>
      </w:pPr>
      <w:bookmarkStart w:id="0" w:name="TOChere"/>
      <w:r>
        <w:t>Table of Contents</w:t>
      </w:r>
    </w:p>
    <w:p w:rsidR="00C6287D" w:rsidRPr="00C6287D" w:rsidP="00C6287D">
      <w:pPr>
        <w:pStyle w:val="TOC1"/>
        <w:rPr>
          <w:rFonts w:ascii="Calibri" w:hAnsi="Calibri"/>
          <w:caps w:val="0"/>
          <w:kern w:val="0"/>
        </w:rPr>
      </w:pPr>
      <w:bookmarkStart w:id="1" w:name="start_here"/>
      <w:bookmarkEnd w:id="1"/>
      <w:r w:rsidRPr="00771AA0">
        <w:t>I.</w:t>
      </w:r>
      <w:r w:rsidRPr="00C6287D">
        <w:rPr>
          <w:rFonts w:ascii="Calibri" w:hAnsi="Calibri"/>
          <w:caps w:val="0"/>
          <w:kern w:val="0"/>
        </w:rPr>
        <w:tab/>
      </w:r>
      <w:r w:rsidRPr="00771AA0">
        <w:t>Introduction</w:t>
      </w:r>
      <w:r>
        <w:tab/>
        <w:t>1</w:t>
      </w:r>
    </w:p>
    <w:p w:rsidR="00C6287D" w:rsidRPr="00C6287D" w:rsidP="00C6287D">
      <w:pPr>
        <w:pStyle w:val="TOC1"/>
        <w:rPr>
          <w:rFonts w:ascii="Calibri" w:hAnsi="Calibri"/>
          <w:caps w:val="0"/>
          <w:kern w:val="0"/>
        </w:rPr>
      </w:pPr>
      <w:r w:rsidRPr="00771AA0">
        <w:t>II.</w:t>
      </w:r>
      <w:r w:rsidRPr="00C6287D">
        <w:rPr>
          <w:rFonts w:ascii="Calibri" w:hAnsi="Calibri"/>
          <w:caps w:val="0"/>
          <w:kern w:val="0"/>
        </w:rPr>
        <w:tab/>
      </w:r>
      <w:r w:rsidRPr="00771AA0">
        <w:t>Background</w:t>
      </w:r>
      <w:r>
        <w:tab/>
        <w:t>5</w:t>
      </w:r>
    </w:p>
    <w:p w:rsidR="00C6287D" w:rsidRPr="00C6287D" w:rsidP="00C6287D">
      <w:pPr>
        <w:pStyle w:val="TOC1"/>
        <w:rPr>
          <w:rFonts w:ascii="Calibri" w:hAnsi="Calibri"/>
          <w:caps w:val="0"/>
          <w:kern w:val="0"/>
        </w:rPr>
      </w:pPr>
      <w:r>
        <w:t>III.</w:t>
      </w:r>
      <w:r w:rsidRPr="00C6287D">
        <w:rPr>
          <w:rFonts w:ascii="Calibri" w:hAnsi="Calibri"/>
          <w:caps w:val="0"/>
          <w:kern w:val="0"/>
        </w:rPr>
        <w:tab/>
      </w:r>
      <w:r>
        <w:t xml:space="preserve">Evaluating Deployment of Advanced Telecommunications Capability to All Americans in a </w:t>
      </w:r>
      <w:r w:rsidRPr="00771AA0">
        <w:t>Reasonable and Timely Fashion</w:t>
      </w:r>
      <w:r>
        <w:tab/>
        <w:t>8</w:t>
      </w:r>
    </w:p>
    <w:p w:rsidR="00C6287D" w:rsidRPr="00C6287D" w:rsidP="00C6287D">
      <w:pPr>
        <w:pStyle w:val="TOC2"/>
        <w:tabs>
          <w:tab w:val="left" w:pos="360"/>
        </w:tabs>
        <w:rPr>
          <w:rFonts w:ascii="Calibri" w:hAnsi="Calibri"/>
          <w:kern w:val="0"/>
        </w:rPr>
      </w:pPr>
      <w:r>
        <w:t>A.</w:t>
      </w:r>
      <w:r w:rsidRPr="00C6287D">
        <w:rPr>
          <w:rFonts w:ascii="Calibri" w:hAnsi="Calibri"/>
          <w:kern w:val="0"/>
        </w:rPr>
        <w:tab/>
      </w:r>
      <w:r>
        <w:t>Defining Advanced Telecommunications Capability</w:t>
      </w:r>
      <w:r>
        <w:tab/>
        <w:t>10</w:t>
      </w:r>
    </w:p>
    <w:p w:rsidR="00C6287D" w:rsidRPr="00C6287D" w:rsidP="00C6287D">
      <w:pPr>
        <w:pStyle w:val="TOC2"/>
        <w:tabs>
          <w:tab w:val="left" w:pos="360"/>
        </w:tabs>
        <w:rPr>
          <w:rFonts w:ascii="Calibri" w:hAnsi="Calibri"/>
          <w:kern w:val="0"/>
        </w:rPr>
      </w:pPr>
      <w:r>
        <w:t>B.</w:t>
      </w:r>
      <w:r w:rsidRPr="00C6287D">
        <w:rPr>
          <w:rFonts w:ascii="Calibri" w:hAnsi="Calibri"/>
          <w:kern w:val="0"/>
        </w:rPr>
        <w:tab/>
      </w:r>
      <w:r>
        <w:t>Demographic Information</w:t>
      </w:r>
      <w:r>
        <w:tab/>
        <w:t>20</w:t>
      </w:r>
    </w:p>
    <w:p w:rsidR="00C6287D" w:rsidRPr="00C6287D" w:rsidP="00C6287D">
      <w:pPr>
        <w:pStyle w:val="TOC2"/>
        <w:tabs>
          <w:tab w:val="left" w:pos="360"/>
        </w:tabs>
        <w:rPr>
          <w:rFonts w:ascii="Calibri" w:hAnsi="Calibri"/>
          <w:kern w:val="0"/>
        </w:rPr>
      </w:pPr>
      <w:r>
        <w:t>C.</w:t>
      </w:r>
      <w:r w:rsidRPr="00C6287D">
        <w:rPr>
          <w:rFonts w:ascii="Calibri" w:hAnsi="Calibri"/>
          <w:kern w:val="0"/>
        </w:rPr>
        <w:tab/>
      </w:r>
      <w:r>
        <w:t>Schools and Classrooms</w:t>
      </w:r>
      <w:r>
        <w:tab/>
        <w:t>21</w:t>
      </w:r>
    </w:p>
    <w:p w:rsidR="00C6287D" w:rsidRPr="00C6287D" w:rsidP="00C6287D">
      <w:pPr>
        <w:pStyle w:val="TOC2"/>
        <w:tabs>
          <w:tab w:val="left" w:pos="360"/>
        </w:tabs>
        <w:rPr>
          <w:rFonts w:ascii="Calibri" w:hAnsi="Calibri"/>
          <w:kern w:val="0"/>
        </w:rPr>
      </w:pPr>
      <w:r>
        <w:t>D.</w:t>
      </w:r>
      <w:r w:rsidRPr="00C6287D">
        <w:rPr>
          <w:rFonts w:ascii="Calibri" w:hAnsi="Calibri"/>
          <w:kern w:val="0"/>
        </w:rPr>
        <w:tab/>
      </w:r>
      <w:r>
        <w:t>Tribal Lands</w:t>
      </w:r>
      <w:r>
        <w:tab/>
        <w:t>22</w:t>
      </w:r>
    </w:p>
    <w:p w:rsidR="00C6287D" w:rsidRPr="00C6287D" w:rsidP="00C6287D">
      <w:pPr>
        <w:pStyle w:val="TOC2"/>
        <w:tabs>
          <w:tab w:val="left" w:pos="360"/>
        </w:tabs>
        <w:rPr>
          <w:rFonts w:ascii="Calibri" w:hAnsi="Calibri"/>
          <w:kern w:val="0"/>
        </w:rPr>
      </w:pPr>
      <w:r>
        <w:t>E.</w:t>
      </w:r>
      <w:r w:rsidRPr="00C6287D">
        <w:rPr>
          <w:rFonts w:ascii="Calibri" w:hAnsi="Calibri"/>
          <w:kern w:val="0"/>
        </w:rPr>
        <w:tab/>
      </w:r>
      <w:r>
        <w:t>Disaster-Affected Areas</w:t>
      </w:r>
      <w:r>
        <w:tab/>
        <w:t>23</w:t>
      </w:r>
    </w:p>
    <w:p w:rsidR="00C6287D" w:rsidRPr="00C6287D" w:rsidP="00C6287D">
      <w:pPr>
        <w:pStyle w:val="TOC1"/>
        <w:rPr>
          <w:rFonts w:ascii="Calibri" w:hAnsi="Calibri"/>
          <w:caps w:val="0"/>
          <w:kern w:val="0"/>
        </w:rPr>
      </w:pPr>
      <w:r w:rsidRPr="00771AA0">
        <w:t>IV.</w:t>
      </w:r>
      <w:r w:rsidRPr="00C6287D">
        <w:rPr>
          <w:rFonts w:ascii="Calibri" w:hAnsi="Calibri"/>
          <w:caps w:val="0"/>
          <w:kern w:val="0"/>
        </w:rPr>
        <w:tab/>
      </w:r>
      <w:r w:rsidRPr="00771AA0">
        <w:t>broadband deployment and availability</w:t>
      </w:r>
      <w:r>
        <w:tab/>
        <w:t>24</w:t>
      </w:r>
    </w:p>
    <w:p w:rsidR="00C6287D" w:rsidRPr="00C6287D" w:rsidP="00C6287D">
      <w:pPr>
        <w:pStyle w:val="TOC2"/>
        <w:tabs>
          <w:tab w:val="left" w:pos="360"/>
        </w:tabs>
        <w:rPr>
          <w:rFonts w:ascii="Calibri" w:hAnsi="Calibri"/>
          <w:kern w:val="0"/>
        </w:rPr>
      </w:pPr>
      <w:r>
        <w:t>A.</w:t>
      </w:r>
      <w:r w:rsidRPr="00C6287D">
        <w:rPr>
          <w:rFonts w:ascii="Calibri" w:hAnsi="Calibri"/>
          <w:kern w:val="0"/>
        </w:rPr>
        <w:tab/>
      </w:r>
      <w:r>
        <w:t>Data Sources and Methodologies</w:t>
      </w:r>
      <w:r>
        <w:tab/>
        <w:t>24</w:t>
      </w:r>
    </w:p>
    <w:p w:rsidR="00C6287D" w:rsidRPr="00C6287D" w:rsidP="00C6287D">
      <w:pPr>
        <w:pStyle w:val="TOC2"/>
        <w:tabs>
          <w:tab w:val="left" w:pos="360"/>
        </w:tabs>
        <w:rPr>
          <w:rFonts w:ascii="Calibri" w:hAnsi="Calibri"/>
          <w:kern w:val="0"/>
        </w:rPr>
      </w:pPr>
      <w:r>
        <w:t>B.</w:t>
      </w:r>
      <w:r w:rsidRPr="00C6287D">
        <w:rPr>
          <w:rFonts w:ascii="Calibri" w:hAnsi="Calibri"/>
          <w:kern w:val="0"/>
        </w:rPr>
        <w:tab/>
      </w:r>
      <w:r>
        <w:t>Broadband Deployment Estimates</w:t>
      </w:r>
      <w:r>
        <w:tab/>
        <w:t>32</w:t>
      </w:r>
    </w:p>
    <w:p w:rsidR="00C6287D" w:rsidRPr="00C6287D" w:rsidP="00C6287D">
      <w:pPr>
        <w:pStyle w:val="TOC3"/>
        <w:tabs>
          <w:tab w:val="left" w:pos="360"/>
        </w:tabs>
        <w:rPr>
          <w:rFonts w:ascii="Calibri" w:hAnsi="Calibri"/>
          <w:kern w:val="0"/>
        </w:rPr>
      </w:pPr>
      <w:r>
        <w:t>1.</w:t>
      </w:r>
      <w:r w:rsidRPr="00C6287D">
        <w:rPr>
          <w:rFonts w:ascii="Calibri" w:hAnsi="Calibri"/>
          <w:kern w:val="0"/>
        </w:rPr>
        <w:tab/>
      </w:r>
      <w:r>
        <w:t>Deployment of Fixed Advanced Telecommunications Capability</w:t>
      </w:r>
      <w:r>
        <w:tab/>
        <w:t>33</w:t>
      </w:r>
    </w:p>
    <w:p w:rsidR="00C6287D" w:rsidRPr="00C6287D" w:rsidP="00C6287D">
      <w:pPr>
        <w:pStyle w:val="TOC3"/>
        <w:tabs>
          <w:tab w:val="left" w:pos="360"/>
        </w:tabs>
        <w:rPr>
          <w:rFonts w:ascii="Calibri" w:hAnsi="Calibri"/>
          <w:kern w:val="0"/>
        </w:rPr>
      </w:pPr>
      <w:r>
        <w:t>2.</w:t>
      </w:r>
      <w:r w:rsidRPr="00C6287D">
        <w:rPr>
          <w:rFonts w:ascii="Calibri" w:hAnsi="Calibri"/>
          <w:kern w:val="0"/>
        </w:rPr>
        <w:tab/>
      </w:r>
      <w:r>
        <w:t>Deployment of Mobile LTE</w:t>
      </w:r>
      <w:r>
        <w:tab/>
        <w:t>35</w:t>
      </w:r>
    </w:p>
    <w:p w:rsidR="00C6287D" w:rsidRPr="00C6287D" w:rsidP="00C6287D">
      <w:pPr>
        <w:pStyle w:val="TOC3"/>
        <w:tabs>
          <w:tab w:val="left" w:pos="360"/>
        </w:tabs>
        <w:rPr>
          <w:rFonts w:ascii="Calibri" w:hAnsi="Calibri"/>
          <w:kern w:val="0"/>
        </w:rPr>
      </w:pPr>
      <w:r>
        <w:t>3.</w:t>
      </w:r>
      <w:r w:rsidRPr="00C6287D">
        <w:rPr>
          <w:rFonts w:ascii="Calibri" w:hAnsi="Calibri"/>
          <w:kern w:val="0"/>
        </w:rPr>
        <w:tab/>
      </w:r>
      <w:r>
        <w:t>Deployment of Fixed Services and Mobile LTE</w:t>
      </w:r>
      <w:r>
        <w:tab/>
        <w:t>36</w:t>
      </w:r>
    </w:p>
    <w:p w:rsidR="00C6287D" w:rsidRPr="00C6287D" w:rsidP="00C6287D">
      <w:pPr>
        <w:pStyle w:val="TOC3"/>
        <w:tabs>
          <w:tab w:val="left" w:pos="360"/>
        </w:tabs>
        <w:rPr>
          <w:rFonts w:ascii="Calibri" w:hAnsi="Calibri"/>
          <w:kern w:val="0"/>
        </w:rPr>
      </w:pPr>
      <w:r>
        <w:t>4.</w:t>
      </w:r>
      <w:r w:rsidRPr="00C6287D">
        <w:rPr>
          <w:rFonts w:ascii="Calibri" w:hAnsi="Calibri"/>
          <w:kern w:val="0"/>
        </w:rPr>
        <w:tab/>
      </w:r>
      <w:r>
        <w:t>Additional Deployment Estimates</w:t>
      </w:r>
      <w:r>
        <w:tab/>
        <w:t>38</w:t>
      </w:r>
    </w:p>
    <w:p w:rsidR="00C6287D" w:rsidRPr="00C6287D" w:rsidP="00C6287D">
      <w:pPr>
        <w:pStyle w:val="TOC2"/>
        <w:tabs>
          <w:tab w:val="left" w:pos="360"/>
        </w:tabs>
        <w:rPr>
          <w:rFonts w:ascii="Calibri" w:hAnsi="Calibri"/>
          <w:kern w:val="0"/>
        </w:rPr>
      </w:pPr>
      <w:r>
        <w:t>C.</w:t>
      </w:r>
      <w:r w:rsidRPr="00C6287D">
        <w:rPr>
          <w:rFonts w:ascii="Calibri" w:hAnsi="Calibri"/>
          <w:kern w:val="0"/>
        </w:rPr>
        <w:tab/>
      </w:r>
      <w:r>
        <w:t>Demographic Data</w:t>
      </w:r>
      <w:r>
        <w:tab/>
        <w:t>40</w:t>
      </w:r>
    </w:p>
    <w:p w:rsidR="00C6287D" w:rsidRPr="00C6287D" w:rsidP="00C6287D">
      <w:pPr>
        <w:pStyle w:val="TOC2"/>
        <w:tabs>
          <w:tab w:val="left" w:pos="360"/>
        </w:tabs>
        <w:rPr>
          <w:rFonts w:ascii="Calibri" w:hAnsi="Calibri"/>
          <w:kern w:val="0"/>
        </w:rPr>
      </w:pPr>
      <w:r>
        <w:t>D.</w:t>
      </w:r>
      <w:r w:rsidRPr="00C6287D">
        <w:rPr>
          <w:rFonts w:ascii="Calibri" w:hAnsi="Calibri"/>
          <w:kern w:val="0"/>
        </w:rPr>
        <w:tab/>
      </w:r>
      <w:r>
        <w:t>Tribal Lands Data</w:t>
      </w:r>
      <w:r>
        <w:tab/>
        <w:t>44</w:t>
      </w:r>
    </w:p>
    <w:p w:rsidR="00C6287D" w:rsidRPr="00C6287D" w:rsidP="00C6287D">
      <w:pPr>
        <w:pStyle w:val="TOC2"/>
        <w:tabs>
          <w:tab w:val="left" w:pos="360"/>
        </w:tabs>
        <w:rPr>
          <w:rFonts w:ascii="Calibri" w:hAnsi="Calibri"/>
          <w:kern w:val="0"/>
        </w:rPr>
      </w:pPr>
      <w:r>
        <w:t>E.</w:t>
      </w:r>
      <w:r w:rsidRPr="00C6287D">
        <w:rPr>
          <w:rFonts w:ascii="Calibri" w:hAnsi="Calibri"/>
          <w:kern w:val="0"/>
        </w:rPr>
        <w:tab/>
      </w:r>
      <w:r>
        <w:t>Adoption Data</w:t>
      </w:r>
      <w:r>
        <w:tab/>
        <w:t>47</w:t>
      </w:r>
    </w:p>
    <w:p w:rsidR="00C6287D" w:rsidRPr="00C6287D" w:rsidP="00C6287D">
      <w:pPr>
        <w:pStyle w:val="TOC2"/>
        <w:tabs>
          <w:tab w:val="left" w:pos="360"/>
        </w:tabs>
        <w:rPr>
          <w:rFonts w:ascii="Calibri" w:hAnsi="Calibri"/>
          <w:kern w:val="0"/>
        </w:rPr>
      </w:pPr>
      <w:r>
        <w:t>F.</w:t>
      </w:r>
      <w:r w:rsidRPr="00C6287D">
        <w:rPr>
          <w:rFonts w:ascii="Calibri" w:hAnsi="Calibri"/>
          <w:kern w:val="0"/>
        </w:rPr>
        <w:tab/>
      </w:r>
      <w:r>
        <w:t>Schools and Classrooms Data</w:t>
      </w:r>
      <w:r>
        <w:tab/>
        <w:t>50</w:t>
      </w:r>
    </w:p>
    <w:p w:rsidR="00C6287D" w:rsidRPr="00C6287D" w:rsidP="00C6287D">
      <w:pPr>
        <w:pStyle w:val="TOC1"/>
        <w:rPr>
          <w:rFonts w:ascii="Calibri" w:hAnsi="Calibri"/>
          <w:caps w:val="0"/>
          <w:kern w:val="0"/>
        </w:rPr>
      </w:pPr>
      <w:r w:rsidRPr="00771AA0">
        <w:t>V.</w:t>
      </w:r>
      <w:r w:rsidRPr="00C6287D">
        <w:rPr>
          <w:rFonts w:ascii="Calibri" w:hAnsi="Calibri"/>
          <w:caps w:val="0"/>
          <w:kern w:val="0"/>
        </w:rPr>
        <w:tab/>
      </w:r>
      <w:r w:rsidRPr="00771AA0">
        <w:t>Commission Efforts to Close the Digital Divide</w:t>
      </w:r>
      <w:r>
        <w:tab/>
        <w:t>52</w:t>
      </w:r>
    </w:p>
    <w:p w:rsidR="00C6287D" w:rsidRPr="00C6287D" w:rsidP="00C6287D">
      <w:pPr>
        <w:pStyle w:val="TOC2"/>
        <w:tabs>
          <w:tab w:val="left" w:pos="360"/>
        </w:tabs>
        <w:rPr>
          <w:rFonts w:ascii="Calibri" w:hAnsi="Calibri"/>
          <w:kern w:val="0"/>
        </w:rPr>
      </w:pPr>
      <w:r>
        <w:t>A.</w:t>
      </w:r>
      <w:r w:rsidRPr="00C6287D">
        <w:rPr>
          <w:rFonts w:ascii="Calibri" w:hAnsi="Calibri"/>
          <w:kern w:val="0"/>
        </w:rPr>
        <w:tab/>
      </w:r>
      <w:r>
        <w:t>Reducing Barriers to Investment</w:t>
      </w:r>
      <w:r>
        <w:tab/>
        <w:t>53</w:t>
      </w:r>
    </w:p>
    <w:p w:rsidR="00C6287D" w:rsidRPr="00C6287D" w:rsidP="00C6287D">
      <w:pPr>
        <w:pStyle w:val="TOC2"/>
        <w:tabs>
          <w:tab w:val="left" w:pos="360"/>
        </w:tabs>
        <w:rPr>
          <w:rFonts w:ascii="Calibri" w:hAnsi="Calibri"/>
          <w:kern w:val="0"/>
        </w:rPr>
      </w:pPr>
      <w:r>
        <w:t>B.</w:t>
      </w:r>
      <w:r w:rsidRPr="00C6287D">
        <w:rPr>
          <w:rFonts w:ascii="Calibri" w:hAnsi="Calibri"/>
          <w:kern w:val="0"/>
        </w:rPr>
        <w:tab/>
      </w:r>
      <w:r>
        <w:t>Universal Service Funding</w:t>
      </w:r>
      <w:r>
        <w:tab/>
        <w:t>60</w:t>
      </w:r>
    </w:p>
    <w:p w:rsidR="00C6287D" w:rsidRPr="00C6287D" w:rsidP="00C6287D">
      <w:pPr>
        <w:pStyle w:val="TOC2"/>
        <w:tabs>
          <w:tab w:val="left" w:pos="360"/>
        </w:tabs>
        <w:rPr>
          <w:rFonts w:ascii="Calibri" w:hAnsi="Calibri"/>
          <w:kern w:val="0"/>
        </w:rPr>
      </w:pPr>
      <w:r>
        <w:t>C.</w:t>
      </w:r>
      <w:r w:rsidRPr="00C6287D">
        <w:rPr>
          <w:rFonts w:ascii="Calibri" w:hAnsi="Calibri"/>
          <w:kern w:val="0"/>
        </w:rPr>
        <w:tab/>
      </w:r>
      <w:r>
        <w:t>Access to Spectrum</w:t>
      </w:r>
      <w:r>
        <w:tab/>
        <w:t>67</w:t>
      </w:r>
    </w:p>
    <w:p w:rsidR="00C6287D" w:rsidRPr="00C6287D" w:rsidP="00C6287D">
      <w:pPr>
        <w:pStyle w:val="TOC2"/>
        <w:tabs>
          <w:tab w:val="left" w:pos="360"/>
        </w:tabs>
        <w:rPr>
          <w:rFonts w:ascii="Calibri" w:hAnsi="Calibri"/>
          <w:kern w:val="0"/>
        </w:rPr>
      </w:pPr>
      <w:r>
        <w:t>D.</w:t>
      </w:r>
      <w:r w:rsidRPr="00C6287D">
        <w:rPr>
          <w:rFonts w:ascii="Calibri" w:hAnsi="Calibri"/>
          <w:kern w:val="0"/>
        </w:rPr>
        <w:tab/>
      </w:r>
      <w:r>
        <w:t>Broadband Deployment Advisory Committee</w:t>
      </w:r>
      <w:r>
        <w:tab/>
        <w:t>72</w:t>
      </w:r>
    </w:p>
    <w:p w:rsidR="00C6287D" w:rsidRPr="00C6287D" w:rsidP="00C6287D">
      <w:pPr>
        <w:pStyle w:val="TOC1"/>
        <w:rPr>
          <w:rFonts w:ascii="Calibri" w:hAnsi="Calibri"/>
          <w:caps w:val="0"/>
          <w:kern w:val="0"/>
        </w:rPr>
      </w:pPr>
      <w:r w:rsidRPr="00771AA0">
        <w:t>VI.</w:t>
      </w:r>
      <w:r w:rsidRPr="00C6287D">
        <w:rPr>
          <w:rFonts w:ascii="Calibri" w:hAnsi="Calibri"/>
          <w:caps w:val="0"/>
          <w:kern w:val="0"/>
        </w:rPr>
        <w:tab/>
      </w:r>
      <w:r w:rsidRPr="00771AA0">
        <w:t>Section 706 Finding</w:t>
      </w:r>
      <w:r>
        <w:tab/>
        <w:t>76</w:t>
      </w:r>
    </w:p>
    <w:p w:rsidR="00C6287D" w:rsidP="00C6287D">
      <w:pPr>
        <w:pStyle w:val="TOC1"/>
      </w:pPr>
      <w:r w:rsidRPr="00771AA0">
        <w:t>VII.</w:t>
      </w:r>
      <w:r>
        <w:t xml:space="preserve"> </w:t>
      </w:r>
      <w:r w:rsidRPr="00771AA0">
        <w:t>Ordering Clause</w:t>
      </w:r>
      <w:r>
        <w:tab/>
        <w:t>80</w:t>
      </w:r>
    </w:p>
    <w:p w:rsidR="00655275" w:rsidRPr="00205829" w:rsidP="00655275">
      <w:pPr>
        <w:ind w:left="360"/>
        <w:rPr>
          <w:caps/>
          <w:spacing w:val="-2"/>
          <w:szCs w:val="22"/>
        </w:rPr>
      </w:pPr>
      <w:r w:rsidRPr="00205829">
        <w:rPr>
          <w:caps/>
          <w:spacing w:val="-2"/>
          <w:szCs w:val="22"/>
        </w:rPr>
        <w:t xml:space="preserve">APPENDIX </w:t>
      </w:r>
      <w:r w:rsidR="00B63070">
        <w:rPr>
          <w:caps/>
          <w:spacing w:val="-2"/>
          <w:szCs w:val="22"/>
        </w:rPr>
        <w:t>1</w:t>
      </w:r>
      <w:r w:rsidRPr="00205829">
        <w:rPr>
          <w:caps/>
          <w:spacing w:val="-2"/>
          <w:szCs w:val="22"/>
        </w:rPr>
        <w:t xml:space="preserve"> </w:t>
      </w:r>
      <w:r w:rsidR="006B02E9">
        <w:rPr>
          <w:caps/>
          <w:spacing w:val="-2"/>
          <w:szCs w:val="22"/>
        </w:rPr>
        <w:t xml:space="preserve"> </w:t>
      </w:r>
    </w:p>
    <w:p w:rsidR="00655275" w:rsidRPr="00205829" w:rsidP="00655275">
      <w:pPr>
        <w:ind w:left="360"/>
        <w:rPr>
          <w:caps/>
          <w:spacing w:val="-2"/>
          <w:szCs w:val="22"/>
        </w:rPr>
      </w:pPr>
      <w:r w:rsidRPr="00205829">
        <w:rPr>
          <w:caps/>
          <w:spacing w:val="-2"/>
          <w:szCs w:val="22"/>
        </w:rPr>
        <w:t xml:space="preserve">APPENDIX </w:t>
      </w:r>
      <w:r w:rsidR="00B63070">
        <w:rPr>
          <w:caps/>
          <w:spacing w:val="-2"/>
          <w:szCs w:val="22"/>
        </w:rPr>
        <w:t>2</w:t>
      </w:r>
      <w:r w:rsidRPr="00205829">
        <w:rPr>
          <w:caps/>
          <w:spacing w:val="-2"/>
          <w:szCs w:val="22"/>
        </w:rPr>
        <w:t xml:space="preserve"> </w:t>
      </w:r>
      <w:r w:rsidR="006B02E9">
        <w:rPr>
          <w:caps/>
          <w:spacing w:val="-2"/>
          <w:szCs w:val="22"/>
        </w:rPr>
        <w:t xml:space="preserve"> </w:t>
      </w:r>
    </w:p>
    <w:p w:rsidR="00655275" w:rsidRPr="00205829" w:rsidP="00655275">
      <w:pPr>
        <w:ind w:left="360"/>
        <w:rPr>
          <w:szCs w:val="22"/>
        </w:rPr>
      </w:pPr>
      <w:r w:rsidRPr="00205829">
        <w:rPr>
          <w:caps/>
          <w:szCs w:val="22"/>
        </w:rPr>
        <w:t xml:space="preserve">APPENDIX </w:t>
      </w:r>
      <w:r w:rsidR="00B63070">
        <w:rPr>
          <w:caps/>
          <w:szCs w:val="22"/>
        </w:rPr>
        <w:t>3</w:t>
      </w:r>
      <w:r w:rsidRPr="00205829">
        <w:rPr>
          <w:caps/>
          <w:szCs w:val="22"/>
        </w:rPr>
        <w:t xml:space="preserve"> </w:t>
      </w:r>
      <w:r w:rsidR="006B02E9">
        <w:rPr>
          <w:caps/>
          <w:szCs w:val="22"/>
        </w:rPr>
        <w:t xml:space="preserve"> </w:t>
      </w:r>
    </w:p>
    <w:p w:rsidR="00655275" w:rsidRPr="00205829" w:rsidP="00655275">
      <w:pPr>
        <w:ind w:left="360"/>
        <w:rPr>
          <w:szCs w:val="22"/>
        </w:rPr>
      </w:pPr>
      <w:r w:rsidRPr="00205829">
        <w:rPr>
          <w:spacing w:val="-2"/>
          <w:szCs w:val="22"/>
        </w:rPr>
        <w:t xml:space="preserve">APPENDIX </w:t>
      </w:r>
      <w:r w:rsidR="00B63070">
        <w:rPr>
          <w:spacing w:val="-2"/>
          <w:szCs w:val="22"/>
        </w:rPr>
        <w:t>4</w:t>
      </w:r>
      <w:r w:rsidRPr="00205829">
        <w:rPr>
          <w:spacing w:val="-2"/>
          <w:szCs w:val="22"/>
        </w:rPr>
        <w:t xml:space="preserve"> </w:t>
      </w:r>
      <w:r w:rsidR="006B02E9">
        <w:rPr>
          <w:caps/>
          <w:spacing w:val="-2"/>
          <w:szCs w:val="22"/>
        </w:rPr>
        <w:t xml:space="preserve"> </w:t>
      </w:r>
    </w:p>
    <w:p w:rsidR="00655275" w:rsidRPr="00205829" w:rsidP="00655275">
      <w:pPr>
        <w:ind w:left="360"/>
        <w:rPr>
          <w:caps/>
          <w:spacing w:val="-2"/>
          <w:szCs w:val="22"/>
        </w:rPr>
      </w:pPr>
      <w:r w:rsidRPr="00205829">
        <w:rPr>
          <w:spacing w:val="-2"/>
          <w:szCs w:val="22"/>
        </w:rPr>
        <w:t xml:space="preserve">APPENDIX </w:t>
      </w:r>
      <w:r w:rsidR="00B63070">
        <w:rPr>
          <w:spacing w:val="-2"/>
          <w:szCs w:val="22"/>
        </w:rPr>
        <w:t>5</w:t>
      </w:r>
      <w:r w:rsidRPr="00205829">
        <w:rPr>
          <w:spacing w:val="-2"/>
          <w:szCs w:val="22"/>
        </w:rPr>
        <w:t xml:space="preserve"> </w:t>
      </w:r>
      <w:r w:rsidR="006B02E9">
        <w:rPr>
          <w:caps/>
          <w:spacing w:val="-2"/>
          <w:szCs w:val="22"/>
        </w:rPr>
        <w:t xml:space="preserve"> </w:t>
      </w:r>
    </w:p>
    <w:p w:rsidR="00655275" w:rsidRPr="00205829" w:rsidP="00655275">
      <w:pPr>
        <w:ind w:left="360"/>
        <w:rPr>
          <w:szCs w:val="22"/>
        </w:rPr>
      </w:pPr>
      <w:r w:rsidRPr="00205829">
        <w:rPr>
          <w:spacing w:val="-2"/>
          <w:szCs w:val="22"/>
        </w:rPr>
        <w:t xml:space="preserve">APPENDIX </w:t>
      </w:r>
      <w:r w:rsidR="00B63070">
        <w:rPr>
          <w:spacing w:val="-2"/>
          <w:szCs w:val="22"/>
        </w:rPr>
        <w:t>6</w:t>
      </w:r>
      <w:r w:rsidRPr="00205829">
        <w:rPr>
          <w:spacing w:val="-2"/>
          <w:szCs w:val="22"/>
        </w:rPr>
        <w:t xml:space="preserve"> </w:t>
      </w:r>
      <w:r w:rsidR="006B02E9">
        <w:rPr>
          <w:caps/>
          <w:spacing w:val="-2"/>
          <w:szCs w:val="22"/>
        </w:rPr>
        <w:t xml:space="preserve"> </w:t>
      </w:r>
      <w:r w:rsidRPr="00205829">
        <w:rPr>
          <w:szCs w:val="22"/>
        </w:rPr>
        <w:t xml:space="preserve"> </w:t>
      </w:r>
    </w:p>
    <w:p w:rsidR="00655275" w:rsidRPr="00205829" w:rsidP="00655275">
      <w:pPr>
        <w:ind w:left="360"/>
        <w:rPr>
          <w:szCs w:val="22"/>
        </w:rPr>
      </w:pPr>
      <w:r w:rsidRPr="00205829">
        <w:rPr>
          <w:spacing w:val="-2"/>
          <w:szCs w:val="22"/>
        </w:rPr>
        <w:t xml:space="preserve">APPENDIX </w:t>
      </w:r>
      <w:r w:rsidR="00B63070">
        <w:rPr>
          <w:caps/>
          <w:spacing w:val="-2"/>
          <w:szCs w:val="22"/>
        </w:rPr>
        <w:t>7</w:t>
      </w:r>
    </w:p>
    <w:p w:rsidR="00B63070" w:rsidP="00655275">
      <w:pPr>
        <w:ind w:left="360"/>
        <w:rPr>
          <w:spacing w:val="-2"/>
          <w:szCs w:val="22"/>
        </w:rPr>
      </w:pPr>
      <w:r w:rsidRPr="00205829">
        <w:rPr>
          <w:spacing w:val="-2"/>
          <w:szCs w:val="22"/>
        </w:rPr>
        <w:t xml:space="preserve">APPENDIX </w:t>
      </w:r>
      <w:r>
        <w:rPr>
          <w:spacing w:val="-2"/>
          <w:szCs w:val="22"/>
        </w:rPr>
        <w:t>8</w:t>
      </w:r>
    </w:p>
    <w:p w:rsidR="00655275" w:rsidRPr="00655275" w:rsidP="00655275">
      <w:pPr>
        <w:ind w:left="360"/>
      </w:pPr>
      <w:r>
        <w:rPr>
          <w:szCs w:val="22"/>
        </w:rPr>
        <w:t>APPENDIX 9</w:t>
      </w:r>
      <w:r w:rsidRPr="00205829">
        <w:rPr>
          <w:szCs w:val="22"/>
        </w:rPr>
        <w:t xml:space="preserve"> </w:t>
      </w:r>
      <w:r w:rsidR="006B02E9">
        <w:rPr>
          <w:caps/>
          <w:spacing w:val="-2"/>
          <w:szCs w:val="22"/>
        </w:rPr>
        <w:t xml:space="preserve"> </w:t>
      </w:r>
    </w:p>
    <w:bookmarkEnd w:id="0"/>
    <w:p w:rsidR="00C6287D" w:rsidRPr="003E0698" w:rsidP="00C6287D">
      <w:pPr>
        <w:rPr>
          <w:spacing w:val="-2"/>
        </w:rPr>
      </w:pPr>
    </w:p>
    <w:p w:rsidR="00C6287D" w:rsidRPr="003E0698" w:rsidP="00C6287D">
      <w:pPr>
        <w:pStyle w:val="Heading1"/>
        <w:numPr>
          <w:ilvl w:val="0"/>
          <w:numId w:val="9"/>
        </w:numPr>
        <w:tabs>
          <w:tab w:val="left" w:pos="720"/>
        </w:tabs>
        <w:rPr>
          <w:rFonts w:ascii="Times New Roman" w:hAnsi="Times New Roman"/>
        </w:rPr>
      </w:pPr>
      <w:bookmarkStart w:id="2" w:name="_Toc525898115"/>
      <w:bookmarkStart w:id="3" w:name="_Toc525898245"/>
      <w:bookmarkStart w:id="4" w:name="_Toc525898632"/>
      <w:bookmarkStart w:id="5" w:name="_Toc526341612"/>
      <w:bookmarkStart w:id="6" w:name="_Toc526341932"/>
      <w:bookmarkStart w:id="7" w:name="_Toc527100563"/>
      <w:bookmarkStart w:id="8" w:name="_Toc527723140"/>
      <w:bookmarkStart w:id="9" w:name="_Toc529180589"/>
      <w:bookmarkStart w:id="10" w:name="_Toc530069112"/>
      <w:bookmarkStart w:id="11" w:name="_Toc530147015"/>
      <w:bookmarkStart w:id="12" w:name="_Toc530148227"/>
      <w:bookmarkStart w:id="13" w:name="_Toc780497"/>
      <w:bookmarkStart w:id="14" w:name="_Toc970718"/>
      <w:bookmarkStart w:id="15" w:name="_Toc1469936"/>
      <w:bookmarkStart w:id="16" w:name="_Toc2676090"/>
      <w:r w:rsidRPr="003E0698">
        <w:rPr>
          <w:rFonts w:ascii="Times New Roman" w:hAnsi="Times New Roman"/>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3E0698">
        <w:rPr>
          <w:rFonts w:ascii="Times New Roman" w:hAnsi="Times New Roman"/>
        </w:rPr>
        <w:t xml:space="preserve"> </w:t>
      </w:r>
    </w:p>
    <w:p w:rsidR="00C6287D" w:rsidP="00C6287D">
      <w:pPr>
        <w:pStyle w:val="ParaNum"/>
      </w:pPr>
      <w:r>
        <w:t>T</w:t>
      </w:r>
      <w:r w:rsidRPr="003E0698">
        <w:t xml:space="preserve">he </w:t>
      </w:r>
      <w:r>
        <w:t xml:space="preserve">Federal Communications </w:t>
      </w:r>
      <w:r w:rsidRPr="003E0698">
        <w:t>Commission</w:t>
      </w:r>
      <w:r>
        <w:t xml:space="preserve"> is charged with</w:t>
      </w:r>
      <w:r w:rsidRPr="003E0698">
        <w:t xml:space="preserve"> “</w:t>
      </w:r>
      <w:r>
        <w:t>encourag[ing]</w:t>
      </w:r>
      <w:r w:rsidRPr="003E0698">
        <w:t xml:space="preserve"> the deployment on a reasonable and timely basis of advanced telecommunications capability to all Americans,” by removing barriers to infrastructure investment and by promoting competition in the telecommunications market.</w:t>
      </w:r>
      <w:r>
        <w:rPr>
          <w:rStyle w:val="FootnoteReference"/>
        </w:rPr>
        <w:footnoteReference w:id="3"/>
      </w:r>
      <w:r>
        <w:t xml:space="preserve">  For the past two years, the Commission has taken up the mantle; it has made closing the digital divide between Americans with, and without, access to modern broadband networks its top priority.  Modern society is an increasingly digital one, and accessing advanced services is essential to ensuring that all Americans can participate and thrive.</w:t>
      </w:r>
      <w:r w:rsidRPr="003E0698">
        <w:t xml:space="preserve">  </w:t>
      </w:r>
      <w:r>
        <w:t>W</w:t>
      </w:r>
      <w:r w:rsidRPr="003E0698">
        <w:t>e remain committed to ensur</w:t>
      </w:r>
      <w:r>
        <w:t>ing</w:t>
      </w:r>
      <w:r w:rsidRPr="003E0698">
        <w:t xml:space="preserve"> that all Americans, including those in rural areas, Tribal lands, and disaster-affected areas, </w:t>
      </w:r>
      <w:r>
        <w:t>have</w:t>
      </w:r>
      <w:r w:rsidRPr="003E0698">
        <w:t xml:space="preserve"> the benefits of a high-speed broadband connection.</w:t>
      </w:r>
    </w:p>
    <w:p w:rsidR="00C6287D" w:rsidP="00C6287D">
      <w:pPr>
        <w:pStyle w:val="ParaNum"/>
      </w:pPr>
      <w:r>
        <w:t xml:space="preserve">As a result of those efforts, the digital divide has narrowed substantially, and more Americans than ever before have access to high-speed broadband.  In the time since the Commission’s last </w:t>
      </w:r>
      <w:r>
        <w:rPr>
          <w:i/>
        </w:rPr>
        <w:t>Broadband Deployment Report</w:t>
      </w:r>
      <w:r>
        <w:t xml:space="preserve">, the number of Americans lacking a connection of at least 25 Mbps/3 Mbps (the Commission’s current benchmark) has dropped from 26.1 million Americans at the end of 2016 to 21.3 million Americans at the end of 2017, a decrease of more than 18%.  Moreover, the majority of those gaining access to such connections, approximately 4.3 million, are located in rural America.  Higher-speed services are being deployed at a rapid rate as well.  For example, the number of Americans with access to at least 250 Mbps/25 Mbps broadband grew in 2017 by more than 36%, to 191.5 million.  And the number of rural Americans with access to such broadband increased by 85.1% in 2017.      </w:t>
      </w:r>
    </w:p>
    <w:p w:rsidR="00C6287D" w:rsidP="00C6287D">
      <w:pPr>
        <w:pStyle w:val="ParaNum"/>
      </w:pPr>
      <w:r>
        <w:t xml:space="preserve">Other data beyond the data underlying the </w:t>
      </w:r>
      <w:r>
        <w:rPr>
          <w:i/>
        </w:rPr>
        <w:t>Broadband Data Report</w:t>
      </w:r>
      <w:r>
        <w:t xml:space="preserve"> illustrates industry’s response to the Commission’s actions promoting broadband deployment.  During 2018, for example, broadband providers, both small and large, deployed fiber networks to 5.9 million new homes, the largest number ever recorded.</w:t>
      </w:r>
      <w:r>
        <w:rPr>
          <w:rStyle w:val="FootnoteReference"/>
        </w:rPr>
        <w:footnoteReference w:id="4"/>
      </w:r>
      <w:r>
        <w:t xml:space="preserve">  Also, capital expenditures by broadband providers increased in 2017, reversing declines that occurred in both 2015 and 2016.</w:t>
      </w:r>
      <w:r>
        <w:rPr>
          <w:rStyle w:val="FootnoteReference"/>
        </w:rPr>
        <w:footnoteReference w:id="5"/>
      </w:r>
      <w:r>
        <w:t xml:space="preserve">  </w:t>
      </w:r>
    </w:p>
    <w:p w:rsidR="00C6287D" w:rsidRPr="003E0698" w:rsidP="00C6287D">
      <w:pPr>
        <w:pStyle w:val="ParaNum"/>
      </w:pPr>
      <w:r>
        <w:t>With this compelling evidence before us, w</w:t>
      </w:r>
      <w:r w:rsidRPr="003E0698">
        <w:t>e find, for a second consecutive year, that advanced telecommunications capability is being deployed on a reasonable and timely basis.  With this report, the Commission fulfills the Congressional directive to report each year on the progress made in deploying broadband to all Americans.</w:t>
      </w:r>
      <w:r>
        <w:rPr>
          <w:rStyle w:val="FootnoteReference"/>
        </w:rPr>
        <w:footnoteReference w:id="6"/>
      </w:r>
    </w:p>
    <w:p w:rsidR="00C6287D" w:rsidRPr="003E0698" w:rsidP="00C6287D">
      <w:pPr>
        <w:pStyle w:val="Heading1"/>
        <w:numPr>
          <w:ilvl w:val="0"/>
          <w:numId w:val="9"/>
        </w:numPr>
        <w:tabs>
          <w:tab w:val="left" w:pos="720"/>
        </w:tabs>
        <w:rPr>
          <w:rFonts w:ascii="Times New Roman" w:hAnsi="Times New Roman"/>
        </w:rPr>
      </w:pPr>
      <w:bookmarkStart w:id="17" w:name="_Toc525898116"/>
      <w:bookmarkStart w:id="18" w:name="_Toc525898246"/>
      <w:bookmarkStart w:id="19" w:name="_Toc525898633"/>
      <w:bookmarkStart w:id="20" w:name="_Toc526341613"/>
      <w:bookmarkStart w:id="21" w:name="_Toc526341933"/>
      <w:bookmarkStart w:id="22" w:name="_Toc527100564"/>
      <w:bookmarkStart w:id="23" w:name="_Toc527723141"/>
      <w:bookmarkStart w:id="24" w:name="_Toc529180590"/>
      <w:bookmarkStart w:id="25" w:name="_Toc530069113"/>
      <w:bookmarkStart w:id="26" w:name="_Toc530147016"/>
      <w:bookmarkStart w:id="27" w:name="_Toc530148228"/>
      <w:bookmarkStart w:id="28" w:name="_Toc780498"/>
      <w:bookmarkStart w:id="29" w:name="_Toc970719"/>
      <w:bookmarkStart w:id="30" w:name="_Toc1469937"/>
      <w:bookmarkStart w:id="31" w:name="_Toc2676091"/>
      <w:r w:rsidRPr="003E0698">
        <w:rPr>
          <w:rFonts w:ascii="Times New Roman" w:hAnsi="Times New Roman"/>
        </w:rPr>
        <w:t>Background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3E0698">
        <w:rPr>
          <w:rFonts w:ascii="Times New Roman" w:hAnsi="Times New Roman"/>
        </w:rPr>
        <w:t xml:space="preserve"> </w:t>
      </w:r>
    </w:p>
    <w:p w:rsidR="00C6287D" w:rsidRPr="003E0698" w:rsidP="00C6287D">
      <w:pPr>
        <w:pStyle w:val="ParaNum"/>
      </w:pPr>
      <w:r w:rsidRPr="003E0698">
        <w:t>Section 706(b) of the Telecommunications Act of 1996 requires the Commission to annually “initiate a notice of inquiry concerning the availability of advanced telecommunications capability to all Americans (including, in particular, elementary and secondary schools and classrooms).”</w:t>
      </w:r>
      <w:r>
        <w:rPr>
          <w:rStyle w:val="FootnoteReference"/>
        </w:rPr>
        <w:footnoteReference w:id="7"/>
      </w:r>
      <w:r w:rsidRPr="003E0698">
        <w:t xml:space="preserve">  In conducting this inquiry, the Commission must “determine whether advanced telecommunications </w:t>
      </w:r>
      <w:r w:rsidRPr="003E0698">
        <w:t>capability is being deployed to all Americans in a reasonable and timely fashion.”</w:t>
      </w:r>
      <w:r>
        <w:rPr>
          <w:rStyle w:val="FootnoteReference"/>
        </w:rPr>
        <w:footnoteReference w:id="8"/>
      </w:r>
      <w:r w:rsidRPr="003E0698">
        <w:t xml:space="preserve">  If that determination is negative, the Commission “shall take immediate action to accelerate deployment of such capability by removing barriers to infrastructure investment and by promoting competition in the telecommunications market.”</w:t>
      </w:r>
      <w:r>
        <w:rPr>
          <w:rStyle w:val="FootnoteReference"/>
        </w:rPr>
        <w:footnoteReference w:id="9"/>
      </w:r>
      <w:r w:rsidRPr="003E0698">
        <w:t xml:space="preserve">  </w:t>
      </w:r>
    </w:p>
    <w:p w:rsidR="00C6287D" w:rsidRPr="003E0698" w:rsidP="00C6287D">
      <w:pPr>
        <w:pStyle w:val="ParaNum"/>
        <w:widowControl/>
      </w:pPr>
      <w:r w:rsidRPr="003E0698">
        <w:t xml:space="preserve">On February 2, 2018, the Commission released the </w:t>
      </w:r>
      <w:r w:rsidRPr="005945A7">
        <w:rPr>
          <w:i/>
        </w:rPr>
        <w:t xml:space="preserve">2018 Broadband Deployment Report </w:t>
      </w:r>
      <w:r w:rsidRPr="003E0698">
        <w:t>(</w:t>
      </w:r>
      <w:r w:rsidRPr="005945A7">
        <w:rPr>
          <w:i/>
        </w:rPr>
        <w:t>2018 Report</w:t>
      </w:r>
      <w:r w:rsidRPr="003E0698">
        <w:t>) in which it found that advanced telecommunications capability was being deployed to all Americans in a reasonable and timely fashion.</w:t>
      </w:r>
      <w:r>
        <w:rPr>
          <w:rStyle w:val="FootnoteReference"/>
        </w:rPr>
        <w:footnoteReference w:id="10"/>
      </w:r>
      <w:r w:rsidRPr="003E0698">
        <w:t xml:space="preserve">  Consistent with the statute, the Commission focused its analysis in the </w:t>
      </w:r>
      <w:r w:rsidRPr="005945A7">
        <w:rPr>
          <w:i/>
        </w:rPr>
        <w:t xml:space="preserve">2018 Report </w:t>
      </w:r>
      <w:r w:rsidRPr="003E0698">
        <w:t>on the progress made in the deployment of fixed and mobile services.</w:t>
      </w:r>
      <w:r>
        <w:rPr>
          <w:rStyle w:val="FootnoteReference"/>
        </w:rPr>
        <w:footnoteReference w:id="11"/>
      </w:r>
      <w:r w:rsidRPr="003E0698">
        <w:t xml:space="preserve"> </w:t>
      </w:r>
      <w:r w:rsidRPr="003E0698">
        <w:t xml:space="preserve"> Since the </w:t>
      </w:r>
      <w:r w:rsidRPr="005945A7">
        <w:rPr>
          <w:i/>
        </w:rPr>
        <w:t>2018 Report</w:t>
      </w:r>
      <w:r w:rsidRPr="003E0698">
        <w:t xml:space="preserve">, the Commission has continued to aggressively facilitate broadband deployment by reducing regulatory barriers to the deployment of wireline and wireless infrastructure and by taking a number of other measures to improve the regulatory environment and </w:t>
      </w:r>
      <w:r>
        <w:t>promote</w:t>
      </w:r>
      <w:r w:rsidRPr="003E0698">
        <w:t xml:space="preserve"> broadband deployment.</w:t>
      </w:r>
      <w:r>
        <w:rPr>
          <w:rStyle w:val="FootnoteReference"/>
        </w:rPr>
        <w:footnoteReference w:id="12"/>
      </w:r>
      <w:r w:rsidRPr="003E0698">
        <w:t xml:space="preserve">  </w:t>
      </w:r>
    </w:p>
    <w:p w:rsidR="00C6287D" w:rsidRPr="0081768F" w:rsidP="00C6287D">
      <w:pPr>
        <w:pStyle w:val="ParaNum"/>
      </w:pPr>
      <w:r w:rsidRPr="003E0698">
        <w:t xml:space="preserve">On August 8, 2018, the Commission released the </w:t>
      </w:r>
      <w:r w:rsidRPr="003E0698">
        <w:rPr>
          <w:i/>
        </w:rPr>
        <w:t xml:space="preserve">Fourteenth Section 706 Report Notice of Inquiry </w:t>
      </w:r>
      <w:r w:rsidRPr="003E0698">
        <w:t>(</w:t>
      </w:r>
      <w:r w:rsidRPr="003E0698">
        <w:rPr>
          <w:i/>
        </w:rPr>
        <w:t>Notice</w:t>
      </w:r>
      <w:r w:rsidRPr="003E0698">
        <w:t>), seeking comment on how a range of factors may affect the deployment and availability of advanced telecommunications capability, and on whether and how to incorporate those factors into our section 706(b) analysis for both fixed and mobile services.</w:t>
      </w:r>
      <w:r>
        <w:rPr>
          <w:rStyle w:val="FootnoteReference"/>
        </w:rPr>
        <w:footnoteReference w:id="13"/>
      </w:r>
      <w:r w:rsidRPr="003E0698">
        <w:t xml:space="preserve">  </w:t>
      </w:r>
      <w:bookmarkStart w:id="32" w:name="_Toc525898117"/>
      <w:bookmarkStart w:id="33" w:name="_Toc525898247"/>
      <w:bookmarkStart w:id="34" w:name="_Toc525898634"/>
      <w:r w:rsidRPr="0081768F">
        <w:t xml:space="preserve"> </w:t>
      </w:r>
      <w:bookmarkEnd w:id="32"/>
      <w:bookmarkEnd w:id="33"/>
      <w:bookmarkEnd w:id="34"/>
    </w:p>
    <w:p w:rsidR="00C6287D" w:rsidRPr="00D47BAC" w:rsidP="00C6287D">
      <w:pPr>
        <w:pStyle w:val="Heading1"/>
        <w:numPr>
          <w:ilvl w:val="0"/>
          <w:numId w:val="9"/>
        </w:numPr>
      </w:pPr>
      <w:bookmarkStart w:id="35" w:name="_Toc525898118"/>
      <w:bookmarkStart w:id="36" w:name="_Toc525898248"/>
      <w:bookmarkStart w:id="37" w:name="_Toc525898635"/>
      <w:bookmarkStart w:id="38" w:name="_Toc526341615"/>
      <w:bookmarkStart w:id="39" w:name="_Toc526341935"/>
      <w:bookmarkStart w:id="40" w:name="_Toc527100566"/>
      <w:bookmarkStart w:id="41" w:name="_Toc527723143"/>
      <w:bookmarkStart w:id="42" w:name="_Toc529180592"/>
      <w:bookmarkStart w:id="43" w:name="_Toc530069115"/>
      <w:bookmarkStart w:id="44" w:name="_Toc530147018"/>
      <w:bookmarkStart w:id="45" w:name="_Toc530148230"/>
      <w:bookmarkStart w:id="46" w:name="_Toc780499"/>
      <w:bookmarkStart w:id="47" w:name="_Toc970720"/>
      <w:bookmarkStart w:id="48" w:name="_Toc1469938"/>
      <w:bookmarkStart w:id="49" w:name="_Toc2676092"/>
      <w:r w:rsidRPr="00D47BAC">
        <w:t xml:space="preserve">Evaluating Deployment of Advanced Telecommunications Capability to All Americans in a </w:t>
      </w:r>
      <w:r w:rsidRPr="008C0C60">
        <w:rPr>
          <w:b w:val="0"/>
        </w:rPr>
        <w:t>Reasonable and Timely Fashion</w:t>
      </w:r>
      <w:bookmarkStart w:id="50" w:name="_Toc78050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C6287D" w:rsidRPr="003E0698" w:rsidP="00C6287D">
      <w:pPr>
        <w:pStyle w:val="ParaNum"/>
        <w:widowControl/>
      </w:pPr>
      <w:r w:rsidRPr="003E0698">
        <w:t xml:space="preserve">As proposed in the </w:t>
      </w:r>
      <w:r w:rsidRPr="005945A7">
        <w:rPr>
          <w:i/>
        </w:rPr>
        <w:t>Notice</w:t>
      </w:r>
      <w:r w:rsidRPr="003E0698">
        <w:t xml:space="preserve">, </w:t>
      </w:r>
      <w:r>
        <w:t>this Report</w:t>
      </w:r>
      <w:r w:rsidRPr="003E0698">
        <w:t xml:space="preserve"> will</w:t>
      </w:r>
      <w:r>
        <w:t xml:space="preserve"> holistically</w:t>
      </w:r>
      <w:r w:rsidRPr="003E0698">
        <w:t xml:space="preserve"> evaluate</w:t>
      </w:r>
      <w:r>
        <w:t xml:space="preserve"> the availability of</w:t>
      </w:r>
      <w:r w:rsidRPr="003E0698">
        <w:t xml:space="preserve"> fixed and mobile services over a 5-year time period (2013-2017) using the same four </w:t>
      </w:r>
      <w:r>
        <w:t>methods</w:t>
      </w:r>
      <w:r w:rsidRPr="003E0698">
        <w:t xml:space="preserve"> for </w:t>
      </w:r>
      <w:r>
        <w:t>determining the proportion of Americans with access to broadband</w:t>
      </w:r>
      <w:r w:rsidRPr="003E0698">
        <w:t xml:space="preserve"> presented in the </w:t>
      </w:r>
      <w:r w:rsidRPr="005945A7">
        <w:rPr>
          <w:i/>
        </w:rPr>
        <w:t>2018 Report</w:t>
      </w:r>
      <w:r w:rsidRPr="003E0698">
        <w:t xml:space="preserve">: </w:t>
      </w:r>
      <w:r>
        <w:t xml:space="preserve"> </w:t>
      </w:r>
      <w:r w:rsidRPr="003E0698">
        <w:t>(1)</w:t>
      </w:r>
      <w:r>
        <w:t xml:space="preserve"> those with access to </w:t>
      </w:r>
      <w:r w:rsidRPr="003E0698">
        <w:t>fixed services; (2)</w:t>
      </w:r>
      <w:r>
        <w:t xml:space="preserve"> those with access to </w:t>
      </w:r>
      <w:r w:rsidRPr="003E0698">
        <w:t>mobile LTE services; (3)</w:t>
      </w:r>
      <w:r>
        <w:t> those with access to both</w:t>
      </w:r>
      <w:r w:rsidRPr="003E0698">
        <w:t xml:space="preserve"> fixed </w:t>
      </w:r>
      <w:r w:rsidRPr="005945A7">
        <w:rPr>
          <w:i/>
        </w:rPr>
        <w:t>and</w:t>
      </w:r>
      <w:r w:rsidRPr="003E0698">
        <w:t xml:space="preserve"> mobile LTE services; and (4)</w:t>
      </w:r>
      <w:r>
        <w:t xml:space="preserve"> those with access to at least one of either </w:t>
      </w:r>
      <w:r w:rsidRPr="003E0698">
        <w:t xml:space="preserve">fixed </w:t>
      </w:r>
      <w:r w:rsidRPr="005945A7">
        <w:rPr>
          <w:i/>
        </w:rPr>
        <w:t>or</w:t>
      </w:r>
      <w:r w:rsidRPr="003E0698">
        <w:t xml:space="preserve"> mobile LTE services.</w:t>
      </w:r>
      <w:r>
        <w:rPr>
          <w:rStyle w:val="FootnoteReference"/>
        </w:rPr>
        <w:footnoteReference w:id="14"/>
      </w:r>
      <w:r w:rsidRPr="003E0698">
        <w:t xml:space="preserve">  The record provides substantial support for continuing our use of a progress-based approach to analyze deployment of both fixed and mobile broadband services</w:t>
      </w:r>
      <w:r>
        <w:t>—</w:t>
      </w:r>
      <w:r w:rsidRPr="003E0698">
        <w:t>an approach commenters agree is most consistent with the language of section 706</w:t>
      </w:r>
      <w:r>
        <w:t>—</w:t>
      </w:r>
      <w:r w:rsidRPr="003E0698">
        <w:t xml:space="preserve">and enables the Commission to determine whether </w:t>
      </w:r>
      <w:r w:rsidRPr="003E0698">
        <w:t>advanced telecommunications capability “is being deployed” in the manner that section 706 requires.</w:t>
      </w:r>
      <w:r>
        <w:rPr>
          <w:rStyle w:val="FootnoteReference"/>
        </w:rPr>
        <w:footnoteReference w:id="15"/>
      </w:r>
      <w:r w:rsidRPr="003E0698">
        <w:t xml:space="preserve">  As explained in the </w:t>
      </w:r>
      <w:r w:rsidRPr="005945A7">
        <w:rPr>
          <w:i/>
        </w:rPr>
        <w:t>2018 Report</w:t>
      </w:r>
      <w:r w:rsidRPr="003E0698">
        <w:t xml:space="preserve">, Congress intended that the Commission evaluate the current state of deployment to all Americans; it did not </w:t>
      </w:r>
      <w:r>
        <w:t xml:space="preserve">ask us to determine whether </w:t>
      </w:r>
      <w:r w:rsidRPr="003E0698">
        <w:t xml:space="preserve">each and every American </w:t>
      </w:r>
      <w:r>
        <w:t>is</w:t>
      </w:r>
      <w:r w:rsidRPr="003E0698">
        <w:t xml:space="preserve"> served </w:t>
      </w:r>
      <w:r w:rsidRPr="00FB6AB7">
        <w:t>at this moment</w:t>
      </w:r>
      <w:r w:rsidRPr="003D7C6E">
        <w:t>.</w:t>
      </w:r>
      <w:r>
        <w:rPr>
          <w:rStyle w:val="FootnoteReference"/>
        </w:rPr>
        <w:footnoteReference w:id="16"/>
      </w:r>
      <w:r w:rsidRPr="005945A7">
        <w:rPr>
          <w:i/>
        </w:rPr>
        <w:t xml:space="preserve">  </w:t>
      </w:r>
      <w:r w:rsidRPr="003E0698">
        <w:t xml:space="preserve">  </w:t>
      </w:r>
    </w:p>
    <w:p w:rsidR="00C6287D" w:rsidRPr="003E0698" w:rsidP="00C6287D">
      <w:pPr>
        <w:pStyle w:val="ParaNum"/>
      </w:pPr>
      <w:r>
        <w:t>W</w:t>
      </w:r>
      <w:r w:rsidRPr="003E0698">
        <w:t>e agree with commenters that we must continue to take concrete steps toward closing the digital divide</w:t>
      </w:r>
      <w:r>
        <w:t xml:space="preserve"> for all Americans</w:t>
      </w:r>
      <w:r w:rsidRPr="003E0698">
        <w:t>.</w:t>
      </w:r>
      <w:r>
        <w:rPr>
          <w:rStyle w:val="FootnoteReference"/>
        </w:rPr>
        <w:footnoteReference w:id="17"/>
      </w:r>
      <w:r w:rsidRPr="003E0698">
        <w:t xml:space="preserve">  Section 706(a) mandates that we promote the deployment of advanced telecommunications capability in general,</w:t>
      </w:r>
      <w:r>
        <w:rPr>
          <w:rStyle w:val="FootnoteReference"/>
        </w:rPr>
        <w:footnoteReference w:id="18"/>
      </w:r>
      <w:r w:rsidRPr="003E0698">
        <w:t xml:space="preserve"> and we believe that continued forward progress toward universal deployment is imperative if all Americans are to enjoy the full promise of our economy.</w:t>
      </w:r>
      <w:r>
        <w:rPr>
          <w:rStyle w:val="FootnoteReference"/>
        </w:rPr>
        <w:footnoteReference w:id="19"/>
      </w:r>
      <w:r>
        <w:t xml:space="preserve">  We agree with WISPA that “the Commission should continue to take affirmative steps toward . . . closing the ‘digital divide’ that separates rural and other typically unserved or underserved areas from areas with substantially greater connectivity service and service options.”</w:t>
      </w:r>
      <w:r>
        <w:rPr>
          <w:rStyle w:val="FootnoteReference"/>
        </w:rPr>
        <w:footnoteReference w:id="20"/>
      </w:r>
      <w:r>
        <w:t xml:space="preserve"> We also agree with CWA that “an accurate assessment of the deployment and adoption of advanced telecommunications capability is essential to craft policies to close the digital divide and promote digital equity for all Americans.”</w:t>
      </w:r>
      <w:r>
        <w:rPr>
          <w:rStyle w:val="FootnoteReference"/>
        </w:rPr>
        <w:footnoteReference w:id="21"/>
      </w:r>
      <w:r>
        <w:t xml:space="preserve">  To that end, we agree with the Free State Foundation that “it should be a Commission goal to proactively identify and remove . . . regulatory barriers to broadband infrastructure investment.”</w:t>
      </w:r>
      <w:r>
        <w:rPr>
          <w:rStyle w:val="FootnoteReference"/>
        </w:rPr>
        <w:footnoteReference w:id="22"/>
      </w:r>
      <w:r>
        <w:t xml:space="preserve">   </w:t>
      </w:r>
      <w:r w:rsidRPr="003E0698">
        <w:t xml:space="preserve">  We remain committed to ensuring that all Americans can share in the benefits of access to advanced telecommunications capability, and we will continue to monitor progress in the availability of such services.</w:t>
      </w:r>
    </w:p>
    <w:p w:rsidR="00C6287D" w:rsidRPr="00CB345E" w:rsidP="00A94DE8">
      <w:pPr>
        <w:pStyle w:val="Heading2"/>
      </w:pPr>
      <w:bookmarkStart w:id="51" w:name="_Toc525898120"/>
      <w:bookmarkStart w:id="52" w:name="_Toc525898250"/>
      <w:bookmarkStart w:id="53" w:name="_Toc525898637"/>
      <w:bookmarkStart w:id="54" w:name="_Toc526341617"/>
      <w:bookmarkStart w:id="55" w:name="_Toc526341937"/>
      <w:bookmarkStart w:id="56" w:name="_Toc527100568"/>
      <w:bookmarkStart w:id="57" w:name="_Toc527723145"/>
      <w:bookmarkStart w:id="58" w:name="_Toc529180594"/>
      <w:bookmarkStart w:id="59" w:name="_Toc530069117"/>
      <w:bookmarkStart w:id="60" w:name="_Toc530147020"/>
      <w:bookmarkStart w:id="61" w:name="_Toc530148232"/>
      <w:bookmarkStart w:id="62" w:name="_Toc780501"/>
      <w:bookmarkStart w:id="63" w:name="_Toc970721"/>
      <w:bookmarkStart w:id="64" w:name="_Toc1469939"/>
      <w:bookmarkStart w:id="65" w:name="_Toc2676093"/>
      <w:r w:rsidRPr="00820DFD">
        <w:t>Defining Advanced Telecommunications Capability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820DFD">
        <w:t xml:space="preserve"> </w:t>
      </w:r>
      <w:bookmarkStart w:id="66" w:name="_Toc780502"/>
      <w:bookmarkEnd w:id="66"/>
    </w:p>
    <w:p w:rsidR="00C6287D" w:rsidRPr="003E0698" w:rsidP="00C6287D">
      <w:pPr>
        <w:pStyle w:val="ParaNum"/>
      </w:pPr>
      <w:r w:rsidRPr="003E0698">
        <w:t xml:space="preserve">This </w:t>
      </w:r>
      <w:r>
        <w:t>R</w:t>
      </w:r>
      <w:r w:rsidRPr="003E0698">
        <w:t>eport continues the Commission’s practice of examining both fixed and mobile broadband deployment.</w:t>
      </w:r>
      <w:r>
        <w:rPr>
          <w:rStyle w:val="FootnoteReference"/>
          <w:sz w:val="22"/>
        </w:rPr>
        <w:footnoteReference w:id="23"/>
      </w:r>
      <w:r w:rsidRPr="003E0698">
        <w:t xml:space="preserve">  Consistent with our conclusion in the </w:t>
      </w:r>
      <w:r w:rsidRPr="005945A7">
        <w:rPr>
          <w:i/>
        </w:rPr>
        <w:t>2018 Report</w:t>
      </w:r>
      <w:r w:rsidRPr="003E0698">
        <w:t xml:space="preserve">, we consider both fixed and </w:t>
      </w:r>
      <w:r w:rsidRPr="003E0698">
        <w:t>mobile services to be capable of meeting the definition of “advanced telecommunications capability” under section 706.</w:t>
      </w:r>
      <w:r>
        <w:rPr>
          <w:rStyle w:val="FootnoteReference"/>
        </w:rPr>
        <w:footnoteReference w:id="24"/>
      </w:r>
      <w:r w:rsidRPr="003E0698">
        <w:t xml:space="preserve">  This finding is consistent with the language of the statute, which defines advanced telecommunications capability “without regard to any transmission media or technology.”</w:t>
      </w:r>
      <w:r>
        <w:rPr>
          <w:rStyle w:val="FootnoteReference"/>
          <w:sz w:val="22"/>
        </w:rPr>
        <w:footnoteReference w:id="25"/>
      </w:r>
      <w:r w:rsidRPr="003E0698">
        <w:t xml:space="preserve"> </w:t>
      </w:r>
    </w:p>
    <w:p w:rsidR="00C6287D" w:rsidRPr="0081768F" w:rsidP="00544DC6">
      <w:pPr>
        <w:pStyle w:val="ParaNum"/>
        <w:widowControl/>
      </w:pPr>
      <w:r>
        <w:t>In</w:t>
      </w:r>
      <w:r w:rsidRPr="003E0698">
        <w:t xml:space="preserve"> the </w:t>
      </w:r>
      <w:r w:rsidRPr="005945A7">
        <w:rPr>
          <w:i/>
        </w:rPr>
        <w:t>2018 Report</w:t>
      </w:r>
      <w:r>
        <w:t>,</w:t>
      </w:r>
      <w:r w:rsidRPr="003E0698">
        <w:t xml:space="preserve"> </w:t>
      </w:r>
      <w:r>
        <w:t xml:space="preserve">the Commission </w:t>
      </w:r>
      <w:r w:rsidRPr="003E0698">
        <w:t>conclu</w:t>
      </w:r>
      <w:r>
        <w:t>ded</w:t>
      </w:r>
      <w:r w:rsidRPr="003E0698">
        <w:t xml:space="preserve"> that mobile services are not “currently full substitutes for fixed service,” </w:t>
      </w:r>
      <w:r>
        <w:t xml:space="preserve">while determining that </w:t>
      </w:r>
      <w:r w:rsidRPr="003E0698">
        <w:t>both fixed and mobile service “clearly provide[] capabilities that satisfy the statutory definition of advanced telecommunications capability, and are important services that provide different functionalities, tailored to serve different consumer needs.”</w:t>
      </w:r>
      <w:r>
        <w:rPr>
          <w:rStyle w:val="FootnoteReference"/>
        </w:rPr>
        <w:footnoteReference w:id="26"/>
      </w:r>
      <w:r w:rsidRPr="003E0698">
        <w:t xml:space="preserve">  While some commenters submit that consumer preferences and demands for mobile services have expanded since the </w:t>
      </w:r>
      <w:r w:rsidRPr="005945A7">
        <w:rPr>
          <w:i/>
        </w:rPr>
        <w:t>2018 Report</w:t>
      </w:r>
      <w:r w:rsidRPr="003E0698">
        <w:t>,</w:t>
      </w:r>
      <w:r>
        <w:rPr>
          <w:rStyle w:val="FootnoteReference"/>
        </w:rPr>
        <w:footnoteReference w:id="27"/>
      </w:r>
      <w:r w:rsidRPr="003E0698">
        <w:t xml:space="preserve"> </w:t>
      </w:r>
      <w:r>
        <w:t>others contend</w:t>
      </w:r>
      <w:r w:rsidRPr="003E0698">
        <w:t xml:space="preserve"> that consumers </w:t>
      </w:r>
      <w:r>
        <w:t xml:space="preserve">are </w:t>
      </w:r>
      <w:r w:rsidRPr="003E0698">
        <w:t>continu</w:t>
      </w:r>
      <w:r>
        <w:t>ing</w:t>
      </w:r>
      <w:r w:rsidRPr="003E0698">
        <w:t xml:space="preserve"> to rely on access to both fixed and mobile networks, often using both in distinct ways, and as such, </w:t>
      </w:r>
      <w:r>
        <w:t>they urge the Commission to find that fixed and mobile services are not close substitutes for all uses and customer groups at this point in time</w:t>
      </w:r>
      <w:r w:rsidRPr="003E0698">
        <w:t>.</w:t>
      </w:r>
      <w:r>
        <w:rPr>
          <w:rStyle w:val="FootnoteReference"/>
        </w:rPr>
        <w:footnoteReference w:id="28"/>
      </w:r>
      <w:r w:rsidRPr="003E0698">
        <w:t xml:space="preserve">  We recognize that Americans have never been more reliant on mobile broadband for accessing and sharing information, and in response to the growing demand for data, mobile wireless providers continue to expand and improve their networks.</w:t>
      </w:r>
      <w:r>
        <w:rPr>
          <w:rStyle w:val="FootnoteReference"/>
        </w:rPr>
        <w:footnoteReference w:id="29"/>
      </w:r>
      <w:r>
        <w:t xml:space="preserve">  And we anticipate that, in the future, mobile services will continue to expand and become more versatile, with technological advances such as 5G potentially allowing mobile services to provide performance characteristics such as speed and service quality that are similar to fixed services.</w:t>
      </w:r>
      <w:r>
        <w:rPr>
          <w:rStyle w:val="FootnoteReference"/>
        </w:rPr>
        <w:footnoteReference w:id="30"/>
      </w:r>
      <w:r w:rsidRPr="003E0698">
        <w:t xml:space="preserve">  </w:t>
      </w:r>
      <w:r>
        <w:t>H</w:t>
      </w:r>
      <w:r w:rsidRPr="003E0698">
        <w:t>owever,</w:t>
      </w:r>
      <w:r>
        <w:t xml:space="preserve"> we find it is not necessary in this Report to specify, among a wide range of use cases, the circumstances in which fixed and mobile services are or are not close substitutes.  As with the </w:t>
      </w:r>
      <w:r>
        <w:rPr>
          <w:i/>
        </w:rPr>
        <w:t>2018 Report</w:t>
      </w:r>
      <w:r>
        <w:t>, we conclude that both fixed and mobile services provide capabilities that satisfy the statutory definition of advanced telecommunications capability and, as before,</w:t>
      </w:r>
      <w:r w:rsidRPr="003E0698">
        <w:t xml:space="preserve"> that despite the </w:t>
      </w:r>
      <w:r w:rsidRPr="003E0698">
        <w:t>increasing ubiquity and capabilities of mobile services, there is insufficient evidence in the record to conclude that mobile and fixed broadband services are full substitutes</w:t>
      </w:r>
      <w:r>
        <w:t xml:space="preserve"> in all cases</w:t>
      </w:r>
      <w:r w:rsidRPr="003E0698">
        <w:t>.</w:t>
      </w:r>
      <w:r>
        <w:rPr>
          <w:rStyle w:val="FootnoteReference"/>
        </w:rPr>
        <w:footnoteReference w:id="31"/>
      </w:r>
      <w:r w:rsidRPr="003E0698">
        <w:t xml:space="preserve">  </w:t>
      </w:r>
      <w:r>
        <w:t>Thus, f</w:t>
      </w:r>
      <w:r w:rsidRPr="003E0698">
        <w:t xml:space="preserve">or the purposes of this </w:t>
      </w:r>
      <w:r>
        <w:t>R</w:t>
      </w:r>
      <w:r w:rsidRPr="003E0698">
        <w:t>eport, we will continue to examine the deployment of fixed and mobile services, both individually and in conjunction with one another.</w:t>
      </w:r>
    </w:p>
    <w:p w:rsidR="00C6287D" w:rsidP="00C6287D">
      <w:pPr>
        <w:pStyle w:val="ParaNum"/>
      </w:pPr>
      <w:r w:rsidRPr="005945A7">
        <w:rPr>
          <w:i/>
        </w:rPr>
        <w:t xml:space="preserve">Performance Benchmarks for </w:t>
      </w:r>
      <w:r w:rsidRPr="003A4EB5">
        <w:rPr>
          <w:i/>
        </w:rPr>
        <w:t>Fixed Service.</w:t>
      </w:r>
      <w:r w:rsidRPr="003E0698">
        <w:t xml:space="preserve">  We </w:t>
      </w:r>
      <w:r>
        <w:t>conclude</w:t>
      </w:r>
      <w:r w:rsidRPr="003E0698">
        <w:t xml:space="preserve"> that the current speed benchmark of 25 Mbps/3 Mbps remains an appropriate measure by which to assess whether a fixed service </w:t>
      </w:r>
      <w:r>
        <w:t xml:space="preserve">is </w:t>
      </w:r>
      <w:r w:rsidRPr="003E0698">
        <w:t>providi</w:t>
      </w:r>
      <w:r>
        <w:t>ng</w:t>
      </w:r>
      <w:r w:rsidRPr="003E0698">
        <w:t xml:space="preserve"> advanced telecommunications capability.  This finding follows the proposal in the </w:t>
      </w:r>
      <w:r w:rsidRPr="005945A7">
        <w:rPr>
          <w:i/>
        </w:rPr>
        <w:t>Notice</w:t>
      </w:r>
      <w:r w:rsidRPr="003E0698">
        <w:t>, and there is significant support in the record for maintaining the current fixed 25 Mbps/3 Mbps speed benchmark.</w:t>
      </w:r>
      <w:r>
        <w:rPr>
          <w:rStyle w:val="FootnoteReference"/>
        </w:rPr>
        <w:footnoteReference w:id="32"/>
      </w:r>
      <w:r>
        <w:t xml:space="preserve">  In maintaining the benchmark of 25 Mbps/3 Mbps, we emphasize the benefit in maintaining a consistent approach to the section 706 inquiry from report to report.  Given that the record lacks a compelling justification for raising the benchmark, we are especially cognizant of the value presented by a consistent benchmark, which better enables the Commission and the public to track deployment progress over time.</w:t>
      </w:r>
      <w:r w:rsidRPr="003E0698">
        <w:t xml:space="preserve">  </w:t>
      </w:r>
    </w:p>
    <w:p w:rsidR="00C6287D" w:rsidRPr="003E0698" w:rsidP="00C6287D">
      <w:pPr>
        <w:pStyle w:val="ParaNum"/>
      </w:pPr>
      <w:r w:rsidRPr="003E0698">
        <w:t>While some commenters argue for increasing the fixed speed benchmark</w:t>
      </w:r>
      <w:r>
        <w:t xml:space="preserve"> above 25 Mbps/3 Mbps</w:t>
      </w:r>
      <w:r w:rsidRPr="003E0698">
        <w:t>,</w:t>
      </w:r>
      <w:r>
        <w:rPr>
          <w:rStyle w:val="FootnoteReference"/>
          <w:sz w:val="22"/>
        </w:rPr>
        <w:footnoteReference w:id="33"/>
      </w:r>
      <w:r w:rsidRPr="003E0698">
        <w:t xml:space="preserve"> we conclude that fixed services with speeds of 25 Mbps/3 Mbps continue to meet the statutory definition of  advanced telecommunications capability; that is, such services “enable[] users to originate and receive high-quality voice, data, graphics, and video telecommunications.”</w:t>
      </w:r>
      <w:r>
        <w:rPr>
          <w:rStyle w:val="FootnoteReference"/>
          <w:sz w:val="22"/>
        </w:rPr>
        <w:footnoteReference w:id="34"/>
      </w:r>
      <w:r w:rsidRPr="003E0698">
        <w:t xml:space="preserve">  Record evidence indicates that our 25 Mbps/3 Mbps benchmark reflects current consumer demand for high-speed broadband services.</w:t>
      </w:r>
      <w:r>
        <w:rPr>
          <w:rStyle w:val="FootnoteReference"/>
          <w:sz w:val="22"/>
        </w:rPr>
        <w:footnoteReference w:id="35"/>
      </w:r>
      <w:r w:rsidRPr="003E0698">
        <w:t xml:space="preserve">  ADTRAN, for example, submits that the Commission’s benchmark is “on the upper end of reasonableness, given the statute's definition of ‘advanced telecommunications capabilities,’ the Commission's interpretation of that term, consumer adoption rates for high speed services, and consumer demand for services such as 4K TV.”</w:t>
      </w:r>
      <w:r>
        <w:rPr>
          <w:rStyle w:val="FootnoteReference"/>
        </w:rPr>
        <w:footnoteReference w:id="36"/>
      </w:r>
      <w:r w:rsidRPr="003E0698">
        <w:t xml:space="preserve">  Moreover, we agree with WISPA that</w:t>
      </w:r>
      <w:r>
        <w:t xml:space="preserve"> because a significant number of </w:t>
      </w:r>
      <w:r w:rsidRPr="003E0698">
        <w:t xml:space="preserve"> “current fixed broadband users are subscribing to service at speeds below the 25 Mbps/3 Mbps benchmark, the adoption rate for service at higher speeds does not yet support an increase in the threshold.”</w:t>
      </w:r>
      <w:r>
        <w:rPr>
          <w:rStyle w:val="FootnoteReference"/>
        </w:rPr>
        <w:footnoteReference w:id="37"/>
      </w:r>
      <w:r w:rsidRPr="003E0698">
        <w:t xml:space="preserve">  Indeed, the most recent Internet Access Service Report finds that </w:t>
      </w:r>
      <w:r w:rsidRPr="00FB6AB7">
        <w:t>33</w:t>
      </w:r>
      <w:r w:rsidRPr="00820DFD">
        <w:t>%</w:t>
      </w:r>
      <w:r w:rsidRPr="003E0698">
        <w:t xml:space="preserve"> of residential fixed connections are below that speed.</w:t>
      </w:r>
      <w:r>
        <w:rPr>
          <w:rStyle w:val="FootnoteReference"/>
        </w:rPr>
        <w:footnoteReference w:id="38"/>
      </w:r>
      <w:r w:rsidRPr="003E0698">
        <w:t xml:space="preserve">  As ITTA explains, in the future, “more audacious benchmarks, such as 100 Mbps downstream” may someday reflect consumer demand, but “the current market is not there yet.”</w:t>
      </w:r>
      <w:r>
        <w:rPr>
          <w:rStyle w:val="FootnoteReference"/>
        </w:rPr>
        <w:footnoteReference w:id="39"/>
      </w:r>
      <w:r w:rsidRPr="003E0698">
        <w:t xml:space="preserve">    </w:t>
      </w:r>
    </w:p>
    <w:p w:rsidR="00C6287D" w:rsidRPr="003E0698" w:rsidP="00C6287D">
      <w:pPr>
        <w:pStyle w:val="ParaNum"/>
      </w:pPr>
      <w:r w:rsidRPr="003E0698">
        <w:t>Although we agree with INCOMPAS</w:t>
      </w:r>
      <w:r w:rsidRPr="003E0698">
        <w:t xml:space="preserve"> </w:t>
      </w:r>
      <w:r w:rsidRPr="003E0698">
        <w:t>and NCTA that our fixed speed benchmark must continue to keep pace with consumer usage, demand, and technology,</w:t>
      </w:r>
      <w:r>
        <w:rPr>
          <w:rStyle w:val="FootnoteReference"/>
        </w:rPr>
        <w:footnoteReference w:id="40"/>
      </w:r>
      <w:r w:rsidRPr="003E0698">
        <w:t xml:space="preserve"> the definition of advanced telecommunications capability in section 706 nowhere suggests that “advanced” necessarily means the highest quality service possible.</w:t>
      </w:r>
      <w:r>
        <w:rPr>
          <w:rStyle w:val="FootnoteReference"/>
          <w:sz w:val="22"/>
        </w:rPr>
        <w:footnoteReference w:id="41"/>
      </w:r>
      <w:r w:rsidRPr="003E0698">
        <w:t xml:space="preserve">  Relatedly, while some commenters suggest that </w:t>
      </w:r>
      <w:r>
        <w:t xml:space="preserve">our fixed broadband benchmark should include </w:t>
      </w:r>
      <w:r w:rsidRPr="003E0698">
        <w:t>gigabit speeds, we decline to set an advanced telecommunications capability benchmark that exceeds investment and deployment capabilities and far exceeds consumer demand.</w:t>
      </w:r>
      <w:r>
        <w:rPr>
          <w:rStyle w:val="FootnoteReference"/>
        </w:rPr>
        <w:footnoteReference w:id="42"/>
      </w:r>
      <w:r w:rsidRPr="003E0698">
        <w:t xml:space="preserve">  </w:t>
      </w:r>
      <w:bookmarkStart w:id="68" w:name="_Hlk526170267"/>
      <w:r w:rsidRPr="003E0698">
        <w:t>The Commission’s Form 477 data shows that</w:t>
      </w:r>
      <w:r>
        <w:t xml:space="preserve"> in the areas where gigabit service is available,</w:t>
      </w:r>
      <w:r w:rsidRPr="003E0698">
        <w:t xml:space="preserve"> only </w:t>
      </w:r>
      <w:r>
        <w:t>3.</w:t>
      </w:r>
      <w:r w:rsidRPr="00FD71C1">
        <w:t>6</w:t>
      </w:r>
      <w:r w:rsidRPr="003E0698">
        <w:t>% of Americans living in</w:t>
      </w:r>
      <w:r>
        <w:t xml:space="preserve"> those</w:t>
      </w:r>
      <w:r w:rsidRPr="003E0698">
        <w:t xml:space="preserve"> areas </w:t>
      </w:r>
      <w:r>
        <w:t xml:space="preserve">are </w:t>
      </w:r>
      <w:r w:rsidRPr="003E0698">
        <w:t>in fact subscribing to it.</w:t>
      </w:r>
      <w:r>
        <w:rPr>
          <w:rStyle w:val="FootnoteReference"/>
        </w:rPr>
        <w:footnoteReference w:id="43"/>
      </w:r>
      <w:r w:rsidRPr="003E0698">
        <w:t xml:space="preserve">  </w:t>
      </w:r>
      <w:bookmarkEnd w:id="68"/>
      <w:r w:rsidRPr="003E0698">
        <w:t>Notably, while 25 Mbps/3 Mbps remains our fixed speed benchmark for purposes of conducting our inquiry under section 706, we continue and expand upon our practice of showing progress of fixed services at multiple speed thresholds, including three speeds above the benchmark (50 Mbps/5 Mbps, 100 Mbps/10 Mbps, and 250 Mbps/25 Mbps), to enable the Commission and the public to monitor consumer usage trends and marketplace developments.</w:t>
      </w:r>
    </w:p>
    <w:p w:rsidR="00C6287D" w:rsidRPr="003E0698" w:rsidP="00C6287D">
      <w:pPr>
        <w:pStyle w:val="ParaNum"/>
      </w:pPr>
      <w:r w:rsidRPr="003E0698">
        <w:t xml:space="preserve">We </w:t>
      </w:r>
      <w:r>
        <w:t xml:space="preserve">agree </w:t>
      </w:r>
      <w:r w:rsidRPr="003E0698">
        <w:t>with R Street</w:t>
      </w:r>
      <w:r>
        <w:t xml:space="preserve"> that we should look at multiple speed tiers,</w:t>
      </w:r>
      <w:r>
        <w:rPr>
          <w:rStyle w:val="FootnoteReference"/>
        </w:rPr>
        <w:footnoteReference w:id="44"/>
      </w:r>
      <w:r w:rsidRPr="003E0698">
        <w:t xml:space="preserve"> but we continue to find, consistent with the </w:t>
      </w:r>
      <w:r w:rsidRPr="003E0698">
        <w:rPr>
          <w:i/>
        </w:rPr>
        <w:t xml:space="preserve">2018 Report </w:t>
      </w:r>
      <w:r w:rsidRPr="003E0698">
        <w:t>and longstanding Commission precedent, that a “single fixed speed benchmark provides a useful and administrable way of conducting our inquiry</w:t>
      </w:r>
      <w:r>
        <w:t>.</w:t>
      </w:r>
      <w:r w:rsidRPr="003E0698">
        <w:t>”</w:t>
      </w:r>
      <w:r>
        <w:rPr>
          <w:rStyle w:val="FootnoteReference"/>
        </w:rPr>
        <w:footnoteReference w:id="45"/>
      </w:r>
      <w:r w:rsidRPr="003E0698">
        <w:t xml:space="preserve">  Indeed, use of a benchmark actually makes it easier to track progress over time.  </w:t>
      </w:r>
      <w:r>
        <w:t>W</w:t>
      </w:r>
      <w:r w:rsidRPr="003E0698">
        <w:t>hile we use a single benchmark for the purposes of defining advanced telecommunications capability under section 706, we also evaluate progress using a broad scope of speed tier data and different speed tiers across technologies.</w:t>
      </w:r>
      <w:r>
        <w:rPr>
          <w:rStyle w:val="FootnoteReference"/>
        </w:rPr>
        <w:footnoteReference w:id="46"/>
      </w:r>
      <w:r w:rsidRPr="003E0698">
        <w:t xml:space="preserve">  </w:t>
      </w:r>
    </w:p>
    <w:p w:rsidR="00C6287D" w:rsidRPr="003E0698" w:rsidP="00C6287D">
      <w:pPr>
        <w:pStyle w:val="ParaNum"/>
        <w:widowControl/>
      </w:pPr>
      <w:r>
        <w:rPr>
          <w:i/>
        </w:rPr>
        <w:t xml:space="preserve">Performance Benchmarks for </w:t>
      </w:r>
      <w:r w:rsidRPr="003E0698">
        <w:rPr>
          <w:i/>
        </w:rPr>
        <w:t xml:space="preserve">Mobile Service.  </w:t>
      </w:r>
      <w:r w:rsidRPr="003E0698">
        <w:t xml:space="preserve">We </w:t>
      </w:r>
      <w:r>
        <w:t>also maintain</w:t>
      </w:r>
      <w:r w:rsidRPr="003E0698">
        <w:t xml:space="preserve"> our approach from the </w:t>
      </w:r>
      <w:r w:rsidRPr="003E0698">
        <w:rPr>
          <w:i/>
        </w:rPr>
        <w:t>2018 Report</w:t>
      </w:r>
      <w:r w:rsidRPr="003E0698">
        <w:t xml:space="preserve"> </w:t>
      </w:r>
      <w:r>
        <w:t>for</w:t>
      </w:r>
      <w:r w:rsidRPr="003E0698">
        <w:t xml:space="preserve"> evaluat</w:t>
      </w:r>
      <w:r>
        <w:t>ing</w:t>
      </w:r>
      <w:r w:rsidRPr="003E0698">
        <w:t xml:space="preserve"> advanced telecommunications capability deployment for mobile services.  The inherent variability of mobile services, as well as </w:t>
      </w:r>
      <w:r>
        <w:t xml:space="preserve">certain </w:t>
      </w:r>
      <w:r w:rsidRPr="003E0698">
        <w:t>data limitations, continue to make the use of a single benchmark unworkable.</w:t>
      </w:r>
      <w:r>
        <w:rPr>
          <w:rStyle w:val="FootnoteReference"/>
        </w:rPr>
        <w:footnoteReference w:id="47"/>
      </w:r>
      <w:r w:rsidRPr="003E0698">
        <w:t xml:space="preserve">  Consequently, as was the case with the </w:t>
      </w:r>
      <w:r w:rsidRPr="003E0698">
        <w:rPr>
          <w:i/>
        </w:rPr>
        <w:t>2018 Report</w:t>
      </w:r>
      <w:r w:rsidRPr="003E0698">
        <w:t xml:space="preserve">, we find that use of various data points is still the best method to assess the extent to which American consumers have access </w:t>
      </w:r>
      <w:r w:rsidRPr="003E0698">
        <w:t>to mobile advanced telecommunications capability.</w:t>
      </w:r>
      <w:r>
        <w:rPr>
          <w:rStyle w:val="FootnoteReference"/>
        </w:rPr>
        <w:footnoteReference w:id="48"/>
      </w:r>
      <w:r w:rsidRPr="003E0698">
        <w:t xml:space="preserve">  </w:t>
      </w:r>
      <w:r>
        <w:t xml:space="preserve">In addition, this approach allows us to better make comparisons over time in a consistent manner.  </w:t>
      </w:r>
      <w:r w:rsidRPr="003E0698">
        <w:t xml:space="preserve">We use 4G LTE as our starting point and present </w:t>
      </w:r>
      <w:r>
        <w:t xml:space="preserve">4G </w:t>
      </w:r>
      <w:r w:rsidRPr="003E0698">
        <w:t>LTE coverage data based on the Form 477 minimum advertised speeds of 5 Mbps/1 Mbps</w:t>
      </w:r>
      <w:r>
        <w:t>.</w:t>
      </w:r>
      <w:r w:rsidRPr="00033F67">
        <w:t xml:space="preserve"> </w:t>
      </w:r>
      <w:r>
        <w:t xml:space="preserve"> Consistent with the findings of the previous report, we again find 4G LTE to be the best proxy for what is “advanced” in today’s market consistent with the requirements of 47 U.S.C. § 1302 in the mobile context.</w:t>
      </w:r>
      <w:r>
        <w:rPr>
          <w:rStyle w:val="FootnoteReference"/>
        </w:rPr>
        <w:footnoteReference w:id="49"/>
      </w:r>
      <w:r>
        <w:t xml:space="preserve">  But like any mobile technology, its performance can be highly variable, including the manner in which the mobile network in an area is configured, such as the type of backhaul connected to the cell or available spectrum in an area.</w:t>
      </w:r>
      <w:r>
        <w:rPr>
          <w:rStyle w:val="FootnoteReference"/>
        </w:rPr>
        <w:footnoteReference w:id="50"/>
      </w:r>
      <w:r>
        <w:t xml:space="preserve">  We therefore assess only the 4G LTE coverage in Form 477 where the mobile service provider claims that the 4G LTE service is capable of a minimum of 5 Mbps/1 Mbps.</w:t>
      </w:r>
      <w:r>
        <w:rPr>
          <w:rStyle w:val="FootnoteReference"/>
        </w:rPr>
        <w:footnoteReference w:id="51"/>
      </w:r>
      <w:r>
        <w:t xml:space="preserve">  </w:t>
      </w:r>
      <w:r w:rsidRPr="003E0698">
        <w:t>We are not asserting, however, that 5 Mbps/1 Mbps is a mobile advanced telecommunications capability benchmark, and we supplement these results with Ookla’s actual speed test data at a median speed of 10 Mbps/3 Mbps or higher.</w:t>
      </w:r>
      <w:r>
        <w:rPr>
          <w:rStyle w:val="FootnoteReference"/>
        </w:rPr>
        <w:footnoteReference w:id="52"/>
      </w:r>
      <w:r w:rsidRPr="003E0698">
        <w:t xml:space="preserve">  This approach accounts for certain limitations of the current Form 477 mobile data, while helping us better understand the extent to which American consumers today are receiving speeds higher than 5 Mbps/1 Mbps.  Overall, retaining this methodology allows </w:t>
      </w:r>
      <w:r>
        <w:t xml:space="preserve">consistent metrics by which we can </w:t>
      </w:r>
      <w:r w:rsidRPr="003E0698">
        <w:t xml:space="preserve">evaluate whether </w:t>
      </w:r>
      <w:r>
        <w:t>mobile advanced telecommunications capability is improving for American consumers</w:t>
      </w:r>
      <w:r w:rsidRPr="003E0698">
        <w:t>.</w:t>
      </w:r>
      <w:r>
        <w:rPr>
          <w:rStyle w:val="FootnoteReference"/>
        </w:rPr>
        <w:footnoteReference w:id="53"/>
      </w:r>
      <w:r w:rsidRPr="003E0698">
        <w:t xml:space="preserve">  </w:t>
      </w:r>
    </w:p>
    <w:p w:rsidR="00C6287D" w:rsidRPr="003E0698" w:rsidP="00C6287D">
      <w:pPr>
        <w:pStyle w:val="ParaNum"/>
      </w:pPr>
      <w:r w:rsidRPr="003E0698">
        <w:t>The record supports retaining the current approach.</w:t>
      </w:r>
      <w:r>
        <w:rPr>
          <w:rStyle w:val="FootnoteReference"/>
        </w:rPr>
        <w:footnoteReference w:id="54"/>
      </w:r>
      <w:r w:rsidRPr="003E0698">
        <w:t xml:space="preserve">  CTIA expressed concern, however, that the 5 Mbps/1 Mbps and 10 Mbps/3 Mbps speed assessments may be unnecessarily rigid and suggested the Commission focus on “available data that demonstrates increasing consumer demand and use of mobile wireless services.”</w:t>
      </w:r>
      <w:r>
        <w:rPr>
          <w:rStyle w:val="FootnoteReference"/>
        </w:rPr>
        <w:footnoteReference w:id="55"/>
      </w:r>
      <w:r w:rsidRPr="003E0698">
        <w:t xml:space="preserve">  While we agree with CTIA that evaluating mobile advanced telecommunications capability poses additional challenges, as shown from this and the last Report, we note that the use of these two speed criteria is sufficiently administratively workable and provides an advantage for determining whether the LTE available in an area is adequate to be considered advanced telecommunications capability for mobile services.</w:t>
      </w:r>
      <w:r>
        <w:rPr>
          <w:rStyle w:val="FootnoteReference"/>
        </w:rPr>
        <w:footnoteReference w:id="56"/>
      </w:r>
      <w:r w:rsidRPr="003E0698">
        <w:t xml:space="preserve">  The current criteria allow us to eliminate those areas where LTE may be less resilient, while providing a way of measuring improvement in those areas over time.  We see no reason to deviate from our current methodology at this point in time.  No other commenters argued that the method we use to analyze mobile advanced telecommunications capability, specifically, raises a concern.</w:t>
      </w:r>
    </w:p>
    <w:p w:rsidR="00C6287D" w:rsidRPr="003E0698" w:rsidP="003D74E4">
      <w:pPr>
        <w:pStyle w:val="ParaNum"/>
        <w:widowControl/>
      </w:pPr>
      <w:r w:rsidRPr="005945A7">
        <w:rPr>
          <w:i/>
        </w:rPr>
        <w:t>Updating benchm</w:t>
      </w:r>
      <w:r w:rsidRPr="003A4EB5">
        <w:rPr>
          <w:i/>
        </w:rPr>
        <w:t>arks</w:t>
      </w:r>
      <w:r w:rsidRPr="003E0698">
        <w:t xml:space="preserve">.  The </w:t>
      </w:r>
      <w:r w:rsidRPr="005945A7">
        <w:rPr>
          <w:i/>
        </w:rPr>
        <w:t>Notice</w:t>
      </w:r>
      <w:r w:rsidRPr="003E0698">
        <w:t xml:space="preserve"> sought comment on a methodology the Commission could use to update the benchmarks, noting that “[t]he Commission has in the past sought public input on finding ‘a consistent, objective framework using predictable, reliable, and regularly-released public data’ to establish an objective benchmark.”</w:t>
      </w:r>
      <w:r>
        <w:rPr>
          <w:rStyle w:val="FootnoteReference"/>
          <w:sz w:val="22"/>
        </w:rPr>
        <w:footnoteReference w:id="57"/>
      </w:r>
      <w:r w:rsidRPr="003E0698">
        <w:t xml:space="preserve">  In most cases, however, commenters advocating for an alternative approach fail to provide a methodology or reliable data sources to implement their general ideas.</w:t>
      </w:r>
      <w:r>
        <w:rPr>
          <w:rStyle w:val="FootnoteReference"/>
          <w:sz w:val="22"/>
        </w:rPr>
        <w:footnoteReference w:id="58"/>
      </w:r>
      <w:r w:rsidRPr="003E0698">
        <w:t xml:space="preserve">  As was the </w:t>
      </w:r>
      <w:r>
        <w:t>case</w:t>
      </w:r>
      <w:r w:rsidRPr="003E0698">
        <w:t xml:space="preserve"> </w:t>
      </w:r>
      <w:r>
        <w:t>with</w:t>
      </w:r>
      <w:r w:rsidRPr="003E0698">
        <w:t xml:space="preserve"> the </w:t>
      </w:r>
      <w:r w:rsidRPr="005945A7">
        <w:rPr>
          <w:i/>
        </w:rPr>
        <w:t>2018 Report</w:t>
      </w:r>
      <w:r w:rsidRPr="003E0698">
        <w:t>, the only data-based approach in the record would use Form 477 subscription data to determine the fixed speed benchmark.</w:t>
      </w:r>
      <w:r>
        <w:rPr>
          <w:rStyle w:val="FootnoteReference"/>
        </w:rPr>
        <w:footnoteReference w:id="59"/>
      </w:r>
      <w:r w:rsidRPr="003E0698">
        <w:t xml:space="preserve">  We continue to believe this framework could have merit in the future, but it is still unclear how it would be applied to mobile services given that our Form 477 mobile subscription data collection currently is not sufficiently granular to make a meaningful evaluation of mobile service subscribership.</w:t>
      </w:r>
      <w:r>
        <w:rPr>
          <w:rStyle w:val="FootnoteReference"/>
          <w:sz w:val="22"/>
        </w:rPr>
        <w:footnoteReference w:id="60"/>
      </w:r>
      <w:r>
        <w:t xml:space="preserve">  To the extent that we adopt a methodology for updating our benchmarks, we believe it should be applicable to all services evaluated in this Report.</w:t>
      </w:r>
    </w:p>
    <w:p w:rsidR="00C6287D" w:rsidRPr="003E0698" w:rsidP="00C6287D">
      <w:pPr>
        <w:pStyle w:val="ParaNum"/>
        <w:widowControl/>
      </w:pPr>
      <w:r w:rsidRPr="003E0698">
        <w:rPr>
          <w:i/>
        </w:rPr>
        <w:t>Other benchmarks.</w:t>
      </w:r>
      <w:r w:rsidRPr="003E0698">
        <w:t xml:space="preserve">  We decline the requests of some commenters to adopt additional benchmarks.  Several commenters suggest adoption of a latency benchmark.</w:t>
      </w:r>
      <w:r>
        <w:rPr>
          <w:rStyle w:val="FootnoteReference"/>
        </w:rPr>
        <w:footnoteReference w:id="61"/>
      </w:r>
      <w:r w:rsidRPr="003E0698">
        <w:t xml:space="preserve">  We continue to lack a reliable and sufficiently comprehensive data source for such analysis,</w:t>
      </w:r>
      <w:r>
        <w:rPr>
          <w:rStyle w:val="FootnoteReference"/>
        </w:rPr>
        <w:footnoteReference w:id="62"/>
      </w:r>
      <w:r w:rsidRPr="003E0698">
        <w:t xml:space="preserve"> and commenters advocating a latency benchmark did not offer any workable options.  In addition, as the Commission found in the </w:t>
      </w:r>
      <w:r w:rsidRPr="003E0698">
        <w:rPr>
          <w:i/>
        </w:rPr>
        <w:t>2018 Report</w:t>
      </w:r>
      <w:r w:rsidRPr="003E0698">
        <w:t>, “[a]pplying a latency benchmark for all broadband services, whether fixed terrestrial, satellite, or mobile broadband, that would exclude from our section 706 analysis any consideration of broadband services that, on their face, would appear to provide consumers with the relevant capabilities articulated in section 706(d)(1), would prevent a reliable or complete assessment of the deployment of advanced telecommunications capability.”</w:t>
      </w:r>
      <w:r>
        <w:rPr>
          <w:rStyle w:val="FootnoteReference"/>
        </w:rPr>
        <w:footnoteReference w:id="63"/>
      </w:r>
      <w:r w:rsidRPr="003E0698">
        <w:t xml:space="preserve">  We also disagree with NTCA’s assertion that “a measure of the </w:t>
      </w:r>
      <w:r w:rsidRPr="003E0698">
        <w:rPr>
          <w:i/>
        </w:rPr>
        <w:t>true</w:t>
      </w:r>
      <w:r w:rsidRPr="003E0698">
        <w:t xml:space="preserve"> performance of certain broadband technologies [should include] the latency, data usage limits, and other technical capabilities of various offerings.”</w:t>
      </w:r>
      <w:r>
        <w:rPr>
          <w:rStyle w:val="FootnoteReference"/>
        </w:rPr>
        <w:footnoteReference w:id="64"/>
      </w:r>
      <w:r w:rsidRPr="003E0698">
        <w:t xml:space="preserve">  We believe that such metrics fall outside of the scope of our </w:t>
      </w:r>
      <w:r w:rsidRPr="003E0698">
        <w:t>section 706 inquiry.</w:t>
      </w:r>
      <w:r>
        <w:rPr>
          <w:rStyle w:val="FootnoteReference"/>
          <w:sz w:val="22"/>
        </w:rPr>
        <w:footnoteReference w:id="65"/>
      </w:r>
      <w:r w:rsidRPr="003E0698">
        <w:t xml:space="preserve">  </w:t>
      </w:r>
      <w:bookmarkStart w:id="70" w:name="_Hlk500764536"/>
      <w:r w:rsidRPr="003E0698">
        <w:t xml:space="preserve">As the Commission found in the </w:t>
      </w:r>
      <w:r w:rsidRPr="003E0698">
        <w:rPr>
          <w:i/>
        </w:rPr>
        <w:t>2018 Report</w:t>
      </w:r>
      <w:r w:rsidRPr="003E0698">
        <w:t>, “[w]hile factors such as data allowances or pricing may affect consumers’ use of advanced telecommunications capabilities or influence decisions concerning the purchase of these services in the first instance, such considerations do not affect the underlying determination of whether advanced telecommunications capability has been deployed and made available to customers in a given area.”</w:t>
      </w:r>
      <w:r>
        <w:rPr>
          <w:rStyle w:val="FootnoteReference"/>
          <w:sz w:val="22"/>
        </w:rPr>
        <w:footnoteReference w:id="66"/>
      </w:r>
      <w:r w:rsidRPr="003E0698">
        <w:t xml:space="preserve">  </w:t>
      </w:r>
      <w:bookmarkEnd w:id="70"/>
      <w:r w:rsidRPr="003E0698">
        <w:t>Furthermore, commenters in support of including non-performance metrics fail to cite reliable, comprehensive data sources that we could use, or sound methodologies for incorporating these metrics into the section 706 inquiry.</w:t>
      </w:r>
      <w:r>
        <w:rPr>
          <w:rStyle w:val="FootnoteReference"/>
          <w:sz w:val="22"/>
        </w:rPr>
        <w:footnoteReference w:id="67"/>
      </w:r>
      <w:r w:rsidRPr="003E0698">
        <w:t xml:space="preserve">    </w:t>
      </w:r>
    </w:p>
    <w:p w:rsidR="00C6287D" w:rsidRPr="003E0698" w:rsidP="00A94DE8">
      <w:pPr>
        <w:pStyle w:val="Heading2"/>
        <w:numPr>
          <w:ilvl w:val="1"/>
          <w:numId w:val="9"/>
        </w:numPr>
      </w:pPr>
      <w:bookmarkStart w:id="71" w:name="_Toc525898121"/>
      <w:bookmarkStart w:id="72" w:name="_Toc525898253"/>
      <w:bookmarkStart w:id="73" w:name="_Toc525898638"/>
      <w:bookmarkStart w:id="74" w:name="_Toc526341618"/>
      <w:bookmarkStart w:id="75" w:name="_Toc526341938"/>
      <w:bookmarkStart w:id="76" w:name="_Toc527100569"/>
      <w:bookmarkStart w:id="77" w:name="_Toc527723146"/>
      <w:bookmarkStart w:id="78" w:name="_Toc529180595"/>
      <w:bookmarkStart w:id="79" w:name="_Toc530069118"/>
      <w:bookmarkStart w:id="80" w:name="_Toc530147021"/>
      <w:bookmarkStart w:id="81" w:name="_Toc530148233"/>
      <w:bookmarkStart w:id="82" w:name="_Toc780503"/>
      <w:bookmarkStart w:id="83" w:name="_Toc970722"/>
      <w:bookmarkStart w:id="84" w:name="_Toc1469940"/>
      <w:bookmarkStart w:id="85" w:name="_Toc2676094"/>
      <w:r w:rsidRPr="003E0698">
        <w:t>Demographic Information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C6287D" w:rsidRPr="003E0698" w:rsidP="00C6287D">
      <w:pPr>
        <w:pStyle w:val="ParaNum"/>
        <w:widowControl/>
      </w:pPr>
      <w:r w:rsidRPr="003E0698">
        <w:t>Section 706(c) directs the Commission to compile a list of geographical areas that are not served by any provider of advanced telecommunications capability and, to the extent that data from the Census Bureau are available, to determine, for each unserved area, the population, the population density, and the average per capita income.</w:t>
      </w:r>
      <w:r>
        <w:rPr>
          <w:rStyle w:val="FootnoteReference"/>
          <w:sz w:val="22"/>
        </w:rPr>
        <w:footnoteReference w:id="68"/>
      </w:r>
      <w:r w:rsidRPr="003E0698">
        <w:t xml:space="preserve">  We include a demographic data analysis below in Section IV.C.</w:t>
      </w:r>
      <w:r>
        <w:rPr>
          <w:rStyle w:val="FootnoteReference"/>
          <w:sz w:val="22"/>
        </w:rPr>
        <w:footnoteReference w:id="69"/>
      </w:r>
      <w:r w:rsidRPr="003E0698">
        <w:t xml:space="preserve"> and show the availability of advanced telecommunications capability on a county-by county basis with demographic information in </w:t>
      </w:r>
      <w:r w:rsidRPr="009038C4">
        <w:t xml:space="preserve">Appendix </w:t>
      </w:r>
      <w:r w:rsidRPr="00FB6AB7">
        <w:t>5</w:t>
      </w:r>
      <w:r w:rsidRPr="003E0698">
        <w:t>.</w:t>
      </w:r>
      <w:r>
        <w:rPr>
          <w:rStyle w:val="FootnoteReference"/>
          <w:sz w:val="22"/>
        </w:rPr>
        <w:footnoteReference w:id="70"/>
      </w:r>
    </w:p>
    <w:p w:rsidR="00C6287D" w:rsidRPr="003E0698" w:rsidP="00A94DE8">
      <w:pPr>
        <w:pStyle w:val="Heading2"/>
        <w:numPr>
          <w:ilvl w:val="1"/>
          <w:numId w:val="9"/>
        </w:numPr>
      </w:pPr>
      <w:bookmarkStart w:id="86" w:name="_Toc525898122"/>
      <w:bookmarkStart w:id="87" w:name="_Toc525898254"/>
      <w:bookmarkStart w:id="88" w:name="_Toc525898639"/>
      <w:bookmarkStart w:id="89" w:name="_Toc526341619"/>
      <w:bookmarkStart w:id="90" w:name="_Toc526341939"/>
      <w:bookmarkStart w:id="91" w:name="_Toc527100570"/>
      <w:bookmarkStart w:id="92" w:name="_Toc527723147"/>
      <w:bookmarkStart w:id="93" w:name="_Toc529180596"/>
      <w:bookmarkStart w:id="94" w:name="_Toc530069119"/>
      <w:bookmarkStart w:id="95" w:name="_Toc530147022"/>
      <w:bookmarkStart w:id="96" w:name="_Toc530148234"/>
      <w:bookmarkStart w:id="97" w:name="_Toc780504"/>
      <w:bookmarkStart w:id="98" w:name="_Toc970723"/>
      <w:bookmarkStart w:id="99" w:name="_Toc1469941"/>
      <w:bookmarkStart w:id="100" w:name="_Toc2676095"/>
      <w:r w:rsidRPr="003E0698">
        <w:t>Schools and Classrooms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C6287D" w:rsidRPr="003E0698" w:rsidP="00C6287D">
      <w:pPr>
        <w:pStyle w:val="ParaNum"/>
      </w:pPr>
      <w:r w:rsidRPr="003E0698">
        <w:t>Section 706(b) also specifies that our annual inquiry concerning the availability of advanced telecommunications capability to all Americans must include “elementary and secondary schools and classrooms.”</w:t>
      </w:r>
      <w:r>
        <w:rPr>
          <w:rStyle w:val="FootnoteReference"/>
          <w:sz w:val="22"/>
        </w:rPr>
        <w:footnoteReference w:id="71"/>
      </w:r>
      <w:r w:rsidRPr="003E0698">
        <w:t xml:space="preserve">  As in the </w:t>
      </w:r>
      <w:r w:rsidRPr="003E0698">
        <w:rPr>
          <w:i/>
        </w:rPr>
        <w:t>2018 Report</w:t>
      </w:r>
      <w:r w:rsidRPr="003E0698">
        <w:t>, we continue to assess the current state of deployment in elementary and secondary schools in Section IV.F. below, using a short-term and long-term goal for broadband connectivity to schools of 100 Mbps per 1,000 students and staff, and 1 Gbps per 1,000 students and staff, respectively.</w:t>
      </w:r>
      <w:r>
        <w:rPr>
          <w:rStyle w:val="FootnoteReference"/>
          <w:sz w:val="22"/>
        </w:rPr>
        <w:footnoteReference w:id="72"/>
      </w:r>
      <w:r w:rsidRPr="003E0698">
        <w:t xml:space="preserve">  </w:t>
      </w:r>
    </w:p>
    <w:p w:rsidR="00C6287D" w:rsidRPr="003E0698" w:rsidP="00A94DE8">
      <w:pPr>
        <w:pStyle w:val="Heading2"/>
      </w:pPr>
      <w:bookmarkStart w:id="101" w:name="_Toc525898123"/>
      <w:bookmarkStart w:id="102" w:name="_Toc525898255"/>
      <w:bookmarkStart w:id="103" w:name="_Toc525898640"/>
      <w:bookmarkStart w:id="104" w:name="_Toc526341620"/>
      <w:bookmarkStart w:id="105" w:name="_Toc526341940"/>
      <w:bookmarkStart w:id="106" w:name="_Toc527100571"/>
      <w:bookmarkStart w:id="107" w:name="_Toc527723148"/>
      <w:bookmarkStart w:id="108" w:name="_Toc529180597"/>
      <w:bookmarkStart w:id="109" w:name="_Toc530069120"/>
      <w:bookmarkStart w:id="110" w:name="_Toc530147023"/>
      <w:bookmarkStart w:id="111" w:name="_Toc530148235"/>
      <w:bookmarkStart w:id="112" w:name="_Toc780505"/>
      <w:bookmarkStart w:id="113" w:name="_Toc970724"/>
      <w:bookmarkStart w:id="114" w:name="_Toc1469942"/>
      <w:bookmarkStart w:id="115" w:name="_Toc2676096"/>
      <w:r w:rsidRPr="003E0698">
        <w:t>Tribal Lands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C6287D" w:rsidRPr="003E0698" w:rsidP="00C6287D">
      <w:pPr>
        <w:pStyle w:val="ParaNum"/>
      </w:pPr>
      <w:r w:rsidRPr="003E0698">
        <w:t>We continue to recognize the need to promote and encourage access to broadband on Tribal lands</w:t>
      </w:r>
      <w:r>
        <w:t xml:space="preserve"> that do not have sufficient access today</w:t>
      </w:r>
      <w:r w:rsidRPr="003E0698">
        <w:t>.</w:t>
      </w:r>
      <w:r>
        <w:rPr>
          <w:rStyle w:val="FootnoteReference"/>
        </w:rPr>
        <w:footnoteReference w:id="73"/>
      </w:r>
      <w:r w:rsidRPr="003E0698">
        <w:t xml:space="preserve">  Because the </w:t>
      </w:r>
      <w:r w:rsidRPr="005945A7">
        <w:rPr>
          <w:i/>
        </w:rPr>
        <w:t>2018 Report</w:t>
      </w:r>
      <w:r w:rsidRPr="003E0698">
        <w:t xml:space="preserve"> showed deployment of advanced telecommunications capability on </w:t>
      </w:r>
      <w:r>
        <w:t xml:space="preserve">certain </w:t>
      </w:r>
      <w:r w:rsidRPr="003E0698">
        <w:t xml:space="preserve">Tribal lands lags deployment in other geographic areas, the </w:t>
      </w:r>
      <w:r w:rsidRPr="005945A7">
        <w:rPr>
          <w:i/>
        </w:rPr>
        <w:t>Notice</w:t>
      </w:r>
      <w:r w:rsidRPr="003E0698">
        <w:t xml:space="preserve"> sought comment on additional measures to track deployment on Tribal lands.</w:t>
      </w:r>
      <w:r>
        <w:rPr>
          <w:rStyle w:val="FootnoteReference"/>
        </w:rPr>
        <w:footnoteReference w:id="74"/>
      </w:r>
      <w:r w:rsidRPr="003E0698">
        <w:t xml:space="preserve">  Recognizing that Tribal lands are often rural, high-cost areas, presenting significant obstacles to broadband deployment, the </w:t>
      </w:r>
      <w:r w:rsidRPr="005945A7">
        <w:rPr>
          <w:i/>
        </w:rPr>
        <w:t xml:space="preserve">Notice </w:t>
      </w:r>
      <w:r w:rsidRPr="003E0698">
        <w:t>also sought comment on additional considerations, such as rights-of-</w:t>
      </w:r>
      <w:r w:rsidRPr="003E0698">
        <w:t>way or interconnection, preventing deployment that would otherwise occur.</w:t>
      </w:r>
      <w:r>
        <w:rPr>
          <w:rStyle w:val="FootnoteReference"/>
          <w:sz w:val="22"/>
        </w:rPr>
        <w:footnoteReference w:id="75"/>
      </w:r>
      <w:r w:rsidRPr="003E0698">
        <w:t xml:space="preserve">  The record here provides limited information on additional ways we should track the progress of broadband deployment on Tribal lands.</w:t>
      </w:r>
      <w:r>
        <w:rPr>
          <w:rStyle w:val="FootnoteReference"/>
        </w:rPr>
        <w:footnoteReference w:id="76"/>
      </w:r>
      <w:r w:rsidRPr="003E0698">
        <w:t xml:space="preserve"> </w:t>
      </w:r>
      <w:r w:rsidRPr="003E0698">
        <w:t xml:space="preserve"> NDIA suggests we provide greater detail regarding broadband deployment in rural, city, suburban</w:t>
      </w:r>
      <w:r>
        <w:t>,</w:t>
      </w:r>
      <w:r w:rsidRPr="003E0698">
        <w:t xml:space="preserve"> and </w:t>
      </w:r>
      <w:r w:rsidRPr="005945A7">
        <w:rPr>
          <w:i/>
        </w:rPr>
        <w:t>Tribal</w:t>
      </w:r>
      <w:r w:rsidRPr="003E0698">
        <w:t xml:space="preserve"> localities while NRECA cautions that our Form 477 data overstate broadband deployment on Tribal Lands.</w:t>
      </w:r>
      <w:r>
        <w:rPr>
          <w:rStyle w:val="FootnoteReference"/>
        </w:rPr>
        <w:footnoteReference w:id="77"/>
      </w:r>
      <w:r w:rsidRPr="003E0698">
        <w:t xml:space="preserve">  We recognize that broadband deployment on Tribal lands continues to lag behind and is less robust than in urban, and rural, areas.  Because of the limited record, we find it even more critical for us to continue to monitor and analyze any relevant data to the extent they become available.  Below, in Section IV.D., we present our measurement of deployment data on Tribal lands, acknowledging the challenges to increasing broadband services on Tribal lands.</w:t>
      </w:r>
    </w:p>
    <w:p w:rsidR="00C6287D" w:rsidRPr="003E0698" w:rsidP="00A94DE8">
      <w:pPr>
        <w:pStyle w:val="Heading2"/>
      </w:pPr>
      <w:bookmarkStart w:id="116" w:name="_Toc525898124"/>
      <w:bookmarkStart w:id="117" w:name="_Toc525898256"/>
      <w:bookmarkStart w:id="118" w:name="_Toc525898641"/>
      <w:bookmarkStart w:id="119" w:name="_Toc526341621"/>
      <w:bookmarkStart w:id="120" w:name="_Toc526341941"/>
      <w:bookmarkStart w:id="121" w:name="_Toc527100572"/>
      <w:bookmarkStart w:id="122" w:name="_Toc527723149"/>
      <w:bookmarkStart w:id="123" w:name="_Toc529180598"/>
      <w:bookmarkStart w:id="124" w:name="_Toc530069121"/>
      <w:bookmarkStart w:id="125" w:name="_Toc530147024"/>
      <w:bookmarkStart w:id="126" w:name="_Toc530148236"/>
      <w:bookmarkStart w:id="127" w:name="_Toc780506"/>
      <w:bookmarkStart w:id="128" w:name="_Toc970725"/>
      <w:bookmarkStart w:id="129" w:name="_Toc1469943"/>
      <w:bookmarkStart w:id="130" w:name="_Toc2676097"/>
      <w:r w:rsidRPr="003E0698">
        <w:t>Disaster-Affected Areas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C6287D" w:rsidRPr="003E0698" w:rsidP="00C6287D">
      <w:pPr>
        <w:pStyle w:val="ParaNum"/>
        <w:widowControl/>
      </w:pPr>
      <w:r w:rsidRPr="003E0698">
        <w:t xml:space="preserve">We find that reporting separately on the progress of disaster-affected areas is the most viable approach to assess our efforts and those of </w:t>
      </w:r>
      <w:r>
        <w:t xml:space="preserve">service </w:t>
      </w:r>
      <w:r w:rsidRPr="003E0698">
        <w:t xml:space="preserve">providers to improve and restore broadband networks in such areas.  The </w:t>
      </w:r>
      <w:r w:rsidRPr="005945A7">
        <w:rPr>
          <w:i/>
        </w:rPr>
        <w:t>Notice</w:t>
      </w:r>
      <w:r w:rsidRPr="003E0698">
        <w:t xml:space="preserve"> sought comment on how to address natural disasters in reporting on the progress of deploying broadband.</w:t>
      </w:r>
      <w:r>
        <w:rPr>
          <w:rStyle w:val="FootnoteReference"/>
        </w:rPr>
        <w:footnoteReference w:id="78"/>
      </w:r>
      <w:r w:rsidRPr="003E0698">
        <w:t xml:space="preserve">  In the wake of a natural disaster, various commenters contend that our section 706 report should include deployment data that address disaster-affected areas.</w:t>
      </w:r>
      <w:r>
        <w:rPr>
          <w:rStyle w:val="FootnoteReference"/>
        </w:rPr>
        <w:footnoteReference w:id="79"/>
      </w:r>
      <w:r w:rsidRPr="003E0698">
        <w:t xml:space="preserve">  ADTRAN contends that in response to natural disasters, broadband providers’ critical goals include “service reliability and service restoration,” and because networks are more resilient today, reporting on these areas would not negatively impact the Commission’s assessment of whether deployment is “reasonable and timely.”</w:t>
      </w:r>
      <w:r>
        <w:rPr>
          <w:rStyle w:val="FootnoteReference"/>
        </w:rPr>
        <w:footnoteReference w:id="80"/>
      </w:r>
      <w:r w:rsidRPr="003E0698">
        <w:t xml:space="preserve">  Public Knowledge and Common Cause and Free Press </w:t>
      </w:r>
      <w:r>
        <w:t>argue</w:t>
      </w:r>
      <w:r w:rsidRPr="003E0698">
        <w:t xml:space="preserve"> that including broadband deployment measurements for Puerto Rico and other U.S. territories “ensure[s] the disaster stricken areas are not left behind.”</w:t>
      </w:r>
      <w:r>
        <w:rPr>
          <w:rStyle w:val="FootnoteReference"/>
        </w:rPr>
        <w:footnoteReference w:id="81"/>
      </w:r>
      <w:r w:rsidRPr="003E0698">
        <w:t xml:space="preserve">  While ACA recommends that we “exclude storm-damaged regions from [our] overall deployment findings” and “report[] separately on progress to restore broadband availability in such regions,”</w:t>
      </w:r>
      <w:r>
        <w:rPr>
          <w:rStyle w:val="FootnoteReference"/>
        </w:rPr>
        <w:footnoteReference w:id="82"/>
      </w:r>
      <w:r w:rsidRPr="003E0698">
        <w:t xml:space="preserve"> other commenters suggest we collect more comprehensive data on these areas and study the impacts of natural disasters.</w:t>
      </w:r>
      <w:r>
        <w:rPr>
          <w:rStyle w:val="FootnoteReference"/>
        </w:rPr>
        <w:footnoteReference w:id="83"/>
      </w:r>
      <w:r w:rsidRPr="003E0698">
        <w:t xml:space="preserve">  We agree that when conducting our inquiry, we should continue reporting the available data from disaster-affected areas but, in doing so, we will report the data separately so that such damage does not artificially deflate progress in deployment and that we can continue to track progress in rehabilitating such networks.  We take this approach in reporting data from the U.S. Territories where infrastructure damage occurred in Puerto Rico and the U.S. Virgin Islands from the 2017 hurricanes.  Although the current record in this proceeding is limited, we believe our data collection and analysis remain vital to help fund and restore wireless and wireline infrastructure networks in the face of natural disasters.</w:t>
      </w:r>
      <w:r>
        <w:rPr>
          <w:rStyle w:val="FootnoteReference"/>
        </w:rPr>
        <w:footnoteReference w:id="84"/>
      </w:r>
      <w:r w:rsidRPr="003E0698">
        <w:t xml:space="preserve">  </w:t>
      </w:r>
    </w:p>
    <w:p w:rsidR="00C6287D" w:rsidRPr="003E0698" w:rsidP="00C6287D">
      <w:pPr>
        <w:pStyle w:val="Heading1"/>
        <w:numPr>
          <w:ilvl w:val="0"/>
          <w:numId w:val="9"/>
        </w:numPr>
        <w:tabs>
          <w:tab w:val="left" w:pos="720"/>
        </w:tabs>
        <w:rPr>
          <w:rFonts w:ascii="Times New Roman" w:hAnsi="Times New Roman"/>
        </w:rPr>
      </w:pPr>
      <w:bookmarkStart w:id="131" w:name="_Toc970726"/>
      <w:bookmarkStart w:id="132" w:name="_Toc526341622"/>
      <w:bookmarkStart w:id="133" w:name="_Toc526341942"/>
      <w:bookmarkStart w:id="134" w:name="_Toc527100573"/>
      <w:bookmarkStart w:id="135" w:name="_Toc527723150"/>
      <w:bookmarkStart w:id="136" w:name="_Toc529180599"/>
      <w:bookmarkStart w:id="137" w:name="_Toc530069122"/>
      <w:bookmarkStart w:id="138" w:name="_Toc530147025"/>
      <w:bookmarkStart w:id="139" w:name="_Toc530148237"/>
      <w:bookmarkStart w:id="140" w:name="_Toc780507"/>
      <w:bookmarkStart w:id="141" w:name="_Toc970727"/>
      <w:bookmarkStart w:id="142" w:name="_Toc1469944"/>
      <w:bookmarkStart w:id="143" w:name="_Toc2676098"/>
      <w:bookmarkStart w:id="144" w:name="_Toc525898125"/>
      <w:bookmarkStart w:id="145" w:name="_Toc525898257"/>
      <w:bookmarkStart w:id="146" w:name="_Toc525898642"/>
      <w:bookmarkEnd w:id="131"/>
      <w:r w:rsidRPr="003E0698">
        <w:rPr>
          <w:rFonts w:ascii="Times New Roman" w:hAnsi="Times New Roman"/>
        </w:rPr>
        <w:t>broadband deployment and availability</w:t>
      </w:r>
      <w:bookmarkEnd w:id="132"/>
      <w:bookmarkEnd w:id="133"/>
      <w:bookmarkEnd w:id="134"/>
      <w:bookmarkEnd w:id="135"/>
      <w:bookmarkEnd w:id="136"/>
      <w:bookmarkEnd w:id="137"/>
      <w:bookmarkEnd w:id="138"/>
      <w:bookmarkEnd w:id="139"/>
      <w:bookmarkEnd w:id="140"/>
      <w:bookmarkEnd w:id="141"/>
      <w:bookmarkEnd w:id="142"/>
      <w:bookmarkEnd w:id="143"/>
      <w:r w:rsidRPr="003E0698">
        <w:rPr>
          <w:rFonts w:ascii="Times New Roman" w:hAnsi="Times New Roman"/>
        </w:rPr>
        <w:t xml:space="preserve"> </w:t>
      </w:r>
      <w:bookmarkEnd w:id="144"/>
      <w:bookmarkEnd w:id="145"/>
      <w:bookmarkEnd w:id="146"/>
    </w:p>
    <w:p w:rsidR="00C6287D" w:rsidRPr="003E0698" w:rsidP="00A94DE8">
      <w:pPr>
        <w:pStyle w:val="Heading2"/>
      </w:pPr>
      <w:bookmarkStart w:id="147" w:name="_Toc526341623"/>
      <w:bookmarkStart w:id="148" w:name="_Toc526341943"/>
      <w:bookmarkStart w:id="149" w:name="_Toc527100574"/>
      <w:bookmarkStart w:id="150" w:name="_Toc527723151"/>
      <w:bookmarkStart w:id="151" w:name="_Toc529180600"/>
      <w:bookmarkStart w:id="152" w:name="_Toc530069123"/>
      <w:bookmarkStart w:id="153" w:name="_Toc530147026"/>
      <w:bookmarkStart w:id="154" w:name="_Toc530148238"/>
      <w:bookmarkStart w:id="155" w:name="_Toc780508"/>
      <w:bookmarkStart w:id="156" w:name="_Toc970728"/>
      <w:bookmarkStart w:id="157" w:name="_Toc1469945"/>
      <w:bookmarkStart w:id="158" w:name="_Toc2676099"/>
      <w:r w:rsidRPr="003E0698">
        <w:t>Data Sources and Methodologies</w:t>
      </w:r>
      <w:bookmarkEnd w:id="147"/>
      <w:bookmarkEnd w:id="148"/>
      <w:bookmarkEnd w:id="149"/>
      <w:bookmarkEnd w:id="150"/>
      <w:bookmarkEnd w:id="151"/>
      <w:bookmarkEnd w:id="152"/>
      <w:bookmarkEnd w:id="153"/>
      <w:bookmarkEnd w:id="154"/>
      <w:bookmarkEnd w:id="155"/>
      <w:bookmarkEnd w:id="156"/>
      <w:bookmarkEnd w:id="157"/>
      <w:bookmarkEnd w:id="158"/>
    </w:p>
    <w:p w:rsidR="00C6287D" w:rsidRPr="003E0698" w:rsidP="00C6287D">
      <w:pPr>
        <w:pStyle w:val="ParaNum"/>
        <w:snapToGrid w:val="0"/>
      </w:pPr>
      <w:r w:rsidRPr="003E0698">
        <w:t>We rely primarily upon the Commission’s Form 477 deployment data to evaluate consumers’ broadband options for fixed services.</w:t>
      </w:r>
      <w:r>
        <w:rPr>
          <w:rStyle w:val="FootnoteReference"/>
        </w:rPr>
        <w:footnoteReference w:id="85"/>
      </w:r>
      <w:r w:rsidRPr="003E0698">
        <w:t xml:space="preserve">  We agree with ACA that the Form 477 data “provides a sound basis for the Commission’s analyses and findings under Section 706 regarding the progress of fixed broadband deployment to all Americans.”</w:t>
      </w:r>
      <w:r>
        <w:rPr>
          <w:rStyle w:val="FootnoteReference"/>
        </w:rPr>
        <w:footnoteReference w:id="86"/>
      </w:r>
      <w:r w:rsidRPr="003E0698">
        <w:t xml:space="preserve">  We recognize that the Form 477 data collection is not perfect, and the Commission has an open proceeding considering </w:t>
      </w:r>
      <w:r>
        <w:t>ways</w:t>
      </w:r>
      <w:r w:rsidRPr="003E0698">
        <w:t xml:space="preserve"> to improve the</w:t>
      </w:r>
      <w:r>
        <w:t xml:space="preserve"> accuracy and granularity of that data</w:t>
      </w:r>
      <w:r w:rsidRPr="003E0698">
        <w:t xml:space="preserve"> collection.</w:t>
      </w:r>
      <w:r>
        <w:rPr>
          <w:vertAlign w:val="superscript"/>
        </w:rPr>
        <w:footnoteReference w:id="87"/>
      </w:r>
      <w:r w:rsidRPr="003E0698">
        <w:t xml:space="preserve">  While many commenters offer criticism of the </w:t>
      </w:r>
      <w:r>
        <w:t>Form 477 data,</w:t>
      </w:r>
      <w:r>
        <w:rPr>
          <w:rStyle w:val="FootnoteReference"/>
        </w:rPr>
        <w:footnoteReference w:id="88"/>
      </w:r>
      <w:r w:rsidRPr="003E0698">
        <w:t xml:space="preserve"> a</w:t>
      </w:r>
      <w:r>
        <w:t>s well as</w:t>
      </w:r>
      <w:r w:rsidRPr="003E0698">
        <w:t xml:space="preserve"> recommendations for how to improve the Commission’s data,</w:t>
      </w:r>
      <w:r>
        <w:rPr>
          <w:rStyle w:val="FootnoteReference"/>
        </w:rPr>
        <w:footnoteReference w:id="89"/>
      </w:r>
      <w:r w:rsidRPr="003E0698">
        <w:t xml:space="preserve"> </w:t>
      </w:r>
      <w:r>
        <w:t xml:space="preserve">this Report is not an appropriate vehicle for </w:t>
      </w:r>
      <w:r w:rsidRPr="003E0698">
        <w:t xml:space="preserve">the Commission </w:t>
      </w:r>
      <w:r>
        <w:t>to</w:t>
      </w:r>
      <w:r w:rsidRPr="003E0698">
        <w:t xml:space="preserve"> make</w:t>
      </w:r>
      <w:r>
        <w:t xml:space="preserve"> such</w:t>
      </w:r>
      <w:r w:rsidRPr="003E0698">
        <w:t xml:space="preserve"> changes to</w:t>
      </w:r>
      <w:r>
        <w:t xml:space="preserve"> the</w:t>
      </w:r>
      <w:r w:rsidRPr="003E0698">
        <w:t xml:space="preserve"> data collection.</w:t>
      </w:r>
    </w:p>
    <w:p w:rsidR="00C6287D" w:rsidRPr="003E0698" w:rsidP="00C6287D">
      <w:pPr>
        <w:pStyle w:val="ParaNum"/>
        <w:widowControl/>
      </w:pPr>
      <w:r w:rsidRPr="003E0698">
        <w:t>Consistent with previous findings by the Commission,</w:t>
      </w:r>
      <w:r>
        <w:rPr>
          <w:vertAlign w:val="superscript"/>
        </w:rPr>
        <w:footnoteReference w:id="90"/>
      </w:r>
      <w:r w:rsidRPr="003E0698">
        <w:t xml:space="preserve"> the Form 477 data remain the most thorough and accurate data available to the Commission for this analysis.  For deployment data prior to 2014, we rely on data from the State Broadband Initiative (SBI), which prior to the Commission’s revision of the Form 477 data collection, were the most comprehensive and geographically granular deployment data publicly available.</w:t>
      </w:r>
      <w:r>
        <w:rPr>
          <w:vertAlign w:val="superscript"/>
        </w:rPr>
        <w:footnoteReference w:id="91"/>
      </w:r>
      <w:r w:rsidRPr="003E0698">
        <w:t xml:space="preserve">  We note that the Form 477 deployment data and the SBI data report service at the census block level.</w:t>
      </w:r>
      <w:r>
        <w:rPr>
          <w:rStyle w:val="CommentTextChar"/>
          <w:vertAlign w:val="superscript"/>
        </w:rPr>
        <w:footnoteReference w:id="92"/>
      </w:r>
      <w:r w:rsidRPr="003E0698">
        <w:t xml:space="preserve">  For purposes of this report, a whole census block is classified as </w:t>
      </w:r>
      <w:r w:rsidRPr="003E0698">
        <w:t>served if the Form 477 or the SBI data indicate that service can be provided anywhere in the census block.  Therefore, it is not necessarily the case that every household,</w:t>
      </w:r>
      <w:r>
        <w:rPr>
          <w:rStyle w:val="FootnoteReference"/>
        </w:rPr>
        <w:footnoteReference w:id="93"/>
      </w:r>
      <w:r w:rsidRPr="003E0698">
        <w:t xml:space="preserve"> housing unit, or person will have coverage </w:t>
      </w:r>
      <w:r>
        <w:t>of</w:t>
      </w:r>
      <w:r w:rsidRPr="003E0698">
        <w:t xml:space="preserve"> a</w:t>
      </w:r>
      <w:r>
        <w:t xml:space="preserve"> given</w:t>
      </w:r>
      <w:r w:rsidRPr="003E0698">
        <w:t xml:space="preserve"> service in a census block that this Report indicates is served.</w:t>
      </w:r>
      <w:r>
        <w:rPr>
          <w:vertAlign w:val="superscript"/>
        </w:rPr>
        <w:footnoteReference w:id="94"/>
      </w:r>
      <w:r>
        <w:t xml:space="preserve">  Nonetheless, we find that using a consistent unit of measurement (the census block) is an effective tool in measuring progress over time.</w:t>
      </w:r>
      <w:r w:rsidRPr="003E0698">
        <w:t xml:space="preserve"> </w:t>
      </w:r>
    </w:p>
    <w:p w:rsidR="00C6287D" w:rsidRPr="003E0698" w:rsidP="00C6287D">
      <w:pPr>
        <w:pStyle w:val="ParaNum"/>
        <w:rPr>
          <w:sz w:val="24"/>
          <w:szCs w:val="24"/>
        </w:rPr>
      </w:pPr>
      <w:r w:rsidRPr="003E0698">
        <w:t>Furthermore, although staff examine FCC Form 477 data for quality and consistency, the data may understate or overstate deployment of services to the extent that broadband providers</w:t>
      </w:r>
      <w:r>
        <w:t xml:space="preserve"> misreport or</w:t>
      </w:r>
      <w:r w:rsidRPr="003E0698">
        <w:t xml:space="preserve"> fail to report data.</w:t>
      </w:r>
      <w:r>
        <w:rPr>
          <w:sz w:val="20"/>
          <w:vertAlign w:val="superscript"/>
        </w:rPr>
        <w:footnoteReference w:id="95"/>
      </w:r>
      <w:r w:rsidRPr="003E0698">
        <w:t xml:space="preserve">  Staff evaluate deployment data for fixed terrestrial services using 2010 census block population data that the Commission staff has updated to account for population growth and economic development.</w:t>
      </w:r>
      <w:r>
        <w:rPr>
          <w:rStyle w:val="CommentTextChar"/>
          <w:vertAlign w:val="superscript"/>
        </w:rPr>
        <w:footnoteReference w:id="96"/>
      </w:r>
      <w:r w:rsidRPr="003E0698">
        <w:t xml:space="preserve">  We present an analysis of deployment data for fixed terrestrial services and for mobile LTE.  </w:t>
      </w:r>
      <w:bookmarkStart w:id="159" w:name="_Toc498443480"/>
      <w:r w:rsidRPr="003E0698">
        <w:t xml:space="preserve">In general, we report data separately on the U.S. Territories because the data for 2017 may significantly overstate current deployment in Puerto Rico and the U.S. Virgin Islands, which account for over 92% of the total combined population of the U.S. Territories.  We remain uncertain as to the current deployment of broadband services in these areas given the damage to infrastructure in Puerto Rico and the U.S. Virgin Islands from Hurricanes Maria and Irma in 2017.  </w:t>
      </w:r>
    </w:p>
    <w:p w:rsidR="00C6287D" w:rsidRPr="003E0698" w:rsidP="00C6287D">
      <w:pPr>
        <w:pStyle w:val="ParaNum"/>
        <w:snapToGrid w:val="0"/>
      </w:pPr>
      <w:r w:rsidRPr="005945A7">
        <w:rPr>
          <w:i/>
        </w:rPr>
        <w:t xml:space="preserve">Fixed </w:t>
      </w:r>
      <w:r w:rsidRPr="003A4EB5">
        <w:rPr>
          <w:i/>
        </w:rPr>
        <w:t>Terrestrial Services</w:t>
      </w:r>
      <w:r w:rsidRPr="00281A4B">
        <w:rPr>
          <w:i/>
        </w:rPr>
        <w:t xml:space="preserve">.  </w:t>
      </w:r>
      <w:bookmarkStart w:id="160" w:name="_Hlk504032833"/>
      <w:r w:rsidRPr="003E0698">
        <w:t xml:space="preserve">We find that our Form 477 deployment data for fixed terrestrial services remain the most reliable and comprehensive data to assess the availability of fixed terrestrial services to American consumers.  Using the Form 477 data since 2014, we evaluate the deployment of fixed terrestrial services with a minimum advertised speed of 10 Mbps/1 Mbps, 25 Mbps/3 Mbps, 50 Mbps/5 Mbps, 100 Mbps/10 Mbps, and 250 Mbps/25 Mbps.  </w:t>
      </w:r>
      <w:bookmarkStart w:id="161" w:name="_Hlk529176222"/>
      <w:r w:rsidRPr="003E0698">
        <w:t>For 2013, which pre-dates the current version of the Form 477 data collection, we evaluate the availability of fixed terrestrial services using SBI data.  The SBI data collection compiled data on 25 Mbps/3 Mbps and 100 Mbps/10 Mbps, but not the other download and upload speed combinations presented in this report.</w:t>
      </w:r>
      <w:r>
        <w:rPr>
          <w:rStyle w:val="FootnoteReference"/>
        </w:rPr>
        <w:footnoteReference w:id="97"/>
      </w:r>
      <w:r w:rsidRPr="003E0698">
        <w:t xml:space="preserve">  Therefore, where </w:t>
      </w:r>
      <w:r w:rsidRPr="003E0698">
        <w:t>applicable, we use the most comparable speed combinations collected in the 2013 SBI data as reasonabl</w:t>
      </w:r>
      <w:r>
        <w:t>e</w:t>
      </w:r>
      <w:r w:rsidRPr="003E0698">
        <w:t xml:space="preserve"> proxies.  For 10 Mbps/1 Mbps, we use SBI reported speed of 10 Mbps/768 kbps, and for 50 Mbps/5 Mbps, we use the SBI reported speed of 50 Mbps/6 Mbps.  The SBI data does not include a reasonable proxy for 250 Mbps/25 Mbps, so we do not report estimates for that speed for 2013.  </w:t>
      </w:r>
      <w:bookmarkEnd w:id="161"/>
      <w:r w:rsidRPr="003E0698">
        <w:t>We provide separate deployment estimates for fixed services that include satellite services from 2014 to 2017.</w:t>
      </w:r>
      <w:r>
        <w:rPr>
          <w:rStyle w:val="FootnoteReference"/>
        </w:rPr>
        <w:footnoteReference w:id="98"/>
      </w:r>
      <w:r w:rsidRPr="003E0698">
        <w:t xml:space="preserve">  Finally, we use Form 477 subscribership data to calculate adoption rates for fixed terrestrial services.</w:t>
      </w:r>
    </w:p>
    <w:p w:rsidR="00C6287D" w:rsidRPr="003E0698" w:rsidP="00C6287D">
      <w:pPr>
        <w:pStyle w:val="ParaNum"/>
        <w:widowControl/>
        <w:snapToGrid w:val="0"/>
      </w:pPr>
      <w:r w:rsidRPr="003E0698">
        <w:rPr>
          <w:i/>
        </w:rPr>
        <w:t xml:space="preserve">Satellite Services.  </w:t>
      </w:r>
      <w:bookmarkStart w:id="162" w:name="_Hlk529950629"/>
      <w:r w:rsidRPr="003E0698">
        <w:t>The Form 477 deployment data for satellite broadband indicate that satellite service offering 25 Mbps/3 Mbps speeds is available to nearly all of the population.</w:t>
      </w:r>
      <w:r>
        <w:rPr>
          <w:rStyle w:val="FootnoteReference"/>
        </w:rPr>
        <w:footnoteReference w:id="99"/>
      </w:r>
      <w:r w:rsidRPr="003E0698">
        <w:rPr>
          <w:rStyle w:val="CommentReference"/>
        </w:rPr>
        <w:t xml:space="preserve"> </w:t>
      </w:r>
      <w:bookmarkEnd w:id="162"/>
      <w:r w:rsidRPr="003E0698">
        <w:t xml:space="preserve"> These data could overstate the deployment of these services.</w:t>
      </w:r>
      <w:r>
        <w:rPr>
          <w:rStyle w:val="FootnoteReference"/>
        </w:rPr>
        <w:footnoteReference w:id="100"/>
      </w:r>
      <w:r w:rsidRPr="003E0698">
        <w:t xml:space="preserve">  In Appendix </w:t>
      </w:r>
      <w:r>
        <w:t>9</w:t>
      </w:r>
      <w:r w:rsidRPr="003E0698">
        <w:t>, we provide deployment estimates for all fixed services, including satellite, from 2014 to 2017.</w:t>
      </w:r>
      <w:r>
        <w:rPr>
          <w:rStyle w:val="FootnoteReference"/>
        </w:rPr>
        <w:footnoteReference w:id="101"/>
      </w:r>
      <w:r w:rsidRPr="003E0698">
        <w:t xml:space="preserve">  Unless stated otherwise, we base the data presented on fixed terrestrial services, which do not include satellite.  </w:t>
      </w:r>
      <w:bookmarkEnd w:id="160"/>
    </w:p>
    <w:p w:rsidR="00C6287D" w:rsidRPr="004E1AF3" w:rsidP="00C6287D">
      <w:pPr>
        <w:pStyle w:val="ParaNum"/>
        <w:snapToGrid w:val="0"/>
      </w:pPr>
      <w:r w:rsidRPr="005945A7">
        <w:rPr>
          <w:i/>
        </w:rPr>
        <w:t xml:space="preserve">Mobile </w:t>
      </w:r>
      <w:r w:rsidRPr="003A4EB5">
        <w:rPr>
          <w:i/>
        </w:rPr>
        <w:t>Services</w:t>
      </w:r>
      <w:r w:rsidRPr="00281A4B">
        <w:rPr>
          <w:i/>
        </w:rPr>
        <w:t xml:space="preserve">.  </w:t>
      </w:r>
      <w:r w:rsidRPr="003E0698">
        <w:t>While recognizing certain limitations of the Form 477 data, we nonetheless</w:t>
      </w:r>
      <w:r>
        <w:t xml:space="preserve"> elect</w:t>
      </w:r>
      <w:r w:rsidRPr="003E0698">
        <w:t xml:space="preserve"> </w:t>
      </w:r>
      <w:r>
        <w:t>to employ</w:t>
      </w:r>
      <w:r w:rsidRPr="003E0698">
        <w:t xml:space="preserve"> the Form 477 LTE technology coverage data</w:t>
      </w:r>
      <w:r>
        <w:t xml:space="preserve"> in this Report, because they</w:t>
      </w:r>
      <w:r w:rsidRPr="003E0698">
        <w:t xml:space="preserve"> are the most reliable and comprehensive data that we have to assess the availability of mobile LTE to American consumers at a minimum advertised speed of 5 Mbps/1 Mbps.</w:t>
      </w:r>
      <w:r>
        <w:rPr>
          <w:vertAlign w:val="superscript"/>
        </w:rPr>
        <w:footnoteReference w:id="102"/>
      </w:r>
      <w:r w:rsidRPr="003E0698">
        <w:t xml:space="preserve">  For 2013, we use SBI data, which only include a speed component for mobile services,</w:t>
      </w:r>
      <w:r>
        <w:rPr>
          <w:sz w:val="20"/>
          <w:vertAlign w:val="superscript"/>
        </w:rPr>
        <w:footnoteReference w:id="103"/>
      </w:r>
      <w:r w:rsidRPr="003E0698">
        <w:t xml:space="preserve"> while for 2014 through 2017, we use the Form 477 LTE deployment shapefiles with a minimum advertised speed of 5 Mbps/1 Mbps.  SBI data are not available for 5 Mbps/1 Mbps, so our analysis of the 2013 data uses maximum advertised speeds of 6 Mbps/768 kbps, which are the most comparable speeds collected in the SBI data in this time period.  As the Commission has done in previous reports, we employ the centroid methodology in evaluating the Form 477 deployment data for LTE.</w:t>
      </w:r>
      <w:r>
        <w:rPr>
          <w:vertAlign w:val="superscript"/>
        </w:rPr>
        <w:footnoteReference w:id="104"/>
      </w:r>
      <w:r w:rsidRPr="003E0698">
        <w:t xml:space="preserve">  We apply the same methodology as we use for fixed services and consider a census block to be covered by LTE services if there is at least one service provider serving that census block that reports 5 Mbps/1 Mbps as the minimum advertised speed, based on their Form 477 submission.</w:t>
      </w:r>
      <w:r>
        <w:rPr>
          <w:rStyle w:val="FootnoteReference"/>
        </w:rPr>
        <w:footnoteReference w:id="105"/>
      </w:r>
      <w:r w:rsidRPr="003E0698">
        <w:t xml:space="preserve">  </w:t>
      </w:r>
    </w:p>
    <w:p w:rsidR="00C6287D" w:rsidRPr="00283EBC" w:rsidP="00C6287D">
      <w:pPr>
        <w:pStyle w:val="ParaNum"/>
        <w:widowControl/>
      </w:pPr>
      <w:r w:rsidRPr="003E0698">
        <w:t>We recognize, however, that actual speeds tend to be much faster than the minimum advertised speed.  Therefore, we also present estimates based on Ookla speed test data to evaluate the availability of LTE with a median actual speed of 10 Mbps/3 Mbps or higher.  We rely on the Ookla data</w:t>
      </w:r>
      <w:r>
        <w:rPr>
          <w:vertAlign w:val="superscript"/>
        </w:rPr>
        <w:footnoteReference w:id="106"/>
      </w:r>
      <w:r w:rsidRPr="003E0698">
        <w:t xml:space="preserve"> to supplement our Form 477 analysis, primarily because it allows us to better evaluate the extent to which the typical consumer receives speeds of 10 Mbps/3 Mbps or higher, and these data provide us with the greatest number of observations of actual speeds that customers receive.</w:t>
      </w:r>
      <w:r>
        <w:rPr>
          <w:rStyle w:val="FootnoteReference"/>
        </w:rPr>
        <w:footnoteReference w:id="107"/>
      </w:r>
      <w:r w:rsidRPr="003E0698">
        <w:t xml:space="preserve">  As the Commission has done previously, our analysis of the availability of mobile LTE services with a median speed of 10 Mbps/1 Mbps, includes actual speed test data in counties with at least 300 test observations in each time frame.</w:t>
      </w:r>
      <w:r>
        <w:rPr>
          <w:vertAlign w:val="superscript"/>
        </w:rPr>
        <w:footnoteReference w:id="108"/>
      </w:r>
      <w:r w:rsidRPr="003E0698">
        <w:t xml:space="preserve">  The more densely populated counties have a higher likelihood of being included in this analysis because there generally are more observations in those geographical areas with a higher population density.  Although we do not have reliable on-the-ground speed data for every county in the United States, the Ookla data cover approximately 93% of the population of the United States,</w:t>
      </w:r>
      <w:r>
        <w:rPr>
          <w:vertAlign w:val="superscript"/>
        </w:rPr>
        <w:footnoteReference w:id="109"/>
      </w:r>
      <w:r w:rsidRPr="003E0698">
        <w:t xml:space="preserve"> and as such, can reasonably be used to show progress over time. </w:t>
      </w:r>
    </w:p>
    <w:p w:rsidR="00C6287D" w:rsidRPr="002E395E" w:rsidP="00C6287D">
      <w:pPr>
        <w:pStyle w:val="ParaNum"/>
      </w:pPr>
      <w:r w:rsidRPr="005945A7">
        <w:rPr>
          <w:i/>
        </w:rPr>
        <w:t xml:space="preserve">Schools.  </w:t>
      </w:r>
      <w:r w:rsidRPr="003E0698">
        <w:t xml:space="preserve">For purposes of this Report, we assess deployment in elementary and secondary schools based upon the best publicly available data, specifically that analyzed in EducationSuperHighway’s </w:t>
      </w:r>
      <w:r w:rsidRPr="005945A7">
        <w:rPr>
          <w:i/>
        </w:rPr>
        <w:t xml:space="preserve">2018 </w:t>
      </w:r>
      <w:r w:rsidRPr="003A4EB5">
        <w:rPr>
          <w:i/>
        </w:rPr>
        <w:t>State of the States Report</w:t>
      </w:r>
      <w:r w:rsidRPr="00281A4B">
        <w:rPr>
          <w:i/>
        </w:rPr>
        <w:t xml:space="preserve"> </w:t>
      </w:r>
      <w:r w:rsidRPr="00AC26D4">
        <w:t xml:space="preserve">and the Consortium for School Networking (CoSN) </w:t>
      </w:r>
      <w:r w:rsidRPr="00AC26D4">
        <w:rPr>
          <w:i/>
        </w:rPr>
        <w:t>2018-2019 Annual Infrastructure Report</w:t>
      </w:r>
      <w:r w:rsidRPr="003E0698">
        <w:t>.</w:t>
      </w:r>
      <w:r>
        <w:rPr>
          <w:rStyle w:val="FootnoteReference"/>
        </w:rPr>
        <w:footnoteReference w:id="110"/>
      </w:r>
      <w:r w:rsidRPr="003E0698">
        <w:t xml:space="preserve">  The </w:t>
      </w:r>
      <w:r w:rsidRPr="005945A7">
        <w:rPr>
          <w:i/>
        </w:rPr>
        <w:t>2018 State of the States Report</w:t>
      </w:r>
      <w:r w:rsidRPr="003E0698">
        <w:t xml:space="preserve"> tracks public schools’ progress toward the Commission’s goals for K-12 connectivity using the Commission’s FCC Form 471 data and additional outreach efforts to E-</w:t>
      </w:r>
      <w:r>
        <w:t>R</w:t>
      </w:r>
      <w:r w:rsidRPr="003E0698">
        <w:t>ate applicants for clarifications on their broadband purchases.</w:t>
      </w:r>
      <w:r>
        <w:rPr>
          <w:rStyle w:val="FootnoteReference"/>
        </w:rPr>
        <w:footnoteReference w:id="111"/>
      </w:r>
      <w:r w:rsidRPr="003E0698">
        <w:t xml:space="preserve">  The </w:t>
      </w:r>
      <w:r w:rsidRPr="005945A7">
        <w:rPr>
          <w:i/>
        </w:rPr>
        <w:t>2018 State of the Sta</w:t>
      </w:r>
      <w:r w:rsidRPr="003A4EB5">
        <w:rPr>
          <w:i/>
        </w:rPr>
        <w:t>tes</w:t>
      </w:r>
      <w:r w:rsidRPr="00820DFD">
        <w:rPr>
          <w:i/>
        </w:rPr>
        <w:t xml:space="preserve"> </w:t>
      </w:r>
      <w:r w:rsidRPr="00281A4B">
        <w:rPr>
          <w:i/>
        </w:rPr>
        <w:t xml:space="preserve">Report </w:t>
      </w:r>
      <w:r w:rsidRPr="003E0698">
        <w:t>provides an analysis of schools meeting the connectivity goals using fiber and other scalable broadband connections, using a sample of public school districts in each state.</w:t>
      </w:r>
      <w:r>
        <w:rPr>
          <w:rStyle w:val="FootnoteReference"/>
        </w:rPr>
        <w:footnoteReference w:id="112"/>
      </w:r>
      <w:r>
        <w:t xml:space="preserve">  </w:t>
      </w:r>
      <w:r w:rsidRPr="005945A7">
        <w:t xml:space="preserve">CoSN’s report summarizes the results of its survey of a much smaller </w:t>
      </w:r>
      <w:r w:rsidRPr="003A4EB5">
        <w:t>number of school districts regarding the current state of broadband and technology infrastructure in U.S. school systems.</w:t>
      </w:r>
      <w:r>
        <w:rPr>
          <w:rStyle w:val="FootnoteReference"/>
        </w:rPr>
        <w:footnoteReference w:id="113"/>
      </w:r>
    </w:p>
    <w:p w:rsidR="00C6287D" w:rsidP="00A94DE8">
      <w:pPr>
        <w:pStyle w:val="Heading2"/>
      </w:pPr>
      <w:bookmarkStart w:id="164" w:name="_Toc780509"/>
      <w:bookmarkStart w:id="165" w:name="_Toc500249497"/>
      <w:bookmarkStart w:id="166" w:name="_Toc500966314"/>
      <w:bookmarkStart w:id="167" w:name="_Toc503892364"/>
      <w:bookmarkStart w:id="168" w:name="_Toc526341944"/>
      <w:bookmarkStart w:id="169" w:name="_Toc527100575"/>
      <w:bookmarkStart w:id="170" w:name="_Toc527723152"/>
      <w:bookmarkStart w:id="171" w:name="_Toc529180601"/>
      <w:bookmarkStart w:id="172" w:name="_Toc530069124"/>
      <w:bookmarkStart w:id="173" w:name="_Toc530147027"/>
      <w:bookmarkStart w:id="174" w:name="_Toc530148239"/>
      <w:bookmarkStart w:id="175" w:name="_Toc780510"/>
      <w:bookmarkStart w:id="176" w:name="_Toc970729"/>
      <w:bookmarkStart w:id="177" w:name="_Toc1469946"/>
      <w:bookmarkStart w:id="178" w:name="_Toc2676100"/>
      <w:bookmarkStart w:id="179" w:name="_Toc498686966"/>
      <w:bookmarkStart w:id="180" w:name="_Toc499049647"/>
      <w:bookmarkStart w:id="181" w:name="_Toc502923939"/>
      <w:bookmarkStart w:id="182" w:name="_Toc502924114"/>
      <w:bookmarkStart w:id="183" w:name="_Toc503297076"/>
      <w:bookmarkStart w:id="184" w:name="_Toc503377680"/>
      <w:bookmarkStart w:id="185" w:name="_Toc503456692"/>
      <w:bookmarkStart w:id="186" w:name="_Toc503456849"/>
      <w:bookmarkEnd w:id="164"/>
      <w:r w:rsidRPr="003E0698">
        <w:t>Broadband Deployment</w:t>
      </w:r>
      <w:bookmarkEnd w:id="165"/>
      <w:bookmarkEnd w:id="166"/>
      <w:r w:rsidRPr="003E0698">
        <w:t xml:space="preserve"> Estimates</w:t>
      </w:r>
      <w:bookmarkEnd w:id="167"/>
      <w:bookmarkEnd w:id="168"/>
      <w:bookmarkEnd w:id="169"/>
      <w:bookmarkEnd w:id="170"/>
      <w:bookmarkEnd w:id="171"/>
      <w:bookmarkEnd w:id="172"/>
      <w:bookmarkEnd w:id="173"/>
      <w:bookmarkEnd w:id="174"/>
      <w:bookmarkEnd w:id="175"/>
      <w:bookmarkEnd w:id="176"/>
      <w:bookmarkEnd w:id="177"/>
      <w:bookmarkEnd w:id="178"/>
      <w:r w:rsidRPr="003E0698">
        <w:t xml:space="preserve"> </w:t>
      </w:r>
    </w:p>
    <w:p w:rsidR="00C6287D" w:rsidRPr="00A56B17" w:rsidP="003D74E4">
      <w:pPr>
        <w:pStyle w:val="ParaNum"/>
        <w:snapToGrid w:val="0"/>
      </w:pPr>
      <w:r w:rsidRPr="003E0698">
        <w:t xml:space="preserve"> </w:t>
      </w:r>
      <w:bookmarkEnd w:id="159"/>
      <w:bookmarkEnd w:id="179"/>
      <w:bookmarkEnd w:id="180"/>
      <w:bookmarkEnd w:id="181"/>
      <w:bookmarkEnd w:id="182"/>
      <w:bookmarkEnd w:id="183"/>
      <w:bookmarkEnd w:id="184"/>
      <w:bookmarkEnd w:id="185"/>
      <w:bookmarkEnd w:id="186"/>
      <w:r w:rsidRPr="00A56B17">
        <w:t>In Figures 1 through 3 below, we present our measurement of deployment, evaluating progress by comparing deployment in the present year to deployment in the previous four years.</w:t>
      </w:r>
      <w:r>
        <w:rPr>
          <w:sz w:val="20"/>
          <w:vertAlign w:val="superscript"/>
        </w:rPr>
        <w:footnoteReference w:id="114"/>
      </w:r>
      <w:r w:rsidRPr="00A56B17">
        <w:t xml:space="preserve">  </w:t>
      </w:r>
      <w:bookmarkStart w:id="187" w:name="_Hlk536619903"/>
      <w:r w:rsidRPr="00A56B17">
        <w:t>For purposes of this Report, we aggregate federally recognized Tribal lands into 4 Tribal Lands categories, the Lower 48 States;</w:t>
      </w:r>
      <w:r>
        <w:rPr>
          <w:sz w:val="20"/>
          <w:vertAlign w:val="superscript"/>
        </w:rPr>
        <w:footnoteReference w:id="115"/>
      </w:r>
      <w:r w:rsidRPr="00A56B17">
        <w:t xml:space="preserve"> Tribal Statistical Areas,</w:t>
      </w:r>
      <w:r>
        <w:rPr>
          <w:sz w:val="20"/>
          <w:vertAlign w:val="superscript"/>
        </w:rPr>
        <w:footnoteReference w:id="116"/>
      </w:r>
      <w:r w:rsidRPr="00A56B17">
        <w:t xml:space="preserve"> Alaskan Villages,</w:t>
      </w:r>
      <w:r>
        <w:rPr>
          <w:sz w:val="20"/>
          <w:vertAlign w:val="superscript"/>
        </w:rPr>
        <w:footnoteReference w:id="117"/>
      </w:r>
      <w:r w:rsidRPr="00A56B17">
        <w:t xml:space="preserve"> and Hawaiian Homelands.</w:t>
      </w:r>
      <w:r>
        <w:rPr>
          <w:sz w:val="20"/>
          <w:vertAlign w:val="superscript"/>
        </w:rPr>
        <w:footnoteReference w:id="118"/>
      </w:r>
      <w:r w:rsidRPr="00A56B17">
        <w:t xml:space="preserve">  We </w:t>
      </w:r>
      <w:r w:rsidRPr="00A56B17">
        <w:t>report on deployment for each combination of fixed and mobile deployment.</w:t>
      </w:r>
      <w:r>
        <w:rPr>
          <w:rStyle w:val="FootnoteReference"/>
        </w:rPr>
        <w:footnoteReference w:id="119"/>
      </w:r>
      <w:r>
        <w:t xml:space="preserve">  </w:t>
      </w:r>
      <w:r w:rsidRPr="00A56B17">
        <w:t xml:space="preserve"> </w:t>
      </w:r>
      <w:bookmarkEnd w:id="187"/>
    </w:p>
    <w:p w:rsidR="00C6287D" w:rsidRPr="00A56B17" w:rsidP="00C6287D">
      <w:pPr>
        <w:pStyle w:val="Heading3"/>
      </w:pPr>
      <w:bookmarkStart w:id="189" w:name="_Toc503297077"/>
      <w:bookmarkStart w:id="190" w:name="_Toc503377681"/>
      <w:bookmarkStart w:id="191" w:name="_Toc503456693"/>
      <w:bookmarkStart w:id="192" w:name="_Toc503456850"/>
      <w:bookmarkStart w:id="193" w:name="_Toc503892365"/>
      <w:bookmarkStart w:id="194" w:name="_Toc527724383"/>
      <w:bookmarkStart w:id="195" w:name="_Toc780511"/>
      <w:bookmarkStart w:id="196" w:name="_Toc529180602"/>
      <w:bookmarkStart w:id="197" w:name="_Toc530069125"/>
      <w:bookmarkStart w:id="198" w:name="_Toc530147028"/>
      <w:bookmarkStart w:id="199" w:name="_Toc530148240"/>
      <w:bookmarkStart w:id="200" w:name="_Toc970730"/>
      <w:bookmarkStart w:id="201" w:name="_Toc1469947"/>
      <w:bookmarkStart w:id="202" w:name="_Toc2676101"/>
      <w:r w:rsidRPr="00A56B17">
        <w:t>Deployment of Fixed Advanced Telecommunications Capability</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C6287D" w:rsidRPr="00A56B17" w:rsidP="00C6287D">
      <w:pPr>
        <w:pStyle w:val="ParaNum"/>
      </w:pPr>
      <w:r w:rsidRPr="00A56B17">
        <w:t>Figure 1 shows the deployment of fixed terrestrial broadband at speeds of 25 Mbps/3 Mbps, the Commission’s current benchmark for fixed advanced telecommunications capability.  As of year-end 2017, 9</w:t>
      </w:r>
      <w:r>
        <w:t>3.5</w:t>
      </w:r>
      <w:r w:rsidRPr="00A56B17">
        <w:t>% of the overall population had coverage of such services, up from 91.9% in 2016.  Nonetheless, the gap in rural and Tribal America remains notable:</w:t>
      </w:r>
      <w:r>
        <w:t xml:space="preserve"> </w:t>
      </w:r>
      <w:r w:rsidRPr="00A56B17">
        <w:t xml:space="preserve"> over 2</w:t>
      </w:r>
      <w:r>
        <w:t>6</w:t>
      </w:r>
      <w:r w:rsidRPr="00A56B17">
        <w:t>% of Americans in rural areas and 32% of Americans in Tribal lands lack coverage from fixed terrestrial 25 Mbps/3 Mbps broadband, as compared to only 1.</w:t>
      </w:r>
      <w:r>
        <w:t>7</w:t>
      </w:r>
      <w:r w:rsidRPr="00A56B17">
        <w:t>% of Americans in urban areas.  The data demonstrate, however, that the gap between urban and rural or Tribal areas has narrowed each year over the last five years.</w:t>
      </w:r>
    </w:p>
    <w:p w:rsidR="00C6287D" w:rsidRPr="00A56B17" w:rsidP="00C6287D">
      <w:pPr>
        <w:keepNext/>
        <w:keepLines/>
        <w:jc w:val="center"/>
        <w:rPr>
          <w:b/>
        </w:rPr>
      </w:pPr>
      <w:r w:rsidRPr="00A56B17">
        <w:rPr>
          <w:b/>
        </w:rPr>
        <w:t>Fig. 1</w:t>
      </w:r>
    </w:p>
    <w:p w:rsidR="00C6287D" w:rsidP="00C6287D">
      <w:pPr>
        <w:keepNext/>
        <w:keepLines/>
        <w:spacing w:after="120"/>
        <w:jc w:val="center"/>
        <w:rPr>
          <w:b/>
        </w:rPr>
      </w:pPr>
      <w:r w:rsidRPr="00A56B17">
        <w:rPr>
          <w:b/>
        </w:rPr>
        <w:t>Deployment (Millions) of Fixed Terrestrial 25 Mbps/3 Mbps Services</w:t>
      </w:r>
    </w:p>
    <w:tbl>
      <w:tblPr>
        <w:tblW w:w="0" w:type="auto"/>
        <w:jc w:val="center"/>
        <w:tblLayout w:type="fixed"/>
        <w:tblCellMar>
          <w:left w:w="0" w:type="dxa"/>
          <w:right w:w="0" w:type="dxa"/>
        </w:tblCellMar>
        <w:tblLook w:val="0000"/>
      </w:tblPr>
      <w:tblGrid>
        <w:gridCol w:w="1461"/>
        <w:gridCol w:w="824"/>
        <w:gridCol w:w="750"/>
        <w:gridCol w:w="824"/>
        <w:gridCol w:w="750"/>
        <w:gridCol w:w="824"/>
        <w:gridCol w:w="750"/>
        <w:gridCol w:w="824"/>
        <w:gridCol w:w="750"/>
        <w:gridCol w:w="824"/>
        <w:gridCol w:w="750"/>
      </w:tblGrid>
      <w:tr w:rsidTr="00525353">
        <w:tblPrEx>
          <w:tblW w:w="0" w:type="auto"/>
          <w:jc w:val="center"/>
          <w:tblLayout w:type="fixed"/>
          <w:tblCellMar>
            <w:left w:w="0" w:type="dxa"/>
            <w:right w:w="0" w:type="dxa"/>
          </w:tblCellMar>
          <w:tblLook w:val="0000"/>
        </w:tblPrEx>
        <w:trPr>
          <w:cantSplit/>
          <w:tblHeader/>
          <w:jc w:val="center"/>
        </w:trPr>
        <w:tc>
          <w:tcPr>
            <w:tcW w:w="1461"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C6287D" w:rsidP="00525353">
            <w:pPr>
              <w:widowControl/>
              <w:autoSpaceDE w:val="0"/>
              <w:autoSpaceDN w:val="0"/>
              <w:adjustRightInd w:val="0"/>
              <w:spacing w:before="40" w:after="40"/>
              <w:jc w:val="center"/>
              <w:rPr>
                <w:b/>
                <w:color w:val="000000"/>
                <w:kern w:val="0"/>
                <w:sz w:val="20"/>
              </w:rPr>
            </w:pPr>
          </w:p>
        </w:tc>
        <w:tc>
          <w:tcPr>
            <w:tcW w:w="1574"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C6287D" w:rsidP="00525353">
            <w:pPr>
              <w:widowControl/>
              <w:autoSpaceDE w:val="0"/>
              <w:autoSpaceDN w:val="0"/>
              <w:adjustRightInd w:val="0"/>
              <w:spacing w:before="40" w:after="40"/>
              <w:jc w:val="center"/>
              <w:rPr>
                <w:b/>
                <w:color w:val="000000"/>
                <w:kern w:val="0"/>
                <w:sz w:val="20"/>
              </w:rPr>
            </w:pPr>
            <w:r w:rsidRPr="00C6287D">
              <w:rPr>
                <w:b/>
                <w:color w:val="000000"/>
                <w:kern w:val="0"/>
                <w:sz w:val="20"/>
              </w:rPr>
              <w:t>2013</w:t>
            </w:r>
          </w:p>
        </w:tc>
        <w:tc>
          <w:tcPr>
            <w:tcW w:w="1574"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C6287D" w:rsidP="00525353">
            <w:pPr>
              <w:widowControl/>
              <w:autoSpaceDE w:val="0"/>
              <w:autoSpaceDN w:val="0"/>
              <w:adjustRightInd w:val="0"/>
              <w:spacing w:before="40" w:after="40"/>
              <w:jc w:val="center"/>
              <w:rPr>
                <w:b/>
                <w:color w:val="000000"/>
                <w:kern w:val="0"/>
                <w:sz w:val="20"/>
              </w:rPr>
            </w:pPr>
            <w:r w:rsidRPr="00C6287D">
              <w:rPr>
                <w:b/>
                <w:color w:val="000000"/>
                <w:kern w:val="0"/>
                <w:sz w:val="20"/>
              </w:rPr>
              <w:t>2014</w:t>
            </w:r>
          </w:p>
        </w:tc>
        <w:tc>
          <w:tcPr>
            <w:tcW w:w="1574"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C6287D" w:rsidP="00525353">
            <w:pPr>
              <w:widowControl/>
              <w:autoSpaceDE w:val="0"/>
              <w:autoSpaceDN w:val="0"/>
              <w:adjustRightInd w:val="0"/>
              <w:spacing w:before="40" w:after="40"/>
              <w:jc w:val="center"/>
              <w:rPr>
                <w:b/>
                <w:color w:val="000000"/>
                <w:kern w:val="0"/>
                <w:sz w:val="20"/>
              </w:rPr>
            </w:pPr>
            <w:r w:rsidRPr="00C6287D">
              <w:rPr>
                <w:b/>
                <w:color w:val="000000"/>
                <w:kern w:val="0"/>
                <w:sz w:val="20"/>
              </w:rPr>
              <w:t>2015</w:t>
            </w:r>
          </w:p>
        </w:tc>
        <w:tc>
          <w:tcPr>
            <w:tcW w:w="1574"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C6287D" w:rsidP="00525353">
            <w:pPr>
              <w:widowControl/>
              <w:autoSpaceDE w:val="0"/>
              <w:autoSpaceDN w:val="0"/>
              <w:adjustRightInd w:val="0"/>
              <w:spacing w:before="40" w:after="40"/>
              <w:jc w:val="center"/>
              <w:rPr>
                <w:b/>
                <w:color w:val="000000"/>
                <w:kern w:val="0"/>
                <w:sz w:val="20"/>
              </w:rPr>
            </w:pPr>
            <w:r w:rsidRPr="00C6287D">
              <w:rPr>
                <w:b/>
                <w:color w:val="000000"/>
                <w:kern w:val="0"/>
                <w:sz w:val="20"/>
              </w:rPr>
              <w:t>2016</w:t>
            </w:r>
          </w:p>
        </w:tc>
        <w:tc>
          <w:tcPr>
            <w:tcW w:w="1574" w:type="dxa"/>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C6287D" w:rsidP="00525353">
            <w:pPr>
              <w:widowControl/>
              <w:autoSpaceDE w:val="0"/>
              <w:autoSpaceDN w:val="0"/>
              <w:adjustRightInd w:val="0"/>
              <w:spacing w:before="40" w:after="40"/>
              <w:jc w:val="center"/>
              <w:rPr>
                <w:b/>
                <w:color w:val="000000"/>
                <w:kern w:val="0"/>
                <w:sz w:val="20"/>
              </w:rPr>
            </w:pPr>
            <w:r w:rsidRPr="00C6287D">
              <w:rPr>
                <w:b/>
                <w:color w:val="000000"/>
                <w:kern w:val="0"/>
                <w:sz w:val="20"/>
              </w:rPr>
              <w:t>2017</w:t>
            </w:r>
          </w:p>
        </w:tc>
      </w:tr>
      <w:tr w:rsidTr="00525353">
        <w:tblPrEx>
          <w:tblW w:w="0" w:type="auto"/>
          <w:jc w:val="center"/>
          <w:tblLayout w:type="fixed"/>
          <w:tblCellMar>
            <w:left w:w="0" w:type="dxa"/>
            <w:right w:w="0" w:type="dxa"/>
          </w:tblCellMar>
          <w:tblLook w:val="0000"/>
        </w:tblPrEx>
        <w:trPr>
          <w:cantSplit/>
          <w:tblHeader/>
          <w:jc w:val="center"/>
        </w:trPr>
        <w:tc>
          <w:tcPr>
            <w:tcW w:w="1461"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C6287D" w:rsidP="00525353">
            <w:pPr>
              <w:widowControl/>
              <w:autoSpaceDE w:val="0"/>
              <w:autoSpaceDN w:val="0"/>
              <w:adjustRightInd w:val="0"/>
              <w:spacing w:before="40" w:after="40"/>
              <w:jc w:val="center"/>
              <w:rPr>
                <w:b/>
                <w:color w:val="000000"/>
                <w:kern w:val="0"/>
                <w:sz w:val="20"/>
              </w:rPr>
            </w:pPr>
          </w:p>
        </w:tc>
        <w:tc>
          <w:tcPr>
            <w:tcW w:w="824"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C6287D" w:rsidP="00525353">
            <w:pPr>
              <w:widowControl/>
              <w:autoSpaceDE w:val="0"/>
              <w:autoSpaceDN w:val="0"/>
              <w:adjustRightInd w:val="0"/>
              <w:spacing w:before="40" w:after="40"/>
              <w:jc w:val="center"/>
              <w:rPr>
                <w:b/>
                <w:color w:val="000000"/>
                <w:kern w:val="0"/>
                <w:sz w:val="20"/>
              </w:rPr>
            </w:pPr>
            <w:r w:rsidRPr="00C6287D">
              <w:rPr>
                <w:b/>
                <w:color w:val="000000"/>
                <w:kern w:val="0"/>
                <w:sz w:val="20"/>
              </w:rPr>
              <w:t>Pop.</w:t>
            </w:r>
          </w:p>
        </w:tc>
        <w:tc>
          <w:tcPr>
            <w:tcW w:w="75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C6287D" w:rsidP="00525353">
            <w:pPr>
              <w:widowControl/>
              <w:autoSpaceDE w:val="0"/>
              <w:autoSpaceDN w:val="0"/>
              <w:adjustRightInd w:val="0"/>
              <w:spacing w:before="40" w:after="40"/>
              <w:jc w:val="center"/>
              <w:rPr>
                <w:b/>
                <w:color w:val="000000"/>
                <w:kern w:val="0"/>
                <w:sz w:val="20"/>
              </w:rPr>
            </w:pPr>
            <w:r w:rsidRPr="00C6287D">
              <w:rPr>
                <w:b/>
                <w:color w:val="000000"/>
                <w:kern w:val="0"/>
                <w:sz w:val="20"/>
              </w:rPr>
              <w:t>%</w:t>
            </w:r>
          </w:p>
        </w:tc>
        <w:tc>
          <w:tcPr>
            <w:tcW w:w="824"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C6287D" w:rsidP="00525353">
            <w:pPr>
              <w:widowControl/>
              <w:autoSpaceDE w:val="0"/>
              <w:autoSpaceDN w:val="0"/>
              <w:adjustRightInd w:val="0"/>
              <w:spacing w:before="40" w:after="40"/>
              <w:jc w:val="center"/>
              <w:rPr>
                <w:b/>
                <w:color w:val="000000"/>
                <w:kern w:val="0"/>
                <w:sz w:val="20"/>
              </w:rPr>
            </w:pPr>
            <w:r w:rsidRPr="00C6287D">
              <w:rPr>
                <w:b/>
                <w:color w:val="000000"/>
                <w:kern w:val="0"/>
                <w:sz w:val="20"/>
              </w:rPr>
              <w:t>Pop.</w:t>
            </w:r>
          </w:p>
        </w:tc>
        <w:tc>
          <w:tcPr>
            <w:tcW w:w="75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C6287D" w:rsidP="00525353">
            <w:pPr>
              <w:widowControl/>
              <w:autoSpaceDE w:val="0"/>
              <w:autoSpaceDN w:val="0"/>
              <w:adjustRightInd w:val="0"/>
              <w:spacing w:before="40" w:after="40"/>
              <w:jc w:val="center"/>
              <w:rPr>
                <w:b/>
                <w:color w:val="000000"/>
                <w:kern w:val="0"/>
                <w:sz w:val="20"/>
              </w:rPr>
            </w:pPr>
            <w:r w:rsidRPr="00C6287D">
              <w:rPr>
                <w:b/>
                <w:color w:val="000000"/>
                <w:kern w:val="0"/>
                <w:sz w:val="20"/>
              </w:rPr>
              <w:t>%</w:t>
            </w:r>
          </w:p>
        </w:tc>
        <w:tc>
          <w:tcPr>
            <w:tcW w:w="824"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C6287D" w:rsidP="00525353">
            <w:pPr>
              <w:widowControl/>
              <w:autoSpaceDE w:val="0"/>
              <w:autoSpaceDN w:val="0"/>
              <w:adjustRightInd w:val="0"/>
              <w:spacing w:before="40" w:after="40"/>
              <w:jc w:val="center"/>
              <w:rPr>
                <w:b/>
                <w:color w:val="000000"/>
                <w:kern w:val="0"/>
                <w:sz w:val="20"/>
              </w:rPr>
            </w:pPr>
            <w:r w:rsidRPr="00C6287D">
              <w:rPr>
                <w:b/>
                <w:color w:val="000000"/>
                <w:kern w:val="0"/>
                <w:sz w:val="20"/>
              </w:rPr>
              <w:t>Pop.</w:t>
            </w:r>
          </w:p>
        </w:tc>
        <w:tc>
          <w:tcPr>
            <w:tcW w:w="75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C6287D" w:rsidP="00525353">
            <w:pPr>
              <w:widowControl/>
              <w:autoSpaceDE w:val="0"/>
              <w:autoSpaceDN w:val="0"/>
              <w:adjustRightInd w:val="0"/>
              <w:spacing w:before="40" w:after="40"/>
              <w:jc w:val="center"/>
              <w:rPr>
                <w:b/>
                <w:color w:val="000000"/>
                <w:kern w:val="0"/>
                <w:sz w:val="20"/>
              </w:rPr>
            </w:pPr>
            <w:r w:rsidRPr="00C6287D">
              <w:rPr>
                <w:b/>
                <w:color w:val="000000"/>
                <w:kern w:val="0"/>
                <w:sz w:val="20"/>
              </w:rPr>
              <w:t>%</w:t>
            </w:r>
          </w:p>
        </w:tc>
        <w:tc>
          <w:tcPr>
            <w:tcW w:w="824"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C6287D" w:rsidP="00525353">
            <w:pPr>
              <w:widowControl/>
              <w:autoSpaceDE w:val="0"/>
              <w:autoSpaceDN w:val="0"/>
              <w:adjustRightInd w:val="0"/>
              <w:spacing w:before="40" w:after="40"/>
              <w:jc w:val="center"/>
              <w:rPr>
                <w:b/>
                <w:color w:val="000000"/>
                <w:kern w:val="0"/>
                <w:sz w:val="20"/>
              </w:rPr>
            </w:pPr>
            <w:r w:rsidRPr="00C6287D">
              <w:rPr>
                <w:b/>
                <w:color w:val="000000"/>
                <w:kern w:val="0"/>
                <w:sz w:val="20"/>
              </w:rPr>
              <w:t>Pop.</w:t>
            </w:r>
          </w:p>
        </w:tc>
        <w:tc>
          <w:tcPr>
            <w:tcW w:w="75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C6287D" w:rsidP="00525353">
            <w:pPr>
              <w:widowControl/>
              <w:autoSpaceDE w:val="0"/>
              <w:autoSpaceDN w:val="0"/>
              <w:adjustRightInd w:val="0"/>
              <w:spacing w:before="40" w:after="40"/>
              <w:jc w:val="center"/>
              <w:rPr>
                <w:b/>
                <w:color w:val="000000"/>
                <w:kern w:val="0"/>
                <w:sz w:val="20"/>
              </w:rPr>
            </w:pPr>
            <w:r w:rsidRPr="00C6287D">
              <w:rPr>
                <w:b/>
                <w:color w:val="000000"/>
                <w:kern w:val="0"/>
                <w:sz w:val="20"/>
              </w:rPr>
              <w:t>%</w:t>
            </w:r>
          </w:p>
        </w:tc>
        <w:tc>
          <w:tcPr>
            <w:tcW w:w="824"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C6287D" w:rsidP="00525353">
            <w:pPr>
              <w:widowControl/>
              <w:autoSpaceDE w:val="0"/>
              <w:autoSpaceDN w:val="0"/>
              <w:adjustRightInd w:val="0"/>
              <w:spacing w:before="40" w:after="40"/>
              <w:jc w:val="center"/>
              <w:rPr>
                <w:b/>
                <w:color w:val="000000"/>
                <w:kern w:val="0"/>
                <w:sz w:val="20"/>
              </w:rPr>
            </w:pPr>
            <w:r w:rsidRPr="00C6287D">
              <w:rPr>
                <w:b/>
                <w:color w:val="000000"/>
                <w:kern w:val="0"/>
                <w:sz w:val="20"/>
              </w:rPr>
              <w:t>Pop.</w:t>
            </w:r>
          </w:p>
        </w:tc>
        <w:tc>
          <w:tcPr>
            <w:tcW w:w="750"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C6287D" w:rsidP="00525353">
            <w:pPr>
              <w:widowControl/>
              <w:autoSpaceDE w:val="0"/>
              <w:autoSpaceDN w:val="0"/>
              <w:adjustRightInd w:val="0"/>
              <w:spacing w:before="40" w:after="40"/>
              <w:jc w:val="center"/>
              <w:rPr>
                <w:b/>
                <w:color w:val="000000"/>
                <w:kern w:val="0"/>
                <w:sz w:val="20"/>
              </w:rPr>
            </w:pPr>
            <w:r w:rsidRPr="00C6287D">
              <w:rPr>
                <w:b/>
                <w:color w:val="000000"/>
                <w:kern w:val="0"/>
                <w:sz w:val="20"/>
              </w:rPr>
              <w:t>%</w:t>
            </w:r>
          </w:p>
        </w:tc>
      </w:tr>
      <w:tr w:rsidTr="00525353">
        <w:tblPrEx>
          <w:tblW w:w="0" w:type="auto"/>
          <w:jc w:val="center"/>
          <w:tblLayout w:type="fixed"/>
          <w:tblCellMar>
            <w:left w:w="0" w:type="dxa"/>
            <w:right w:w="0" w:type="dxa"/>
          </w:tblCellMar>
          <w:tblLook w:val="0000"/>
        </w:tblPrEx>
        <w:trPr>
          <w:cantSplit/>
          <w:trHeight w:hRule="exact" w:val="383"/>
          <w:jc w:val="center"/>
        </w:trPr>
        <w:tc>
          <w:tcPr>
            <w:tcW w:w="1461" w:type="dxa"/>
            <w:tcBorders>
              <w:top w:val="nil"/>
              <w:left w:val="single" w:sz="8" w:space="0" w:color="000000"/>
              <w:bottom w:val="single" w:sz="8" w:space="0" w:color="000000"/>
              <w:right w:val="nil"/>
            </w:tcBorders>
            <w:shd w:val="clear" w:color="auto" w:fill="90B0D9"/>
            <w:tcMar>
              <w:left w:w="40" w:type="dxa"/>
              <w:right w:w="40" w:type="dxa"/>
            </w:tcMar>
          </w:tcPr>
          <w:p w:rsidR="00C6287D" w:rsidRPr="00C6287D" w:rsidP="00525353">
            <w:pPr>
              <w:widowControl/>
              <w:autoSpaceDE w:val="0"/>
              <w:autoSpaceDN w:val="0"/>
              <w:adjustRightInd w:val="0"/>
              <w:spacing w:before="40" w:after="40"/>
              <w:rPr>
                <w:b/>
                <w:color w:val="000000"/>
                <w:kern w:val="0"/>
                <w:sz w:val="20"/>
              </w:rPr>
            </w:pPr>
            <w:r w:rsidRPr="00C6287D">
              <w:rPr>
                <w:b/>
                <w:color w:val="000000"/>
                <w:kern w:val="0"/>
                <w:sz w:val="20"/>
              </w:rPr>
              <w:t>United States</w:t>
            </w:r>
          </w:p>
        </w:tc>
        <w:tc>
          <w:tcPr>
            <w:tcW w:w="824" w:type="dxa"/>
            <w:tcBorders>
              <w:top w:val="nil"/>
              <w:left w:val="single" w:sz="8" w:space="0" w:color="000000"/>
              <w:bottom w:val="single" w:sz="8" w:space="0" w:color="000000"/>
              <w:right w:val="nil"/>
            </w:tcBorders>
            <w:shd w:val="clear" w:color="auto" w:fill="F5F5F5"/>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263.971</w:t>
            </w:r>
          </w:p>
        </w:tc>
        <w:tc>
          <w:tcPr>
            <w:tcW w:w="750" w:type="dxa"/>
            <w:tcBorders>
              <w:top w:val="nil"/>
              <w:left w:val="single" w:sz="8" w:space="0" w:color="000000"/>
              <w:bottom w:val="single" w:sz="8" w:space="0" w:color="000000"/>
              <w:right w:val="nil"/>
            </w:tcBorders>
            <w:shd w:val="clear" w:color="auto" w:fill="F5F5F5"/>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83.6%</w:t>
            </w:r>
          </w:p>
        </w:tc>
        <w:tc>
          <w:tcPr>
            <w:tcW w:w="824" w:type="dxa"/>
            <w:tcBorders>
              <w:top w:val="nil"/>
              <w:left w:val="single" w:sz="8" w:space="0" w:color="000000"/>
              <w:bottom w:val="single" w:sz="8" w:space="0" w:color="000000"/>
              <w:right w:val="nil"/>
            </w:tcBorders>
            <w:shd w:val="clear" w:color="auto" w:fill="F5F5F5"/>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284.</w:t>
            </w:r>
            <w:r w:rsidRPr="00C6287D">
              <w:rPr>
                <w:snapToGrid/>
                <w:color w:val="000000"/>
                <w:kern w:val="0"/>
                <w:sz w:val="20"/>
              </w:rPr>
              <w:t>246</w:t>
            </w:r>
          </w:p>
        </w:tc>
        <w:tc>
          <w:tcPr>
            <w:tcW w:w="750" w:type="dxa"/>
            <w:tcBorders>
              <w:top w:val="nil"/>
              <w:left w:val="single" w:sz="8" w:space="0" w:color="000000"/>
              <w:bottom w:val="single" w:sz="8" w:space="0" w:color="000000"/>
              <w:right w:val="nil"/>
            </w:tcBorders>
            <w:shd w:val="clear" w:color="auto" w:fill="F5F5F5"/>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89.4%</w:t>
            </w:r>
          </w:p>
        </w:tc>
        <w:tc>
          <w:tcPr>
            <w:tcW w:w="824" w:type="dxa"/>
            <w:tcBorders>
              <w:top w:val="nil"/>
              <w:left w:val="single" w:sz="8" w:space="0" w:color="000000"/>
              <w:bottom w:val="single" w:sz="8" w:space="0" w:color="000000"/>
              <w:right w:val="nil"/>
            </w:tcBorders>
            <w:shd w:val="clear" w:color="auto" w:fill="F5F5F5"/>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287.853</w:t>
            </w:r>
          </w:p>
        </w:tc>
        <w:tc>
          <w:tcPr>
            <w:tcW w:w="750" w:type="dxa"/>
            <w:tcBorders>
              <w:top w:val="nil"/>
              <w:left w:val="single" w:sz="8" w:space="0" w:color="000000"/>
              <w:bottom w:val="single" w:sz="8" w:space="0" w:color="000000"/>
              <w:right w:val="nil"/>
            </w:tcBorders>
            <w:shd w:val="clear" w:color="auto" w:fill="F5F5F5"/>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89.9%</w:t>
            </w:r>
          </w:p>
        </w:tc>
        <w:tc>
          <w:tcPr>
            <w:tcW w:w="824" w:type="dxa"/>
            <w:tcBorders>
              <w:top w:val="nil"/>
              <w:left w:val="single" w:sz="8" w:space="0" w:color="000000"/>
              <w:bottom w:val="single" w:sz="8" w:space="0" w:color="000000"/>
              <w:right w:val="nil"/>
            </w:tcBorders>
            <w:shd w:val="clear" w:color="auto" w:fill="F5F5F5"/>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296.373</w:t>
            </w:r>
          </w:p>
        </w:tc>
        <w:tc>
          <w:tcPr>
            <w:tcW w:w="750" w:type="dxa"/>
            <w:tcBorders>
              <w:top w:val="nil"/>
              <w:left w:val="single" w:sz="8" w:space="0" w:color="000000"/>
              <w:bottom w:val="single" w:sz="8" w:space="0" w:color="000000"/>
              <w:right w:val="nil"/>
            </w:tcBorders>
            <w:shd w:val="clear" w:color="auto" w:fill="F5F5F5"/>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91.9%</w:t>
            </w:r>
          </w:p>
        </w:tc>
        <w:tc>
          <w:tcPr>
            <w:tcW w:w="824" w:type="dxa"/>
            <w:tcBorders>
              <w:top w:val="nil"/>
              <w:left w:val="single" w:sz="8" w:space="0" w:color="000000"/>
              <w:bottom w:val="single" w:sz="8" w:space="0" w:color="000000"/>
              <w:right w:val="nil"/>
            </w:tcBorders>
            <w:shd w:val="clear" w:color="auto" w:fill="F5F5F5"/>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snapToGrid/>
                <w:color w:val="000000"/>
                <w:kern w:val="0"/>
                <w:sz w:val="20"/>
              </w:rPr>
              <w:t>304.405</w:t>
            </w:r>
          </w:p>
        </w:tc>
        <w:tc>
          <w:tcPr>
            <w:tcW w:w="750"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snapToGrid/>
                <w:color w:val="000000"/>
                <w:kern w:val="0"/>
                <w:sz w:val="20"/>
              </w:rPr>
              <w:t>93.5</w:t>
            </w:r>
            <w:r w:rsidRPr="00C6287D">
              <w:rPr>
                <w:color w:val="000000"/>
                <w:kern w:val="0"/>
                <w:sz w:val="20"/>
              </w:rPr>
              <w:t>%</w:t>
            </w:r>
          </w:p>
        </w:tc>
      </w:tr>
      <w:tr w:rsidTr="00525353">
        <w:tblPrEx>
          <w:tblW w:w="0" w:type="auto"/>
          <w:jc w:val="center"/>
          <w:tblLayout w:type="fixed"/>
          <w:tblCellMar>
            <w:left w:w="0" w:type="dxa"/>
            <w:right w:w="0" w:type="dxa"/>
          </w:tblCellMar>
          <w:tblLook w:val="0000"/>
        </w:tblPrEx>
        <w:trPr>
          <w:cantSplit/>
          <w:trHeight w:hRule="exact" w:val="383"/>
          <w:jc w:val="center"/>
        </w:trPr>
        <w:tc>
          <w:tcPr>
            <w:tcW w:w="1461" w:type="dxa"/>
            <w:tcBorders>
              <w:top w:val="nil"/>
              <w:left w:val="single" w:sz="8" w:space="0" w:color="000000"/>
              <w:bottom w:val="single" w:sz="8" w:space="0" w:color="000000"/>
              <w:right w:val="nil"/>
            </w:tcBorders>
            <w:shd w:val="clear" w:color="auto" w:fill="90B0D9"/>
            <w:tcMar>
              <w:left w:w="40" w:type="dxa"/>
              <w:right w:w="40" w:type="dxa"/>
            </w:tcMar>
          </w:tcPr>
          <w:p w:rsidR="00C6287D" w:rsidRPr="00C6287D" w:rsidP="00525353">
            <w:pPr>
              <w:widowControl/>
              <w:autoSpaceDE w:val="0"/>
              <w:autoSpaceDN w:val="0"/>
              <w:adjustRightInd w:val="0"/>
              <w:spacing w:before="40" w:after="40"/>
              <w:rPr>
                <w:b/>
                <w:color w:val="000000"/>
                <w:kern w:val="0"/>
                <w:sz w:val="20"/>
              </w:rPr>
            </w:pPr>
            <w:r w:rsidRPr="00C6287D">
              <w:rPr>
                <w:b/>
                <w:color w:val="000000"/>
                <w:kern w:val="0"/>
                <w:sz w:val="20"/>
              </w:rPr>
              <w:t>Rural Areas</w:t>
            </w:r>
          </w:p>
        </w:tc>
        <w:tc>
          <w:tcPr>
            <w:tcW w:w="824"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29.077</w:t>
            </w:r>
          </w:p>
        </w:tc>
        <w:tc>
          <w:tcPr>
            <w:tcW w:w="750"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47.6%</w:t>
            </w:r>
          </w:p>
        </w:tc>
        <w:tc>
          <w:tcPr>
            <w:tcW w:w="824"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37.</w:t>
            </w:r>
            <w:r w:rsidRPr="00C6287D">
              <w:rPr>
                <w:snapToGrid/>
                <w:color w:val="000000"/>
                <w:kern w:val="0"/>
                <w:sz w:val="20"/>
              </w:rPr>
              <w:t>174</w:t>
            </w:r>
          </w:p>
        </w:tc>
        <w:tc>
          <w:tcPr>
            <w:tcW w:w="750"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60.</w:t>
            </w:r>
            <w:r w:rsidRPr="00C6287D">
              <w:rPr>
                <w:snapToGrid/>
                <w:color w:val="000000"/>
                <w:kern w:val="0"/>
                <w:sz w:val="20"/>
              </w:rPr>
              <w:t>3</w:t>
            </w:r>
            <w:r w:rsidRPr="00C6287D">
              <w:rPr>
                <w:color w:val="000000"/>
                <w:kern w:val="0"/>
                <w:sz w:val="20"/>
              </w:rPr>
              <w:t>%</w:t>
            </w:r>
          </w:p>
        </w:tc>
        <w:tc>
          <w:tcPr>
            <w:tcW w:w="824"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38.271</w:t>
            </w:r>
          </w:p>
        </w:tc>
        <w:tc>
          <w:tcPr>
            <w:tcW w:w="750"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61.5%</w:t>
            </w:r>
          </w:p>
        </w:tc>
        <w:tc>
          <w:tcPr>
            <w:tcW w:w="824"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42.677</w:t>
            </w:r>
          </w:p>
        </w:tc>
        <w:tc>
          <w:tcPr>
            <w:tcW w:w="750"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67.8%</w:t>
            </w:r>
          </w:p>
        </w:tc>
        <w:tc>
          <w:tcPr>
            <w:tcW w:w="824"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snapToGrid/>
                <w:color w:val="000000"/>
                <w:kern w:val="0"/>
                <w:sz w:val="20"/>
              </w:rPr>
              <w:t>46.960</w:t>
            </w:r>
          </w:p>
        </w:tc>
        <w:tc>
          <w:tcPr>
            <w:tcW w:w="75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snapToGrid/>
                <w:color w:val="000000"/>
                <w:kern w:val="0"/>
                <w:sz w:val="20"/>
              </w:rPr>
              <w:t>73.6</w:t>
            </w:r>
            <w:r w:rsidRPr="00C6287D">
              <w:rPr>
                <w:color w:val="000000"/>
                <w:kern w:val="0"/>
                <w:sz w:val="20"/>
              </w:rPr>
              <w:t>%</w:t>
            </w:r>
          </w:p>
        </w:tc>
      </w:tr>
      <w:tr w:rsidTr="00525353">
        <w:tblPrEx>
          <w:tblW w:w="0" w:type="auto"/>
          <w:jc w:val="center"/>
          <w:tblLayout w:type="fixed"/>
          <w:tblCellMar>
            <w:left w:w="0" w:type="dxa"/>
            <w:right w:w="0" w:type="dxa"/>
          </w:tblCellMar>
          <w:tblLook w:val="0000"/>
        </w:tblPrEx>
        <w:trPr>
          <w:cantSplit/>
          <w:trHeight w:hRule="exact" w:val="383"/>
          <w:jc w:val="center"/>
        </w:trPr>
        <w:tc>
          <w:tcPr>
            <w:tcW w:w="1461" w:type="dxa"/>
            <w:tcBorders>
              <w:top w:val="nil"/>
              <w:left w:val="single" w:sz="8" w:space="0" w:color="000000"/>
              <w:bottom w:val="single" w:sz="8" w:space="0" w:color="000000"/>
              <w:right w:val="nil"/>
            </w:tcBorders>
            <w:shd w:val="clear" w:color="auto" w:fill="90B0D9"/>
            <w:tcMar>
              <w:left w:w="40" w:type="dxa"/>
              <w:right w:w="40" w:type="dxa"/>
            </w:tcMar>
          </w:tcPr>
          <w:p w:rsidR="00C6287D" w:rsidRPr="00C6287D" w:rsidP="00525353">
            <w:pPr>
              <w:widowControl/>
              <w:autoSpaceDE w:val="0"/>
              <w:autoSpaceDN w:val="0"/>
              <w:adjustRightInd w:val="0"/>
              <w:spacing w:before="40" w:after="40"/>
              <w:rPr>
                <w:b/>
                <w:color w:val="000000"/>
                <w:kern w:val="0"/>
                <w:sz w:val="20"/>
              </w:rPr>
            </w:pPr>
            <w:r w:rsidRPr="00C6287D">
              <w:rPr>
                <w:b/>
                <w:color w:val="000000"/>
                <w:kern w:val="0"/>
                <w:sz w:val="20"/>
              </w:rPr>
              <w:t>Urban Areas</w:t>
            </w:r>
          </w:p>
        </w:tc>
        <w:tc>
          <w:tcPr>
            <w:tcW w:w="824"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234.893</w:t>
            </w:r>
          </w:p>
        </w:tc>
        <w:tc>
          <w:tcPr>
            <w:tcW w:w="750"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92.3%</w:t>
            </w:r>
          </w:p>
        </w:tc>
        <w:tc>
          <w:tcPr>
            <w:tcW w:w="824"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247.</w:t>
            </w:r>
            <w:r w:rsidRPr="00C6287D">
              <w:rPr>
                <w:snapToGrid/>
                <w:color w:val="000000"/>
                <w:kern w:val="0"/>
                <w:sz w:val="20"/>
              </w:rPr>
              <w:t>072</w:t>
            </w:r>
          </w:p>
        </w:tc>
        <w:tc>
          <w:tcPr>
            <w:tcW w:w="750"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96.4%</w:t>
            </w:r>
          </w:p>
        </w:tc>
        <w:tc>
          <w:tcPr>
            <w:tcW w:w="824"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249.582</w:t>
            </w:r>
          </w:p>
        </w:tc>
        <w:tc>
          <w:tcPr>
            <w:tcW w:w="750"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96.7%</w:t>
            </w:r>
          </w:p>
        </w:tc>
        <w:tc>
          <w:tcPr>
            <w:tcW w:w="824"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253.695</w:t>
            </w:r>
          </w:p>
        </w:tc>
        <w:tc>
          <w:tcPr>
            <w:tcW w:w="750"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97.7%</w:t>
            </w:r>
          </w:p>
        </w:tc>
        <w:tc>
          <w:tcPr>
            <w:tcW w:w="824"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snapToGrid/>
                <w:color w:val="000000"/>
                <w:kern w:val="0"/>
                <w:sz w:val="20"/>
              </w:rPr>
              <w:t>257.446</w:t>
            </w:r>
          </w:p>
        </w:tc>
        <w:tc>
          <w:tcPr>
            <w:tcW w:w="75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98.</w:t>
            </w:r>
            <w:r w:rsidRPr="00C6287D">
              <w:rPr>
                <w:snapToGrid/>
                <w:color w:val="000000"/>
                <w:kern w:val="0"/>
                <w:sz w:val="20"/>
              </w:rPr>
              <w:t>3</w:t>
            </w:r>
            <w:r w:rsidRPr="00C6287D">
              <w:rPr>
                <w:color w:val="000000"/>
                <w:kern w:val="0"/>
                <w:sz w:val="20"/>
              </w:rPr>
              <w:t>%</w:t>
            </w:r>
          </w:p>
        </w:tc>
      </w:tr>
      <w:tr w:rsidTr="00525353">
        <w:tblPrEx>
          <w:tblW w:w="0" w:type="auto"/>
          <w:jc w:val="center"/>
          <w:tblLayout w:type="fixed"/>
          <w:tblCellMar>
            <w:left w:w="0" w:type="dxa"/>
            <w:right w:w="0" w:type="dxa"/>
          </w:tblCellMar>
          <w:tblLook w:val="0000"/>
        </w:tblPrEx>
        <w:trPr>
          <w:cantSplit/>
          <w:trHeight w:hRule="exact" w:val="383"/>
          <w:jc w:val="center"/>
        </w:trPr>
        <w:tc>
          <w:tcPr>
            <w:tcW w:w="1461" w:type="dxa"/>
            <w:tcBorders>
              <w:top w:val="nil"/>
              <w:left w:val="single" w:sz="8" w:space="0" w:color="000000"/>
              <w:bottom w:val="single" w:sz="8" w:space="0" w:color="000000"/>
              <w:right w:val="nil"/>
            </w:tcBorders>
            <w:shd w:val="clear" w:color="auto" w:fill="90B0D9"/>
            <w:tcMar>
              <w:left w:w="40" w:type="dxa"/>
              <w:right w:w="40" w:type="dxa"/>
            </w:tcMar>
          </w:tcPr>
          <w:p w:rsidR="00C6287D" w:rsidRPr="00C6287D" w:rsidP="00525353">
            <w:pPr>
              <w:widowControl/>
              <w:autoSpaceDE w:val="0"/>
              <w:autoSpaceDN w:val="0"/>
              <w:adjustRightInd w:val="0"/>
              <w:spacing w:before="40" w:after="40"/>
              <w:rPr>
                <w:b/>
                <w:color w:val="000000"/>
                <w:kern w:val="0"/>
                <w:sz w:val="20"/>
              </w:rPr>
            </w:pPr>
            <w:r w:rsidRPr="00C6287D">
              <w:rPr>
                <w:b/>
                <w:color w:val="000000"/>
                <w:kern w:val="0"/>
                <w:sz w:val="20"/>
              </w:rPr>
              <w:t>Tribal Lands</w:t>
            </w:r>
          </w:p>
        </w:tc>
        <w:tc>
          <w:tcPr>
            <w:tcW w:w="824"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1.449</w:t>
            </w:r>
          </w:p>
        </w:tc>
        <w:tc>
          <w:tcPr>
            <w:tcW w:w="750"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37.1%</w:t>
            </w:r>
          </w:p>
        </w:tc>
        <w:tc>
          <w:tcPr>
            <w:tcW w:w="824"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2.</w:t>
            </w:r>
            <w:r w:rsidRPr="00C6287D">
              <w:rPr>
                <w:snapToGrid/>
                <w:color w:val="000000"/>
                <w:kern w:val="0"/>
                <w:sz w:val="20"/>
              </w:rPr>
              <w:t>245</w:t>
            </w:r>
          </w:p>
        </w:tc>
        <w:tc>
          <w:tcPr>
            <w:tcW w:w="750"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57.</w:t>
            </w:r>
            <w:r w:rsidRPr="00C6287D">
              <w:rPr>
                <w:snapToGrid/>
                <w:color w:val="000000"/>
                <w:kern w:val="0"/>
                <w:sz w:val="20"/>
              </w:rPr>
              <w:t>1</w:t>
            </w:r>
            <w:r w:rsidRPr="00C6287D">
              <w:rPr>
                <w:color w:val="000000"/>
                <w:kern w:val="0"/>
                <w:sz w:val="20"/>
              </w:rPr>
              <w:t>%</w:t>
            </w:r>
          </w:p>
        </w:tc>
        <w:tc>
          <w:tcPr>
            <w:tcW w:w="824"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2.290</w:t>
            </w:r>
          </w:p>
        </w:tc>
        <w:tc>
          <w:tcPr>
            <w:tcW w:w="750"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57.8%</w:t>
            </w:r>
          </w:p>
        </w:tc>
        <w:tc>
          <w:tcPr>
            <w:tcW w:w="824"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2.520</w:t>
            </w:r>
          </w:p>
        </w:tc>
        <w:tc>
          <w:tcPr>
            <w:tcW w:w="750"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63.1%</w:t>
            </w:r>
          </w:p>
        </w:tc>
        <w:tc>
          <w:tcPr>
            <w:tcW w:w="824" w:type="dxa"/>
            <w:tcBorders>
              <w:top w:val="nil"/>
              <w:left w:val="single" w:sz="8" w:space="0" w:color="000000"/>
              <w:bottom w:val="single" w:sz="8" w:space="0" w:color="000000"/>
              <w:right w:val="nil"/>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2.</w:t>
            </w:r>
            <w:r w:rsidRPr="00C6287D">
              <w:rPr>
                <w:snapToGrid/>
                <w:color w:val="000000"/>
                <w:kern w:val="0"/>
                <w:sz w:val="20"/>
              </w:rPr>
              <w:t>727</w:t>
            </w:r>
          </w:p>
        </w:tc>
        <w:tc>
          <w:tcPr>
            <w:tcW w:w="75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snapToGrid/>
                <w:color w:val="000000"/>
                <w:kern w:val="0"/>
                <w:sz w:val="20"/>
              </w:rPr>
              <w:t>67.9</w:t>
            </w:r>
            <w:r w:rsidRPr="00C6287D">
              <w:rPr>
                <w:color w:val="000000"/>
                <w:kern w:val="0"/>
                <w:sz w:val="20"/>
              </w:rPr>
              <w:t>%</w:t>
            </w:r>
          </w:p>
        </w:tc>
      </w:tr>
      <w:tr w:rsidTr="00525353">
        <w:tblPrEx>
          <w:tblW w:w="0" w:type="auto"/>
          <w:jc w:val="center"/>
          <w:tblLayout w:type="fixed"/>
          <w:tblCellMar>
            <w:left w:w="0" w:type="dxa"/>
            <w:right w:w="0" w:type="dxa"/>
          </w:tblCellMar>
          <w:tblLook w:val="0000"/>
        </w:tblPrEx>
        <w:trPr>
          <w:cantSplit/>
          <w:trHeight w:hRule="exact" w:val="383"/>
          <w:jc w:val="center"/>
        </w:trPr>
        <w:tc>
          <w:tcPr>
            <w:tcW w:w="1461" w:type="dxa"/>
            <w:tcBorders>
              <w:top w:val="nil"/>
              <w:left w:val="single" w:sz="8" w:space="0" w:color="000000"/>
              <w:bottom w:val="single" w:sz="8" w:space="0" w:color="000000"/>
              <w:right w:val="nil"/>
            </w:tcBorders>
            <w:shd w:val="clear" w:color="auto" w:fill="90B0D9"/>
            <w:tcMar>
              <w:left w:w="40" w:type="dxa"/>
              <w:right w:w="40" w:type="dxa"/>
            </w:tcMar>
          </w:tcPr>
          <w:p w:rsidR="00C6287D" w:rsidRPr="00C6287D" w:rsidP="00525353">
            <w:pPr>
              <w:widowControl/>
              <w:autoSpaceDE w:val="0"/>
              <w:autoSpaceDN w:val="0"/>
              <w:adjustRightInd w:val="0"/>
              <w:spacing w:before="40" w:after="40"/>
              <w:rPr>
                <w:b/>
                <w:color w:val="000000"/>
                <w:kern w:val="0"/>
                <w:sz w:val="20"/>
              </w:rPr>
            </w:pPr>
            <w:r w:rsidRPr="00C6287D">
              <w:rPr>
                <w:b/>
                <w:color w:val="000000"/>
                <w:kern w:val="0"/>
                <w:sz w:val="20"/>
              </w:rPr>
              <w:t>Pop. Evaluated</w:t>
            </w:r>
          </w:p>
        </w:tc>
        <w:tc>
          <w:tcPr>
            <w:tcW w:w="824" w:type="dxa"/>
            <w:tcBorders>
              <w:top w:val="nil"/>
              <w:left w:val="single" w:sz="8" w:space="0" w:color="000000"/>
              <w:bottom w:val="single" w:sz="8" w:space="0" w:color="000000"/>
              <w:right w:val="nil"/>
            </w:tcBorders>
            <w:shd w:val="clear" w:color="auto" w:fill="F5F5F5"/>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315.596</w:t>
            </w:r>
          </w:p>
        </w:tc>
        <w:tc>
          <w:tcPr>
            <w:tcW w:w="750" w:type="dxa"/>
            <w:tcBorders>
              <w:top w:val="nil"/>
              <w:left w:val="single" w:sz="8" w:space="0" w:color="000000"/>
              <w:bottom w:val="single" w:sz="8" w:space="0" w:color="000000"/>
              <w:right w:val="nil"/>
            </w:tcBorders>
            <w:shd w:val="clear" w:color="auto" w:fill="F5F5F5"/>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snapToGrid/>
                <w:color w:val="000000"/>
                <w:kern w:val="0"/>
                <w:sz w:val="20"/>
              </w:rPr>
              <w:t xml:space="preserve"> </w:t>
            </w:r>
          </w:p>
        </w:tc>
        <w:tc>
          <w:tcPr>
            <w:tcW w:w="824" w:type="dxa"/>
            <w:tcBorders>
              <w:top w:val="nil"/>
              <w:left w:val="single" w:sz="8" w:space="0" w:color="000000"/>
              <w:bottom w:val="single" w:sz="8" w:space="0" w:color="000000"/>
              <w:right w:val="nil"/>
            </w:tcBorders>
            <w:shd w:val="clear" w:color="auto" w:fill="F5F5F5"/>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317.954</w:t>
            </w:r>
          </w:p>
        </w:tc>
        <w:tc>
          <w:tcPr>
            <w:tcW w:w="750" w:type="dxa"/>
            <w:tcBorders>
              <w:top w:val="nil"/>
              <w:left w:val="single" w:sz="8" w:space="0" w:color="000000"/>
              <w:bottom w:val="single" w:sz="8" w:space="0" w:color="000000"/>
              <w:right w:val="nil"/>
            </w:tcBorders>
            <w:shd w:val="clear" w:color="auto" w:fill="F5F5F5"/>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snapToGrid/>
                <w:color w:val="000000"/>
                <w:kern w:val="0"/>
                <w:sz w:val="20"/>
              </w:rPr>
              <w:t xml:space="preserve"> </w:t>
            </w:r>
          </w:p>
        </w:tc>
        <w:tc>
          <w:tcPr>
            <w:tcW w:w="824" w:type="dxa"/>
            <w:tcBorders>
              <w:top w:val="nil"/>
              <w:left w:val="single" w:sz="8" w:space="0" w:color="000000"/>
              <w:bottom w:val="single" w:sz="8" w:space="0" w:color="000000"/>
              <w:right w:val="nil"/>
            </w:tcBorders>
            <w:shd w:val="clear" w:color="auto" w:fill="F5F5F5"/>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320.289</w:t>
            </w:r>
          </w:p>
        </w:tc>
        <w:tc>
          <w:tcPr>
            <w:tcW w:w="750" w:type="dxa"/>
            <w:tcBorders>
              <w:top w:val="nil"/>
              <w:left w:val="single" w:sz="8" w:space="0" w:color="000000"/>
              <w:bottom w:val="single" w:sz="8" w:space="0" w:color="000000"/>
              <w:right w:val="nil"/>
            </w:tcBorders>
            <w:shd w:val="clear" w:color="auto" w:fill="F5F5F5"/>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snapToGrid/>
                <w:color w:val="000000"/>
                <w:kern w:val="0"/>
                <w:sz w:val="20"/>
              </w:rPr>
              <w:t xml:space="preserve"> </w:t>
            </w:r>
          </w:p>
        </w:tc>
        <w:tc>
          <w:tcPr>
            <w:tcW w:w="824" w:type="dxa"/>
            <w:tcBorders>
              <w:top w:val="nil"/>
              <w:left w:val="single" w:sz="8" w:space="0" w:color="000000"/>
              <w:bottom w:val="single" w:sz="8" w:space="0" w:color="000000"/>
              <w:right w:val="nil"/>
            </w:tcBorders>
            <w:shd w:val="clear" w:color="auto" w:fill="F5F5F5"/>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322.518</w:t>
            </w:r>
          </w:p>
        </w:tc>
        <w:tc>
          <w:tcPr>
            <w:tcW w:w="750" w:type="dxa"/>
            <w:tcBorders>
              <w:top w:val="nil"/>
              <w:left w:val="single" w:sz="8" w:space="0" w:color="000000"/>
              <w:bottom w:val="single" w:sz="8" w:space="0" w:color="000000"/>
              <w:right w:val="nil"/>
            </w:tcBorders>
            <w:shd w:val="clear" w:color="auto" w:fill="F5F5F5"/>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snapToGrid/>
                <w:color w:val="000000"/>
                <w:kern w:val="0"/>
                <w:sz w:val="20"/>
              </w:rPr>
              <w:t xml:space="preserve"> </w:t>
            </w:r>
          </w:p>
        </w:tc>
        <w:tc>
          <w:tcPr>
            <w:tcW w:w="824" w:type="dxa"/>
            <w:tcBorders>
              <w:top w:val="nil"/>
              <w:left w:val="single" w:sz="8" w:space="0" w:color="000000"/>
              <w:bottom w:val="single" w:sz="8" w:space="0" w:color="000000"/>
              <w:right w:val="nil"/>
            </w:tcBorders>
            <w:shd w:val="clear" w:color="auto" w:fill="F5F5F5"/>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color w:val="000000"/>
                <w:kern w:val="0"/>
                <w:sz w:val="20"/>
              </w:rPr>
              <w:t>325.716</w:t>
            </w:r>
          </w:p>
        </w:tc>
        <w:tc>
          <w:tcPr>
            <w:tcW w:w="750"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C6287D" w:rsidP="00525353">
            <w:pPr>
              <w:widowControl/>
              <w:autoSpaceDE w:val="0"/>
              <w:autoSpaceDN w:val="0"/>
              <w:adjustRightInd w:val="0"/>
              <w:spacing w:before="40" w:after="40"/>
              <w:jc w:val="right"/>
              <w:rPr>
                <w:color w:val="000000"/>
                <w:kern w:val="0"/>
                <w:sz w:val="20"/>
              </w:rPr>
            </w:pPr>
            <w:r w:rsidRPr="00C6287D">
              <w:rPr>
                <w:snapToGrid/>
                <w:color w:val="000000"/>
                <w:kern w:val="0"/>
                <w:sz w:val="20"/>
              </w:rPr>
              <w:t xml:space="preserve"> </w:t>
            </w:r>
          </w:p>
        </w:tc>
      </w:tr>
    </w:tbl>
    <w:p w:rsidR="00C6287D" w:rsidRPr="00A56B17" w:rsidP="00C6287D">
      <w:pPr>
        <w:pStyle w:val="ParaNum"/>
        <w:widowControl/>
        <w:spacing w:before="120"/>
      </w:pPr>
      <w:r w:rsidRPr="00A56B17">
        <w:t>In 2016, 25 Mbps/3 Mbps satellite service was reported for the first time in the Form 477 data collection.</w:t>
      </w:r>
      <w:r>
        <w:rPr>
          <w:sz w:val="20"/>
          <w:vertAlign w:val="superscript"/>
        </w:rPr>
        <w:footnoteReference w:id="120"/>
      </w:r>
      <w:r w:rsidRPr="00A56B17">
        <w:t xml:space="preserve">  If we include satellite service in our estimate, fixed 25 Mbps/3 Mbps service is deployed to nearly every American as of December 2017.</w:t>
      </w:r>
      <w:r>
        <w:rPr>
          <w:sz w:val="20"/>
          <w:vertAlign w:val="superscript"/>
        </w:rPr>
        <w:footnoteReference w:id="121"/>
      </w:r>
    </w:p>
    <w:p w:rsidR="00C6287D" w:rsidRPr="00A56B17" w:rsidP="00C6287D">
      <w:pPr>
        <w:pStyle w:val="Heading3"/>
      </w:pPr>
      <w:bookmarkStart w:id="203" w:name="_Toc527724384"/>
      <w:bookmarkStart w:id="204" w:name="_Toc780512"/>
      <w:bookmarkStart w:id="205" w:name="_Toc529180603"/>
      <w:bookmarkStart w:id="206" w:name="_Toc530069126"/>
      <w:bookmarkStart w:id="207" w:name="_Toc530147029"/>
      <w:bookmarkStart w:id="208" w:name="_Toc530148241"/>
      <w:bookmarkStart w:id="209" w:name="_Toc970731"/>
      <w:bookmarkStart w:id="210" w:name="_Toc1469948"/>
      <w:bookmarkStart w:id="211" w:name="_Toc2676102"/>
      <w:r w:rsidRPr="00A56B17">
        <w:t>Deployment of Mobile LTE</w:t>
      </w:r>
      <w:bookmarkEnd w:id="203"/>
      <w:bookmarkEnd w:id="204"/>
      <w:bookmarkEnd w:id="205"/>
      <w:bookmarkEnd w:id="206"/>
      <w:bookmarkEnd w:id="207"/>
      <w:bookmarkEnd w:id="208"/>
      <w:bookmarkEnd w:id="209"/>
      <w:bookmarkEnd w:id="210"/>
      <w:bookmarkEnd w:id="211"/>
    </w:p>
    <w:p w:rsidR="00C6287D" w:rsidRPr="00A56B17" w:rsidP="00C6287D">
      <w:pPr>
        <w:pStyle w:val="ParaNum"/>
      </w:pPr>
      <w:r w:rsidRPr="00A56B17">
        <w:t xml:space="preserve">Figure 2a shows that as of year-end 2017, approximately </w:t>
      </w:r>
      <w:r>
        <w:t>99.8</w:t>
      </w:r>
      <w:r w:rsidRPr="00A56B17">
        <w:t>% of the American population lives in geographical areas covered by mobile LTE with a minimum advertised speed of 5 Mbps/1 Mbps,</w:t>
      </w:r>
      <w:r>
        <w:rPr>
          <w:sz w:val="20"/>
          <w:vertAlign w:val="superscript"/>
        </w:rPr>
        <w:footnoteReference w:id="122"/>
      </w:r>
      <w:r w:rsidRPr="00A56B17">
        <w:t xml:space="preserve"> while approximately 98% had such coverage in 2013.  Further, between 2013 and 2017, the percentage of Americans living in rural areas with coverage of LTE at 5 Mbps/1 Mbps increased from </w:t>
      </w:r>
      <w:r w:rsidRPr="00A56B17">
        <w:t>approximately 90% to approximately 99%.</w:t>
      </w:r>
      <w:r>
        <w:rPr>
          <w:sz w:val="20"/>
          <w:vertAlign w:val="superscript"/>
        </w:rPr>
        <w:footnoteReference w:id="123"/>
      </w:r>
      <w:r w:rsidRPr="00A56B17">
        <w:t xml:space="preserve">  The percentage of Americans living in Tribal lands with coverage of mobile LTE rose from approximately 87% in 2013, to 97% in 2017.  Figure 2b also shows some improvement since 2016 in the deployment of mobile LTE services at median speeds of 10 Mbps/3 Mbps for the United States and urban areas.  </w:t>
      </w:r>
    </w:p>
    <w:p w:rsidR="00C6287D" w:rsidRPr="00A56B17" w:rsidP="00C6287D">
      <w:pPr>
        <w:keepNext/>
        <w:spacing w:before="120"/>
        <w:jc w:val="center"/>
        <w:rPr>
          <w:b/>
          <w:color w:val="000000"/>
        </w:rPr>
      </w:pPr>
      <w:r w:rsidRPr="00FB6AB7">
        <w:rPr>
          <w:b/>
        </w:rPr>
        <w:t>Fig.</w:t>
      </w:r>
      <w:r w:rsidRPr="00820DFD">
        <w:rPr>
          <w:b/>
        </w:rPr>
        <w:t xml:space="preserve"> 2a</w:t>
      </w:r>
      <w:r w:rsidRPr="00A56B17">
        <w:rPr>
          <w:b/>
          <w:color w:val="000000"/>
        </w:rPr>
        <w:tab/>
      </w:r>
    </w:p>
    <w:p w:rsidR="00C6287D" w:rsidRPr="00A56B17" w:rsidP="00544DC6">
      <w:pPr>
        <w:keepLines/>
        <w:adjustRightInd w:val="0"/>
        <w:spacing w:before="10" w:after="120"/>
        <w:jc w:val="center"/>
        <w:rPr>
          <w:b/>
          <w:color w:val="000000"/>
        </w:rPr>
      </w:pPr>
      <w:r w:rsidRPr="00A56B17">
        <w:rPr>
          <w:b/>
          <w:color w:val="000000"/>
        </w:rPr>
        <w:t>Deployment (Millions) of Mobile LTE with a Minimum Advertised Speed of 5 Mbps/1 Mbps</w:t>
      </w:r>
    </w:p>
    <w:tbl>
      <w:tblPr>
        <w:tblW w:w="5000" w:type="pct"/>
        <w:jc w:val="center"/>
        <w:tblCellMar>
          <w:left w:w="0" w:type="dxa"/>
          <w:right w:w="0" w:type="dxa"/>
        </w:tblCellMar>
        <w:tblLook w:val="0000"/>
      </w:tblPr>
      <w:tblGrid>
        <w:gridCol w:w="1445"/>
        <w:gridCol w:w="730"/>
        <w:gridCol w:w="711"/>
        <w:gridCol w:w="737"/>
        <w:gridCol w:w="845"/>
        <w:gridCol w:w="846"/>
        <w:gridCol w:w="846"/>
        <w:gridCol w:w="846"/>
        <w:gridCol w:w="846"/>
        <w:gridCol w:w="846"/>
        <w:gridCol w:w="742"/>
      </w:tblGrid>
      <w:tr w:rsidTr="00525353">
        <w:tblPrEx>
          <w:tblW w:w="5000" w:type="pct"/>
          <w:jc w:val="center"/>
          <w:tblCellMar>
            <w:left w:w="0" w:type="dxa"/>
            <w:right w:w="0" w:type="dxa"/>
          </w:tblCellMar>
          <w:tblLook w:val="0000"/>
        </w:tblPrEx>
        <w:trPr>
          <w:cantSplit/>
          <w:tblHeader/>
          <w:jc w:val="center"/>
        </w:trPr>
        <w:tc>
          <w:tcPr>
            <w:tcW w:w="766" w:type="pct"/>
            <w:vMerge w:val="restart"/>
            <w:tcBorders>
              <w:top w:val="single" w:sz="4" w:space="0" w:color="auto"/>
              <w:left w:val="single" w:sz="4" w:space="0" w:color="auto"/>
              <w:bottom w:val="single" w:sz="4" w:space="0" w:color="auto"/>
              <w:right w:val="single" w:sz="4" w:space="0" w:color="auto"/>
            </w:tcBorders>
            <w:shd w:val="clear" w:color="auto" w:fill="90B0D9"/>
            <w:tcMar>
              <w:left w:w="40" w:type="dxa"/>
              <w:right w:w="40" w:type="dxa"/>
            </w:tcMar>
            <w:vAlign w:val="bottom"/>
          </w:tcPr>
          <w:p w:rsidR="00C6287D" w:rsidRPr="005B36BB" w:rsidP="00525353">
            <w:pPr>
              <w:keepNext/>
              <w:keepLines/>
              <w:autoSpaceDE w:val="0"/>
              <w:autoSpaceDN w:val="0"/>
              <w:adjustRightInd w:val="0"/>
              <w:spacing w:before="40" w:after="120"/>
              <w:rPr>
                <w:b/>
                <w:bCs/>
                <w:color w:val="000000"/>
                <w:sz w:val="20"/>
              </w:rPr>
            </w:pPr>
            <w:bookmarkStart w:id="212" w:name="_Hlk869863"/>
          </w:p>
        </w:tc>
        <w:tc>
          <w:tcPr>
            <w:tcW w:w="762" w:type="pct"/>
            <w:gridSpan w:val="2"/>
            <w:tcBorders>
              <w:top w:val="single" w:sz="8" w:space="0" w:color="000000"/>
              <w:left w:val="single" w:sz="4" w:space="0" w:color="auto"/>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2013</w:t>
            </w:r>
          </w:p>
        </w:tc>
        <w:tc>
          <w:tcPr>
            <w:tcW w:w="839"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2014</w:t>
            </w:r>
          </w:p>
        </w:tc>
        <w:tc>
          <w:tcPr>
            <w:tcW w:w="896"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2015</w:t>
            </w:r>
          </w:p>
        </w:tc>
        <w:tc>
          <w:tcPr>
            <w:tcW w:w="896"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2016</w:t>
            </w:r>
          </w:p>
        </w:tc>
        <w:tc>
          <w:tcPr>
            <w:tcW w:w="841"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2017</w:t>
            </w:r>
          </w:p>
        </w:tc>
      </w:tr>
      <w:tr w:rsidTr="00525353">
        <w:tblPrEx>
          <w:tblW w:w="5000" w:type="pct"/>
          <w:jc w:val="center"/>
          <w:tblCellMar>
            <w:left w:w="0" w:type="dxa"/>
            <w:right w:w="0" w:type="dxa"/>
          </w:tblCellMar>
          <w:tblLook w:val="0000"/>
        </w:tblPrEx>
        <w:trPr>
          <w:cantSplit/>
          <w:tblHeader/>
          <w:jc w:val="center"/>
        </w:trPr>
        <w:tc>
          <w:tcPr>
            <w:tcW w:w="766" w:type="pct"/>
            <w:vMerge/>
            <w:tcBorders>
              <w:left w:val="single" w:sz="4" w:space="0" w:color="auto"/>
              <w:bottom w:val="single" w:sz="4" w:space="0" w:color="auto"/>
              <w:right w:val="single" w:sz="4" w:space="0" w:color="auto"/>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p>
        </w:tc>
        <w:tc>
          <w:tcPr>
            <w:tcW w:w="385" w:type="pct"/>
            <w:tcBorders>
              <w:top w:val="nil"/>
              <w:left w:val="single" w:sz="4" w:space="0" w:color="auto"/>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Pop.</w:t>
            </w:r>
          </w:p>
        </w:tc>
        <w:tc>
          <w:tcPr>
            <w:tcW w:w="377"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w:t>
            </w:r>
          </w:p>
        </w:tc>
        <w:tc>
          <w:tcPr>
            <w:tcW w:w="391"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Pop.</w:t>
            </w:r>
          </w:p>
        </w:tc>
        <w:tc>
          <w:tcPr>
            <w:tcW w:w="448"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w:t>
            </w:r>
          </w:p>
        </w:tc>
        <w:tc>
          <w:tcPr>
            <w:tcW w:w="448"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Pop.</w:t>
            </w:r>
          </w:p>
        </w:tc>
        <w:tc>
          <w:tcPr>
            <w:tcW w:w="448"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w:t>
            </w:r>
          </w:p>
        </w:tc>
        <w:tc>
          <w:tcPr>
            <w:tcW w:w="448"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Pop.</w:t>
            </w:r>
          </w:p>
        </w:tc>
        <w:tc>
          <w:tcPr>
            <w:tcW w:w="448"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w:t>
            </w:r>
          </w:p>
        </w:tc>
        <w:tc>
          <w:tcPr>
            <w:tcW w:w="448"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Pop.</w:t>
            </w:r>
          </w:p>
        </w:tc>
        <w:tc>
          <w:tcPr>
            <w:tcW w:w="393" w:type="pct"/>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w:t>
            </w:r>
          </w:p>
        </w:tc>
      </w:tr>
      <w:tr w:rsidTr="00525353">
        <w:tblPrEx>
          <w:tblW w:w="5000" w:type="pct"/>
          <w:jc w:val="center"/>
          <w:tblCellMar>
            <w:left w:w="0" w:type="dxa"/>
            <w:right w:w="0" w:type="dxa"/>
          </w:tblCellMar>
          <w:tblLook w:val="0000"/>
        </w:tblPrEx>
        <w:trPr>
          <w:cantSplit/>
          <w:trHeight w:hRule="exact" w:val="398"/>
          <w:jc w:val="center"/>
        </w:trPr>
        <w:tc>
          <w:tcPr>
            <w:tcW w:w="766" w:type="pct"/>
            <w:tcBorders>
              <w:top w:val="single" w:sz="4" w:space="0" w:color="auto"/>
              <w:left w:val="single" w:sz="8" w:space="0" w:color="000000"/>
              <w:bottom w:val="single" w:sz="8" w:space="0" w:color="000000"/>
              <w:right w:val="nil"/>
            </w:tcBorders>
            <w:shd w:val="clear" w:color="auto" w:fill="90B0D9"/>
            <w:tcMar>
              <w:left w:w="40" w:type="dxa"/>
              <w:right w:w="40" w:type="dxa"/>
            </w:tcMar>
          </w:tcPr>
          <w:p w:rsidR="00C6287D" w:rsidRPr="005B36BB" w:rsidP="00525353">
            <w:pPr>
              <w:keepNext/>
              <w:keepLines/>
              <w:adjustRightInd w:val="0"/>
              <w:spacing w:before="40" w:after="120"/>
              <w:rPr>
                <w:b/>
                <w:bCs/>
                <w:color w:val="000000"/>
                <w:sz w:val="20"/>
              </w:rPr>
            </w:pPr>
            <w:r w:rsidRPr="005B36BB">
              <w:rPr>
                <w:b/>
                <w:bCs/>
                <w:color w:val="000000"/>
                <w:sz w:val="20"/>
              </w:rPr>
              <w:t>United States</w:t>
            </w:r>
          </w:p>
        </w:tc>
        <w:tc>
          <w:tcPr>
            <w:tcW w:w="385"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308.527</w:t>
            </w:r>
          </w:p>
        </w:tc>
        <w:tc>
          <w:tcPr>
            <w:tcW w:w="377"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97.8%</w:t>
            </w:r>
          </w:p>
        </w:tc>
        <w:tc>
          <w:tcPr>
            <w:tcW w:w="391"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315.506</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99.2%</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318.923</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99.6%</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321.347</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99.6%</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325.117</w:t>
            </w:r>
          </w:p>
        </w:tc>
        <w:tc>
          <w:tcPr>
            <w:tcW w:w="39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99.8%</w:t>
            </w:r>
          </w:p>
        </w:tc>
      </w:tr>
      <w:tr w:rsidTr="00525353">
        <w:tblPrEx>
          <w:tblW w:w="5000" w:type="pct"/>
          <w:jc w:val="center"/>
          <w:tblCellMar>
            <w:left w:w="0" w:type="dxa"/>
            <w:right w:w="0" w:type="dxa"/>
          </w:tblCellMar>
          <w:tblLook w:val="0000"/>
        </w:tblPrEx>
        <w:trPr>
          <w:cantSplit/>
          <w:trHeight w:hRule="exact" w:val="362"/>
          <w:jc w:val="center"/>
        </w:trPr>
        <w:tc>
          <w:tcPr>
            <w:tcW w:w="766"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keepNext/>
              <w:keepLines/>
              <w:adjustRightInd w:val="0"/>
              <w:spacing w:before="40" w:after="120"/>
              <w:ind w:left="144"/>
              <w:rPr>
                <w:b/>
                <w:bCs/>
                <w:color w:val="000000"/>
                <w:sz w:val="20"/>
              </w:rPr>
            </w:pPr>
            <w:r w:rsidRPr="005B36BB">
              <w:rPr>
                <w:b/>
                <w:bCs/>
                <w:color w:val="000000"/>
                <w:sz w:val="20"/>
              </w:rPr>
              <w:t>Rural Areas</w:t>
            </w:r>
          </w:p>
        </w:tc>
        <w:tc>
          <w:tcPr>
            <w:tcW w:w="385"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55.044</w:t>
            </w:r>
          </w:p>
        </w:tc>
        <w:tc>
          <w:tcPr>
            <w:tcW w:w="377"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90.2%</w:t>
            </w:r>
          </w:p>
        </w:tc>
        <w:tc>
          <w:tcPr>
            <w:tcW w:w="391"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59.463</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96.5%</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60.969</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97.9%</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61.802</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98.2%</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63.204</w:t>
            </w:r>
          </w:p>
        </w:tc>
        <w:tc>
          <w:tcPr>
            <w:tcW w:w="39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99.1%</w:t>
            </w:r>
          </w:p>
        </w:tc>
      </w:tr>
      <w:tr w:rsidTr="00525353">
        <w:tblPrEx>
          <w:tblW w:w="5000" w:type="pct"/>
          <w:jc w:val="center"/>
          <w:tblCellMar>
            <w:left w:w="0" w:type="dxa"/>
            <w:right w:w="0" w:type="dxa"/>
          </w:tblCellMar>
          <w:tblLook w:val="0000"/>
        </w:tblPrEx>
        <w:trPr>
          <w:cantSplit/>
          <w:trHeight w:hRule="exact" w:val="452"/>
          <w:jc w:val="center"/>
        </w:trPr>
        <w:tc>
          <w:tcPr>
            <w:tcW w:w="766"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keepNext/>
              <w:keepLines/>
              <w:adjustRightInd w:val="0"/>
              <w:spacing w:before="40" w:after="120"/>
              <w:ind w:left="144"/>
              <w:rPr>
                <w:b/>
                <w:bCs/>
                <w:color w:val="000000"/>
                <w:sz w:val="20"/>
              </w:rPr>
            </w:pPr>
            <w:r w:rsidRPr="005B36BB">
              <w:rPr>
                <w:b/>
                <w:bCs/>
                <w:color w:val="000000"/>
                <w:sz w:val="20"/>
              </w:rPr>
              <w:t>Urban Areas</w:t>
            </w:r>
          </w:p>
        </w:tc>
        <w:tc>
          <w:tcPr>
            <w:tcW w:w="385"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253.483</w:t>
            </w:r>
          </w:p>
        </w:tc>
        <w:tc>
          <w:tcPr>
            <w:tcW w:w="377"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99.6%</w:t>
            </w:r>
          </w:p>
        </w:tc>
        <w:tc>
          <w:tcPr>
            <w:tcW w:w="391"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256.043</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99.9%</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257.954</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100.0%</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259.545</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100.0%</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261.912</w:t>
            </w:r>
          </w:p>
        </w:tc>
        <w:tc>
          <w:tcPr>
            <w:tcW w:w="39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100.0%</w:t>
            </w:r>
          </w:p>
        </w:tc>
      </w:tr>
      <w:tr w:rsidTr="00525353">
        <w:tblPrEx>
          <w:tblW w:w="5000" w:type="pct"/>
          <w:jc w:val="center"/>
          <w:tblCellMar>
            <w:left w:w="0" w:type="dxa"/>
            <w:right w:w="0" w:type="dxa"/>
          </w:tblCellMar>
          <w:tblLook w:val="0000"/>
        </w:tblPrEx>
        <w:trPr>
          <w:cantSplit/>
          <w:trHeight w:hRule="exact" w:val="353"/>
          <w:jc w:val="center"/>
        </w:trPr>
        <w:tc>
          <w:tcPr>
            <w:tcW w:w="766"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keepNext/>
              <w:keepLines/>
              <w:adjustRightInd w:val="0"/>
              <w:spacing w:before="40" w:after="120"/>
              <w:ind w:left="144"/>
              <w:rPr>
                <w:b/>
                <w:bCs/>
                <w:color w:val="000000"/>
                <w:sz w:val="20"/>
              </w:rPr>
            </w:pPr>
            <w:r w:rsidRPr="005B36BB">
              <w:rPr>
                <w:b/>
                <w:bCs/>
                <w:color w:val="000000"/>
                <w:sz w:val="20"/>
              </w:rPr>
              <w:t>Tribal Lands</w:t>
            </w:r>
          </w:p>
        </w:tc>
        <w:tc>
          <w:tcPr>
            <w:tcW w:w="385"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3.386</w:t>
            </w:r>
          </w:p>
        </w:tc>
        <w:tc>
          <w:tcPr>
            <w:tcW w:w="377"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86.7%</w:t>
            </w:r>
          </w:p>
        </w:tc>
        <w:tc>
          <w:tcPr>
            <w:tcW w:w="391"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3.626</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92.2%</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3.722</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93.9%</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3.788</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94.9%</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3.896</w:t>
            </w:r>
          </w:p>
        </w:tc>
        <w:tc>
          <w:tcPr>
            <w:tcW w:w="39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97.0%</w:t>
            </w:r>
          </w:p>
        </w:tc>
      </w:tr>
      <w:tr w:rsidTr="00544DC6">
        <w:tblPrEx>
          <w:tblW w:w="5000" w:type="pct"/>
          <w:jc w:val="center"/>
          <w:tblCellMar>
            <w:left w:w="0" w:type="dxa"/>
            <w:right w:w="0" w:type="dxa"/>
          </w:tblCellMar>
          <w:tblLook w:val="0000"/>
        </w:tblPrEx>
        <w:trPr>
          <w:trHeight w:hRule="exact" w:val="443"/>
          <w:jc w:val="center"/>
        </w:trPr>
        <w:tc>
          <w:tcPr>
            <w:tcW w:w="766"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keepNext/>
              <w:keepLines/>
              <w:adjustRightInd w:val="0"/>
              <w:spacing w:before="40" w:after="120"/>
              <w:rPr>
                <w:b/>
                <w:bCs/>
                <w:color w:val="000000"/>
                <w:sz w:val="20"/>
              </w:rPr>
            </w:pPr>
            <w:r w:rsidRPr="005B36BB">
              <w:rPr>
                <w:b/>
                <w:bCs/>
                <w:color w:val="000000"/>
                <w:sz w:val="20"/>
              </w:rPr>
              <w:t>Pop. Evaluated</w:t>
            </w:r>
          </w:p>
        </w:tc>
        <w:tc>
          <w:tcPr>
            <w:tcW w:w="385"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315.596</w:t>
            </w:r>
          </w:p>
        </w:tc>
        <w:tc>
          <w:tcPr>
            <w:tcW w:w="377"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keepLines/>
              <w:adjustRightInd w:val="0"/>
              <w:spacing w:before="40" w:after="120"/>
              <w:jc w:val="right"/>
              <w:rPr>
                <w:color w:val="000000"/>
                <w:sz w:val="20"/>
              </w:rPr>
            </w:pPr>
          </w:p>
        </w:tc>
        <w:tc>
          <w:tcPr>
            <w:tcW w:w="391"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317.954</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keepLines/>
              <w:adjustRightInd w:val="0"/>
              <w:spacing w:before="40" w:after="120"/>
              <w:jc w:val="right"/>
              <w:rPr>
                <w:color w:val="000000"/>
                <w:sz w:val="20"/>
              </w:rPr>
            </w:pP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320.289</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keepLines/>
              <w:adjustRightInd w:val="0"/>
              <w:spacing w:before="40" w:after="120"/>
              <w:jc w:val="right"/>
              <w:rPr>
                <w:color w:val="000000"/>
                <w:sz w:val="20"/>
              </w:rPr>
            </w:pP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322.518</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keepLines/>
              <w:adjustRightInd w:val="0"/>
              <w:spacing w:before="40" w:after="120"/>
              <w:jc w:val="right"/>
              <w:rPr>
                <w:color w:val="000000"/>
                <w:sz w:val="20"/>
              </w:rPr>
            </w:pP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keepLines/>
              <w:adjustRightInd w:val="0"/>
              <w:spacing w:before="40" w:after="120"/>
              <w:jc w:val="right"/>
              <w:rPr>
                <w:color w:val="000000"/>
                <w:sz w:val="20"/>
              </w:rPr>
            </w:pPr>
            <w:r w:rsidRPr="005B36BB">
              <w:rPr>
                <w:color w:val="000000"/>
                <w:sz w:val="20"/>
              </w:rPr>
              <w:t>325.716</w:t>
            </w:r>
          </w:p>
        </w:tc>
        <w:tc>
          <w:tcPr>
            <w:tcW w:w="39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5B36BB" w:rsidP="00525353">
            <w:pPr>
              <w:keepNext/>
              <w:keepLines/>
              <w:adjustRightInd w:val="0"/>
              <w:spacing w:before="40" w:after="120"/>
              <w:jc w:val="right"/>
              <w:rPr>
                <w:color w:val="000000"/>
                <w:sz w:val="20"/>
              </w:rPr>
            </w:pPr>
          </w:p>
        </w:tc>
      </w:tr>
    </w:tbl>
    <w:bookmarkEnd w:id="212"/>
    <w:p w:rsidR="00C6287D" w:rsidRPr="00A56B17" w:rsidP="003D74E4">
      <w:pPr>
        <w:spacing w:before="120"/>
        <w:jc w:val="center"/>
        <w:rPr>
          <w:b/>
        </w:rPr>
      </w:pPr>
      <w:r w:rsidRPr="00A56B17">
        <w:rPr>
          <w:b/>
        </w:rPr>
        <w:t>Fig. 2b</w:t>
      </w:r>
    </w:p>
    <w:p w:rsidR="00C6287D" w:rsidRPr="00A56B17" w:rsidP="00544DC6">
      <w:pPr>
        <w:widowControl/>
        <w:spacing w:after="120"/>
        <w:jc w:val="center"/>
        <w:rPr>
          <w:b/>
        </w:rPr>
      </w:pPr>
      <w:r w:rsidRPr="00A56B17">
        <w:rPr>
          <w:b/>
        </w:rPr>
        <w:t>Deployment (Millions) of Mobile LTE with a Median Speed of 10 Mbps/3 Mbps</w:t>
      </w:r>
      <w:r>
        <w:rPr>
          <w:vertAlign w:val="superscript"/>
        </w:rPr>
        <w:footnoteReference w:id="124"/>
      </w:r>
      <w:r w:rsidRPr="00A56B17">
        <w:t xml:space="preserve"> </w:t>
      </w:r>
      <w:r w:rsidRPr="00A56B17">
        <w:rPr>
          <w:b/>
        </w:rPr>
        <w:t xml:space="preserve"> </w:t>
      </w:r>
    </w:p>
    <w:tbl>
      <w:tblPr>
        <w:tblW w:w="5000" w:type="pct"/>
        <w:jc w:val="center"/>
        <w:tblCellMar>
          <w:left w:w="0" w:type="dxa"/>
          <w:right w:w="0" w:type="dxa"/>
        </w:tblCellMar>
        <w:tblLook w:val="0000"/>
      </w:tblPr>
      <w:tblGrid>
        <w:gridCol w:w="1479"/>
        <w:gridCol w:w="1350"/>
        <w:gridCol w:w="1080"/>
        <w:gridCol w:w="1004"/>
        <w:gridCol w:w="855"/>
        <w:gridCol w:w="738"/>
        <w:gridCol w:w="933"/>
        <w:gridCol w:w="946"/>
        <w:gridCol w:w="1055"/>
      </w:tblGrid>
      <w:tr w:rsidTr="00525353">
        <w:tblPrEx>
          <w:tblW w:w="5000" w:type="pct"/>
          <w:jc w:val="center"/>
          <w:tblCellMar>
            <w:left w:w="0" w:type="dxa"/>
            <w:right w:w="0" w:type="dxa"/>
          </w:tblCellMar>
          <w:tblLook w:val="0000"/>
        </w:tblPrEx>
        <w:trPr>
          <w:cantSplit/>
          <w:tblHeader/>
          <w:jc w:val="center"/>
        </w:trPr>
        <w:tc>
          <w:tcPr>
            <w:tcW w:w="783" w:type="pct"/>
            <w:vMerge w:val="restart"/>
            <w:tcBorders>
              <w:top w:val="single" w:sz="4" w:space="0" w:color="auto"/>
              <w:left w:val="single" w:sz="4" w:space="0" w:color="auto"/>
              <w:bottom w:val="single" w:sz="4" w:space="0" w:color="auto"/>
              <w:right w:val="single" w:sz="4" w:space="0" w:color="auto"/>
            </w:tcBorders>
            <w:shd w:val="clear" w:color="auto" w:fill="90B0D9"/>
            <w:tcMar>
              <w:left w:w="40" w:type="dxa"/>
              <w:right w:w="40" w:type="dxa"/>
            </w:tcMar>
            <w:vAlign w:val="bottom"/>
          </w:tcPr>
          <w:p w:rsidR="00C6287D" w:rsidRPr="005B36BB" w:rsidP="00525353">
            <w:pPr>
              <w:autoSpaceDE w:val="0"/>
              <w:autoSpaceDN w:val="0"/>
              <w:adjustRightInd w:val="0"/>
              <w:spacing w:before="40" w:after="120"/>
              <w:rPr>
                <w:b/>
                <w:bCs/>
                <w:color w:val="000000"/>
                <w:sz w:val="20"/>
              </w:rPr>
            </w:pPr>
          </w:p>
        </w:tc>
        <w:tc>
          <w:tcPr>
            <w:tcW w:w="1287" w:type="pct"/>
            <w:gridSpan w:val="2"/>
            <w:tcBorders>
              <w:top w:val="single" w:sz="8" w:space="0" w:color="000000"/>
              <w:left w:val="single" w:sz="4" w:space="0" w:color="auto"/>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2014</w:t>
            </w:r>
          </w:p>
        </w:tc>
        <w:tc>
          <w:tcPr>
            <w:tcW w:w="985"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2015</w:t>
            </w:r>
          </w:p>
        </w:tc>
        <w:tc>
          <w:tcPr>
            <w:tcW w:w="885"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2016</w:t>
            </w:r>
          </w:p>
        </w:tc>
        <w:tc>
          <w:tcPr>
            <w:tcW w:w="1060"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2017</w:t>
            </w:r>
          </w:p>
        </w:tc>
      </w:tr>
      <w:tr w:rsidTr="00525353">
        <w:tblPrEx>
          <w:tblW w:w="5000" w:type="pct"/>
          <w:jc w:val="center"/>
          <w:tblCellMar>
            <w:left w:w="0" w:type="dxa"/>
            <w:right w:w="0" w:type="dxa"/>
          </w:tblCellMar>
          <w:tblLook w:val="0000"/>
        </w:tblPrEx>
        <w:trPr>
          <w:cantSplit/>
          <w:tblHeader/>
          <w:jc w:val="center"/>
        </w:trPr>
        <w:tc>
          <w:tcPr>
            <w:tcW w:w="783" w:type="pct"/>
            <w:vMerge/>
            <w:tcBorders>
              <w:left w:val="single" w:sz="4" w:space="0" w:color="auto"/>
              <w:bottom w:val="single" w:sz="4" w:space="0" w:color="auto"/>
              <w:right w:val="single" w:sz="4" w:space="0" w:color="auto"/>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p>
        </w:tc>
        <w:tc>
          <w:tcPr>
            <w:tcW w:w="715" w:type="pct"/>
            <w:tcBorders>
              <w:top w:val="nil"/>
              <w:left w:val="single" w:sz="4" w:space="0" w:color="auto"/>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572"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c>
          <w:tcPr>
            <w:tcW w:w="532"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453"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c>
          <w:tcPr>
            <w:tcW w:w="391"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494"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c>
          <w:tcPr>
            <w:tcW w:w="501"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559" w:type="pct"/>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r>
      <w:tr w:rsidTr="00525353">
        <w:tblPrEx>
          <w:tblW w:w="5000" w:type="pct"/>
          <w:jc w:val="center"/>
          <w:tblCellMar>
            <w:left w:w="0" w:type="dxa"/>
            <w:right w:w="0" w:type="dxa"/>
          </w:tblCellMar>
          <w:tblLook w:val="0000"/>
        </w:tblPrEx>
        <w:trPr>
          <w:cantSplit/>
          <w:trHeight w:hRule="exact" w:val="382"/>
          <w:jc w:val="center"/>
        </w:trPr>
        <w:tc>
          <w:tcPr>
            <w:tcW w:w="783" w:type="pct"/>
            <w:tcBorders>
              <w:top w:val="single" w:sz="4" w:space="0" w:color="auto"/>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United States</w:t>
            </w:r>
          </w:p>
        </w:tc>
        <w:tc>
          <w:tcPr>
            <w:tcW w:w="715"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237.210</w:t>
            </w:r>
          </w:p>
        </w:tc>
        <w:tc>
          <w:tcPr>
            <w:tcW w:w="572"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80.1%</w:t>
            </w:r>
          </w:p>
        </w:tc>
        <w:tc>
          <w:tcPr>
            <w:tcW w:w="532"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245.843</w:t>
            </w:r>
          </w:p>
        </w:tc>
        <w:tc>
          <w:tcPr>
            <w:tcW w:w="453"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82.5%</w:t>
            </w:r>
          </w:p>
        </w:tc>
        <w:tc>
          <w:tcPr>
            <w:tcW w:w="391"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261.898</w:t>
            </w:r>
          </w:p>
        </w:tc>
        <w:tc>
          <w:tcPr>
            <w:tcW w:w="494"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87.3%</w:t>
            </w:r>
          </w:p>
        </w:tc>
        <w:tc>
          <w:tcPr>
            <w:tcW w:w="501"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269.494</w:t>
            </w:r>
          </w:p>
        </w:tc>
        <w:tc>
          <w:tcPr>
            <w:tcW w:w="559"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89.0%</w:t>
            </w:r>
          </w:p>
        </w:tc>
      </w:tr>
      <w:tr w:rsidTr="00525353">
        <w:tblPrEx>
          <w:tblW w:w="5000" w:type="pct"/>
          <w:jc w:val="center"/>
          <w:tblCellMar>
            <w:left w:w="0" w:type="dxa"/>
            <w:right w:w="0" w:type="dxa"/>
          </w:tblCellMar>
          <w:tblLook w:val="0000"/>
        </w:tblPrEx>
        <w:trPr>
          <w:cantSplit/>
          <w:trHeight w:hRule="exact" w:val="382"/>
          <w:jc w:val="center"/>
        </w:trPr>
        <w:tc>
          <w:tcPr>
            <w:tcW w:w="783"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Rural Areas</w:t>
            </w:r>
          </w:p>
        </w:tc>
        <w:tc>
          <w:tcPr>
            <w:tcW w:w="715"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32.638</w:t>
            </w:r>
          </w:p>
        </w:tc>
        <w:tc>
          <w:tcPr>
            <w:tcW w:w="572"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70.3%</w:t>
            </w:r>
          </w:p>
        </w:tc>
        <w:tc>
          <w:tcPr>
            <w:tcW w:w="532"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32.193</w:t>
            </w:r>
          </w:p>
        </w:tc>
        <w:tc>
          <w:tcPr>
            <w:tcW w:w="453"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69.3%</w:t>
            </w:r>
          </w:p>
        </w:tc>
        <w:tc>
          <w:tcPr>
            <w:tcW w:w="391"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32.962</w:t>
            </w:r>
          </w:p>
        </w:tc>
        <w:tc>
          <w:tcPr>
            <w:tcW w:w="494"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70.1%</w:t>
            </w:r>
          </w:p>
        </w:tc>
        <w:tc>
          <w:tcPr>
            <w:tcW w:w="501"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32.966</w:t>
            </w:r>
          </w:p>
        </w:tc>
        <w:tc>
          <w:tcPr>
            <w:tcW w:w="55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69.3%</w:t>
            </w:r>
          </w:p>
        </w:tc>
      </w:tr>
      <w:tr w:rsidTr="00525353">
        <w:tblPrEx>
          <w:tblW w:w="5000" w:type="pct"/>
          <w:jc w:val="center"/>
          <w:tblCellMar>
            <w:left w:w="0" w:type="dxa"/>
            <w:right w:w="0" w:type="dxa"/>
          </w:tblCellMar>
          <w:tblLook w:val="0000"/>
        </w:tblPrEx>
        <w:trPr>
          <w:cantSplit/>
          <w:trHeight w:hRule="exact" w:val="382"/>
          <w:jc w:val="center"/>
        </w:trPr>
        <w:tc>
          <w:tcPr>
            <w:tcW w:w="783"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Urban Areas</w:t>
            </w:r>
          </w:p>
        </w:tc>
        <w:tc>
          <w:tcPr>
            <w:tcW w:w="715"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204.573</w:t>
            </w:r>
          </w:p>
        </w:tc>
        <w:tc>
          <w:tcPr>
            <w:tcW w:w="572"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81.9%</w:t>
            </w:r>
          </w:p>
        </w:tc>
        <w:tc>
          <w:tcPr>
            <w:tcW w:w="532"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213.650</w:t>
            </w:r>
          </w:p>
        </w:tc>
        <w:tc>
          <w:tcPr>
            <w:tcW w:w="453"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85.0%</w:t>
            </w:r>
          </w:p>
        </w:tc>
        <w:tc>
          <w:tcPr>
            <w:tcW w:w="391"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228.936</w:t>
            </w:r>
          </w:p>
        </w:tc>
        <w:tc>
          <w:tcPr>
            <w:tcW w:w="494"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90.5%</w:t>
            </w:r>
          </w:p>
        </w:tc>
        <w:tc>
          <w:tcPr>
            <w:tcW w:w="501" w:type="pct"/>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236.528</w:t>
            </w:r>
          </w:p>
        </w:tc>
        <w:tc>
          <w:tcPr>
            <w:tcW w:w="55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92.6%</w:t>
            </w:r>
          </w:p>
        </w:tc>
      </w:tr>
      <w:tr w:rsidTr="00525353">
        <w:tblPrEx>
          <w:tblW w:w="5000" w:type="pct"/>
          <w:jc w:val="center"/>
          <w:tblCellMar>
            <w:left w:w="0" w:type="dxa"/>
            <w:right w:w="0" w:type="dxa"/>
          </w:tblCellMar>
          <w:tblLook w:val="0000"/>
        </w:tblPrEx>
        <w:trPr>
          <w:cantSplit/>
          <w:trHeight w:hRule="exact" w:val="382"/>
          <w:jc w:val="center"/>
        </w:trPr>
        <w:tc>
          <w:tcPr>
            <w:tcW w:w="783" w:type="pct"/>
            <w:tcBorders>
              <w:top w:val="nil"/>
              <w:left w:val="single" w:sz="8" w:space="0" w:color="000000"/>
              <w:bottom w:val="single" w:sz="4"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Pop. Evaluated</w:t>
            </w:r>
          </w:p>
        </w:tc>
        <w:tc>
          <w:tcPr>
            <w:tcW w:w="715" w:type="pct"/>
            <w:tcBorders>
              <w:top w:val="nil"/>
              <w:left w:val="single" w:sz="8" w:space="0" w:color="000000"/>
              <w:bottom w:val="single" w:sz="4"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296.204</w:t>
            </w:r>
          </w:p>
        </w:tc>
        <w:tc>
          <w:tcPr>
            <w:tcW w:w="572" w:type="pct"/>
            <w:tcBorders>
              <w:top w:val="nil"/>
              <w:left w:val="single" w:sz="8" w:space="0" w:color="000000"/>
              <w:bottom w:val="single" w:sz="4"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93.2%</w:t>
            </w:r>
          </w:p>
        </w:tc>
        <w:tc>
          <w:tcPr>
            <w:tcW w:w="532" w:type="pct"/>
            <w:tcBorders>
              <w:top w:val="nil"/>
              <w:left w:val="single" w:sz="8" w:space="0" w:color="000000"/>
              <w:bottom w:val="single" w:sz="4"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297.899</w:t>
            </w:r>
          </w:p>
        </w:tc>
        <w:tc>
          <w:tcPr>
            <w:tcW w:w="453" w:type="pct"/>
            <w:tcBorders>
              <w:top w:val="nil"/>
              <w:left w:val="single" w:sz="8" w:space="0" w:color="000000"/>
              <w:bottom w:val="single" w:sz="4"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93.0%</w:t>
            </w:r>
          </w:p>
        </w:tc>
        <w:tc>
          <w:tcPr>
            <w:tcW w:w="391" w:type="pct"/>
            <w:tcBorders>
              <w:top w:val="nil"/>
              <w:left w:val="single" w:sz="8" w:space="0" w:color="000000"/>
              <w:bottom w:val="single" w:sz="4"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300.036</w:t>
            </w:r>
          </w:p>
        </w:tc>
        <w:tc>
          <w:tcPr>
            <w:tcW w:w="494" w:type="pct"/>
            <w:tcBorders>
              <w:top w:val="nil"/>
              <w:left w:val="single" w:sz="8" w:space="0" w:color="000000"/>
              <w:bottom w:val="single" w:sz="4"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93.0%</w:t>
            </w:r>
          </w:p>
        </w:tc>
        <w:tc>
          <w:tcPr>
            <w:tcW w:w="501" w:type="pct"/>
            <w:tcBorders>
              <w:top w:val="nil"/>
              <w:left w:val="single" w:sz="8" w:space="0" w:color="000000"/>
              <w:bottom w:val="single" w:sz="4"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302.940</w:t>
            </w:r>
          </w:p>
        </w:tc>
        <w:tc>
          <w:tcPr>
            <w:tcW w:w="559" w:type="pct"/>
            <w:tcBorders>
              <w:top w:val="nil"/>
              <w:left w:val="single" w:sz="8" w:space="0" w:color="000000"/>
              <w:bottom w:val="single" w:sz="4" w:space="0" w:color="000000"/>
              <w:right w:val="single" w:sz="8" w:space="0" w:color="000000"/>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93.0%</w:t>
            </w:r>
          </w:p>
        </w:tc>
      </w:tr>
    </w:tbl>
    <w:p w:rsidR="00C6287D" w:rsidRPr="00A56B17" w:rsidP="00C6287D">
      <w:pPr>
        <w:pStyle w:val="Heading3"/>
        <w:spacing w:before="120"/>
      </w:pPr>
      <w:bookmarkStart w:id="213" w:name="_Toc970732"/>
      <w:bookmarkStart w:id="214" w:name="_Toc527724385"/>
      <w:bookmarkStart w:id="215" w:name="_Toc780513"/>
      <w:bookmarkStart w:id="216" w:name="_Toc529180604"/>
      <w:bookmarkStart w:id="217" w:name="_Toc530069127"/>
      <w:bookmarkStart w:id="218" w:name="_Toc530147030"/>
      <w:bookmarkStart w:id="219" w:name="_Toc530148242"/>
      <w:bookmarkStart w:id="220" w:name="_Toc970733"/>
      <w:bookmarkStart w:id="221" w:name="_Toc1469949"/>
      <w:bookmarkStart w:id="222" w:name="_Toc2676103"/>
      <w:bookmarkEnd w:id="213"/>
      <w:r w:rsidRPr="00A56B17">
        <w:t>Deployment of Fixed Services and Mobile LTE</w:t>
      </w:r>
      <w:bookmarkEnd w:id="214"/>
      <w:bookmarkEnd w:id="215"/>
      <w:bookmarkEnd w:id="216"/>
      <w:bookmarkEnd w:id="217"/>
      <w:bookmarkEnd w:id="218"/>
      <w:bookmarkEnd w:id="219"/>
      <w:bookmarkEnd w:id="220"/>
      <w:bookmarkEnd w:id="221"/>
      <w:bookmarkEnd w:id="222"/>
    </w:p>
    <w:p w:rsidR="00C6287D" w:rsidRPr="00A56B17" w:rsidP="003D74E4">
      <w:pPr>
        <w:pStyle w:val="ParaNum"/>
        <w:widowControl/>
        <w:rPr>
          <w:color w:val="000000"/>
        </w:rPr>
      </w:pPr>
      <w:r w:rsidRPr="00A56B17">
        <w:t xml:space="preserve">Figure 3a shows deployment across all geographic areas for both fixed terrestrial 25 Mbps/3 Mbps services </w:t>
      </w:r>
      <w:r w:rsidRPr="00A56B17">
        <w:rPr>
          <w:i/>
        </w:rPr>
        <w:t>and</w:t>
      </w:r>
      <w:r w:rsidRPr="00A56B17">
        <w:t xml:space="preserve"> 5 Mbps/1 Mbps mobile LTE.</w:t>
      </w:r>
      <w:r>
        <w:rPr>
          <w:sz w:val="20"/>
          <w:vertAlign w:val="superscript"/>
        </w:rPr>
        <w:footnoteReference w:id="125"/>
      </w:r>
      <w:r w:rsidRPr="00A56B17">
        <w:t xml:space="preserve">  Overall, as of year-end 2017, approximately </w:t>
      </w:r>
      <w:r w:rsidRPr="00A56B17">
        <w:t>30</w:t>
      </w:r>
      <w:r>
        <w:t>4</w:t>
      </w:r>
      <w:r w:rsidRPr="00A56B17">
        <w:t xml:space="preserve"> million Americans, or 9</w:t>
      </w:r>
      <w:r>
        <w:t>3.4</w:t>
      </w:r>
      <w:r w:rsidRPr="00A56B17">
        <w:t>% of the population</w:t>
      </w:r>
      <w:r>
        <w:t>,</w:t>
      </w:r>
      <w:r w:rsidRPr="00A56B17">
        <w:t xml:space="preserve"> are covered by both 25 Mbps/3 Mbps fixed terrestrial service and mobile LTE with a minimum advertised speed of 5 Mbps/1 Mbps, an increase from 91.7% in 2016.</w:t>
      </w:r>
      <w:r>
        <w:rPr>
          <w:sz w:val="20"/>
          <w:vertAlign w:val="superscript"/>
        </w:rPr>
        <w:footnoteReference w:id="126"/>
      </w:r>
      <w:r w:rsidRPr="00A56B17">
        <w:t xml:space="preserve">  In rural areas, 7</w:t>
      </w:r>
      <w:r>
        <w:t>3.2</w:t>
      </w:r>
      <w:r w:rsidRPr="00A56B17">
        <w:t>% of Americans are covered by both services, as opposed to 98.</w:t>
      </w:r>
      <w:r>
        <w:t>3</w:t>
      </w:r>
      <w:r w:rsidRPr="00A56B17">
        <w:t>% of Americans in urban areas, up from 67.1% and 97.7%, respectively, in 2016.  On Tribal lands, 67.</w:t>
      </w:r>
      <w:r>
        <w:t>6</w:t>
      </w:r>
      <w:r w:rsidRPr="00A56B17">
        <w:t>% of Americans have coverage for both services up from 62.4% in 2016.  Figure 3b shows deployment of fixed terrestrial speeds of 25 Mbps/3 Mbps and mobile LTE with median speed of 10 Mbps/3 Mbps.  As of December 31, 2017, approximately 26</w:t>
      </w:r>
      <w:r>
        <w:t>0</w:t>
      </w:r>
      <w:r w:rsidRPr="00A56B17">
        <w:t xml:space="preserve"> million Americans live in geographic areas covered by both services, an increase of 1</w:t>
      </w:r>
      <w:r>
        <w:t>0</w:t>
      </w:r>
      <w:r w:rsidRPr="00A56B17">
        <w:t>.1 million Americans since 2016.</w:t>
      </w:r>
    </w:p>
    <w:p w:rsidR="00C6287D" w:rsidRPr="00A56B17" w:rsidP="00525353">
      <w:pPr>
        <w:keepNext/>
        <w:keepLines/>
        <w:widowControl/>
        <w:adjustRightInd w:val="0"/>
        <w:spacing w:before="120"/>
        <w:jc w:val="center"/>
        <w:rPr>
          <w:color w:val="000000"/>
          <w:sz w:val="16"/>
          <w:szCs w:val="16"/>
        </w:rPr>
      </w:pPr>
      <w:r w:rsidRPr="00A56B17">
        <w:rPr>
          <w:b/>
          <w:color w:val="000000"/>
        </w:rPr>
        <w:t>Fig. 3a</w:t>
      </w:r>
    </w:p>
    <w:p w:rsidR="00C6287D" w:rsidRPr="00A56B17" w:rsidP="00525353">
      <w:pPr>
        <w:keepNext/>
        <w:adjustRightInd w:val="0"/>
        <w:spacing w:after="120"/>
        <w:jc w:val="center"/>
        <w:rPr>
          <w:b/>
          <w:color w:val="000000"/>
        </w:rPr>
      </w:pPr>
      <w:r w:rsidRPr="00A56B17">
        <w:rPr>
          <w:b/>
          <w:color w:val="000000"/>
        </w:rPr>
        <w:t>Deployment (Millions) of Fixed Terrestrial 25 Mbps/3 Mbps Services and Mobile LTE Based on a Minimum Advertised Speed of 5 Mbps/1 Mbps</w:t>
      </w:r>
    </w:p>
    <w:tbl>
      <w:tblPr>
        <w:tblW w:w="4909" w:type="pct"/>
        <w:jc w:val="center"/>
        <w:tblLayout w:type="fixed"/>
        <w:tblCellMar>
          <w:left w:w="0" w:type="dxa"/>
          <w:right w:w="0" w:type="dxa"/>
        </w:tblCellMar>
        <w:tblLook w:val="0000"/>
      </w:tblPr>
      <w:tblGrid>
        <w:gridCol w:w="1485"/>
        <w:gridCol w:w="901"/>
        <w:gridCol w:w="721"/>
        <w:gridCol w:w="808"/>
        <w:gridCol w:w="721"/>
        <w:gridCol w:w="901"/>
        <w:gridCol w:w="719"/>
        <w:gridCol w:w="810"/>
        <w:gridCol w:w="723"/>
        <w:gridCol w:w="767"/>
        <w:gridCol w:w="712"/>
      </w:tblGrid>
      <w:tr w:rsidTr="00525353">
        <w:tblPrEx>
          <w:tblW w:w="4909" w:type="pct"/>
          <w:jc w:val="center"/>
          <w:tblLayout w:type="fixed"/>
          <w:tblCellMar>
            <w:left w:w="0" w:type="dxa"/>
            <w:right w:w="0" w:type="dxa"/>
          </w:tblCellMar>
          <w:tblLook w:val="0000"/>
        </w:tblPrEx>
        <w:trPr>
          <w:cantSplit/>
          <w:tblHeader/>
          <w:jc w:val="center"/>
        </w:trPr>
        <w:tc>
          <w:tcPr>
            <w:tcW w:w="801" w:type="pct"/>
            <w:vMerge w:val="restart"/>
            <w:tcBorders>
              <w:top w:val="single" w:sz="4" w:space="0" w:color="auto"/>
              <w:left w:val="single" w:sz="4" w:space="0" w:color="auto"/>
              <w:bottom w:val="single" w:sz="4" w:space="0" w:color="auto"/>
              <w:right w:val="single" w:sz="4" w:space="0" w:color="auto"/>
            </w:tcBorders>
            <w:shd w:val="clear" w:color="auto" w:fill="90B0D9"/>
            <w:tcMar>
              <w:left w:w="40" w:type="dxa"/>
              <w:right w:w="40" w:type="dxa"/>
            </w:tcMar>
            <w:vAlign w:val="bottom"/>
          </w:tcPr>
          <w:p w:rsidR="00C6287D" w:rsidRPr="005B36BB" w:rsidP="00525353">
            <w:pPr>
              <w:adjustRightInd w:val="0"/>
              <w:spacing w:before="40" w:after="120"/>
              <w:rPr>
                <w:b/>
                <w:bCs/>
                <w:color w:val="000000"/>
                <w:sz w:val="20"/>
              </w:rPr>
            </w:pPr>
          </w:p>
        </w:tc>
        <w:tc>
          <w:tcPr>
            <w:tcW w:w="875" w:type="pct"/>
            <w:gridSpan w:val="2"/>
            <w:tcBorders>
              <w:top w:val="single" w:sz="8" w:space="0" w:color="000000"/>
              <w:left w:val="single" w:sz="4" w:space="0" w:color="auto"/>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2013</w:t>
            </w:r>
          </w:p>
        </w:tc>
        <w:tc>
          <w:tcPr>
            <w:tcW w:w="825"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2014</w:t>
            </w:r>
          </w:p>
        </w:tc>
        <w:tc>
          <w:tcPr>
            <w:tcW w:w="874"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2015</w:t>
            </w:r>
          </w:p>
        </w:tc>
        <w:tc>
          <w:tcPr>
            <w:tcW w:w="827"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2016</w:t>
            </w:r>
          </w:p>
        </w:tc>
        <w:tc>
          <w:tcPr>
            <w:tcW w:w="798"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2017</w:t>
            </w:r>
          </w:p>
        </w:tc>
      </w:tr>
      <w:tr w:rsidTr="00525353">
        <w:tblPrEx>
          <w:tblW w:w="4909" w:type="pct"/>
          <w:jc w:val="center"/>
          <w:tblLayout w:type="fixed"/>
          <w:tblCellMar>
            <w:left w:w="0" w:type="dxa"/>
            <w:right w:w="0" w:type="dxa"/>
          </w:tblCellMar>
          <w:tblLook w:val="0000"/>
        </w:tblPrEx>
        <w:trPr>
          <w:cantSplit/>
          <w:tblHeader/>
          <w:jc w:val="center"/>
        </w:trPr>
        <w:tc>
          <w:tcPr>
            <w:tcW w:w="801" w:type="pct"/>
            <w:vMerge/>
            <w:tcBorders>
              <w:left w:val="single" w:sz="4" w:space="0" w:color="auto"/>
              <w:bottom w:val="single" w:sz="4" w:space="0" w:color="auto"/>
              <w:right w:val="single" w:sz="4" w:space="0" w:color="auto"/>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p>
        </w:tc>
        <w:tc>
          <w:tcPr>
            <w:tcW w:w="486" w:type="pct"/>
            <w:tcBorders>
              <w:top w:val="nil"/>
              <w:left w:val="single" w:sz="4" w:space="0" w:color="auto"/>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389"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c>
          <w:tcPr>
            <w:tcW w:w="436"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389"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c>
          <w:tcPr>
            <w:tcW w:w="486"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388"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c>
          <w:tcPr>
            <w:tcW w:w="437"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390"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c>
          <w:tcPr>
            <w:tcW w:w="414"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384" w:type="pct"/>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r>
      <w:tr w:rsidTr="00525353">
        <w:tblPrEx>
          <w:tblW w:w="4909" w:type="pct"/>
          <w:jc w:val="center"/>
          <w:tblLayout w:type="fixed"/>
          <w:tblCellMar>
            <w:left w:w="0" w:type="dxa"/>
            <w:right w:w="0" w:type="dxa"/>
          </w:tblCellMar>
          <w:tblLook w:val="0000"/>
        </w:tblPrEx>
        <w:trPr>
          <w:cantSplit/>
          <w:trHeight w:hRule="exact" w:val="398"/>
          <w:jc w:val="center"/>
        </w:trPr>
        <w:tc>
          <w:tcPr>
            <w:tcW w:w="801" w:type="pct"/>
            <w:tcBorders>
              <w:top w:val="single" w:sz="4" w:space="0" w:color="auto"/>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United States</w:t>
            </w:r>
          </w:p>
        </w:tc>
        <w:tc>
          <w:tcPr>
            <w:tcW w:w="486" w:type="pct"/>
            <w:tcBorders>
              <w:top w:val="nil"/>
              <w:left w:val="single" w:sz="8" w:space="0" w:color="000000"/>
              <w:bottom w:val="single" w:sz="8" w:space="0" w:color="000000"/>
              <w:right w:val="nil"/>
            </w:tcBorders>
            <w:shd w:val="clear" w:color="auto" w:fill="F5F5F5"/>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261.977</w:t>
            </w:r>
          </w:p>
        </w:tc>
        <w:tc>
          <w:tcPr>
            <w:tcW w:w="389" w:type="pct"/>
            <w:tcBorders>
              <w:top w:val="nil"/>
              <w:left w:val="single" w:sz="8" w:space="0" w:color="000000"/>
              <w:bottom w:val="single" w:sz="8" w:space="0" w:color="000000"/>
              <w:right w:val="nil"/>
            </w:tcBorders>
            <w:shd w:val="clear" w:color="auto" w:fill="F5F5F5"/>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83.0%</w:t>
            </w:r>
          </w:p>
        </w:tc>
        <w:tc>
          <w:tcPr>
            <w:tcW w:w="436" w:type="pct"/>
            <w:tcBorders>
              <w:top w:val="nil"/>
              <w:left w:val="single" w:sz="8" w:space="0" w:color="000000"/>
              <w:bottom w:val="single" w:sz="8" w:space="0" w:color="000000"/>
              <w:right w:val="nil"/>
            </w:tcBorders>
            <w:shd w:val="clear" w:color="auto" w:fill="F5F5F5"/>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283.386</w:t>
            </w:r>
          </w:p>
        </w:tc>
        <w:tc>
          <w:tcPr>
            <w:tcW w:w="389" w:type="pct"/>
            <w:tcBorders>
              <w:top w:val="nil"/>
              <w:left w:val="single" w:sz="8" w:space="0" w:color="000000"/>
              <w:bottom w:val="single" w:sz="8" w:space="0" w:color="000000"/>
              <w:right w:val="nil"/>
            </w:tcBorders>
            <w:shd w:val="clear" w:color="auto" w:fill="F5F5F5"/>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89.1%</w:t>
            </w:r>
          </w:p>
        </w:tc>
        <w:tc>
          <w:tcPr>
            <w:tcW w:w="486" w:type="pct"/>
            <w:tcBorders>
              <w:top w:val="nil"/>
              <w:left w:val="single" w:sz="8" w:space="0" w:color="000000"/>
              <w:bottom w:val="single" w:sz="8" w:space="0" w:color="000000"/>
              <w:right w:val="nil"/>
            </w:tcBorders>
            <w:shd w:val="clear" w:color="auto" w:fill="F5F5F5"/>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287.387</w:t>
            </w:r>
          </w:p>
        </w:tc>
        <w:tc>
          <w:tcPr>
            <w:tcW w:w="388" w:type="pct"/>
            <w:tcBorders>
              <w:top w:val="nil"/>
              <w:left w:val="single" w:sz="8" w:space="0" w:color="000000"/>
              <w:bottom w:val="single" w:sz="8" w:space="0" w:color="000000"/>
              <w:right w:val="nil"/>
            </w:tcBorders>
            <w:shd w:val="clear" w:color="auto" w:fill="F5F5F5"/>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89.7%</w:t>
            </w:r>
          </w:p>
        </w:tc>
        <w:tc>
          <w:tcPr>
            <w:tcW w:w="437" w:type="pct"/>
            <w:tcBorders>
              <w:top w:val="nil"/>
              <w:left w:val="single" w:sz="8" w:space="0" w:color="000000"/>
              <w:bottom w:val="single" w:sz="8" w:space="0" w:color="000000"/>
              <w:right w:val="nil"/>
            </w:tcBorders>
            <w:shd w:val="clear" w:color="auto" w:fill="F5F5F5"/>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295.905</w:t>
            </w:r>
          </w:p>
        </w:tc>
        <w:tc>
          <w:tcPr>
            <w:tcW w:w="390" w:type="pct"/>
            <w:tcBorders>
              <w:top w:val="nil"/>
              <w:left w:val="single" w:sz="8" w:space="0" w:color="000000"/>
              <w:bottom w:val="single" w:sz="8" w:space="0" w:color="000000"/>
              <w:right w:val="nil"/>
            </w:tcBorders>
            <w:shd w:val="clear" w:color="auto" w:fill="F5F5F5"/>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91.7%</w:t>
            </w:r>
          </w:p>
        </w:tc>
        <w:tc>
          <w:tcPr>
            <w:tcW w:w="414" w:type="pct"/>
            <w:tcBorders>
              <w:top w:val="nil"/>
              <w:left w:val="single" w:sz="8" w:space="0" w:color="000000"/>
              <w:bottom w:val="single" w:sz="8" w:space="0" w:color="000000"/>
              <w:right w:val="nil"/>
            </w:tcBorders>
            <w:shd w:val="clear" w:color="auto" w:fill="F5F5F5"/>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304.149</w:t>
            </w:r>
          </w:p>
        </w:tc>
        <w:tc>
          <w:tcPr>
            <w:tcW w:w="38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93.4%</w:t>
            </w:r>
          </w:p>
        </w:tc>
      </w:tr>
      <w:tr w:rsidTr="00525353">
        <w:tblPrEx>
          <w:tblW w:w="4909" w:type="pct"/>
          <w:jc w:val="center"/>
          <w:tblLayout w:type="fixed"/>
          <w:tblCellMar>
            <w:left w:w="0" w:type="dxa"/>
            <w:right w:w="0" w:type="dxa"/>
          </w:tblCellMar>
          <w:tblLook w:val="0000"/>
        </w:tblPrEx>
        <w:trPr>
          <w:cantSplit/>
          <w:trHeight w:hRule="exact" w:val="443"/>
          <w:jc w:val="center"/>
        </w:trPr>
        <w:tc>
          <w:tcPr>
            <w:tcW w:w="801"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ind w:left="144"/>
              <w:rPr>
                <w:b/>
                <w:bCs/>
                <w:color w:val="000000"/>
                <w:sz w:val="20"/>
              </w:rPr>
            </w:pPr>
            <w:r w:rsidRPr="005B36BB">
              <w:rPr>
                <w:b/>
                <w:bCs/>
                <w:color w:val="000000"/>
                <w:sz w:val="20"/>
              </w:rPr>
              <w:t>Rural Areas</w:t>
            </w:r>
          </w:p>
        </w:tc>
        <w:tc>
          <w:tcPr>
            <w:tcW w:w="486"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27.776</w:t>
            </w:r>
          </w:p>
        </w:tc>
        <w:tc>
          <w:tcPr>
            <w:tcW w:w="389"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45.5%</w:t>
            </w:r>
          </w:p>
        </w:tc>
        <w:tc>
          <w:tcPr>
            <w:tcW w:w="436"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36.489</w:t>
            </w:r>
          </w:p>
        </w:tc>
        <w:tc>
          <w:tcPr>
            <w:tcW w:w="389"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59.2%</w:t>
            </w:r>
          </w:p>
        </w:tc>
        <w:tc>
          <w:tcPr>
            <w:tcW w:w="486"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37.840</w:t>
            </w:r>
          </w:p>
        </w:tc>
        <w:tc>
          <w:tcPr>
            <w:tcW w:w="388"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60.8%</w:t>
            </w:r>
          </w:p>
        </w:tc>
        <w:tc>
          <w:tcPr>
            <w:tcW w:w="437"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42.231</w:t>
            </w:r>
          </w:p>
        </w:tc>
        <w:tc>
          <w:tcPr>
            <w:tcW w:w="390"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67.1%</w:t>
            </w:r>
          </w:p>
        </w:tc>
        <w:tc>
          <w:tcPr>
            <w:tcW w:w="414"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46.709</w:t>
            </w:r>
          </w:p>
        </w:tc>
        <w:tc>
          <w:tcPr>
            <w:tcW w:w="3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73.2%</w:t>
            </w:r>
          </w:p>
        </w:tc>
      </w:tr>
      <w:tr w:rsidTr="00525353">
        <w:tblPrEx>
          <w:tblW w:w="4909" w:type="pct"/>
          <w:jc w:val="center"/>
          <w:tblLayout w:type="fixed"/>
          <w:tblCellMar>
            <w:left w:w="0" w:type="dxa"/>
            <w:right w:w="0" w:type="dxa"/>
          </w:tblCellMar>
          <w:tblLook w:val="0000"/>
        </w:tblPrEx>
        <w:trPr>
          <w:cantSplit/>
          <w:trHeight w:hRule="exact" w:val="353"/>
          <w:jc w:val="center"/>
        </w:trPr>
        <w:tc>
          <w:tcPr>
            <w:tcW w:w="801"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ind w:left="144"/>
              <w:rPr>
                <w:b/>
                <w:bCs/>
                <w:color w:val="000000"/>
                <w:sz w:val="20"/>
              </w:rPr>
            </w:pPr>
            <w:r w:rsidRPr="005B36BB">
              <w:rPr>
                <w:b/>
                <w:bCs/>
                <w:color w:val="000000"/>
                <w:sz w:val="20"/>
              </w:rPr>
              <w:t>Urban Areas</w:t>
            </w:r>
          </w:p>
        </w:tc>
        <w:tc>
          <w:tcPr>
            <w:tcW w:w="486"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234.200</w:t>
            </w:r>
          </w:p>
        </w:tc>
        <w:tc>
          <w:tcPr>
            <w:tcW w:w="389"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92.0%</w:t>
            </w:r>
          </w:p>
        </w:tc>
        <w:tc>
          <w:tcPr>
            <w:tcW w:w="436"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246.897</w:t>
            </w:r>
          </w:p>
        </w:tc>
        <w:tc>
          <w:tcPr>
            <w:tcW w:w="389"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96.3%</w:t>
            </w:r>
          </w:p>
        </w:tc>
        <w:tc>
          <w:tcPr>
            <w:tcW w:w="486"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249.547</w:t>
            </w:r>
          </w:p>
        </w:tc>
        <w:tc>
          <w:tcPr>
            <w:tcW w:w="388"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96.7%</w:t>
            </w:r>
          </w:p>
        </w:tc>
        <w:tc>
          <w:tcPr>
            <w:tcW w:w="437"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253.674</w:t>
            </w:r>
          </w:p>
        </w:tc>
        <w:tc>
          <w:tcPr>
            <w:tcW w:w="390"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97.7%</w:t>
            </w:r>
          </w:p>
        </w:tc>
        <w:tc>
          <w:tcPr>
            <w:tcW w:w="414"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257.440</w:t>
            </w:r>
          </w:p>
        </w:tc>
        <w:tc>
          <w:tcPr>
            <w:tcW w:w="3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98.3%</w:t>
            </w:r>
          </w:p>
        </w:tc>
      </w:tr>
      <w:tr w:rsidTr="00525353">
        <w:tblPrEx>
          <w:tblW w:w="4909" w:type="pct"/>
          <w:jc w:val="center"/>
          <w:tblLayout w:type="fixed"/>
          <w:tblCellMar>
            <w:left w:w="0" w:type="dxa"/>
            <w:right w:w="0" w:type="dxa"/>
          </w:tblCellMar>
          <w:tblLook w:val="0000"/>
        </w:tblPrEx>
        <w:trPr>
          <w:cantSplit/>
          <w:trHeight w:hRule="exact" w:val="371"/>
          <w:jc w:val="center"/>
        </w:trPr>
        <w:tc>
          <w:tcPr>
            <w:tcW w:w="801"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ind w:left="144"/>
              <w:rPr>
                <w:b/>
                <w:bCs/>
                <w:color w:val="000000"/>
                <w:sz w:val="20"/>
              </w:rPr>
            </w:pPr>
            <w:r w:rsidRPr="005B36BB">
              <w:rPr>
                <w:b/>
                <w:bCs/>
                <w:color w:val="000000"/>
                <w:sz w:val="20"/>
              </w:rPr>
              <w:t>Tribal Lands</w:t>
            </w:r>
          </w:p>
        </w:tc>
        <w:tc>
          <w:tcPr>
            <w:tcW w:w="486"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1.385</w:t>
            </w:r>
          </w:p>
        </w:tc>
        <w:tc>
          <w:tcPr>
            <w:tcW w:w="389"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35.5%</w:t>
            </w:r>
          </w:p>
        </w:tc>
        <w:tc>
          <w:tcPr>
            <w:tcW w:w="436"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2.206</w:t>
            </w:r>
          </w:p>
        </w:tc>
        <w:tc>
          <w:tcPr>
            <w:tcW w:w="389"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56.1%</w:t>
            </w:r>
          </w:p>
        </w:tc>
        <w:tc>
          <w:tcPr>
            <w:tcW w:w="486"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2.258</w:t>
            </w:r>
          </w:p>
        </w:tc>
        <w:tc>
          <w:tcPr>
            <w:tcW w:w="388"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57.0%</w:t>
            </w:r>
          </w:p>
        </w:tc>
        <w:tc>
          <w:tcPr>
            <w:tcW w:w="437"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2.491</w:t>
            </w:r>
          </w:p>
        </w:tc>
        <w:tc>
          <w:tcPr>
            <w:tcW w:w="390"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62.4%</w:t>
            </w:r>
          </w:p>
        </w:tc>
        <w:tc>
          <w:tcPr>
            <w:tcW w:w="414" w:type="pct"/>
            <w:tcBorders>
              <w:top w:val="nil"/>
              <w:left w:val="single" w:sz="8" w:space="0" w:color="000000"/>
              <w:bottom w:val="single" w:sz="8" w:space="0" w:color="000000"/>
              <w:right w:val="nil"/>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2.716</w:t>
            </w:r>
          </w:p>
        </w:tc>
        <w:tc>
          <w:tcPr>
            <w:tcW w:w="38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67.6%</w:t>
            </w:r>
          </w:p>
        </w:tc>
      </w:tr>
      <w:tr w:rsidTr="00525353">
        <w:tblPrEx>
          <w:tblW w:w="4909" w:type="pct"/>
          <w:jc w:val="center"/>
          <w:tblLayout w:type="fixed"/>
          <w:tblCellMar>
            <w:left w:w="0" w:type="dxa"/>
            <w:right w:w="0" w:type="dxa"/>
          </w:tblCellMar>
          <w:tblLook w:val="0000"/>
        </w:tblPrEx>
        <w:trPr>
          <w:cantSplit/>
          <w:trHeight w:hRule="exact" w:val="443"/>
          <w:jc w:val="center"/>
        </w:trPr>
        <w:tc>
          <w:tcPr>
            <w:tcW w:w="801"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Pop. Evaluated</w:t>
            </w:r>
          </w:p>
        </w:tc>
        <w:tc>
          <w:tcPr>
            <w:tcW w:w="486" w:type="pct"/>
            <w:tcBorders>
              <w:top w:val="nil"/>
              <w:left w:val="single" w:sz="8" w:space="0" w:color="000000"/>
              <w:bottom w:val="single" w:sz="8" w:space="0" w:color="000000"/>
              <w:right w:val="nil"/>
            </w:tcBorders>
            <w:shd w:val="clear" w:color="auto" w:fill="F5F5F5"/>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315.596</w:t>
            </w:r>
          </w:p>
        </w:tc>
        <w:tc>
          <w:tcPr>
            <w:tcW w:w="389" w:type="pct"/>
            <w:tcBorders>
              <w:top w:val="nil"/>
              <w:left w:val="single" w:sz="8" w:space="0" w:color="000000"/>
              <w:bottom w:val="single" w:sz="8" w:space="0" w:color="000000"/>
              <w:right w:val="nil"/>
            </w:tcBorders>
            <w:shd w:val="clear" w:color="auto" w:fill="F5F5F5"/>
            <w:tcMar>
              <w:left w:w="40" w:type="dxa"/>
              <w:right w:w="40" w:type="dxa"/>
            </w:tcMar>
          </w:tcPr>
          <w:p w:rsidR="00C6287D" w:rsidRPr="00FB0608" w:rsidP="00525353">
            <w:pPr>
              <w:adjustRightInd w:val="0"/>
              <w:spacing w:before="40" w:after="120"/>
              <w:jc w:val="right"/>
              <w:rPr>
                <w:color w:val="000000"/>
                <w:sz w:val="20"/>
              </w:rPr>
            </w:pPr>
            <w:r>
              <w:rPr>
                <w:color w:val="000000"/>
                <w:sz w:val="20"/>
              </w:rPr>
              <w:t xml:space="preserve"> </w:t>
            </w:r>
          </w:p>
        </w:tc>
        <w:tc>
          <w:tcPr>
            <w:tcW w:w="436" w:type="pct"/>
            <w:tcBorders>
              <w:top w:val="nil"/>
              <w:left w:val="single" w:sz="8" w:space="0" w:color="000000"/>
              <w:bottom w:val="single" w:sz="8" w:space="0" w:color="000000"/>
              <w:right w:val="nil"/>
            </w:tcBorders>
            <w:shd w:val="clear" w:color="auto" w:fill="F5F5F5"/>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317.954</w:t>
            </w:r>
          </w:p>
        </w:tc>
        <w:tc>
          <w:tcPr>
            <w:tcW w:w="389" w:type="pct"/>
            <w:tcBorders>
              <w:top w:val="nil"/>
              <w:left w:val="single" w:sz="8" w:space="0" w:color="000000"/>
              <w:bottom w:val="single" w:sz="8" w:space="0" w:color="000000"/>
              <w:right w:val="nil"/>
            </w:tcBorders>
            <w:shd w:val="clear" w:color="auto" w:fill="F5F5F5"/>
            <w:tcMar>
              <w:left w:w="40" w:type="dxa"/>
              <w:right w:w="40" w:type="dxa"/>
            </w:tcMar>
          </w:tcPr>
          <w:p w:rsidR="00C6287D" w:rsidRPr="00FB0608" w:rsidP="00525353">
            <w:pPr>
              <w:adjustRightInd w:val="0"/>
              <w:spacing w:before="40" w:after="120"/>
              <w:jc w:val="right"/>
              <w:rPr>
                <w:color w:val="000000"/>
                <w:sz w:val="20"/>
              </w:rPr>
            </w:pPr>
            <w:r>
              <w:rPr>
                <w:color w:val="000000"/>
                <w:sz w:val="20"/>
              </w:rPr>
              <w:t xml:space="preserve"> </w:t>
            </w:r>
          </w:p>
        </w:tc>
        <w:tc>
          <w:tcPr>
            <w:tcW w:w="486" w:type="pct"/>
            <w:tcBorders>
              <w:top w:val="nil"/>
              <w:left w:val="single" w:sz="8" w:space="0" w:color="000000"/>
              <w:bottom w:val="single" w:sz="8" w:space="0" w:color="000000"/>
              <w:right w:val="nil"/>
            </w:tcBorders>
            <w:shd w:val="clear" w:color="auto" w:fill="F5F5F5"/>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320.289</w:t>
            </w:r>
          </w:p>
        </w:tc>
        <w:tc>
          <w:tcPr>
            <w:tcW w:w="388" w:type="pct"/>
            <w:tcBorders>
              <w:top w:val="nil"/>
              <w:left w:val="single" w:sz="8" w:space="0" w:color="000000"/>
              <w:bottom w:val="single" w:sz="8" w:space="0" w:color="000000"/>
              <w:right w:val="nil"/>
            </w:tcBorders>
            <w:shd w:val="clear" w:color="auto" w:fill="F5F5F5"/>
            <w:tcMar>
              <w:left w:w="40" w:type="dxa"/>
              <w:right w:w="40" w:type="dxa"/>
            </w:tcMar>
          </w:tcPr>
          <w:p w:rsidR="00C6287D" w:rsidRPr="00FB0608" w:rsidP="00525353">
            <w:pPr>
              <w:adjustRightInd w:val="0"/>
              <w:spacing w:before="40" w:after="120"/>
              <w:jc w:val="right"/>
              <w:rPr>
                <w:color w:val="000000"/>
                <w:sz w:val="20"/>
              </w:rPr>
            </w:pPr>
            <w:r>
              <w:rPr>
                <w:color w:val="000000"/>
                <w:sz w:val="20"/>
              </w:rPr>
              <w:t xml:space="preserve"> </w:t>
            </w:r>
          </w:p>
        </w:tc>
        <w:tc>
          <w:tcPr>
            <w:tcW w:w="437" w:type="pct"/>
            <w:tcBorders>
              <w:top w:val="nil"/>
              <w:left w:val="single" w:sz="8" w:space="0" w:color="000000"/>
              <w:bottom w:val="single" w:sz="8" w:space="0" w:color="000000"/>
              <w:right w:val="nil"/>
            </w:tcBorders>
            <w:shd w:val="clear" w:color="auto" w:fill="F5F5F5"/>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322.518</w:t>
            </w:r>
          </w:p>
        </w:tc>
        <w:tc>
          <w:tcPr>
            <w:tcW w:w="390" w:type="pct"/>
            <w:tcBorders>
              <w:top w:val="nil"/>
              <w:left w:val="single" w:sz="8" w:space="0" w:color="000000"/>
              <w:bottom w:val="single" w:sz="8" w:space="0" w:color="000000"/>
              <w:right w:val="nil"/>
            </w:tcBorders>
            <w:shd w:val="clear" w:color="auto" w:fill="F5F5F5"/>
            <w:tcMar>
              <w:left w:w="40" w:type="dxa"/>
              <w:right w:w="40" w:type="dxa"/>
            </w:tcMar>
          </w:tcPr>
          <w:p w:rsidR="00C6287D" w:rsidRPr="00FB0608" w:rsidP="00525353">
            <w:pPr>
              <w:adjustRightInd w:val="0"/>
              <w:spacing w:before="40" w:after="120"/>
              <w:jc w:val="right"/>
              <w:rPr>
                <w:color w:val="000000"/>
                <w:sz w:val="20"/>
              </w:rPr>
            </w:pPr>
            <w:r>
              <w:rPr>
                <w:color w:val="000000"/>
                <w:sz w:val="20"/>
              </w:rPr>
              <w:t xml:space="preserve"> </w:t>
            </w:r>
          </w:p>
        </w:tc>
        <w:tc>
          <w:tcPr>
            <w:tcW w:w="414" w:type="pct"/>
            <w:tcBorders>
              <w:top w:val="nil"/>
              <w:left w:val="single" w:sz="8" w:space="0" w:color="000000"/>
              <w:bottom w:val="single" w:sz="8" w:space="0" w:color="000000"/>
              <w:right w:val="nil"/>
            </w:tcBorders>
            <w:shd w:val="clear" w:color="auto" w:fill="F5F5F5"/>
            <w:tcMar>
              <w:left w:w="40" w:type="dxa"/>
              <w:right w:w="40" w:type="dxa"/>
            </w:tcMar>
          </w:tcPr>
          <w:p w:rsidR="00C6287D" w:rsidRPr="00FB0608" w:rsidP="00525353">
            <w:pPr>
              <w:adjustRightInd w:val="0"/>
              <w:spacing w:before="40" w:after="120"/>
              <w:jc w:val="right"/>
              <w:rPr>
                <w:color w:val="000000"/>
                <w:sz w:val="20"/>
              </w:rPr>
            </w:pPr>
            <w:r w:rsidRPr="00FB0608">
              <w:rPr>
                <w:color w:val="000000"/>
                <w:sz w:val="20"/>
              </w:rPr>
              <w:t>325.716</w:t>
            </w:r>
          </w:p>
        </w:tc>
        <w:tc>
          <w:tcPr>
            <w:tcW w:w="38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FB0608" w:rsidP="00525353">
            <w:pPr>
              <w:adjustRightInd w:val="0"/>
              <w:spacing w:before="40" w:after="120"/>
              <w:jc w:val="right"/>
              <w:rPr>
                <w:color w:val="000000"/>
                <w:sz w:val="20"/>
              </w:rPr>
            </w:pPr>
            <w:r>
              <w:rPr>
                <w:color w:val="000000"/>
                <w:sz w:val="20"/>
              </w:rPr>
              <w:t xml:space="preserve"> </w:t>
            </w:r>
          </w:p>
        </w:tc>
      </w:tr>
    </w:tbl>
    <w:p w:rsidR="00C6287D" w:rsidRPr="00A56B17" w:rsidP="00C6287D">
      <w:pPr>
        <w:spacing w:before="120"/>
        <w:jc w:val="center"/>
        <w:rPr>
          <w:b/>
        </w:rPr>
      </w:pPr>
      <w:r w:rsidRPr="00A56B17">
        <w:rPr>
          <w:b/>
        </w:rPr>
        <w:t>Fig</w:t>
      </w:r>
      <w:r>
        <w:rPr>
          <w:b/>
        </w:rPr>
        <w:t>.</w:t>
      </w:r>
      <w:r w:rsidRPr="00A56B17">
        <w:rPr>
          <w:b/>
        </w:rPr>
        <w:t xml:space="preserve"> 3b</w:t>
      </w:r>
    </w:p>
    <w:p w:rsidR="00C6287D" w:rsidRPr="00A56B17" w:rsidP="00C6287D">
      <w:pPr>
        <w:spacing w:after="120"/>
        <w:jc w:val="center"/>
        <w:rPr>
          <w:b/>
        </w:rPr>
      </w:pPr>
      <w:r w:rsidRPr="00A56B17">
        <w:rPr>
          <w:b/>
        </w:rPr>
        <w:t>Deployment (Millions) of Fixed Terrestrial 25 Mbps/3 Mbps Services and Mobile LTE with a Median Speed of 10 Mbps/3 Mbps</w:t>
      </w:r>
    </w:p>
    <w:tbl>
      <w:tblPr>
        <w:tblW w:w="0" w:type="auto"/>
        <w:jc w:val="center"/>
        <w:tblLayout w:type="fixed"/>
        <w:tblCellMar>
          <w:left w:w="0" w:type="dxa"/>
          <w:right w:w="0" w:type="dxa"/>
        </w:tblCellMar>
        <w:tblLook w:val="0000"/>
      </w:tblPr>
      <w:tblGrid>
        <w:gridCol w:w="2929"/>
        <w:gridCol w:w="1118"/>
        <w:gridCol w:w="752"/>
        <w:gridCol w:w="759"/>
        <w:gridCol w:w="752"/>
        <w:gridCol w:w="759"/>
        <w:gridCol w:w="752"/>
        <w:gridCol w:w="759"/>
        <w:gridCol w:w="752"/>
      </w:tblGrid>
      <w:tr w:rsidTr="00525353">
        <w:tblPrEx>
          <w:tblW w:w="0" w:type="auto"/>
          <w:jc w:val="center"/>
          <w:tblLayout w:type="fixed"/>
          <w:tblCellMar>
            <w:left w:w="0" w:type="dxa"/>
            <w:right w:w="0" w:type="dxa"/>
          </w:tblCellMar>
          <w:tblLook w:val="0000"/>
        </w:tblPrEx>
        <w:trPr>
          <w:cantSplit/>
          <w:tblHeader/>
          <w:jc w:val="center"/>
        </w:trPr>
        <w:tc>
          <w:tcPr>
            <w:tcW w:w="2929" w:type="dxa"/>
            <w:vMerge w:val="restart"/>
            <w:tcBorders>
              <w:top w:val="single" w:sz="4" w:space="0" w:color="auto"/>
              <w:left w:val="single" w:sz="4" w:space="0" w:color="auto"/>
              <w:bottom w:val="single" w:sz="4" w:space="0" w:color="auto"/>
              <w:right w:val="single" w:sz="4" w:space="0" w:color="auto"/>
            </w:tcBorders>
            <w:shd w:val="clear" w:color="auto" w:fill="90B0D9"/>
            <w:tcMar>
              <w:left w:w="40" w:type="dxa"/>
              <w:right w:w="40" w:type="dxa"/>
            </w:tcMar>
            <w:vAlign w:val="bottom"/>
          </w:tcPr>
          <w:p w:rsidR="00C6287D" w:rsidRPr="005B36BB" w:rsidP="00525353">
            <w:pPr>
              <w:autoSpaceDE w:val="0"/>
              <w:autoSpaceDN w:val="0"/>
              <w:adjustRightInd w:val="0"/>
              <w:spacing w:before="40" w:after="120"/>
              <w:rPr>
                <w:b/>
                <w:bCs/>
                <w:color w:val="000000"/>
                <w:sz w:val="20"/>
              </w:rPr>
            </w:pPr>
          </w:p>
        </w:tc>
        <w:tc>
          <w:tcPr>
            <w:tcW w:w="1870" w:type="dxa"/>
            <w:gridSpan w:val="2"/>
            <w:tcBorders>
              <w:top w:val="single" w:sz="8" w:space="0" w:color="000000"/>
              <w:left w:val="single" w:sz="4" w:space="0" w:color="auto"/>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2014</w:t>
            </w:r>
          </w:p>
        </w:tc>
        <w:tc>
          <w:tcPr>
            <w:tcW w:w="1511"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2015</w:t>
            </w:r>
          </w:p>
        </w:tc>
        <w:tc>
          <w:tcPr>
            <w:tcW w:w="1511"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2016</w:t>
            </w:r>
          </w:p>
        </w:tc>
        <w:tc>
          <w:tcPr>
            <w:tcW w:w="1511" w:type="dxa"/>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2017</w:t>
            </w:r>
          </w:p>
        </w:tc>
      </w:tr>
      <w:tr w:rsidTr="00525353">
        <w:tblPrEx>
          <w:tblW w:w="0" w:type="auto"/>
          <w:jc w:val="center"/>
          <w:tblLayout w:type="fixed"/>
          <w:tblCellMar>
            <w:left w:w="0" w:type="dxa"/>
            <w:right w:w="0" w:type="dxa"/>
          </w:tblCellMar>
          <w:tblLook w:val="0000"/>
        </w:tblPrEx>
        <w:trPr>
          <w:cantSplit/>
          <w:tblHeader/>
          <w:jc w:val="center"/>
        </w:trPr>
        <w:tc>
          <w:tcPr>
            <w:tcW w:w="2929" w:type="dxa"/>
            <w:vMerge/>
            <w:tcBorders>
              <w:left w:val="single" w:sz="4" w:space="0" w:color="auto"/>
              <w:bottom w:val="single" w:sz="4" w:space="0" w:color="auto"/>
              <w:right w:val="single" w:sz="4" w:space="0" w:color="auto"/>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p>
        </w:tc>
        <w:tc>
          <w:tcPr>
            <w:tcW w:w="1118" w:type="dxa"/>
            <w:tcBorders>
              <w:top w:val="nil"/>
              <w:left w:val="single" w:sz="4" w:space="0" w:color="auto"/>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752"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c>
          <w:tcPr>
            <w:tcW w:w="759"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752"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c>
          <w:tcPr>
            <w:tcW w:w="759"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752"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c>
          <w:tcPr>
            <w:tcW w:w="759"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752"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2929" w:type="dxa"/>
            <w:tcBorders>
              <w:top w:val="single" w:sz="4" w:space="0" w:color="auto"/>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United States</w:t>
            </w:r>
          </w:p>
        </w:tc>
        <w:tc>
          <w:tcPr>
            <w:tcW w:w="1118"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221.249</w:t>
            </w:r>
          </w:p>
        </w:tc>
        <w:tc>
          <w:tcPr>
            <w:tcW w:w="752"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74.7%</w:t>
            </w:r>
          </w:p>
        </w:tc>
        <w:tc>
          <w:tcPr>
            <w:tcW w:w="759"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230.561</w:t>
            </w:r>
          </w:p>
        </w:tc>
        <w:tc>
          <w:tcPr>
            <w:tcW w:w="752"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77.4%</w:t>
            </w:r>
          </w:p>
        </w:tc>
        <w:tc>
          <w:tcPr>
            <w:tcW w:w="759"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249.817</w:t>
            </w:r>
          </w:p>
        </w:tc>
        <w:tc>
          <w:tcPr>
            <w:tcW w:w="752"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83.3%</w:t>
            </w:r>
          </w:p>
        </w:tc>
        <w:tc>
          <w:tcPr>
            <w:tcW w:w="759"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259.926</w:t>
            </w:r>
          </w:p>
        </w:tc>
        <w:tc>
          <w:tcPr>
            <w:tcW w:w="752"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85.8%</w:t>
            </w:r>
          </w:p>
        </w:tc>
      </w:tr>
      <w:tr w:rsidTr="00525353">
        <w:tblPrEx>
          <w:tblW w:w="0" w:type="auto"/>
          <w:jc w:val="center"/>
          <w:tblLayout w:type="fixed"/>
          <w:tblCellMar>
            <w:left w:w="0" w:type="dxa"/>
            <w:right w:w="0" w:type="dxa"/>
          </w:tblCellMar>
          <w:tblLook w:val="0000"/>
        </w:tblPrEx>
        <w:trPr>
          <w:cantSplit/>
          <w:trHeight w:hRule="exact" w:val="382"/>
          <w:jc w:val="center"/>
        </w:trPr>
        <w:tc>
          <w:tcPr>
            <w:tcW w:w="2929"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ind w:left="144"/>
              <w:rPr>
                <w:b/>
                <w:bCs/>
                <w:color w:val="000000"/>
                <w:sz w:val="20"/>
              </w:rPr>
            </w:pPr>
            <w:r w:rsidRPr="005B36BB">
              <w:rPr>
                <w:b/>
                <w:bCs/>
                <w:color w:val="000000"/>
                <w:sz w:val="20"/>
              </w:rPr>
              <w:t>Rural Areas</w:t>
            </w:r>
          </w:p>
        </w:tc>
        <w:tc>
          <w:tcPr>
            <w:tcW w:w="1118"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22.634</w:t>
            </w:r>
          </w:p>
        </w:tc>
        <w:tc>
          <w:tcPr>
            <w:tcW w:w="752"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48.8%</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22.554</w:t>
            </w:r>
          </w:p>
        </w:tc>
        <w:tc>
          <w:tcPr>
            <w:tcW w:w="752"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48.5%</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24.961</w:t>
            </w:r>
          </w:p>
        </w:tc>
        <w:tc>
          <w:tcPr>
            <w:tcW w:w="752"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53.1%</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26.728</w:t>
            </w:r>
          </w:p>
        </w:tc>
        <w:tc>
          <w:tcPr>
            <w:tcW w:w="752"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56.2%</w:t>
            </w:r>
          </w:p>
        </w:tc>
      </w:tr>
      <w:tr w:rsidTr="00525353">
        <w:tblPrEx>
          <w:tblW w:w="0" w:type="auto"/>
          <w:jc w:val="center"/>
          <w:tblLayout w:type="fixed"/>
          <w:tblCellMar>
            <w:left w:w="0" w:type="dxa"/>
            <w:right w:w="0" w:type="dxa"/>
          </w:tblCellMar>
          <w:tblLook w:val="0000"/>
        </w:tblPrEx>
        <w:trPr>
          <w:cantSplit/>
          <w:trHeight w:hRule="exact" w:val="382"/>
          <w:jc w:val="center"/>
        </w:trPr>
        <w:tc>
          <w:tcPr>
            <w:tcW w:w="2929"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ind w:left="144"/>
              <w:rPr>
                <w:b/>
                <w:bCs/>
                <w:color w:val="000000"/>
                <w:sz w:val="20"/>
              </w:rPr>
            </w:pPr>
            <w:r w:rsidRPr="005B36BB">
              <w:rPr>
                <w:b/>
                <w:bCs/>
                <w:color w:val="000000"/>
                <w:sz w:val="20"/>
              </w:rPr>
              <w:t>Urban Areas</w:t>
            </w:r>
          </w:p>
        </w:tc>
        <w:tc>
          <w:tcPr>
            <w:tcW w:w="1118"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198.615</w:t>
            </w:r>
          </w:p>
        </w:tc>
        <w:tc>
          <w:tcPr>
            <w:tcW w:w="752"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79.5%</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208.007</w:t>
            </w:r>
          </w:p>
        </w:tc>
        <w:tc>
          <w:tcPr>
            <w:tcW w:w="752"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82.7%</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224.856</w:t>
            </w:r>
          </w:p>
        </w:tc>
        <w:tc>
          <w:tcPr>
            <w:tcW w:w="752"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88.9%</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233.198</w:t>
            </w:r>
          </w:p>
        </w:tc>
        <w:tc>
          <w:tcPr>
            <w:tcW w:w="752"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91.3%</w:t>
            </w:r>
          </w:p>
        </w:tc>
      </w:tr>
      <w:tr w:rsidTr="00525353">
        <w:tblPrEx>
          <w:tblW w:w="0" w:type="auto"/>
          <w:jc w:val="center"/>
          <w:tblLayout w:type="fixed"/>
          <w:tblCellMar>
            <w:left w:w="0" w:type="dxa"/>
            <w:right w:w="0" w:type="dxa"/>
          </w:tblCellMar>
          <w:tblLook w:val="0000"/>
        </w:tblPrEx>
        <w:trPr>
          <w:cantSplit/>
          <w:trHeight w:hRule="exact" w:val="382"/>
          <w:jc w:val="center"/>
        </w:trPr>
        <w:tc>
          <w:tcPr>
            <w:tcW w:w="2929"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Pop. Evaluated</w:t>
            </w:r>
          </w:p>
        </w:tc>
        <w:tc>
          <w:tcPr>
            <w:tcW w:w="1118"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296.204</w:t>
            </w:r>
          </w:p>
        </w:tc>
        <w:tc>
          <w:tcPr>
            <w:tcW w:w="752"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93.2%</w:t>
            </w:r>
          </w:p>
        </w:tc>
        <w:tc>
          <w:tcPr>
            <w:tcW w:w="759"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297.899</w:t>
            </w:r>
          </w:p>
        </w:tc>
        <w:tc>
          <w:tcPr>
            <w:tcW w:w="752"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93.0%</w:t>
            </w:r>
          </w:p>
        </w:tc>
        <w:tc>
          <w:tcPr>
            <w:tcW w:w="759"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300.036</w:t>
            </w:r>
          </w:p>
        </w:tc>
        <w:tc>
          <w:tcPr>
            <w:tcW w:w="752"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93.0%</w:t>
            </w:r>
          </w:p>
        </w:tc>
        <w:tc>
          <w:tcPr>
            <w:tcW w:w="759"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302.940</w:t>
            </w:r>
          </w:p>
        </w:tc>
        <w:tc>
          <w:tcPr>
            <w:tcW w:w="752"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93.0%</w:t>
            </w:r>
          </w:p>
        </w:tc>
      </w:tr>
    </w:tbl>
    <w:p w:rsidR="00C6287D" w:rsidRPr="00820DFD" w:rsidP="003D74E4">
      <w:pPr>
        <w:pStyle w:val="ParaNum"/>
        <w:widowControl/>
        <w:spacing w:before="120"/>
        <w:rPr>
          <w:color w:val="000000"/>
        </w:rPr>
      </w:pPr>
      <w:r>
        <w:t>Figure</w:t>
      </w:r>
      <w:r w:rsidRPr="00A56B17">
        <w:t xml:space="preserve"> 3c reports deployment of fixed terrestrial 25 Mbps/3 Mbps service </w:t>
      </w:r>
      <w:r w:rsidRPr="00A56B17">
        <w:rPr>
          <w:i/>
        </w:rPr>
        <w:t>or</w:t>
      </w:r>
      <w:r w:rsidRPr="00A56B17">
        <w:t xml:space="preserve"> mobile LTE with a minimum advertised speed of 5 Mbps/1 Mbps and shows that services are deployed to approximately 100% of the American population as of year-end 2017.  Figure 3d shows that approximately 298 million Americans, or approximately 98.</w:t>
      </w:r>
      <w:r>
        <w:t>4</w:t>
      </w:r>
      <w:r w:rsidRPr="00A56B17">
        <w:t xml:space="preserve">% of the population in the evaluated areas, </w:t>
      </w:r>
      <w:r w:rsidRPr="00A56B17">
        <w:t>are covered by either 25 Mbps/3 Mbps fixed terrestrial service or Mobile LTE with a median speed of 10 Mbps/3 Mbps.</w:t>
      </w:r>
    </w:p>
    <w:p w:rsidR="00C6287D" w:rsidRPr="00A56B17" w:rsidP="00C6287D">
      <w:pPr>
        <w:keepNext/>
        <w:keepLines/>
        <w:adjustRightInd w:val="0"/>
        <w:spacing w:before="10"/>
        <w:jc w:val="center"/>
        <w:rPr>
          <w:b/>
          <w:color w:val="000000"/>
        </w:rPr>
      </w:pPr>
      <w:r w:rsidRPr="00A56B17">
        <w:rPr>
          <w:b/>
          <w:color w:val="000000"/>
        </w:rPr>
        <w:t>Fig. 3c</w:t>
      </w:r>
    </w:p>
    <w:p w:rsidR="00C6287D" w:rsidRPr="00A56B17" w:rsidP="00C6287D">
      <w:pPr>
        <w:keepNext/>
        <w:keepLines/>
        <w:adjustRightInd w:val="0"/>
        <w:spacing w:before="10" w:after="120"/>
        <w:jc w:val="center"/>
        <w:rPr>
          <w:b/>
          <w:color w:val="000000"/>
        </w:rPr>
      </w:pPr>
      <w:r w:rsidRPr="00A56B17">
        <w:rPr>
          <w:b/>
          <w:color w:val="000000"/>
        </w:rPr>
        <w:t>Deployment (Millions) of Fixed Terrestrial 25 Mbps/3 Mbps Services or Mobile LTE Based on a Minimum Advertised Speed of 5 Mbps/ 1 Mbps</w:t>
      </w:r>
    </w:p>
    <w:tbl>
      <w:tblPr>
        <w:tblW w:w="5000" w:type="pct"/>
        <w:jc w:val="center"/>
        <w:tblLayout w:type="fixed"/>
        <w:tblCellMar>
          <w:left w:w="0" w:type="dxa"/>
          <w:right w:w="0" w:type="dxa"/>
        </w:tblCellMar>
        <w:tblLook w:val="0000"/>
      </w:tblPr>
      <w:tblGrid>
        <w:gridCol w:w="1540"/>
        <w:gridCol w:w="790"/>
        <w:gridCol w:w="792"/>
        <w:gridCol w:w="789"/>
        <w:gridCol w:w="791"/>
        <w:gridCol w:w="789"/>
        <w:gridCol w:w="791"/>
        <w:gridCol w:w="789"/>
        <w:gridCol w:w="791"/>
        <w:gridCol w:w="789"/>
        <w:gridCol w:w="789"/>
      </w:tblGrid>
      <w:tr w:rsidTr="00525353">
        <w:tblPrEx>
          <w:tblW w:w="5000" w:type="pct"/>
          <w:jc w:val="center"/>
          <w:tblLayout w:type="fixed"/>
          <w:tblCellMar>
            <w:left w:w="0" w:type="dxa"/>
            <w:right w:w="0" w:type="dxa"/>
          </w:tblCellMar>
          <w:tblLook w:val="0000"/>
        </w:tblPrEx>
        <w:trPr>
          <w:cantSplit/>
          <w:tblHeader/>
          <w:jc w:val="center"/>
        </w:trPr>
        <w:tc>
          <w:tcPr>
            <w:tcW w:w="815"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p>
        </w:tc>
        <w:tc>
          <w:tcPr>
            <w:tcW w:w="837"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2013</w:t>
            </w:r>
          </w:p>
        </w:tc>
        <w:tc>
          <w:tcPr>
            <w:tcW w:w="837"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2014</w:t>
            </w:r>
          </w:p>
        </w:tc>
        <w:tc>
          <w:tcPr>
            <w:tcW w:w="837"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2015</w:t>
            </w:r>
          </w:p>
        </w:tc>
        <w:tc>
          <w:tcPr>
            <w:tcW w:w="837"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2016</w:t>
            </w:r>
          </w:p>
        </w:tc>
        <w:tc>
          <w:tcPr>
            <w:tcW w:w="836"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2017</w:t>
            </w:r>
          </w:p>
        </w:tc>
      </w:tr>
      <w:tr w:rsidTr="00525353">
        <w:tblPrEx>
          <w:tblW w:w="5000" w:type="pct"/>
          <w:jc w:val="center"/>
          <w:tblLayout w:type="fixed"/>
          <w:tblCellMar>
            <w:left w:w="0" w:type="dxa"/>
            <w:right w:w="0" w:type="dxa"/>
          </w:tblCellMar>
          <w:tblLook w:val="0000"/>
        </w:tblPrEx>
        <w:trPr>
          <w:cantSplit/>
          <w:tblHeader/>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Area</w:t>
            </w:r>
          </w:p>
        </w:tc>
        <w:tc>
          <w:tcPr>
            <w:tcW w:w="418"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Pop.</w:t>
            </w:r>
          </w:p>
        </w:tc>
        <w:tc>
          <w:tcPr>
            <w:tcW w:w="419"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w:t>
            </w:r>
          </w:p>
        </w:tc>
        <w:tc>
          <w:tcPr>
            <w:tcW w:w="418"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Pop.</w:t>
            </w:r>
          </w:p>
        </w:tc>
        <w:tc>
          <w:tcPr>
            <w:tcW w:w="419"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w:t>
            </w:r>
          </w:p>
        </w:tc>
        <w:tc>
          <w:tcPr>
            <w:tcW w:w="418"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Pop.</w:t>
            </w:r>
          </w:p>
        </w:tc>
        <w:tc>
          <w:tcPr>
            <w:tcW w:w="419"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w:t>
            </w:r>
          </w:p>
        </w:tc>
        <w:tc>
          <w:tcPr>
            <w:tcW w:w="418"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Pop.</w:t>
            </w:r>
          </w:p>
        </w:tc>
        <w:tc>
          <w:tcPr>
            <w:tcW w:w="419"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w:t>
            </w:r>
          </w:p>
        </w:tc>
        <w:tc>
          <w:tcPr>
            <w:tcW w:w="418"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Pop.</w:t>
            </w:r>
          </w:p>
        </w:tc>
        <w:tc>
          <w:tcPr>
            <w:tcW w:w="418" w:type="pct"/>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5B36BB" w:rsidP="00525353">
            <w:pPr>
              <w:keepNext/>
              <w:keepLines/>
              <w:adjustRightInd w:val="0"/>
              <w:spacing w:before="40" w:after="120"/>
              <w:jc w:val="center"/>
              <w:rPr>
                <w:b/>
                <w:bCs/>
                <w:color w:val="000000"/>
                <w:sz w:val="20"/>
              </w:rPr>
            </w:pPr>
            <w:r w:rsidRPr="005B36BB">
              <w:rPr>
                <w:b/>
                <w:bCs/>
                <w:color w:val="000000"/>
                <w:sz w:val="20"/>
              </w:rPr>
              <w:t>%</w:t>
            </w:r>
          </w:p>
        </w:tc>
      </w:tr>
      <w:tr w:rsidTr="00525353">
        <w:tblPrEx>
          <w:tblW w:w="5000" w:type="pct"/>
          <w:jc w:val="center"/>
          <w:tblLayout w:type="fixed"/>
          <w:tblCellMar>
            <w:left w:w="0" w:type="dxa"/>
            <w:right w:w="0" w:type="dxa"/>
          </w:tblCellMar>
          <w:tblLook w:val="0000"/>
        </w:tblPrEx>
        <w:trPr>
          <w:cantSplit/>
          <w:trHeight w:hRule="exact" w:val="383"/>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keepNext/>
              <w:adjustRightInd w:val="0"/>
              <w:spacing w:before="40" w:after="120"/>
              <w:rPr>
                <w:b/>
                <w:bCs/>
                <w:color w:val="000000"/>
                <w:sz w:val="20"/>
              </w:rPr>
            </w:pPr>
            <w:r w:rsidRPr="005B36BB">
              <w:rPr>
                <w:b/>
                <w:bCs/>
                <w:color w:val="000000"/>
                <w:sz w:val="20"/>
              </w:rPr>
              <w:t>United States</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310.521</w:t>
            </w:r>
          </w:p>
        </w:tc>
        <w:tc>
          <w:tcPr>
            <w:tcW w:w="419" w:type="pct"/>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98.4%</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316.366</w:t>
            </w:r>
          </w:p>
        </w:tc>
        <w:tc>
          <w:tcPr>
            <w:tcW w:w="419" w:type="pct"/>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99.5%</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319.389</w:t>
            </w:r>
          </w:p>
        </w:tc>
        <w:tc>
          <w:tcPr>
            <w:tcW w:w="419" w:type="pct"/>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99.7%</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321.815</w:t>
            </w:r>
          </w:p>
        </w:tc>
        <w:tc>
          <w:tcPr>
            <w:tcW w:w="419" w:type="pct"/>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99.8%</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325.373</w:t>
            </w:r>
          </w:p>
        </w:tc>
        <w:tc>
          <w:tcPr>
            <w:tcW w:w="418"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99.9%</w:t>
            </w:r>
          </w:p>
        </w:tc>
      </w:tr>
      <w:tr w:rsidTr="00525353">
        <w:tblPrEx>
          <w:tblW w:w="5000" w:type="pct"/>
          <w:jc w:val="center"/>
          <w:tblLayout w:type="fixed"/>
          <w:tblCellMar>
            <w:left w:w="0" w:type="dxa"/>
            <w:right w:w="0" w:type="dxa"/>
          </w:tblCellMar>
          <w:tblLook w:val="0000"/>
        </w:tblPrEx>
        <w:trPr>
          <w:cantSplit/>
          <w:trHeight w:hRule="exact" w:val="383"/>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keepNext/>
              <w:adjustRightInd w:val="0"/>
              <w:spacing w:before="40" w:after="120"/>
              <w:rPr>
                <w:b/>
                <w:bCs/>
                <w:color w:val="000000"/>
                <w:sz w:val="20"/>
              </w:rPr>
            </w:pPr>
            <w:r w:rsidRPr="005B36BB">
              <w:rPr>
                <w:b/>
                <w:bCs/>
                <w:color w:val="000000"/>
                <w:sz w:val="20"/>
              </w:rPr>
              <w:t xml:space="preserve">   Rural Areas</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56.345</w:t>
            </w:r>
          </w:p>
        </w:tc>
        <w:tc>
          <w:tcPr>
            <w:tcW w:w="419"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92.3%</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60.148</w:t>
            </w:r>
          </w:p>
        </w:tc>
        <w:tc>
          <w:tcPr>
            <w:tcW w:w="419"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97.6%</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61.400</w:t>
            </w:r>
          </w:p>
        </w:tc>
        <w:tc>
          <w:tcPr>
            <w:tcW w:w="419"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98.6%</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62.249</w:t>
            </w:r>
          </w:p>
        </w:tc>
        <w:tc>
          <w:tcPr>
            <w:tcW w:w="419"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98.9%</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63.455</w:t>
            </w:r>
          </w:p>
        </w:tc>
        <w:tc>
          <w:tcPr>
            <w:tcW w:w="41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99.5%</w:t>
            </w:r>
          </w:p>
        </w:tc>
      </w:tr>
      <w:tr w:rsidTr="00525353">
        <w:tblPrEx>
          <w:tblW w:w="5000" w:type="pct"/>
          <w:jc w:val="center"/>
          <w:tblLayout w:type="fixed"/>
          <w:tblCellMar>
            <w:left w:w="0" w:type="dxa"/>
            <w:right w:w="0" w:type="dxa"/>
          </w:tblCellMar>
          <w:tblLook w:val="0000"/>
        </w:tblPrEx>
        <w:trPr>
          <w:cantSplit/>
          <w:trHeight w:hRule="exact" w:val="383"/>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keepNext/>
              <w:adjustRightInd w:val="0"/>
              <w:spacing w:before="40" w:after="120"/>
              <w:rPr>
                <w:b/>
                <w:bCs/>
                <w:color w:val="000000"/>
                <w:sz w:val="20"/>
              </w:rPr>
            </w:pPr>
            <w:r w:rsidRPr="005B36BB">
              <w:rPr>
                <w:b/>
                <w:bCs/>
                <w:color w:val="000000"/>
                <w:sz w:val="20"/>
              </w:rPr>
              <w:t xml:space="preserve">   Urban Areas</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254.176</w:t>
            </w:r>
          </w:p>
        </w:tc>
        <w:tc>
          <w:tcPr>
            <w:tcW w:w="419"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99.9%</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256.218</w:t>
            </w:r>
          </w:p>
        </w:tc>
        <w:tc>
          <w:tcPr>
            <w:tcW w:w="419"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100.0%</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257.989</w:t>
            </w:r>
          </w:p>
        </w:tc>
        <w:tc>
          <w:tcPr>
            <w:tcW w:w="419"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100.0%</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259.567</w:t>
            </w:r>
          </w:p>
        </w:tc>
        <w:tc>
          <w:tcPr>
            <w:tcW w:w="419"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100.0%</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261.919</w:t>
            </w:r>
          </w:p>
        </w:tc>
        <w:tc>
          <w:tcPr>
            <w:tcW w:w="41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100.0%</w:t>
            </w:r>
          </w:p>
        </w:tc>
      </w:tr>
      <w:tr w:rsidTr="00525353">
        <w:tblPrEx>
          <w:tblW w:w="5000" w:type="pct"/>
          <w:jc w:val="center"/>
          <w:tblLayout w:type="fixed"/>
          <w:tblCellMar>
            <w:left w:w="0" w:type="dxa"/>
            <w:right w:w="0" w:type="dxa"/>
          </w:tblCellMar>
          <w:tblLook w:val="0000"/>
        </w:tblPrEx>
        <w:trPr>
          <w:cantSplit/>
          <w:trHeight w:hRule="exact" w:val="383"/>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keepNext/>
              <w:adjustRightInd w:val="0"/>
              <w:spacing w:before="40" w:after="120"/>
              <w:rPr>
                <w:b/>
                <w:bCs/>
                <w:color w:val="000000"/>
                <w:sz w:val="20"/>
              </w:rPr>
            </w:pPr>
            <w:r w:rsidRPr="005B36BB">
              <w:rPr>
                <w:b/>
                <w:bCs/>
                <w:color w:val="000000"/>
                <w:sz w:val="20"/>
              </w:rPr>
              <w:t xml:space="preserve">   Tribal Lands</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3.449</w:t>
            </w:r>
          </w:p>
        </w:tc>
        <w:tc>
          <w:tcPr>
            <w:tcW w:w="419"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88.3%</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3.664</w:t>
            </w:r>
          </w:p>
        </w:tc>
        <w:tc>
          <w:tcPr>
            <w:tcW w:w="419"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93.2%</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3.753</w:t>
            </w:r>
          </w:p>
        </w:tc>
        <w:tc>
          <w:tcPr>
            <w:tcW w:w="419"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94.7%</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3.817</w:t>
            </w:r>
          </w:p>
        </w:tc>
        <w:tc>
          <w:tcPr>
            <w:tcW w:w="419"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95.6%</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3.907</w:t>
            </w:r>
          </w:p>
        </w:tc>
        <w:tc>
          <w:tcPr>
            <w:tcW w:w="41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745CC" w:rsidP="00525353">
            <w:pPr>
              <w:keepNext/>
              <w:adjustRightInd w:val="0"/>
              <w:spacing w:before="40" w:after="120"/>
              <w:jc w:val="right"/>
              <w:rPr>
                <w:color w:val="000000"/>
                <w:sz w:val="20"/>
              </w:rPr>
            </w:pPr>
            <w:r w:rsidRPr="003745CC">
              <w:rPr>
                <w:color w:val="000000"/>
                <w:sz w:val="20"/>
              </w:rPr>
              <w:t>97.3%</w:t>
            </w:r>
          </w:p>
        </w:tc>
      </w:tr>
      <w:tr w:rsidTr="00525353">
        <w:tblPrEx>
          <w:tblW w:w="5000" w:type="pct"/>
          <w:jc w:val="center"/>
          <w:tblLayout w:type="fixed"/>
          <w:tblCellMar>
            <w:left w:w="0" w:type="dxa"/>
            <w:right w:w="0" w:type="dxa"/>
          </w:tblCellMar>
          <w:tblLook w:val="0000"/>
        </w:tblPrEx>
        <w:trPr>
          <w:cantSplit/>
          <w:trHeight w:hRule="exact" w:val="335"/>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keepNext/>
              <w:adjustRightInd w:val="0"/>
              <w:spacing w:before="40" w:after="120"/>
              <w:rPr>
                <w:b/>
                <w:bCs/>
                <w:color w:val="000000"/>
                <w:sz w:val="20"/>
              </w:rPr>
            </w:pPr>
            <w:r w:rsidRPr="005B36BB">
              <w:rPr>
                <w:b/>
                <w:bCs/>
                <w:color w:val="000000"/>
                <w:sz w:val="20"/>
              </w:rPr>
              <w:t>Pop. Evaluated</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adjustRightInd w:val="0"/>
              <w:spacing w:before="40" w:after="120"/>
              <w:jc w:val="right"/>
              <w:rPr>
                <w:color w:val="000000"/>
                <w:sz w:val="20"/>
              </w:rPr>
            </w:pPr>
            <w:r w:rsidRPr="005B36BB">
              <w:rPr>
                <w:color w:val="000000"/>
                <w:sz w:val="20"/>
              </w:rPr>
              <w:t>315.596</w:t>
            </w:r>
          </w:p>
        </w:tc>
        <w:tc>
          <w:tcPr>
            <w:tcW w:w="419"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adjustRightInd w:val="0"/>
              <w:spacing w:before="40" w:after="120"/>
              <w:jc w:val="right"/>
              <w:rPr>
                <w:color w:val="000000"/>
                <w:sz w:val="20"/>
              </w:rPr>
            </w:pP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adjustRightInd w:val="0"/>
              <w:spacing w:before="40" w:after="120"/>
              <w:jc w:val="right"/>
              <w:rPr>
                <w:color w:val="000000"/>
                <w:sz w:val="20"/>
              </w:rPr>
            </w:pPr>
            <w:r w:rsidRPr="005B36BB">
              <w:rPr>
                <w:color w:val="000000"/>
                <w:sz w:val="20"/>
              </w:rPr>
              <w:t>317.954</w:t>
            </w:r>
          </w:p>
        </w:tc>
        <w:tc>
          <w:tcPr>
            <w:tcW w:w="419"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adjustRightInd w:val="0"/>
              <w:spacing w:before="40" w:after="120"/>
              <w:jc w:val="right"/>
              <w:rPr>
                <w:color w:val="000000"/>
                <w:sz w:val="20"/>
              </w:rPr>
            </w:pP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adjustRightInd w:val="0"/>
              <w:spacing w:before="40" w:after="120"/>
              <w:jc w:val="right"/>
              <w:rPr>
                <w:color w:val="000000"/>
                <w:sz w:val="20"/>
              </w:rPr>
            </w:pPr>
            <w:r w:rsidRPr="005B36BB">
              <w:rPr>
                <w:color w:val="000000"/>
                <w:sz w:val="20"/>
              </w:rPr>
              <w:t>320.289</w:t>
            </w:r>
          </w:p>
        </w:tc>
        <w:tc>
          <w:tcPr>
            <w:tcW w:w="419"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adjustRightInd w:val="0"/>
              <w:spacing w:before="40" w:after="120"/>
              <w:jc w:val="right"/>
              <w:rPr>
                <w:color w:val="000000"/>
                <w:sz w:val="20"/>
              </w:rPr>
            </w:pP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adjustRightInd w:val="0"/>
              <w:spacing w:before="40" w:after="120"/>
              <w:jc w:val="right"/>
              <w:rPr>
                <w:color w:val="000000"/>
                <w:sz w:val="20"/>
              </w:rPr>
            </w:pPr>
            <w:r w:rsidRPr="005B36BB">
              <w:rPr>
                <w:color w:val="000000"/>
                <w:sz w:val="20"/>
              </w:rPr>
              <w:t>322.518</w:t>
            </w:r>
          </w:p>
        </w:tc>
        <w:tc>
          <w:tcPr>
            <w:tcW w:w="419"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adjustRightInd w:val="0"/>
              <w:spacing w:before="40" w:after="120"/>
              <w:jc w:val="right"/>
              <w:rPr>
                <w:color w:val="000000"/>
                <w:sz w:val="20"/>
              </w:rPr>
            </w:pP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keepNext/>
              <w:adjustRightInd w:val="0"/>
              <w:spacing w:before="40" w:after="120"/>
              <w:jc w:val="right"/>
              <w:rPr>
                <w:color w:val="000000"/>
                <w:sz w:val="20"/>
              </w:rPr>
            </w:pPr>
            <w:r w:rsidRPr="005B36BB">
              <w:rPr>
                <w:color w:val="000000"/>
                <w:sz w:val="20"/>
              </w:rPr>
              <w:t>325.716</w:t>
            </w:r>
          </w:p>
        </w:tc>
        <w:tc>
          <w:tcPr>
            <w:tcW w:w="418"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5B36BB" w:rsidP="00525353">
            <w:pPr>
              <w:keepNext/>
              <w:adjustRightInd w:val="0"/>
              <w:spacing w:before="40" w:after="120"/>
              <w:jc w:val="right"/>
              <w:rPr>
                <w:color w:val="000000"/>
                <w:sz w:val="20"/>
              </w:rPr>
            </w:pPr>
          </w:p>
        </w:tc>
      </w:tr>
    </w:tbl>
    <w:p w:rsidR="00C6287D" w:rsidRPr="00A56B17" w:rsidP="00C6287D">
      <w:pPr>
        <w:jc w:val="center"/>
        <w:rPr>
          <w:b/>
        </w:rPr>
      </w:pPr>
    </w:p>
    <w:p w:rsidR="00C6287D" w:rsidRPr="00A56B17" w:rsidP="00C6287D">
      <w:pPr>
        <w:keepNext/>
        <w:jc w:val="center"/>
        <w:rPr>
          <w:b/>
        </w:rPr>
      </w:pPr>
      <w:r w:rsidRPr="00A56B17">
        <w:rPr>
          <w:b/>
        </w:rPr>
        <w:t>Fig. 3d</w:t>
      </w:r>
    </w:p>
    <w:p w:rsidR="00C6287D" w:rsidRPr="00A56B17" w:rsidP="00C6287D">
      <w:pPr>
        <w:spacing w:after="120"/>
        <w:jc w:val="center"/>
        <w:rPr>
          <w:b/>
          <w:bCs/>
        </w:rPr>
      </w:pPr>
      <w:r w:rsidRPr="00A56B17">
        <w:rPr>
          <w:b/>
          <w:bCs/>
        </w:rPr>
        <w:t>Deployment (Millions) of Fixed Terrestrial 25 Mbps/3 Mbps Services or Mobile LTE with a Median Speed of 10 Mbps/3 Mbps</w:t>
      </w:r>
    </w:p>
    <w:tbl>
      <w:tblPr>
        <w:tblW w:w="0" w:type="auto"/>
        <w:jc w:val="center"/>
        <w:tblLayout w:type="fixed"/>
        <w:tblCellMar>
          <w:left w:w="0" w:type="dxa"/>
          <w:right w:w="0" w:type="dxa"/>
        </w:tblCellMar>
        <w:tblLook w:val="0000"/>
      </w:tblPr>
      <w:tblGrid>
        <w:gridCol w:w="2929"/>
        <w:gridCol w:w="1118"/>
        <w:gridCol w:w="752"/>
        <w:gridCol w:w="759"/>
        <w:gridCol w:w="752"/>
        <w:gridCol w:w="759"/>
        <w:gridCol w:w="752"/>
        <w:gridCol w:w="759"/>
        <w:gridCol w:w="752"/>
      </w:tblGrid>
      <w:tr w:rsidTr="00525353">
        <w:tblPrEx>
          <w:tblW w:w="0" w:type="auto"/>
          <w:jc w:val="center"/>
          <w:tblLayout w:type="fixed"/>
          <w:tblCellMar>
            <w:left w:w="0" w:type="dxa"/>
            <w:right w:w="0" w:type="dxa"/>
          </w:tblCellMar>
          <w:tblLook w:val="0000"/>
        </w:tblPrEx>
        <w:trPr>
          <w:cantSplit/>
          <w:tblHeader/>
          <w:jc w:val="center"/>
        </w:trPr>
        <w:tc>
          <w:tcPr>
            <w:tcW w:w="2929" w:type="dxa"/>
            <w:vMerge w:val="restart"/>
            <w:tcBorders>
              <w:top w:val="single" w:sz="4" w:space="0" w:color="auto"/>
              <w:left w:val="single" w:sz="4" w:space="0" w:color="auto"/>
              <w:bottom w:val="single" w:sz="4" w:space="0" w:color="auto"/>
              <w:right w:val="single" w:sz="4" w:space="0" w:color="auto"/>
            </w:tcBorders>
            <w:shd w:val="clear" w:color="auto" w:fill="90B0D9"/>
            <w:tcMar>
              <w:left w:w="40" w:type="dxa"/>
              <w:right w:w="40" w:type="dxa"/>
            </w:tcMar>
            <w:vAlign w:val="bottom"/>
          </w:tcPr>
          <w:p w:rsidR="00C6287D" w:rsidRPr="005B36BB" w:rsidP="00525353">
            <w:pPr>
              <w:autoSpaceDE w:val="0"/>
              <w:autoSpaceDN w:val="0"/>
              <w:adjustRightInd w:val="0"/>
              <w:spacing w:before="40" w:after="120"/>
              <w:rPr>
                <w:b/>
                <w:bCs/>
                <w:color w:val="000000"/>
                <w:sz w:val="20"/>
              </w:rPr>
            </w:pPr>
          </w:p>
        </w:tc>
        <w:tc>
          <w:tcPr>
            <w:tcW w:w="1870" w:type="dxa"/>
            <w:gridSpan w:val="2"/>
            <w:tcBorders>
              <w:top w:val="single" w:sz="8" w:space="0" w:color="000000"/>
              <w:left w:val="single" w:sz="4" w:space="0" w:color="auto"/>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2014</w:t>
            </w:r>
          </w:p>
        </w:tc>
        <w:tc>
          <w:tcPr>
            <w:tcW w:w="1511"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2015</w:t>
            </w:r>
          </w:p>
        </w:tc>
        <w:tc>
          <w:tcPr>
            <w:tcW w:w="1511"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2016</w:t>
            </w:r>
          </w:p>
        </w:tc>
        <w:tc>
          <w:tcPr>
            <w:tcW w:w="1511" w:type="dxa"/>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2017</w:t>
            </w:r>
          </w:p>
        </w:tc>
      </w:tr>
      <w:tr w:rsidTr="00525353">
        <w:tblPrEx>
          <w:tblW w:w="0" w:type="auto"/>
          <w:jc w:val="center"/>
          <w:tblLayout w:type="fixed"/>
          <w:tblCellMar>
            <w:left w:w="0" w:type="dxa"/>
            <w:right w:w="0" w:type="dxa"/>
          </w:tblCellMar>
          <w:tblLook w:val="0000"/>
        </w:tblPrEx>
        <w:trPr>
          <w:cantSplit/>
          <w:tblHeader/>
          <w:jc w:val="center"/>
        </w:trPr>
        <w:tc>
          <w:tcPr>
            <w:tcW w:w="2929" w:type="dxa"/>
            <w:vMerge/>
            <w:tcBorders>
              <w:left w:val="single" w:sz="4" w:space="0" w:color="auto"/>
              <w:bottom w:val="single" w:sz="4" w:space="0" w:color="auto"/>
              <w:right w:val="single" w:sz="4" w:space="0" w:color="auto"/>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p>
        </w:tc>
        <w:tc>
          <w:tcPr>
            <w:tcW w:w="1118" w:type="dxa"/>
            <w:tcBorders>
              <w:top w:val="nil"/>
              <w:left w:val="single" w:sz="4" w:space="0" w:color="auto"/>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752"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c>
          <w:tcPr>
            <w:tcW w:w="759"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752"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c>
          <w:tcPr>
            <w:tcW w:w="759"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752"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c>
          <w:tcPr>
            <w:tcW w:w="759"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752"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2929" w:type="dxa"/>
            <w:tcBorders>
              <w:top w:val="single" w:sz="4" w:space="0" w:color="auto"/>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United States</w:t>
            </w:r>
          </w:p>
        </w:tc>
        <w:tc>
          <w:tcPr>
            <w:tcW w:w="1118"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288.119</w:t>
            </w:r>
          </w:p>
        </w:tc>
        <w:tc>
          <w:tcPr>
            <w:tcW w:w="752"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97.3%</w:t>
            </w:r>
          </w:p>
        </w:tc>
        <w:tc>
          <w:tcPr>
            <w:tcW w:w="759"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290.355</w:t>
            </w:r>
          </w:p>
        </w:tc>
        <w:tc>
          <w:tcPr>
            <w:tcW w:w="752"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97.5%</w:t>
            </w:r>
          </w:p>
        </w:tc>
        <w:tc>
          <w:tcPr>
            <w:tcW w:w="759"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293.862</w:t>
            </w:r>
          </w:p>
        </w:tc>
        <w:tc>
          <w:tcPr>
            <w:tcW w:w="752"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97.9%</w:t>
            </w:r>
          </w:p>
        </w:tc>
        <w:tc>
          <w:tcPr>
            <w:tcW w:w="759"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297.955</w:t>
            </w:r>
          </w:p>
        </w:tc>
        <w:tc>
          <w:tcPr>
            <w:tcW w:w="752"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98.4%</w:t>
            </w:r>
          </w:p>
        </w:tc>
      </w:tr>
      <w:tr w:rsidTr="00525353">
        <w:tblPrEx>
          <w:tblW w:w="0" w:type="auto"/>
          <w:jc w:val="center"/>
          <w:tblLayout w:type="fixed"/>
          <w:tblCellMar>
            <w:left w:w="0" w:type="dxa"/>
            <w:right w:w="0" w:type="dxa"/>
          </w:tblCellMar>
          <w:tblLook w:val="0000"/>
        </w:tblPrEx>
        <w:trPr>
          <w:cantSplit/>
          <w:trHeight w:hRule="exact" w:val="382"/>
          <w:jc w:val="center"/>
        </w:trPr>
        <w:tc>
          <w:tcPr>
            <w:tcW w:w="2929"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Rural Areas</w:t>
            </w:r>
          </w:p>
        </w:tc>
        <w:tc>
          <w:tcPr>
            <w:tcW w:w="1118"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40.331</w:t>
            </w:r>
          </w:p>
        </w:tc>
        <w:tc>
          <w:tcPr>
            <w:tcW w:w="752"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86.9%</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40.660</w:t>
            </w:r>
          </w:p>
        </w:tc>
        <w:tc>
          <w:tcPr>
            <w:tcW w:w="752"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87.5%</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41.895</w:t>
            </w:r>
          </w:p>
        </w:tc>
        <w:tc>
          <w:tcPr>
            <w:tcW w:w="752"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89.1%</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43.192</w:t>
            </w:r>
          </w:p>
        </w:tc>
        <w:tc>
          <w:tcPr>
            <w:tcW w:w="752"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90.8%</w:t>
            </w:r>
          </w:p>
        </w:tc>
      </w:tr>
      <w:tr w:rsidTr="00525353">
        <w:tblPrEx>
          <w:tblW w:w="0" w:type="auto"/>
          <w:jc w:val="center"/>
          <w:tblLayout w:type="fixed"/>
          <w:tblCellMar>
            <w:left w:w="0" w:type="dxa"/>
            <w:right w:w="0" w:type="dxa"/>
          </w:tblCellMar>
          <w:tblLook w:val="0000"/>
        </w:tblPrEx>
        <w:trPr>
          <w:cantSplit/>
          <w:trHeight w:hRule="exact" w:val="382"/>
          <w:jc w:val="center"/>
        </w:trPr>
        <w:tc>
          <w:tcPr>
            <w:tcW w:w="2929"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Urban Areas</w:t>
            </w:r>
          </w:p>
        </w:tc>
        <w:tc>
          <w:tcPr>
            <w:tcW w:w="1118"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247.787</w:t>
            </w:r>
          </w:p>
        </w:tc>
        <w:tc>
          <w:tcPr>
            <w:tcW w:w="752"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99.2%</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249.695</w:t>
            </w:r>
          </w:p>
        </w:tc>
        <w:tc>
          <w:tcPr>
            <w:tcW w:w="752"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99.3%</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251.968</w:t>
            </w:r>
          </w:p>
        </w:tc>
        <w:tc>
          <w:tcPr>
            <w:tcW w:w="752"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99.6%</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254.763</w:t>
            </w:r>
          </w:p>
        </w:tc>
        <w:tc>
          <w:tcPr>
            <w:tcW w:w="752"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99.8%</w:t>
            </w:r>
          </w:p>
        </w:tc>
      </w:tr>
      <w:tr w:rsidTr="00525353">
        <w:tblPrEx>
          <w:tblW w:w="0" w:type="auto"/>
          <w:jc w:val="center"/>
          <w:tblLayout w:type="fixed"/>
          <w:tblCellMar>
            <w:left w:w="0" w:type="dxa"/>
            <w:right w:w="0" w:type="dxa"/>
          </w:tblCellMar>
          <w:tblLook w:val="0000"/>
        </w:tblPrEx>
        <w:trPr>
          <w:cantSplit/>
          <w:trHeight w:hRule="exact" w:val="382"/>
          <w:jc w:val="center"/>
        </w:trPr>
        <w:tc>
          <w:tcPr>
            <w:tcW w:w="2929"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Pop. Evaluated</w:t>
            </w:r>
          </w:p>
        </w:tc>
        <w:tc>
          <w:tcPr>
            <w:tcW w:w="1118"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296.204</w:t>
            </w:r>
          </w:p>
        </w:tc>
        <w:tc>
          <w:tcPr>
            <w:tcW w:w="752"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93.2%</w:t>
            </w:r>
          </w:p>
        </w:tc>
        <w:tc>
          <w:tcPr>
            <w:tcW w:w="759"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297.899</w:t>
            </w:r>
          </w:p>
        </w:tc>
        <w:tc>
          <w:tcPr>
            <w:tcW w:w="752"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93.0%</w:t>
            </w:r>
          </w:p>
        </w:tc>
        <w:tc>
          <w:tcPr>
            <w:tcW w:w="759"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300.036</w:t>
            </w:r>
          </w:p>
        </w:tc>
        <w:tc>
          <w:tcPr>
            <w:tcW w:w="752"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93.0%</w:t>
            </w:r>
          </w:p>
        </w:tc>
        <w:tc>
          <w:tcPr>
            <w:tcW w:w="759" w:type="dxa"/>
            <w:tcBorders>
              <w:top w:val="nil"/>
              <w:left w:val="single" w:sz="8" w:space="0" w:color="000000"/>
              <w:bottom w:val="single" w:sz="8" w:space="0" w:color="000000"/>
              <w:right w:val="nil"/>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302.940</w:t>
            </w:r>
          </w:p>
        </w:tc>
        <w:tc>
          <w:tcPr>
            <w:tcW w:w="752"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3745CC" w:rsidP="00525353">
            <w:pPr>
              <w:adjustRightInd w:val="0"/>
              <w:spacing w:before="40" w:after="120"/>
              <w:jc w:val="right"/>
              <w:rPr>
                <w:color w:val="000000"/>
                <w:sz w:val="20"/>
              </w:rPr>
            </w:pPr>
            <w:r w:rsidRPr="003745CC">
              <w:rPr>
                <w:color w:val="000000"/>
                <w:sz w:val="20"/>
              </w:rPr>
              <w:t>93.0%</w:t>
            </w:r>
          </w:p>
        </w:tc>
      </w:tr>
    </w:tbl>
    <w:p w:rsidR="00C6287D" w:rsidRPr="00A56B17" w:rsidP="00C6287D">
      <w:pPr>
        <w:pStyle w:val="Heading3"/>
        <w:spacing w:before="120"/>
      </w:pPr>
      <w:bookmarkStart w:id="223" w:name="_Toc780514"/>
      <w:bookmarkStart w:id="224" w:name="_Toc970734"/>
      <w:bookmarkStart w:id="225" w:name="_Toc527724386"/>
      <w:bookmarkStart w:id="226" w:name="_Toc780515"/>
      <w:bookmarkStart w:id="227" w:name="_Toc529180605"/>
      <w:bookmarkStart w:id="228" w:name="_Toc530069128"/>
      <w:bookmarkStart w:id="229" w:name="_Toc530147031"/>
      <w:bookmarkStart w:id="230" w:name="_Toc530148243"/>
      <w:bookmarkStart w:id="231" w:name="_Toc970735"/>
      <w:bookmarkStart w:id="232" w:name="_Toc1469950"/>
      <w:bookmarkStart w:id="233" w:name="_Toc2676104"/>
      <w:bookmarkEnd w:id="223"/>
      <w:bookmarkEnd w:id="224"/>
      <w:r w:rsidRPr="00A56B17">
        <w:t>Additional Deployment Estimates</w:t>
      </w:r>
      <w:bookmarkEnd w:id="225"/>
      <w:bookmarkEnd w:id="226"/>
      <w:bookmarkEnd w:id="227"/>
      <w:bookmarkEnd w:id="228"/>
      <w:bookmarkEnd w:id="229"/>
      <w:bookmarkEnd w:id="230"/>
      <w:bookmarkEnd w:id="231"/>
      <w:bookmarkEnd w:id="232"/>
      <w:bookmarkEnd w:id="233"/>
    </w:p>
    <w:p w:rsidR="00C6287D" w:rsidRPr="00A56B17" w:rsidP="00C6287D">
      <w:pPr>
        <w:pStyle w:val="ParaNum"/>
      </w:pPr>
      <w:r>
        <w:t>Figure</w:t>
      </w:r>
      <w:r w:rsidRPr="00A56B17">
        <w:t xml:space="preserve"> 4 shows deployment of fixed terrestrial services at various speed tiers since 2013.</w:t>
      </w:r>
      <w:r>
        <w:rPr>
          <w:sz w:val="20"/>
          <w:vertAlign w:val="superscript"/>
        </w:rPr>
        <w:footnoteReference w:id="127"/>
      </w:r>
      <w:r w:rsidRPr="00A56B17">
        <w:t xml:space="preserve">  As of December 2017, fixed terrestrial service of 10 Mbps/1 Mbps is deployed to 9</w:t>
      </w:r>
      <w:r>
        <w:t>6.9</w:t>
      </w:r>
      <w:r w:rsidRPr="00A56B17">
        <w:t>% of all Americans, up from 95.8% in 2016, and deployment of fixed terrestrial 50 Mbps/5 Mbps service is deployed to 9</w:t>
      </w:r>
      <w:r>
        <w:t>1.6</w:t>
      </w:r>
      <w:r w:rsidRPr="00A56B17">
        <w:t>% of the population, up from 90.3% in 2016.  From 2016 to 2017, the deployment of 100 Mbps/10 Mbps increased from 75.7% to 8</w:t>
      </w:r>
      <w:r>
        <w:t>8.5</w:t>
      </w:r>
      <w:r w:rsidRPr="00A56B17">
        <w:t xml:space="preserve">% of the population, and the deployment of 250 Mbps/25 Mbps increased from 43.7% to </w:t>
      </w:r>
      <w:r>
        <w:t>58.8</w:t>
      </w:r>
      <w:r w:rsidRPr="00A56B17">
        <w:t xml:space="preserve">% of the population.  Deployment in rural areas and on Tribal lands lags behind deployment in urban areas at all five speed tiers, but the data show year-over-year improvements for all speeds in these areas. </w:t>
      </w:r>
    </w:p>
    <w:p w:rsidR="00C6287D" w:rsidRPr="00A56B17" w:rsidP="003D74E4">
      <w:pPr>
        <w:keepNext/>
        <w:jc w:val="center"/>
        <w:rPr>
          <w:b/>
        </w:rPr>
      </w:pPr>
      <w:r w:rsidRPr="00A56B17">
        <w:rPr>
          <w:b/>
        </w:rPr>
        <w:t>Fig. 4</w:t>
      </w:r>
    </w:p>
    <w:p w:rsidR="00C6287D" w:rsidP="003D74E4">
      <w:pPr>
        <w:spacing w:after="120"/>
        <w:jc w:val="center"/>
        <w:rPr>
          <w:b/>
        </w:rPr>
      </w:pPr>
      <w:r w:rsidRPr="00A56B17">
        <w:rPr>
          <w:b/>
        </w:rPr>
        <w:t>Deployment (Millions) of Fixed Terrestrial Services at Different Speed Tiers</w:t>
      </w:r>
    </w:p>
    <w:p w:rsidR="00C6287D" w:rsidRPr="005D70E6" w:rsidP="00C6287D">
      <w:pPr>
        <w:adjustRightInd w:val="0"/>
        <w:rPr>
          <w:b/>
          <w:bCs/>
          <w:color w:val="000000"/>
          <w:szCs w:val="22"/>
        </w:rPr>
      </w:pPr>
    </w:p>
    <w:tbl>
      <w:tblPr>
        <w:tblW w:w="0" w:type="auto"/>
        <w:jc w:val="center"/>
        <w:tblLayout w:type="fixed"/>
        <w:tblCellMar>
          <w:left w:w="0" w:type="dxa"/>
          <w:right w:w="0" w:type="dxa"/>
        </w:tblCellMar>
        <w:tblLook w:val="0000"/>
      </w:tblPr>
      <w:tblGrid>
        <w:gridCol w:w="1520"/>
        <w:gridCol w:w="780"/>
        <w:gridCol w:w="780"/>
        <w:gridCol w:w="780"/>
        <w:gridCol w:w="780"/>
        <w:gridCol w:w="780"/>
        <w:gridCol w:w="780"/>
        <w:gridCol w:w="780"/>
        <w:gridCol w:w="780"/>
        <w:gridCol w:w="780"/>
        <w:gridCol w:w="780"/>
      </w:tblGrid>
      <w:tr w:rsidTr="00525353">
        <w:tblPrEx>
          <w:tblW w:w="0" w:type="auto"/>
          <w:jc w:val="center"/>
          <w:tblLayout w:type="fixed"/>
          <w:tblCellMar>
            <w:left w:w="0" w:type="dxa"/>
            <w:right w:w="0" w:type="dxa"/>
          </w:tblCellMar>
          <w:tblLook w:val="0000"/>
        </w:tblPrEx>
        <w:trPr>
          <w:cantSplit/>
          <w:tblHeader/>
          <w:jc w:val="center"/>
        </w:trPr>
        <w:tc>
          <w:tcPr>
            <w:tcW w:w="1520"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333D4A" w:rsidP="00525353">
            <w:pPr>
              <w:adjustRightInd w:val="0"/>
              <w:spacing w:before="40" w:after="40"/>
              <w:jc w:val="center"/>
              <w:rPr>
                <w:b/>
                <w:bCs/>
                <w:color w:val="000000"/>
                <w:sz w:val="20"/>
              </w:rPr>
            </w:pPr>
            <w:bookmarkStart w:id="234" w:name="IDX"/>
            <w:bookmarkEnd w:id="234"/>
          </w:p>
        </w:tc>
        <w:tc>
          <w:tcPr>
            <w:tcW w:w="156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333D4A" w:rsidP="00525353">
            <w:pPr>
              <w:adjustRightInd w:val="0"/>
              <w:spacing w:before="40" w:after="40"/>
              <w:jc w:val="center"/>
              <w:rPr>
                <w:b/>
                <w:bCs/>
                <w:color w:val="000000"/>
                <w:sz w:val="20"/>
              </w:rPr>
            </w:pPr>
            <w:r w:rsidRPr="00333D4A">
              <w:rPr>
                <w:b/>
                <w:bCs/>
                <w:color w:val="000000"/>
                <w:sz w:val="20"/>
              </w:rPr>
              <w:t>2013</w:t>
            </w:r>
          </w:p>
        </w:tc>
        <w:tc>
          <w:tcPr>
            <w:tcW w:w="156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333D4A" w:rsidP="00525353">
            <w:pPr>
              <w:adjustRightInd w:val="0"/>
              <w:spacing w:before="40" w:after="40"/>
              <w:jc w:val="center"/>
              <w:rPr>
                <w:b/>
                <w:bCs/>
                <w:color w:val="000000"/>
                <w:sz w:val="20"/>
              </w:rPr>
            </w:pPr>
            <w:r w:rsidRPr="00333D4A">
              <w:rPr>
                <w:b/>
                <w:bCs/>
                <w:color w:val="000000"/>
                <w:sz w:val="20"/>
              </w:rPr>
              <w:t>2014</w:t>
            </w:r>
          </w:p>
        </w:tc>
        <w:tc>
          <w:tcPr>
            <w:tcW w:w="156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333D4A" w:rsidP="00525353">
            <w:pPr>
              <w:adjustRightInd w:val="0"/>
              <w:spacing w:before="40" w:after="40"/>
              <w:jc w:val="center"/>
              <w:rPr>
                <w:b/>
                <w:bCs/>
                <w:color w:val="000000"/>
                <w:sz w:val="20"/>
              </w:rPr>
            </w:pPr>
            <w:r w:rsidRPr="00333D4A">
              <w:rPr>
                <w:b/>
                <w:bCs/>
                <w:color w:val="000000"/>
                <w:sz w:val="20"/>
              </w:rPr>
              <w:t>2015</w:t>
            </w:r>
          </w:p>
        </w:tc>
        <w:tc>
          <w:tcPr>
            <w:tcW w:w="156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333D4A" w:rsidP="00525353">
            <w:pPr>
              <w:adjustRightInd w:val="0"/>
              <w:spacing w:before="40" w:after="40"/>
              <w:jc w:val="center"/>
              <w:rPr>
                <w:b/>
                <w:bCs/>
                <w:color w:val="000000"/>
                <w:sz w:val="20"/>
              </w:rPr>
            </w:pPr>
            <w:r w:rsidRPr="00333D4A">
              <w:rPr>
                <w:b/>
                <w:bCs/>
                <w:color w:val="000000"/>
                <w:sz w:val="20"/>
              </w:rPr>
              <w:t>2016</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333D4A" w:rsidP="00525353">
            <w:pPr>
              <w:adjustRightInd w:val="0"/>
              <w:spacing w:before="40" w:after="40"/>
              <w:jc w:val="center"/>
              <w:rPr>
                <w:b/>
                <w:bCs/>
                <w:color w:val="000000"/>
                <w:sz w:val="20"/>
              </w:rPr>
            </w:pPr>
            <w:r w:rsidRPr="00333D4A">
              <w:rPr>
                <w:b/>
                <w:bCs/>
                <w:color w:val="000000"/>
                <w:sz w:val="20"/>
              </w:rPr>
              <w:t>2017</w:t>
            </w:r>
          </w:p>
        </w:tc>
      </w:tr>
      <w:tr w:rsidTr="00525353">
        <w:tblPrEx>
          <w:tblW w:w="0" w:type="auto"/>
          <w:jc w:val="center"/>
          <w:tblLayout w:type="fixed"/>
          <w:tblCellMar>
            <w:left w:w="0" w:type="dxa"/>
            <w:right w:w="0" w:type="dxa"/>
          </w:tblCellMar>
          <w:tblLook w:val="0000"/>
        </w:tblPrEx>
        <w:trPr>
          <w:cantSplit/>
          <w:tblHeader/>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333D4A" w:rsidP="00525353">
            <w:pPr>
              <w:adjustRightInd w:val="0"/>
              <w:spacing w:before="40" w:after="40"/>
              <w:jc w:val="center"/>
              <w:rPr>
                <w:b/>
                <w:bCs/>
                <w:color w:val="000000"/>
                <w:sz w:val="20"/>
              </w:rPr>
            </w:pPr>
            <w:r w:rsidRPr="00333D4A">
              <w:rPr>
                <w:b/>
                <w:bCs/>
                <w:color w:val="000000"/>
                <w:sz w:val="20"/>
              </w:rPr>
              <w:t>Area</w:t>
            </w:r>
          </w:p>
        </w:tc>
        <w:tc>
          <w:tcPr>
            <w:tcW w:w="78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333D4A" w:rsidP="00525353">
            <w:pPr>
              <w:adjustRightInd w:val="0"/>
              <w:spacing w:before="40" w:after="40"/>
              <w:jc w:val="center"/>
              <w:rPr>
                <w:b/>
                <w:bCs/>
                <w:color w:val="000000"/>
                <w:sz w:val="20"/>
              </w:rPr>
            </w:pPr>
            <w:r w:rsidRPr="00333D4A">
              <w:rPr>
                <w:b/>
                <w:bCs/>
                <w:color w:val="000000"/>
                <w:sz w:val="20"/>
              </w:rPr>
              <w:t>Pop.</w:t>
            </w:r>
          </w:p>
        </w:tc>
        <w:tc>
          <w:tcPr>
            <w:tcW w:w="78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333D4A" w:rsidP="00525353">
            <w:pPr>
              <w:adjustRightInd w:val="0"/>
              <w:spacing w:before="40" w:after="40"/>
              <w:jc w:val="center"/>
              <w:rPr>
                <w:b/>
                <w:bCs/>
                <w:color w:val="000000"/>
                <w:sz w:val="20"/>
              </w:rPr>
            </w:pPr>
            <w:r w:rsidRPr="00333D4A">
              <w:rPr>
                <w:b/>
                <w:bCs/>
                <w:color w:val="000000"/>
                <w:sz w:val="20"/>
              </w:rPr>
              <w:t>%</w:t>
            </w:r>
          </w:p>
        </w:tc>
        <w:tc>
          <w:tcPr>
            <w:tcW w:w="78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333D4A" w:rsidP="00525353">
            <w:pPr>
              <w:adjustRightInd w:val="0"/>
              <w:spacing w:before="40" w:after="40"/>
              <w:jc w:val="center"/>
              <w:rPr>
                <w:b/>
                <w:bCs/>
                <w:color w:val="000000"/>
                <w:sz w:val="20"/>
              </w:rPr>
            </w:pPr>
            <w:r w:rsidRPr="00333D4A">
              <w:rPr>
                <w:b/>
                <w:bCs/>
                <w:color w:val="000000"/>
                <w:sz w:val="20"/>
              </w:rPr>
              <w:t>Pop.</w:t>
            </w:r>
          </w:p>
        </w:tc>
        <w:tc>
          <w:tcPr>
            <w:tcW w:w="78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333D4A" w:rsidP="00525353">
            <w:pPr>
              <w:adjustRightInd w:val="0"/>
              <w:spacing w:before="40" w:after="40"/>
              <w:jc w:val="center"/>
              <w:rPr>
                <w:b/>
                <w:bCs/>
                <w:color w:val="000000"/>
                <w:sz w:val="20"/>
              </w:rPr>
            </w:pPr>
            <w:r w:rsidRPr="00333D4A">
              <w:rPr>
                <w:b/>
                <w:bCs/>
                <w:color w:val="000000"/>
                <w:sz w:val="20"/>
              </w:rPr>
              <w:t>%</w:t>
            </w:r>
          </w:p>
        </w:tc>
        <w:tc>
          <w:tcPr>
            <w:tcW w:w="78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333D4A" w:rsidP="00525353">
            <w:pPr>
              <w:adjustRightInd w:val="0"/>
              <w:spacing w:before="40" w:after="40"/>
              <w:jc w:val="center"/>
              <w:rPr>
                <w:b/>
                <w:bCs/>
                <w:color w:val="000000"/>
                <w:sz w:val="20"/>
              </w:rPr>
            </w:pPr>
            <w:r w:rsidRPr="00333D4A">
              <w:rPr>
                <w:b/>
                <w:bCs/>
                <w:color w:val="000000"/>
                <w:sz w:val="20"/>
              </w:rPr>
              <w:t>Pop.</w:t>
            </w:r>
          </w:p>
        </w:tc>
        <w:tc>
          <w:tcPr>
            <w:tcW w:w="78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333D4A" w:rsidP="00525353">
            <w:pPr>
              <w:adjustRightInd w:val="0"/>
              <w:spacing w:before="40" w:after="40"/>
              <w:jc w:val="center"/>
              <w:rPr>
                <w:b/>
                <w:bCs/>
                <w:color w:val="000000"/>
                <w:sz w:val="20"/>
              </w:rPr>
            </w:pPr>
            <w:r w:rsidRPr="00333D4A">
              <w:rPr>
                <w:b/>
                <w:bCs/>
                <w:color w:val="000000"/>
                <w:sz w:val="20"/>
              </w:rPr>
              <w:t>%</w:t>
            </w:r>
          </w:p>
        </w:tc>
        <w:tc>
          <w:tcPr>
            <w:tcW w:w="78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333D4A" w:rsidP="00525353">
            <w:pPr>
              <w:adjustRightInd w:val="0"/>
              <w:spacing w:before="40" w:after="40"/>
              <w:jc w:val="center"/>
              <w:rPr>
                <w:b/>
                <w:bCs/>
                <w:color w:val="000000"/>
                <w:sz w:val="20"/>
              </w:rPr>
            </w:pPr>
            <w:r w:rsidRPr="00333D4A">
              <w:rPr>
                <w:b/>
                <w:bCs/>
                <w:color w:val="000000"/>
                <w:sz w:val="20"/>
              </w:rPr>
              <w:t>Pop.</w:t>
            </w:r>
          </w:p>
        </w:tc>
        <w:tc>
          <w:tcPr>
            <w:tcW w:w="78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333D4A" w:rsidP="00525353">
            <w:pPr>
              <w:adjustRightInd w:val="0"/>
              <w:spacing w:before="40" w:after="40"/>
              <w:jc w:val="center"/>
              <w:rPr>
                <w:b/>
                <w:bCs/>
                <w:color w:val="000000"/>
                <w:sz w:val="20"/>
              </w:rPr>
            </w:pPr>
            <w:r w:rsidRPr="00333D4A">
              <w:rPr>
                <w:b/>
                <w:bCs/>
                <w:color w:val="000000"/>
                <w:sz w:val="20"/>
              </w:rPr>
              <w:t>%</w:t>
            </w:r>
          </w:p>
        </w:tc>
        <w:tc>
          <w:tcPr>
            <w:tcW w:w="78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333D4A" w:rsidP="00525353">
            <w:pPr>
              <w:adjustRightInd w:val="0"/>
              <w:spacing w:before="40" w:after="40"/>
              <w:jc w:val="center"/>
              <w:rPr>
                <w:b/>
                <w:bCs/>
                <w:color w:val="000000"/>
                <w:sz w:val="20"/>
              </w:rPr>
            </w:pPr>
            <w:r w:rsidRPr="00333D4A">
              <w:rPr>
                <w:b/>
                <w:bCs/>
                <w:color w:val="000000"/>
                <w:sz w:val="20"/>
              </w:rPr>
              <w:t>Pop.</w:t>
            </w:r>
          </w:p>
        </w:tc>
        <w:tc>
          <w:tcPr>
            <w:tcW w:w="780"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333D4A" w:rsidP="00525353">
            <w:pPr>
              <w:adjustRightInd w:val="0"/>
              <w:spacing w:before="40" w:after="40"/>
              <w:jc w:val="center"/>
              <w:rPr>
                <w:b/>
                <w:bCs/>
                <w:color w:val="000000"/>
                <w:sz w:val="20"/>
              </w:rPr>
            </w:pPr>
            <w:r w:rsidRPr="00333D4A">
              <w:rPr>
                <w:b/>
                <w:bCs/>
                <w:color w:val="000000"/>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9320" w:type="dxa"/>
            <w:gridSpan w:val="11"/>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333D4A" w:rsidP="00525353">
            <w:pPr>
              <w:adjustRightInd w:val="0"/>
              <w:spacing w:before="40" w:after="40"/>
              <w:jc w:val="center"/>
              <w:rPr>
                <w:b/>
                <w:bCs/>
                <w:color w:val="000000"/>
                <w:sz w:val="20"/>
              </w:rPr>
            </w:pPr>
            <w:r w:rsidRPr="00333D4A">
              <w:rPr>
                <w:b/>
                <w:bCs/>
                <w:color w:val="000000"/>
                <w:sz w:val="20"/>
              </w:rPr>
              <w:t>10 Mbps/1 Mbps</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D61250" w:rsidP="00525353">
            <w:pPr>
              <w:adjustRightInd w:val="0"/>
              <w:spacing w:before="40" w:after="40"/>
              <w:jc w:val="center"/>
              <w:rPr>
                <w:color w:val="000000"/>
                <w:sz w:val="20"/>
              </w:rPr>
            </w:pPr>
            <w:r w:rsidRPr="00333D4A">
              <w:rPr>
                <w:color w:val="000000"/>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rPr>
                <w:b/>
                <w:bCs/>
                <w:color w:val="000000"/>
                <w:sz w:val="20"/>
              </w:rPr>
            </w:pPr>
            <w:r w:rsidRPr="00333D4A">
              <w:rPr>
                <w:b/>
                <w:bCs/>
                <w:color w:val="000000"/>
                <w:sz w:val="20"/>
              </w:rPr>
              <w:t>United States</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294.244</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93.2%</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297.873</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93.7%</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302.138</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94.3%</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309.129</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95.8%</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315.620</w:t>
            </w:r>
          </w:p>
        </w:tc>
        <w:tc>
          <w:tcPr>
            <w:tcW w:w="780"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96.9%</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ind w:left="144"/>
              <w:rPr>
                <w:b/>
                <w:bCs/>
                <w:color w:val="000000"/>
                <w:sz w:val="20"/>
              </w:rPr>
            </w:pPr>
            <w:r w:rsidRPr="00333D4A">
              <w:rPr>
                <w:b/>
                <w:bCs/>
                <w:color w:val="000000"/>
                <w:sz w:val="20"/>
              </w:rPr>
              <w:t>Rural Areas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42.573</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69.7%</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46.263</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75.1%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48.361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77.7%</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52.456</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83.4%</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56.166</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88.1%</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ind w:left="144"/>
              <w:rPr>
                <w:b/>
                <w:bCs/>
                <w:color w:val="000000"/>
                <w:sz w:val="20"/>
              </w:rPr>
            </w:pPr>
            <w:r w:rsidRPr="00333D4A">
              <w:rPr>
                <w:b/>
                <w:bCs/>
                <w:color w:val="000000"/>
                <w:sz w:val="20"/>
              </w:rPr>
              <w:t>Urban Areas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251.671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98.9%</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251.609</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98.2%</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253.777</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98.4%</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256.673</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98.9%</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259.454</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99.1%</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ind w:left="144"/>
              <w:rPr>
                <w:b/>
                <w:bCs/>
                <w:color w:val="000000"/>
                <w:sz w:val="20"/>
              </w:rPr>
            </w:pPr>
            <w:r w:rsidRPr="00333D4A">
              <w:rPr>
                <w:b/>
                <w:bCs/>
                <w:color w:val="000000"/>
                <w:sz w:val="20"/>
              </w:rPr>
              <w:t>Tribal Lands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2.622</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67.1%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2.701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68.7%</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2.886</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72.8%</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3.201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80.2%</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3.353</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83.5%</w:t>
            </w:r>
          </w:p>
        </w:tc>
      </w:tr>
      <w:tr w:rsidTr="00525353">
        <w:tblPrEx>
          <w:tblW w:w="0" w:type="auto"/>
          <w:jc w:val="center"/>
          <w:tblLayout w:type="fixed"/>
          <w:tblCellMar>
            <w:left w:w="0" w:type="dxa"/>
            <w:right w:w="0" w:type="dxa"/>
          </w:tblCellMar>
          <w:tblLook w:val="0000"/>
        </w:tblPrEx>
        <w:trPr>
          <w:cantSplit/>
          <w:trHeight w:hRule="exact" w:val="382"/>
          <w:jc w:val="center"/>
        </w:trPr>
        <w:tc>
          <w:tcPr>
            <w:tcW w:w="9320" w:type="dxa"/>
            <w:gridSpan w:val="11"/>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333D4A" w:rsidP="00525353">
            <w:pPr>
              <w:adjustRightInd w:val="0"/>
              <w:spacing w:before="40" w:after="40"/>
              <w:jc w:val="center"/>
              <w:rPr>
                <w:b/>
                <w:bCs/>
                <w:color w:val="000000"/>
                <w:sz w:val="20"/>
              </w:rPr>
            </w:pPr>
            <w:r w:rsidRPr="00333D4A">
              <w:rPr>
                <w:b/>
                <w:bCs/>
                <w:color w:val="000000"/>
                <w:sz w:val="20"/>
              </w:rPr>
              <w:t>25 Mbps/3 Mbps</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D61250" w:rsidP="00525353">
            <w:pPr>
              <w:adjustRightInd w:val="0"/>
              <w:spacing w:before="40" w:after="40"/>
              <w:jc w:val="center"/>
              <w:rPr>
                <w:color w:val="000000"/>
                <w:sz w:val="20"/>
              </w:rPr>
            </w:pPr>
            <w:r w:rsidRPr="00333D4A">
              <w:rPr>
                <w:color w:val="000000"/>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rPr>
                <w:b/>
                <w:bCs/>
                <w:color w:val="000000"/>
                <w:sz w:val="20"/>
              </w:rPr>
            </w:pPr>
            <w:r w:rsidRPr="00333D4A">
              <w:rPr>
                <w:b/>
                <w:bCs/>
                <w:color w:val="000000"/>
                <w:sz w:val="20"/>
              </w:rPr>
              <w:t>United States</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263.971</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83.6%</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284.246</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89.4%</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287.853</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89.9%</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296.373</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91.9%</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304.405</w:t>
            </w:r>
          </w:p>
        </w:tc>
        <w:tc>
          <w:tcPr>
            <w:tcW w:w="780"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93.5%</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ind w:left="144"/>
              <w:rPr>
                <w:b/>
                <w:bCs/>
                <w:color w:val="000000"/>
                <w:sz w:val="20"/>
              </w:rPr>
            </w:pPr>
            <w:r w:rsidRPr="00333D4A">
              <w:rPr>
                <w:b/>
                <w:bCs/>
                <w:color w:val="000000"/>
                <w:sz w:val="20"/>
              </w:rPr>
              <w:t>Rural Areas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29.077</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47.6%</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37.174</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60.3%</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38.271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61.5%</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42.677</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67.8%</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46.960</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73.6%</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ind w:left="144"/>
              <w:rPr>
                <w:b/>
                <w:bCs/>
                <w:color w:val="000000"/>
                <w:sz w:val="20"/>
              </w:rPr>
            </w:pPr>
            <w:r w:rsidRPr="00333D4A">
              <w:rPr>
                <w:b/>
                <w:bCs/>
                <w:color w:val="000000"/>
                <w:sz w:val="20"/>
              </w:rPr>
              <w:t>Urban Areas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234.893</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92.3%</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247.072</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96.4%</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249.582</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96.7%</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253.695</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97.7%</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257.446</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98.3%</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ind w:left="144"/>
              <w:rPr>
                <w:b/>
                <w:bCs/>
                <w:color w:val="000000"/>
                <w:sz w:val="20"/>
              </w:rPr>
            </w:pPr>
            <w:r w:rsidRPr="00333D4A">
              <w:rPr>
                <w:b/>
                <w:bCs/>
                <w:color w:val="000000"/>
                <w:sz w:val="20"/>
              </w:rPr>
              <w:t>Tribal Lands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1.449</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37.1%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2.245</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57.1%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2.290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57.8%</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2.520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63.1%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2.727</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67.9%</w:t>
            </w:r>
          </w:p>
        </w:tc>
      </w:tr>
      <w:tr w:rsidTr="00525353">
        <w:tblPrEx>
          <w:tblW w:w="0" w:type="auto"/>
          <w:jc w:val="center"/>
          <w:tblLayout w:type="fixed"/>
          <w:tblCellMar>
            <w:left w:w="0" w:type="dxa"/>
            <w:right w:w="0" w:type="dxa"/>
          </w:tblCellMar>
          <w:tblLook w:val="0000"/>
        </w:tblPrEx>
        <w:trPr>
          <w:cantSplit/>
          <w:trHeight w:hRule="exact" w:val="382"/>
          <w:jc w:val="center"/>
        </w:trPr>
        <w:tc>
          <w:tcPr>
            <w:tcW w:w="9320" w:type="dxa"/>
            <w:gridSpan w:val="11"/>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333D4A" w:rsidP="00525353">
            <w:pPr>
              <w:adjustRightInd w:val="0"/>
              <w:spacing w:before="40" w:after="40"/>
              <w:jc w:val="center"/>
              <w:rPr>
                <w:b/>
                <w:bCs/>
                <w:color w:val="000000"/>
                <w:sz w:val="20"/>
              </w:rPr>
            </w:pPr>
            <w:r w:rsidRPr="00333D4A">
              <w:rPr>
                <w:b/>
                <w:bCs/>
                <w:color w:val="000000"/>
                <w:sz w:val="20"/>
              </w:rPr>
              <w:t>50 Mbps/5 Mbps</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D61250" w:rsidP="00525353">
            <w:pPr>
              <w:adjustRightInd w:val="0"/>
              <w:spacing w:before="40" w:after="40"/>
              <w:jc w:val="center"/>
              <w:rPr>
                <w:color w:val="000000"/>
                <w:sz w:val="20"/>
              </w:rPr>
            </w:pPr>
            <w:r w:rsidRPr="00333D4A">
              <w:rPr>
                <w:color w:val="000000"/>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rPr>
                <w:b/>
                <w:bCs/>
                <w:color w:val="000000"/>
                <w:sz w:val="20"/>
              </w:rPr>
            </w:pPr>
            <w:r w:rsidRPr="00333D4A">
              <w:rPr>
                <w:b/>
                <w:bCs/>
                <w:color w:val="000000"/>
                <w:sz w:val="20"/>
              </w:rPr>
              <w:t>United States</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187.416</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59.4%</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270.740</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85.2%</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283.329</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88.5%</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291.380</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90.3%</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298.219</w:t>
            </w:r>
          </w:p>
        </w:tc>
        <w:tc>
          <w:tcPr>
            <w:tcW w:w="780"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91.6%</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ind w:left="144"/>
              <w:rPr>
                <w:b/>
                <w:bCs/>
                <w:color w:val="000000"/>
                <w:sz w:val="20"/>
              </w:rPr>
            </w:pPr>
            <w:r w:rsidRPr="00333D4A">
              <w:rPr>
                <w:b/>
                <w:bCs/>
                <w:color w:val="000000"/>
                <w:sz w:val="20"/>
              </w:rPr>
              <w:t>Rural Areas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15.571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25.5%</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32.100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52.1%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35.316</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56.7%</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39.260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62.4%</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42.428</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66.5%</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ind w:left="144"/>
              <w:rPr>
                <w:b/>
                <w:bCs/>
                <w:color w:val="000000"/>
                <w:sz w:val="20"/>
              </w:rPr>
            </w:pPr>
            <w:r w:rsidRPr="00333D4A">
              <w:rPr>
                <w:b/>
                <w:bCs/>
                <w:color w:val="000000"/>
                <w:sz w:val="20"/>
              </w:rPr>
              <w:t>Urban Areas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171.844</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67.5%</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238.640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93.1%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248.013</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96.1%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252.119</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97.1%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255.792</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97.7%</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ind w:left="144"/>
              <w:rPr>
                <w:b/>
                <w:bCs/>
                <w:color w:val="000000"/>
                <w:sz w:val="20"/>
              </w:rPr>
            </w:pPr>
            <w:r w:rsidRPr="00333D4A">
              <w:rPr>
                <w:b/>
                <w:bCs/>
                <w:color w:val="000000"/>
                <w:sz w:val="20"/>
              </w:rPr>
              <w:t>Tribal Lands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1.161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29.7%</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1.913</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48.6%</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2.116</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53.4%</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2.269</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56.9%</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2.462</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61.3%</w:t>
            </w:r>
          </w:p>
        </w:tc>
      </w:tr>
      <w:tr w:rsidTr="00525353">
        <w:tblPrEx>
          <w:tblW w:w="0" w:type="auto"/>
          <w:jc w:val="center"/>
          <w:tblLayout w:type="fixed"/>
          <w:tblCellMar>
            <w:left w:w="0" w:type="dxa"/>
            <w:right w:w="0" w:type="dxa"/>
          </w:tblCellMar>
          <w:tblLook w:val="0000"/>
        </w:tblPrEx>
        <w:trPr>
          <w:cantSplit/>
          <w:trHeight w:hRule="exact" w:val="407"/>
          <w:jc w:val="center"/>
        </w:trPr>
        <w:tc>
          <w:tcPr>
            <w:tcW w:w="9320" w:type="dxa"/>
            <w:gridSpan w:val="11"/>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333D4A" w:rsidP="00525353">
            <w:pPr>
              <w:adjustRightInd w:val="0"/>
              <w:spacing w:before="40" w:after="40"/>
              <w:jc w:val="center"/>
              <w:rPr>
                <w:b/>
                <w:bCs/>
                <w:color w:val="000000"/>
                <w:sz w:val="20"/>
              </w:rPr>
            </w:pPr>
            <w:r w:rsidRPr="00333D4A">
              <w:rPr>
                <w:b/>
                <w:bCs/>
                <w:color w:val="000000"/>
                <w:sz w:val="20"/>
              </w:rPr>
              <w:t>100 Mbps/10 Mbps</w:t>
            </w:r>
          </w:p>
          <w:p w:rsidR="00C6287D" w:rsidRPr="00333D4A" w:rsidP="00525353">
            <w:pPr>
              <w:adjustRightInd w:val="0"/>
              <w:spacing w:before="40" w:after="40"/>
              <w:jc w:val="right"/>
              <w:rPr>
                <w:color w:val="000000"/>
                <w:sz w:val="20"/>
              </w:rPr>
            </w:pPr>
            <w:r w:rsidRPr="00333D4A">
              <w:rPr>
                <w:color w:val="000000"/>
                <w:sz w:val="20"/>
              </w:rPr>
              <w:t>.</w:t>
            </w:r>
          </w:p>
          <w:p w:rsidR="00C6287D" w:rsidRPr="00333D4A" w:rsidP="00525353">
            <w:pPr>
              <w:adjustRightInd w:val="0"/>
              <w:spacing w:before="40" w:after="40"/>
              <w:jc w:val="right"/>
              <w:rPr>
                <w:color w:val="000000"/>
                <w:sz w:val="20"/>
              </w:rPr>
            </w:pPr>
            <w:r w:rsidRPr="00333D4A">
              <w:rPr>
                <w:color w:val="000000"/>
                <w:sz w:val="20"/>
              </w:rPr>
              <w:t>.</w:t>
            </w:r>
          </w:p>
          <w:p w:rsidR="00C6287D" w:rsidRPr="00333D4A" w:rsidP="00525353">
            <w:pPr>
              <w:adjustRightInd w:val="0"/>
              <w:spacing w:before="40" w:after="40"/>
              <w:jc w:val="right"/>
              <w:rPr>
                <w:color w:val="000000"/>
                <w:sz w:val="20"/>
              </w:rPr>
            </w:pPr>
            <w:r w:rsidRPr="00333D4A">
              <w:rPr>
                <w:color w:val="000000"/>
                <w:sz w:val="20"/>
              </w:rPr>
              <w:t>.</w:t>
            </w:r>
          </w:p>
          <w:p w:rsidR="00C6287D" w:rsidRPr="00333D4A" w:rsidP="00525353">
            <w:pPr>
              <w:adjustRightInd w:val="0"/>
              <w:spacing w:before="40" w:after="40"/>
              <w:jc w:val="right"/>
              <w:rPr>
                <w:color w:val="000000"/>
                <w:sz w:val="20"/>
              </w:rPr>
            </w:pPr>
            <w:r w:rsidRPr="00333D4A">
              <w:rPr>
                <w:color w:val="000000"/>
                <w:sz w:val="20"/>
              </w:rPr>
              <w:t>.</w:t>
            </w:r>
          </w:p>
          <w:p w:rsidR="00C6287D" w:rsidRPr="00333D4A" w:rsidP="00525353">
            <w:pPr>
              <w:adjustRightInd w:val="0"/>
              <w:spacing w:before="40" w:after="40"/>
              <w:jc w:val="right"/>
              <w:rPr>
                <w:color w:val="000000"/>
                <w:sz w:val="20"/>
              </w:rPr>
            </w:pPr>
            <w:r w:rsidRPr="00333D4A">
              <w:rPr>
                <w:color w:val="000000"/>
                <w:sz w:val="20"/>
              </w:rPr>
              <w:t>.</w:t>
            </w:r>
          </w:p>
          <w:p w:rsidR="00C6287D" w:rsidRPr="00333D4A" w:rsidP="00525353">
            <w:pPr>
              <w:adjustRightInd w:val="0"/>
              <w:spacing w:before="40" w:after="40"/>
              <w:jc w:val="right"/>
              <w:rPr>
                <w:color w:val="000000"/>
                <w:sz w:val="20"/>
              </w:rPr>
            </w:pPr>
            <w:r w:rsidRPr="00333D4A">
              <w:rPr>
                <w:color w:val="000000"/>
                <w:sz w:val="20"/>
              </w:rPr>
              <w:t>.</w:t>
            </w:r>
          </w:p>
          <w:p w:rsidR="00C6287D" w:rsidRPr="00333D4A" w:rsidP="00525353">
            <w:pPr>
              <w:adjustRightInd w:val="0"/>
              <w:spacing w:before="40" w:after="40"/>
              <w:jc w:val="right"/>
              <w:rPr>
                <w:color w:val="000000"/>
                <w:sz w:val="20"/>
              </w:rPr>
            </w:pPr>
            <w:r w:rsidRPr="00333D4A">
              <w:rPr>
                <w:color w:val="000000"/>
                <w:sz w:val="20"/>
              </w:rPr>
              <w:t>.</w:t>
            </w:r>
          </w:p>
          <w:p w:rsidR="00C6287D" w:rsidRPr="00333D4A" w:rsidP="00525353">
            <w:pPr>
              <w:adjustRightInd w:val="0"/>
              <w:spacing w:before="40" w:after="40"/>
              <w:jc w:val="right"/>
              <w:rPr>
                <w:color w:val="000000"/>
                <w:sz w:val="20"/>
              </w:rPr>
            </w:pPr>
            <w:r w:rsidRPr="00333D4A">
              <w:rPr>
                <w:color w:val="000000"/>
                <w:sz w:val="20"/>
              </w:rPr>
              <w:t>.</w:t>
            </w:r>
          </w:p>
          <w:p w:rsidR="00C6287D" w:rsidRPr="00333D4A" w:rsidP="00525353">
            <w:pPr>
              <w:adjustRightInd w:val="0"/>
              <w:spacing w:before="40" w:after="40"/>
              <w:jc w:val="right"/>
              <w:rPr>
                <w:color w:val="000000"/>
                <w:sz w:val="20"/>
              </w:rPr>
            </w:pPr>
            <w:r w:rsidRPr="00333D4A">
              <w:rPr>
                <w:color w:val="000000"/>
                <w:sz w:val="20"/>
              </w:rPr>
              <w:t>.</w:t>
            </w:r>
          </w:p>
          <w:p w:rsidR="00C6287D" w:rsidRPr="00D61250" w:rsidP="00525353">
            <w:pPr>
              <w:adjustRightInd w:val="0"/>
              <w:spacing w:before="40" w:after="40"/>
              <w:jc w:val="right"/>
              <w:rPr>
                <w:color w:val="000000"/>
                <w:sz w:val="20"/>
              </w:rPr>
            </w:pPr>
            <w:r w:rsidRPr="00333D4A">
              <w:rPr>
                <w:color w:val="000000"/>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rPr>
                <w:b/>
                <w:bCs/>
                <w:color w:val="000000"/>
                <w:sz w:val="20"/>
              </w:rPr>
            </w:pPr>
            <w:r w:rsidRPr="00333D4A">
              <w:rPr>
                <w:b/>
                <w:bCs/>
                <w:color w:val="000000"/>
                <w:sz w:val="20"/>
              </w:rPr>
              <w:t>United States</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165.184</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52.3%</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201.894</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63.5%</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215.582</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67.3%</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244.297</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75.7%</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288.378</w:t>
            </w:r>
          </w:p>
        </w:tc>
        <w:tc>
          <w:tcPr>
            <w:tcW w:w="780"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88.5%</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ind w:left="144"/>
              <w:rPr>
                <w:b/>
                <w:bCs/>
                <w:color w:val="000000"/>
                <w:sz w:val="20"/>
              </w:rPr>
            </w:pPr>
            <w:r w:rsidRPr="00333D4A">
              <w:rPr>
                <w:b/>
                <w:bCs/>
                <w:color w:val="000000"/>
                <w:sz w:val="20"/>
              </w:rPr>
              <w:t>Rural Areas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12.568</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20.6%</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16.472</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26.7%</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20.481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32.9%</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25.925</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41.2%</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37.395</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58.6%</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ind w:left="144"/>
              <w:rPr>
                <w:b/>
                <w:bCs/>
                <w:color w:val="000000"/>
                <w:sz w:val="20"/>
              </w:rPr>
            </w:pPr>
            <w:r w:rsidRPr="00333D4A">
              <w:rPr>
                <w:b/>
                <w:bCs/>
                <w:color w:val="000000"/>
                <w:sz w:val="20"/>
              </w:rPr>
              <w:t>Urban Areas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152.616</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60.0%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185.423</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72.3%</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195.101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75.6%</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218.372</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84.1%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250.983</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95.8%</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ind w:left="144"/>
              <w:rPr>
                <w:b/>
                <w:bCs/>
                <w:color w:val="000000"/>
                <w:sz w:val="20"/>
              </w:rPr>
            </w:pPr>
            <w:r w:rsidRPr="00333D4A">
              <w:rPr>
                <w:b/>
                <w:bCs/>
                <w:color w:val="000000"/>
                <w:sz w:val="20"/>
              </w:rPr>
              <w:t>Tribal Lands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1.058</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27.1%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1.315</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33.4%</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1.669</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42.1%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1.875</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47.0%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2.198</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54.7%</w:t>
            </w:r>
          </w:p>
        </w:tc>
      </w:tr>
      <w:tr w:rsidTr="00525353">
        <w:tblPrEx>
          <w:tblW w:w="0" w:type="auto"/>
          <w:jc w:val="center"/>
          <w:tblLayout w:type="fixed"/>
          <w:tblCellMar>
            <w:left w:w="0" w:type="dxa"/>
            <w:right w:w="0" w:type="dxa"/>
          </w:tblCellMar>
          <w:tblLook w:val="0000"/>
        </w:tblPrEx>
        <w:trPr>
          <w:cantSplit/>
          <w:trHeight w:hRule="exact" w:val="382"/>
          <w:jc w:val="center"/>
        </w:trPr>
        <w:tc>
          <w:tcPr>
            <w:tcW w:w="9320" w:type="dxa"/>
            <w:gridSpan w:val="11"/>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333D4A" w:rsidP="00525353">
            <w:pPr>
              <w:adjustRightInd w:val="0"/>
              <w:spacing w:before="40" w:after="40"/>
              <w:jc w:val="center"/>
              <w:rPr>
                <w:b/>
                <w:bCs/>
                <w:color w:val="000000"/>
                <w:sz w:val="20"/>
              </w:rPr>
            </w:pPr>
            <w:r w:rsidRPr="00333D4A">
              <w:rPr>
                <w:b/>
                <w:bCs/>
                <w:color w:val="000000"/>
                <w:sz w:val="20"/>
              </w:rPr>
              <w:t>250 Mbps/25 Mbps</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333D4A" w:rsidP="00525353">
            <w:pPr>
              <w:adjustRightInd w:val="0"/>
              <w:spacing w:before="40" w:after="40"/>
              <w:jc w:val="center"/>
              <w:rPr>
                <w:color w:val="000000"/>
                <w:sz w:val="20"/>
              </w:rPr>
            </w:pPr>
            <w:r w:rsidRPr="00333D4A">
              <w:rPr>
                <w:color w:val="000000"/>
                <w:sz w:val="20"/>
              </w:rPr>
              <w:t>.</w:t>
            </w:r>
          </w:p>
          <w:p w:rsidR="00C6287D" w:rsidRPr="00D61250" w:rsidP="00525353">
            <w:pPr>
              <w:adjustRightInd w:val="0"/>
              <w:spacing w:before="40" w:after="40"/>
              <w:jc w:val="center"/>
              <w:rPr>
                <w:color w:val="000000"/>
                <w:sz w:val="20"/>
              </w:rPr>
            </w:pPr>
            <w:r w:rsidRPr="00333D4A">
              <w:rPr>
                <w:color w:val="000000"/>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rPr>
                <w:b/>
                <w:bCs/>
                <w:color w:val="000000"/>
                <w:sz w:val="20"/>
              </w:rPr>
            </w:pPr>
            <w:r w:rsidRPr="00333D4A">
              <w:rPr>
                <w:b/>
                <w:bCs/>
                <w:color w:val="000000"/>
                <w:sz w:val="20"/>
              </w:rPr>
              <w:t>United States</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0.000</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0.0%</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15.692</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4.9%</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67.912</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21.2%</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140.795</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43.7%</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191.505</w:t>
            </w:r>
          </w:p>
        </w:tc>
        <w:tc>
          <w:tcPr>
            <w:tcW w:w="780"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58.8%</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ind w:left="144"/>
              <w:rPr>
                <w:b/>
                <w:bCs/>
                <w:color w:val="000000"/>
                <w:sz w:val="20"/>
              </w:rPr>
            </w:pPr>
            <w:r w:rsidRPr="00333D4A">
              <w:rPr>
                <w:b/>
                <w:bCs/>
                <w:color w:val="000000"/>
                <w:sz w:val="20"/>
              </w:rPr>
              <w:t>Rural Areas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0.000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0.0%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2.031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3.3%</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5.460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8.8%</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10.029</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15.9%</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18.564</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29.1%</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ind w:left="144"/>
              <w:rPr>
                <w:b/>
                <w:bCs/>
                <w:color w:val="000000"/>
                <w:sz w:val="20"/>
              </w:rPr>
            </w:pPr>
            <w:r w:rsidRPr="00333D4A">
              <w:rPr>
                <w:b/>
                <w:bCs/>
                <w:color w:val="000000"/>
                <w:sz w:val="20"/>
              </w:rPr>
              <w:t>Urban Areas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0.000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0.0%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13.662</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5.3%</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62.452</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24.2%</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130.766</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50.4%</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172.941</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66.0%</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ind w:left="144"/>
              <w:rPr>
                <w:b/>
                <w:bCs/>
                <w:color w:val="000000"/>
                <w:sz w:val="20"/>
              </w:rPr>
            </w:pPr>
            <w:r w:rsidRPr="00333D4A">
              <w:rPr>
                <w:b/>
                <w:bCs/>
                <w:color w:val="000000"/>
                <w:sz w:val="20"/>
              </w:rPr>
              <w:t>Tribal Lands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0.000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0.0%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0.048</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1.2%</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0.276</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7.0%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1.330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33.3%</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1.604</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39.9%</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333D4A" w:rsidP="00525353">
            <w:pPr>
              <w:adjustRightInd w:val="0"/>
              <w:spacing w:before="40" w:after="40"/>
              <w:rPr>
                <w:b/>
                <w:bCs/>
                <w:color w:val="000000"/>
                <w:sz w:val="20"/>
              </w:rPr>
            </w:pPr>
            <w:r w:rsidRPr="00333D4A">
              <w:rPr>
                <w:b/>
                <w:bCs/>
                <w:color w:val="000000"/>
                <w:sz w:val="20"/>
              </w:rPr>
              <w:t>Pop. Evaluated</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315.596</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317.954</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320.289</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322.518</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333D4A" w:rsidP="00525353">
            <w:pPr>
              <w:adjustRightInd w:val="0"/>
              <w:spacing w:before="40" w:after="40"/>
              <w:jc w:val="right"/>
              <w:rPr>
                <w:color w:val="000000"/>
                <w:sz w:val="20"/>
              </w:rPr>
            </w:pPr>
            <w:r w:rsidRPr="00333D4A">
              <w:rPr>
                <w:color w:val="000000"/>
                <w:sz w:val="20"/>
              </w:rPr>
              <w:t>325.716</w:t>
            </w:r>
          </w:p>
        </w:tc>
        <w:tc>
          <w:tcPr>
            <w:tcW w:w="780"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333D4A" w:rsidP="00525353">
            <w:pPr>
              <w:adjustRightInd w:val="0"/>
              <w:spacing w:before="40" w:after="40"/>
              <w:jc w:val="right"/>
              <w:rPr>
                <w:color w:val="000000"/>
                <w:sz w:val="20"/>
              </w:rPr>
            </w:pPr>
          </w:p>
        </w:tc>
      </w:tr>
    </w:tbl>
    <w:p w:rsidR="00C6287D" w:rsidRPr="00A56B17" w:rsidP="00C6287D">
      <w:pPr>
        <w:pStyle w:val="ParaNum"/>
        <w:spacing w:before="120"/>
      </w:pPr>
      <w:r w:rsidRPr="00A56B17">
        <w:t>Figure 5 presents deployment data for fixed terrestrial 25 Mbps/3 Mbps service and mobile LTE service with a speed of at least 5 Mbps/1 Mbps from 2013 through 2017 for the U.S. Territories.</w:t>
      </w:r>
      <w:r>
        <w:rPr>
          <w:sz w:val="20"/>
          <w:vertAlign w:val="superscript"/>
        </w:rPr>
        <w:footnoteReference w:id="128"/>
      </w:r>
      <w:r w:rsidRPr="00A56B17">
        <w:t xml:space="preserve">  As of 2017, Puerto Rico and the U.S. Virgin Islands accounted for over 92% of the population in the U.S. Territories.  The data suggest that as of December 2017, 85.</w:t>
      </w:r>
      <w:r>
        <w:t>8</w:t>
      </w:r>
      <w:r w:rsidRPr="00A56B17">
        <w:t>% of Americans in the U.S. Territories were covered by 25 Mbps/3 Mbps fixed terrestrial service and 5 Mbps/1 Mbps mobile LTE, which represented an increase of approximately 2</w:t>
      </w:r>
      <w:r>
        <w:t>1</w:t>
      </w:r>
      <w:r w:rsidRPr="00A56B17">
        <w:t xml:space="preserve"> percentage points since 2013.  The 2017 data may significantly overstate current deployment in the U.S. Territories, however, given </w:t>
      </w:r>
      <w:r>
        <w:t xml:space="preserve">that </w:t>
      </w:r>
      <w:r w:rsidRPr="00A56B17">
        <w:t xml:space="preserve">the </w:t>
      </w:r>
      <w:r w:rsidRPr="00A56B17">
        <w:t xml:space="preserve">deployment data </w:t>
      </w:r>
      <w:r>
        <w:t xml:space="preserve">submitted by </w:t>
      </w:r>
      <w:r w:rsidRPr="00A56B17">
        <w:t>providers do not appear to reflect infrastructure damage caused by Hurricanes Maria and Irma in 2017 even though the December 2017 data postdates the hurricanes and should reflect such damage.  Aside from the potential impact of the hurricanes, there appear to be anomalies in the underlying data presented in Figure 5.</w:t>
      </w:r>
      <w:r>
        <w:rPr>
          <w:sz w:val="20"/>
          <w:vertAlign w:val="superscript"/>
        </w:rPr>
        <w:footnoteReference w:id="129"/>
      </w:r>
      <w:r w:rsidRPr="00A56B17">
        <w:t xml:space="preserve">  Thus, the changes in reported deployment in the Form 477 data may not reflect actual changes in deployment.</w:t>
      </w:r>
    </w:p>
    <w:p w:rsidR="00C6287D" w:rsidRPr="00A56B17" w:rsidP="00525353">
      <w:pPr>
        <w:keepNext/>
        <w:jc w:val="center"/>
        <w:rPr>
          <w:b/>
        </w:rPr>
      </w:pPr>
      <w:r w:rsidRPr="00A56B17">
        <w:rPr>
          <w:b/>
        </w:rPr>
        <w:t>Fig. 5</w:t>
      </w:r>
    </w:p>
    <w:p w:rsidR="00C6287D" w:rsidRPr="00820DFD" w:rsidP="00525353">
      <w:pPr>
        <w:keepNext/>
        <w:spacing w:after="120"/>
        <w:jc w:val="center"/>
        <w:rPr>
          <w:b/>
        </w:rPr>
      </w:pPr>
      <w:r w:rsidRPr="00A56B17">
        <w:rPr>
          <w:b/>
        </w:rPr>
        <w:t>Deployment (Millions) in U.S. Territories of Terrestrial Fixed 25 Mbps/3 Mbps Services and Mobile LTE Based on a Minimum Advertised Speed of 5 Mbps/1 Mbps</w:t>
      </w:r>
    </w:p>
    <w:tbl>
      <w:tblPr>
        <w:tblW w:w="0" w:type="auto"/>
        <w:jc w:val="center"/>
        <w:tblLayout w:type="fixed"/>
        <w:tblCellMar>
          <w:left w:w="0" w:type="dxa"/>
          <w:right w:w="0" w:type="dxa"/>
        </w:tblCellMar>
        <w:tblLook w:val="0000"/>
      </w:tblPr>
      <w:tblGrid>
        <w:gridCol w:w="1520"/>
        <w:gridCol w:w="780"/>
        <w:gridCol w:w="780"/>
        <w:gridCol w:w="780"/>
        <w:gridCol w:w="780"/>
        <w:gridCol w:w="780"/>
        <w:gridCol w:w="780"/>
        <w:gridCol w:w="780"/>
        <w:gridCol w:w="780"/>
        <w:gridCol w:w="780"/>
        <w:gridCol w:w="780"/>
      </w:tblGrid>
      <w:tr w:rsidTr="00525353">
        <w:tblPrEx>
          <w:tblW w:w="0" w:type="auto"/>
          <w:jc w:val="center"/>
          <w:tblLayout w:type="fixed"/>
          <w:tblCellMar>
            <w:left w:w="0" w:type="dxa"/>
            <w:right w:w="0" w:type="dxa"/>
          </w:tblCellMar>
          <w:tblLook w:val="0000"/>
        </w:tblPrEx>
        <w:trPr>
          <w:cantSplit/>
          <w:tblHeader/>
          <w:jc w:val="center"/>
        </w:trPr>
        <w:tc>
          <w:tcPr>
            <w:tcW w:w="1520" w:type="dxa"/>
            <w:vMerge w:val="restart"/>
            <w:tcBorders>
              <w:top w:val="single" w:sz="4" w:space="0" w:color="auto"/>
              <w:left w:val="single" w:sz="4" w:space="0" w:color="auto"/>
              <w:bottom w:val="single" w:sz="4" w:space="0" w:color="auto"/>
              <w:right w:val="single" w:sz="4" w:space="0" w:color="auto"/>
            </w:tcBorders>
            <w:shd w:val="clear" w:color="auto" w:fill="90B0D9"/>
            <w:tcMar>
              <w:left w:w="40" w:type="dxa"/>
              <w:right w:w="40" w:type="dxa"/>
            </w:tcMar>
            <w:vAlign w:val="bottom"/>
          </w:tcPr>
          <w:p w:rsidR="00C6287D" w:rsidRPr="005B36BB" w:rsidP="00525353">
            <w:pPr>
              <w:keepNext/>
              <w:adjustRightInd w:val="0"/>
              <w:spacing w:before="40" w:after="120"/>
              <w:jc w:val="center"/>
              <w:rPr>
                <w:b/>
                <w:bCs/>
                <w:color w:val="000000"/>
                <w:sz w:val="20"/>
              </w:rPr>
            </w:pPr>
          </w:p>
        </w:tc>
        <w:tc>
          <w:tcPr>
            <w:tcW w:w="1560" w:type="dxa"/>
            <w:gridSpan w:val="2"/>
            <w:tcBorders>
              <w:top w:val="single" w:sz="8" w:space="0" w:color="000000"/>
              <w:left w:val="single" w:sz="4" w:space="0" w:color="auto"/>
              <w:bottom w:val="single" w:sz="8" w:space="0" w:color="000000"/>
              <w:right w:val="nil"/>
            </w:tcBorders>
            <w:shd w:val="clear" w:color="auto" w:fill="90B0D9"/>
            <w:tcMar>
              <w:left w:w="40" w:type="dxa"/>
              <w:right w:w="40" w:type="dxa"/>
            </w:tcMar>
            <w:vAlign w:val="bottom"/>
          </w:tcPr>
          <w:p w:rsidR="00C6287D" w:rsidRPr="005B36BB" w:rsidP="00525353">
            <w:pPr>
              <w:keepNext/>
              <w:adjustRightInd w:val="0"/>
              <w:spacing w:before="40" w:after="120"/>
              <w:jc w:val="center"/>
              <w:rPr>
                <w:b/>
                <w:bCs/>
                <w:color w:val="000000"/>
                <w:sz w:val="20"/>
              </w:rPr>
            </w:pPr>
            <w:r w:rsidRPr="005B36BB">
              <w:rPr>
                <w:b/>
                <w:bCs/>
                <w:color w:val="000000"/>
                <w:sz w:val="20"/>
              </w:rPr>
              <w:t>2013</w:t>
            </w:r>
          </w:p>
        </w:tc>
        <w:tc>
          <w:tcPr>
            <w:tcW w:w="156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adjustRightInd w:val="0"/>
              <w:spacing w:before="40" w:after="120"/>
              <w:jc w:val="center"/>
              <w:rPr>
                <w:b/>
                <w:bCs/>
                <w:color w:val="000000"/>
                <w:sz w:val="20"/>
              </w:rPr>
            </w:pPr>
            <w:r w:rsidRPr="005B36BB">
              <w:rPr>
                <w:b/>
                <w:bCs/>
                <w:color w:val="000000"/>
                <w:sz w:val="20"/>
              </w:rPr>
              <w:t>2014</w:t>
            </w:r>
          </w:p>
        </w:tc>
        <w:tc>
          <w:tcPr>
            <w:tcW w:w="156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adjustRightInd w:val="0"/>
              <w:spacing w:before="40" w:after="120"/>
              <w:jc w:val="center"/>
              <w:rPr>
                <w:b/>
                <w:bCs/>
                <w:color w:val="000000"/>
                <w:sz w:val="20"/>
              </w:rPr>
            </w:pPr>
            <w:r w:rsidRPr="005B36BB">
              <w:rPr>
                <w:b/>
                <w:bCs/>
                <w:color w:val="000000"/>
                <w:sz w:val="20"/>
              </w:rPr>
              <w:t>2015</w:t>
            </w:r>
          </w:p>
        </w:tc>
        <w:tc>
          <w:tcPr>
            <w:tcW w:w="156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adjustRightInd w:val="0"/>
              <w:spacing w:before="40" w:after="120"/>
              <w:jc w:val="center"/>
              <w:rPr>
                <w:b/>
                <w:bCs/>
                <w:color w:val="000000"/>
                <w:sz w:val="20"/>
              </w:rPr>
            </w:pPr>
            <w:r w:rsidRPr="005B36BB">
              <w:rPr>
                <w:b/>
                <w:bCs/>
                <w:color w:val="000000"/>
                <w:sz w:val="20"/>
              </w:rPr>
              <w:t>2016</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5B36BB" w:rsidP="00525353">
            <w:pPr>
              <w:keepNext/>
              <w:adjustRightInd w:val="0"/>
              <w:spacing w:before="40" w:after="120"/>
              <w:jc w:val="center"/>
              <w:rPr>
                <w:b/>
                <w:bCs/>
                <w:color w:val="000000"/>
                <w:sz w:val="20"/>
              </w:rPr>
            </w:pPr>
            <w:r w:rsidRPr="005B36BB">
              <w:rPr>
                <w:b/>
                <w:bCs/>
                <w:color w:val="000000"/>
                <w:sz w:val="20"/>
              </w:rPr>
              <w:t>2017</w:t>
            </w:r>
          </w:p>
        </w:tc>
      </w:tr>
      <w:tr w:rsidTr="00525353">
        <w:tblPrEx>
          <w:tblW w:w="0" w:type="auto"/>
          <w:jc w:val="center"/>
          <w:tblLayout w:type="fixed"/>
          <w:tblCellMar>
            <w:left w:w="0" w:type="dxa"/>
            <w:right w:w="0" w:type="dxa"/>
          </w:tblCellMar>
          <w:tblLook w:val="0000"/>
        </w:tblPrEx>
        <w:trPr>
          <w:cantSplit/>
          <w:tblHeader/>
          <w:jc w:val="center"/>
        </w:trPr>
        <w:tc>
          <w:tcPr>
            <w:tcW w:w="1520" w:type="dxa"/>
            <w:vMerge/>
            <w:tcBorders>
              <w:left w:val="single" w:sz="4" w:space="0" w:color="auto"/>
              <w:bottom w:val="single" w:sz="4" w:space="0" w:color="auto"/>
              <w:right w:val="single" w:sz="4" w:space="0" w:color="auto"/>
            </w:tcBorders>
            <w:shd w:val="clear" w:color="auto" w:fill="90B0D9"/>
            <w:tcMar>
              <w:left w:w="40" w:type="dxa"/>
              <w:right w:w="40" w:type="dxa"/>
            </w:tcMar>
            <w:vAlign w:val="bottom"/>
          </w:tcPr>
          <w:p w:rsidR="00C6287D" w:rsidRPr="005B36BB" w:rsidP="00525353">
            <w:pPr>
              <w:keepNext/>
              <w:adjustRightInd w:val="0"/>
              <w:spacing w:before="40" w:after="120"/>
              <w:jc w:val="center"/>
              <w:rPr>
                <w:b/>
                <w:bCs/>
                <w:color w:val="000000"/>
                <w:sz w:val="20"/>
              </w:rPr>
            </w:pPr>
          </w:p>
        </w:tc>
        <w:tc>
          <w:tcPr>
            <w:tcW w:w="780" w:type="dxa"/>
            <w:tcBorders>
              <w:top w:val="nil"/>
              <w:left w:val="single" w:sz="4" w:space="0" w:color="auto"/>
              <w:bottom w:val="single" w:sz="8" w:space="0" w:color="000000"/>
              <w:right w:val="nil"/>
            </w:tcBorders>
            <w:shd w:val="clear" w:color="auto" w:fill="90B0D9"/>
            <w:tcMar>
              <w:left w:w="40" w:type="dxa"/>
              <w:right w:w="40" w:type="dxa"/>
            </w:tcMar>
            <w:vAlign w:val="bottom"/>
          </w:tcPr>
          <w:p w:rsidR="00C6287D" w:rsidRPr="005B36BB" w:rsidP="00525353">
            <w:pPr>
              <w:keepNext/>
              <w:adjustRightInd w:val="0"/>
              <w:spacing w:before="40" w:after="120"/>
              <w:jc w:val="center"/>
              <w:rPr>
                <w:b/>
                <w:bCs/>
                <w:color w:val="000000"/>
                <w:sz w:val="20"/>
              </w:rPr>
            </w:pPr>
            <w:r w:rsidRPr="005B36BB">
              <w:rPr>
                <w:b/>
                <w:bCs/>
                <w:color w:val="000000"/>
                <w:sz w:val="20"/>
              </w:rPr>
              <w:t>Pop.</w:t>
            </w:r>
          </w:p>
        </w:tc>
        <w:tc>
          <w:tcPr>
            <w:tcW w:w="78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adjustRightInd w:val="0"/>
              <w:spacing w:before="40" w:after="120"/>
              <w:jc w:val="center"/>
              <w:rPr>
                <w:b/>
                <w:bCs/>
                <w:color w:val="000000"/>
                <w:sz w:val="20"/>
              </w:rPr>
            </w:pPr>
            <w:r w:rsidRPr="005B36BB">
              <w:rPr>
                <w:b/>
                <w:bCs/>
                <w:color w:val="000000"/>
                <w:sz w:val="20"/>
              </w:rPr>
              <w:t>%</w:t>
            </w:r>
          </w:p>
        </w:tc>
        <w:tc>
          <w:tcPr>
            <w:tcW w:w="78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adjustRightInd w:val="0"/>
              <w:spacing w:before="40" w:after="120"/>
              <w:jc w:val="center"/>
              <w:rPr>
                <w:b/>
                <w:bCs/>
                <w:color w:val="000000"/>
                <w:sz w:val="20"/>
              </w:rPr>
            </w:pPr>
            <w:r w:rsidRPr="005B36BB">
              <w:rPr>
                <w:b/>
                <w:bCs/>
                <w:color w:val="000000"/>
                <w:sz w:val="20"/>
              </w:rPr>
              <w:t>Pop.</w:t>
            </w:r>
          </w:p>
        </w:tc>
        <w:tc>
          <w:tcPr>
            <w:tcW w:w="78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adjustRightInd w:val="0"/>
              <w:spacing w:before="40" w:after="120"/>
              <w:jc w:val="center"/>
              <w:rPr>
                <w:b/>
                <w:bCs/>
                <w:color w:val="000000"/>
                <w:sz w:val="20"/>
              </w:rPr>
            </w:pPr>
            <w:r w:rsidRPr="005B36BB">
              <w:rPr>
                <w:b/>
                <w:bCs/>
                <w:color w:val="000000"/>
                <w:sz w:val="20"/>
              </w:rPr>
              <w:t>%</w:t>
            </w:r>
          </w:p>
        </w:tc>
        <w:tc>
          <w:tcPr>
            <w:tcW w:w="78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adjustRightInd w:val="0"/>
              <w:spacing w:before="40" w:after="120"/>
              <w:jc w:val="center"/>
              <w:rPr>
                <w:b/>
                <w:bCs/>
                <w:color w:val="000000"/>
                <w:sz w:val="20"/>
              </w:rPr>
            </w:pPr>
            <w:r w:rsidRPr="005B36BB">
              <w:rPr>
                <w:b/>
                <w:bCs/>
                <w:color w:val="000000"/>
                <w:sz w:val="20"/>
              </w:rPr>
              <w:t>Pop.</w:t>
            </w:r>
          </w:p>
        </w:tc>
        <w:tc>
          <w:tcPr>
            <w:tcW w:w="78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adjustRightInd w:val="0"/>
              <w:spacing w:before="40" w:after="120"/>
              <w:jc w:val="center"/>
              <w:rPr>
                <w:b/>
                <w:bCs/>
                <w:color w:val="000000"/>
                <w:sz w:val="20"/>
              </w:rPr>
            </w:pPr>
            <w:r w:rsidRPr="005B36BB">
              <w:rPr>
                <w:b/>
                <w:bCs/>
                <w:color w:val="000000"/>
                <w:sz w:val="20"/>
              </w:rPr>
              <w:t>%</w:t>
            </w:r>
          </w:p>
        </w:tc>
        <w:tc>
          <w:tcPr>
            <w:tcW w:w="78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adjustRightInd w:val="0"/>
              <w:spacing w:before="40" w:after="120"/>
              <w:jc w:val="center"/>
              <w:rPr>
                <w:b/>
                <w:bCs/>
                <w:color w:val="000000"/>
                <w:sz w:val="20"/>
              </w:rPr>
            </w:pPr>
            <w:r w:rsidRPr="005B36BB">
              <w:rPr>
                <w:b/>
                <w:bCs/>
                <w:color w:val="000000"/>
                <w:sz w:val="20"/>
              </w:rPr>
              <w:t>Pop.</w:t>
            </w:r>
          </w:p>
        </w:tc>
        <w:tc>
          <w:tcPr>
            <w:tcW w:w="78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adjustRightInd w:val="0"/>
              <w:spacing w:before="40" w:after="120"/>
              <w:jc w:val="center"/>
              <w:rPr>
                <w:b/>
                <w:bCs/>
                <w:color w:val="000000"/>
                <w:sz w:val="20"/>
              </w:rPr>
            </w:pPr>
            <w:r w:rsidRPr="005B36BB">
              <w:rPr>
                <w:b/>
                <w:bCs/>
                <w:color w:val="000000"/>
                <w:sz w:val="20"/>
              </w:rPr>
              <w:t>%</w:t>
            </w:r>
          </w:p>
        </w:tc>
        <w:tc>
          <w:tcPr>
            <w:tcW w:w="78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keepNext/>
              <w:adjustRightInd w:val="0"/>
              <w:spacing w:before="40" w:after="120"/>
              <w:jc w:val="center"/>
              <w:rPr>
                <w:b/>
                <w:bCs/>
                <w:color w:val="000000"/>
                <w:sz w:val="20"/>
              </w:rPr>
            </w:pPr>
            <w:r w:rsidRPr="005B36BB">
              <w:rPr>
                <w:b/>
                <w:bCs/>
                <w:color w:val="000000"/>
                <w:sz w:val="20"/>
              </w:rPr>
              <w:t>Pop.</w:t>
            </w:r>
          </w:p>
        </w:tc>
        <w:tc>
          <w:tcPr>
            <w:tcW w:w="780"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5B36BB" w:rsidP="00525353">
            <w:pPr>
              <w:keepNext/>
              <w:adjustRightInd w:val="0"/>
              <w:spacing w:before="40" w:after="120"/>
              <w:jc w:val="center"/>
              <w:rPr>
                <w:b/>
                <w:bCs/>
                <w:color w:val="000000"/>
                <w:sz w:val="20"/>
              </w:rPr>
            </w:pPr>
            <w:r w:rsidRPr="005B36BB">
              <w:rPr>
                <w:b/>
                <w:bCs/>
                <w:color w:val="000000"/>
                <w:sz w:val="20"/>
              </w:rPr>
              <w:t>%</w:t>
            </w:r>
          </w:p>
        </w:tc>
      </w:tr>
      <w:tr w:rsidTr="00525353">
        <w:tblPrEx>
          <w:tblW w:w="0" w:type="auto"/>
          <w:jc w:val="center"/>
          <w:tblLayout w:type="fixed"/>
          <w:tblCellMar>
            <w:left w:w="0" w:type="dxa"/>
            <w:right w:w="0" w:type="dxa"/>
          </w:tblCellMar>
          <w:tblLook w:val="0000"/>
        </w:tblPrEx>
        <w:trPr>
          <w:cantSplit/>
          <w:trHeight w:hRule="exact" w:val="383"/>
          <w:jc w:val="center"/>
        </w:trPr>
        <w:tc>
          <w:tcPr>
            <w:tcW w:w="9320" w:type="dxa"/>
            <w:gridSpan w:val="11"/>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5B36BB" w:rsidP="00525353">
            <w:pPr>
              <w:keepNext/>
              <w:adjustRightInd w:val="0"/>
              <w:spacing w:before="40" w:after="120"/>
              <w:jc w:val="center"/>
              <w:rPr>
                <w:b/>
                <w:color w:val="000000"/>
                <w:sz w:val="20"/>
              </w:rPr>
            </w:pPr>
            <w:r w:rsidRPr="005B36BB">
              <w:rPr>
                <w:b/>
                <w:color w:val="000000"/>
                <w:sz w:val="20"/>
              </w:rPr>
              <w:t>Fixed Terrestrial 25 Mbps/3 Mbps Fixed</w:t>
            </w:r>
          </w:p>
        </w:tc>
      </w:tr>
      <w:tr w:rsidTr="00525353">
        <w:tblPrEx>
          <w:tblW w:w="0" w:type="auto"/>
          <w:jc w:val="center"/>
          <w:tblLayout w:type="fixed"/>
          <w:tblCellMar>
            <w:left w:w="0" w:type="dxa"/>
            <w:right w:w="0" w:type="dxa"/>
          </w:tblCellMar>
          <w:tblLook w:val="0000"/>
        </w:tblPrEx>
        <w:trPr>
          <w:cantSplit/>
          <w:trHeight w:hRule="exact" w:val="383"/>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U.S. Territories</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2.627</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66.2%</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3.217</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82.4%</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2.368</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61.5%</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3.151</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83.2%</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3.192</w:t>
            </w:r>
          </w:p>
        </w:tc>
        <w:tc>
          <w:tcPr>
            <w:tcW w:w="780"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85.9%</w:t>
            </w:r>
          </w:p>
        </w:tc>
      </w:tr>
      <w:tr w:rsidTr="00525353">
        <w:tblPrEx>
          <w:tblW w:w="0" w:type="auto"/>
          <w:jc w:val="center"/>
          <w:tblLayout w:type="fixed"/>
          <w:tblCellMar>
            <w:left w:w="0" w:type="dxa"/>
            <w:right w:w="0" w:type="dxa"/>
          </w:tblCellMar>
          <w:tblLook w:val="0000"/>
        </w:tblPrEx>
        <w:trPr>
          <w:cantSplit/>
          <w:trHeight w:hRule="exact" w:val="383"/>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Rural Areas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0.218</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85.5%</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0.135</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53.5%</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0.095</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38.1%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0.143</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57.9%</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0.151</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61.6%</w:t>
            </w:r>
          </w:p>
        </w:tc>
      </w:tr>
      <w:tr w:rsidTr="00525353">
        <w:tblPrEx>
          <w:tblW w:w="0" w:type="auto"/>
          <w:jc w:val="center"/>
          <w:tblLayout w:type="fixed"/>
          <w:tblCellMar>
            <w:left w:w="0" w:type="dxa"/>
            <w:right w:w="0" w:type="dxa"/>
          </w:tblCellMar>
          <w:tblLook w:val="0000"/>
        </w:tblPrEx>
        <w:trPr>
          <w:cantSplit/>
          <w:trHeight w:hRule="exact" w:val="383"/>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Urban Areas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2.409</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64.9%</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3.082</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84.4%</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2.273</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63.1%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3.008</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85.0%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3.040</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87.6%</w:t>
            </w:r>
          </w:p>
        </w:tc>
      </w:tr>
      <w:tr w:rsidTr="00525353">
        <w:tblPrEx>
          <w:tblW w:w="0" w:type="auto"/>
          <w:jc w:val="center"/>
          <w:tblLayout w:type="fixed"/>
          <w:tblCellMar>
            <w:left w:w="0" w:type="dxa"/>
            <w:right w:w="0" w:type="dxa"/>
          </w:tblCellMar>
          <w:tblLook w:val="0000"/>
        </w:tblPrEx>
        <w:trPr>
          <w:cantSplit/>
          <w:trHeight w:hRule="exact" w:val="383"/>
          <w:jc w:val="center"/>
        </w:trPr>
        <w:tc>
          <w:tcPr>
            <w:tcW w:w="9320" w:type="dxa"/>
            <w:gridSpan w:val="11"/>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5B36BB" w:rsidP="00525353">
            <w:pPr>
              <w:adjustRightInd w:val="0"/>
              <w:spacing w:before="40" w:after="120"/>
              <w:jc w:val="center"/>
              <w:rPr>
                <w:b/>
                <w:color w:val="000000"/>
                <w:sz w:val="20"/>
              </w:rPr>
            </w:pPr>
            <w:r w:rsidRPr="005B36BB">
              <w:rPr>
                <w:b/>
                <w:color w:val="000000"/>
                <w:sz w:val="20"/>
              </w:rPr>
              <w:t>Mobile LTE with a Speed of 5 Mbps/1 Mbps</w:t>
            </w:r>
          </w:p>
        </w:tc>
      </w:tr>
      <w:tr w:rsidTr="00525353">
        <w:tblPrEx>
          <w:tblW w:w="0" w:type="auto"/>
          <w:jc w:val="center"/>
          <w:tblLayout w:type="fixed"/>
          <w:tblCellMar>
            <w:left w:w="0" w:type="dxa"/>
            <w:right w:w="0" w:type="dxa"/>
          </w:tblCellMar>
          <w:tblLook w:val="0000"/>
        </w:tblPrEx>
        <w:trPr>
          <w:cantSplit/>
          <w:trHeight w:hRule="exact" w:val="383"/>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U.S. Territories</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3.866</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97.5%</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3.762</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96.3%</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3.701</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96.1%</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3.717</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98.2%</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3.658</w:t>
            </w:r>
          </w:p>
        </w:tc>
        <w:tc>
          <w:tcPr>
            <w:tcW w:w="780"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98.4%</w:t>
            </w:r>
          </w:p>
        </w:tc>
      </w:tr>
      <w:tr w:rsidTr="00525353">
        <w:tblPrEx>
          <w:tblW w:w="0" w:type="auto"/>
          <w:jc w:val="center"/>
          <w:tblLayout w:type="fixed"/>
          <w:tblCellMar>
            <w:left w:w="0" w:type="dxa"/>
            <w:right w:w="0" w:type="dxa"/>
          </w:tblCellMar>
          <w:tblLook w:val="0000"/>
        </w:tblPrEx>
        <w:trPr>
          <w:cantSplit/>
          <w:trHeight w:hRule="exact" w:val="383"/>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Rural Areas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0.228</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89.5%</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0.226</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89.4%</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0.224</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89.5%</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0.230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93.0%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0.233</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94.8%</w:t>
            </w:r>
          </w:p>
        </w:tc>
      </w:tr>
      <w:tr w:rsidTr="00525353">
        <w:tblPrEx>
          <w:tblW w:w="0" w:type="auto"/>
          <w:jc w:val="center"/>
          <w:tblLayout w:type="fixed"/>
          <w:tblCellMar>
            <w:left w:w="0" w:type="dxa"/>
            <w:right w:w="0" w:type="dxa"/>
          </w:tblCellMar>
          <w:tblLook w:val="0000"/>
        </w:tblPrEx>
        <w:trPr>
          <w:cantSplit/>
          <w:trHeight w:hRule="exact" w:val="383"/>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Urban Areas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3.638</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98.1%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3.537</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96.8%</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3.477</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96.5%</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3.487</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98.6%</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3.425</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98.7%</w:t>
            </w:r>
          </w:p>
        </w:tc>
      </w:tr>
      <w:tr w:rsidTr="00525353">
        <w:tblPrEx>
          <w:tblW w:w="0" w:type="auto"/>
          <w:jc w:val="center"/>
          <w:tblLayout w:type="fixed"/>
          <w:tblCellMar>
            <w:left w:w="0" w:type="dxa"/>
            <w:right w:w="0" w:type="dxa"/>
          </w:tblCellMar>
          <w:tblLook w:val="0000"/>
        </w:tblPrEx>
        <w:trPr>
          <w:cantSplit/>
          <w:trHeight w:hRule="exact" w:val="383"/>
          <w:jc w:val="center"/>
        </w:trPr>
        <w:tc>
          <w:tcPr>
            <w:tcW w:w="9320" w:type="dxa"/>
            <w:gridSpan w:val="11"/>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5B36BB" w:rsidP="00525353">
            <w:pPr>
              <w:adjustRightInd w:val="0"/>
              <w:spacing w:before="40" w:after="120"/>
              <w:jc w:val="center"/>
              <w:rPr>
                <w:b/>
                <w:color w:val="000000"/>
                <w:sz w:val="20"/>
              </w:rPr>
            </w:pPr>
            <w:r w:rsidRPr="005B36BB">
              <w:rPr>
                <w:b/>
                <w:color w:val="000000"/>
                <w:sz w:val="20"/>
              </w:rPr>
              <w:t>Fixed Terrestrial 25 Mbps/3 Mbps and Mobile LTE with a Speed of 5 Mbps/1 Mbps</w:t>
            </w:r>
          </w:p>
        </w:tc>
      </w:tr>
      <w:tr w:rsidTr="00525353">
        <w:tblPrEx>
          <w:tblW w:w="0" w:type="auto"/>
          <w:jc w:val="center"/>
          <w:tblLayout w:type="fixed"/>
          <w:tblCellMar>
            <w:left w:w="0" w:type="dxa"/>
            <w:right w:w="0" w:type="dxa"/>
          </w:tblCellMar>
          <w:tblLook w:val="0000"/>
        </w:tblPrEx>
        <w:trPr>
          <w:cantSplit/>
          <w:trHeight w:hRule="exact" w:val="383"/>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U.S. Territories</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2.576</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65.0%</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3.214</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82.3%</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2.365</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61.4%</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3.147</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83.1%</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3.188</w:t>
            </w:r>
          </w:p>
        </w:tc>
        <w:tc>
          <w:tcPr>
            <w:tcW w:w="780"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85.8%</w:t>
            </w:r>
          </w:p>
        </w:tc>
      </w:tr>
      <w:tr w:rsidTr="00525353">
        <w:tblPrEx>
          <w:tblW w:w="0" w:type="auto"/>
          <w:jc w:val="center"/>
          <w:tblLayout w:type="fixed"/>
          <w:tblCellMar>
            <w:left w:w="0" w:type="dxa"/>
            <w:right w:w="0" w:type="dxa"/>
          </w:tblCellMar>
          <w:tblLook w:val="0000"/>
        </w:tblPrEx>
        <w:trPr>
          <w:cantSplit/>
          <w:trHeight w:hRule="exact" w:val="383"/>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Rural Areas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0.199</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78.0%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0.132</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52.3%</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0.093</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37.0%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0.139</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56.2%</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0.148</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60.3%</w:t>
            </w:r>
          </w:p>
        </w:tc>
      </w:tr>
      <w:tr w:rsidTr="00525353">
        <w:tblPrEx>
          <w:tblW w:w="0" w:type="auto"/>
          <w:jc w:val="center"/>
          <w:tblLayout w:type="fixed"/>
          <w:tblCellMar>
            <w:left w:w="0" w:type="dxa"/>
            <w:right w:w="0" w:type="dxa"/>
          </w:tblCellMar>
          <w:tblLook w:val="0000"/>
        </w:tblPrEx>
        <w:trPr>
          <w:cantSplit/>
          <w:trHeight w:hRule="exact" w:val="383"/>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Urban Areas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2.377</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64.1%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3.082</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84.3%</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2.272</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63.1%</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3.008</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85.0%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3.040</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87.6%</w:t>
            </w:r>
          </w:p>
        </w:tc>
      </w:tr>
      <w:tr w:rsidTr="00525353">
        <w:tblPrEx>
          <w:tblW w:w="0" w:type="auto"/>
          <w:jc w:val="center"/>
          <w:tblLayout w:type="fixed"/>
          <w:tblCellMar>
            <w:left w:w="0" w:type="dxa"/>
            <w:right w:w="0" w:type="dxa"/>
          </w:tblCellMar>
          <w:tblLook w:val="0000"/>
        </w:tblPrEx>
        <w:trPr>
          <w:cantSplit/>
          <w:trHeight w:hRule="exact" w:val="383"/>
          <w:jc w:val="center"/>
        </w:trPr>
        <w:tc>
          <w:tcPr>
            <w:tcW w:w="9320" w:type="dxa"/>
            <w:gridSpan w:val="11"/>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5B36BB" w:rsidP="00525353">
            <w:pPr>
              <w:adjustRightInd w:val="0"/>
              <w:spacing w:before="40" w:after="120"/>
              <w:jc w:val="center"/>
              <w:rPr>
                <w:color w:val="000000"/>
                <w:sz w:val="20"/>
              </w:rPr>
            </w:pPr>
            <w:r w:rsidRPr="005B36BB">
              <w:rPr>
                <w:b/>
                <w:color w:val="000000"/>
                <w:sz w:val="20"/>
              </w:rPr>
              <w:t>Fixed Terrestrial 25 Mbps/3 Mbps or Mobile LTE with a Speed of 5 Mbps/1 Mbps</w:t>
            </w:r>
          </w:p>
        </w:tc>
      </w:tr>
      <w:tr w:rsidTr="00525353">
        <w:tblPrEx>
          <w:tblW w:w="0" w:type="auto"/>
          <w:jc w:val="center"/>
          <w:tblLayout w:type="fixed"/>
          <w:tblCellMar>
            <w:left w:w="0" w:type="dxa"/>
            <w:right w:w="0" w:type="dxa"/>
          </w:tblCellMar>
          <w:tblLook w:val="0000"/>
        </w:tblPrEx>
        <w:trPr>
          <w:cantSplit/>
          <w:trHeight w:hRule="exact" w:val="383"/>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U.S. Territories</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3.917</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98.8%</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3.766</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96.4%</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3.704</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96.1%</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3.722</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98.3%</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3.661</w:t>
            </w:r>
          </w:p>
        </w:tc>
        <w:tc>
          <w:tcPr>
            <w:tcW w:w="780"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98.5%</w:t>
            </w:r>
          </w:p>
        </w:tc>
      </w:tr>
      <w:tr w:rsidTr="00525353">
        <w:tblPrEx>
          <w:tblW w:w="0" w:type="auto"/>
          <w:jc w:val="center"/>
          <w:tblLayout w:type="fixed"/>
          <w:tblCellMar>
            <w:left w:w="0" w:type="dxa"/>
            <w:right w:w="0" w:type="dxa"/>
          </w:tblCellMar>
          <w:tblLook w:val="0000"/>
        </w:tblPrEx>
        <w:trPr>
          <w:cantSplit/>
          <w:trHeight w:hRule="exact" w:val="383"/>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Rural Areas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0.247</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97.0%</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0.229</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90.5%</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0.227</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90.5%</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0.234</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94.6%</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0.236</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96.2%</w:t>
            </w:r>
          </w:p>
        </w:tc>
      </w:tr>
      <w:tr w:rsidTr="00525353">
        <w:tblPrEx>
          <w:tblW w:w="0" w:type="auto"/>
          <w:jc w:val="center"/>
          <w:tblLayout w:type="fixed"/>
          <w:tblCellMar>
            <w:left w:w="0" w:type="dxa"/>
            <w:right w:w="0" w:type="dxa"/>
          </w:tblCellMar>
          <w:tblLook w:val="0000"/>
        </w:tblPrEx>
        <w:trPr>
          <w:cantSplit/>
          <w:trHeight w:hRule="exact" w:val="383"/>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Urban Areas</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3.669</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98.9%</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3.537</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96.8%</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3.477</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96.5%</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3.488</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98.6%</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3.425</w:t>
            </w:r>
          </w:p>
        </w:tc>
        <w:tc>
          <w:tcPr>
            <w:tcW w:w="780"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98.7%</w:t>
            </w:r>
          </w:p>
        </w:tc>
      </w:tr>
      <w:tr w:rsidTr="00525353">
        <w:tblPrEx>
          <w:tblW w:w="0" w:type="auto"/>
          <w:jc w:val="center"/>
          <w:tblLayout w:type="fixed"/>
          <w:tblCellMar>
            <w:left w:w="0" w:type="dxa"/>
            <w:right w:w="0" w:type="dxa"/>
          </w:tblCellMar>
          <w:tblLook w:val="0000"/>
        </w:tblPrEx>
        <w:trPr>
          <w:cantSplit/>
          <w:trHeight w:hRule="exact" w:val="383"/>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Pop. Evaluated</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3.965</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3.906</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3.853</w:t>
            </w:r>
          </w:p>
        </w:tc>
        <w:tc>
          <w:tcPr>
            <w:tcW w:w="780"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djustRightInd w:val="0"/>
              <w:spacing w:before="40" w:after="120"/>
              <w:jc w:val="right"/>
              <w:rPr>
                <w:color w:val="000000"/>
                <w:sz w:val="20"/>
              </w:rPr>
            </w:pP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3.786</w:t>
            </w: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p>
        </w:tc>
        <w:tc>
          <w:tcPr>
            <w:tcW w:w="780"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djustRightInd w:val="0"/>
              <w:spacing w:before="40" w:after="120"/>
              <w:jc w:val="right"/>
              <w:rPr>
                <w:color w:val="000000"/>
                <w:sz w:val="20"/>
              </w:rPr>
            </w:pPr>
            <w:r w:rsidRPr="005B36BB">
              <w:rPr>
                <w:color w:val="000000"/>
                <w:sz w:val="20"/>
              </w:rPr>
              <w:t>3.716</w:t>
            </w:r>
          </w:p>
        </w:tc>
        <w:tc>
          <w:tcPr>
            <w:tcW w:w="780"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5B36BB" w:rsidP="00525353">
            <w:pPr>
              <w:adjustRightInd w:val="0"/>
              <w:spacing w:before="40" w:after="120"/>
              <w:jc w:val="right"/>
              <w:rPr>
                <w:color w:val="000000"/>
                <w:sz w:val="20"/>
              </w:rPr>
            </w:pPr>
          </w:p>
        </w:tc>
      </w:tr>
    </w:tbl>
    <w:p w:rsidR="00C6287D" w:rsidRPr="00A56B17" w:rsidP="00A94DE8">
      <w:pPr>
        <w:pStyle w:val="Heading2"/>
      </w:pPr>
      <w:bookmarkStart w:id="235" w:name="_Toc527724387"/>
      <w:bookmarkStart w:id="236" w:name="_Toc529447283"/>
      <w:bookmarkStart w:id="237" w:name="_Toc529449186"/>
      <w:bookmarkStart w:id="238" w:name="_Toc529454963"/>
      <w:bookmarkStart w:id="239" w:name="_Toc530161123"/>
      <w:bookmarkStart w:id="240" w:name="_Toc530161777"/>
      <w:bookmarkStart w:id="241" w:name="_Toc530161969"/>
      <w:bookmarkStart w:id="242" w:name="_Toc530389388"/>
      <w:bookmarkStart w:id="243" w:name="_Toc530435795"/>
      <w:bookmarkStart w:id="244" w:name="_Toc530436027"/>
      <w:bookmarkStart w:id="245" w:name="_Toc530436088"/>
      <w:bookmarkStart w:id="246" w:name="_Toc530439580"/>
      <w:bookmarkStart w:id="247" w:name="_Toc530444365"/>
      <w:bookmarkStart w:id="248" w:name="_Toc530444424"/>
      <w:bookmarkStart w:id="249" w:name="_Toc530444483"/>
      <w:bookmarkStart w:id="250" w:name="_Toc530444542"/>
      <w:bookmarkStart w:id="251" w:name="_Toc530444601"/>
      <w:bookmarkStart w:id="252" w:name="_Toc530444661"/>
      <w:bookmarkStart w:id="253" w:name="_Toc530473163"/>
      <w:bookmarkStart w:id="254" w:name="_Toc530482606"/>
      <w:bookmarkStart w:id="255" w:name="_Toc532311076"/>
      <w:bookmarkStart w:id="256" w:name="_Toc532983375"/>
      <w:bookmarkStart w:id="257" w:name="_Toc780516"/>
      <w:bookmarkStart w:id="258" w:name="_Toc529180606"/>
      <w:bookmarkStart w:id="259" w:name="_Toc530069129"/>
      <w:bookmarkStart w:id="260" w:name="_Toc530147032"/>
      <w:bookmarkStart w:id="261" w:name="_Toc530148244"/>
      <w:bookmarkStart w:id="262" w:name="_Toc970736"/>
      <w:bookmarkStart w:id="263" w:name="_Toc1469951"/>
      <w:bookmarkStart w:id="264" w:name="_Toc2676105"/>
      <w:r w:rsidRPr="00A56B17">
        <w:t>Demographic Data</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C6287D" w:rsidRPr="003E0698" w:rsidP="00C6287D">
      <w:pPr>
        <w:pStyle w:val="ParaNum"/>
        <w:snapToGrid w:val="0"/>
        <w:rPr>
          <w:lang w:val="en-GB"/>
        </w:rPr>
      </w:pPr>
      <w:r w:rsidRPr="00A56B17">
        <w:t>Figures 6 and 7 compare the available demographic data for Americans with and without coverage to fixed terrestrial 25 Mbps/3 Mbps service and mobile LTE.</w:t>
      </w:r>
      <w:r>
        <w:rPr>
          <w:vertAlign w:val="superscript"/>
        </w:rPr>
        <w:footnoteReference w:id="130"/>
      </w:r>
      <w:r w:rsidRPr="00A56B17">
        <w:t xml:space="preserve">  Figure 6 presents this analysis </w:t>
      </w:r>
      <w:r w:rsidRPr="00A56B17">
        <w:t>for the United States as a whole, urban areas, rural areas, and Tribal lands for fixed terrestrial 25 Mbps/3 Mbps service and mobile LTE with a minimum advertised speed of 5 Mbps/1 Mbps in 2017.</w:t>
      </w:r>
      <w:r>
        <w:rPr>
          <w:sz w:val="20"/>
          <w:vertAlign w:val="superscript"/>
        </w:rPr>
        <w:footnoteReference w:id="131"/>
      </w:r>
      <w:r>
        <w:t xml:space="preserve">  </w:t>
      </w:r>
      <w:r w:rsidRPr="003E0698">
        <w:t>The data show that generally Americans</w:t>
      </w:r>
      <w:r w:rsidRPr="003E0698">
        <w:rPr>
          <w:lang w:val="en-GB"/>
        </w:rPr>
        <w:t xml:space="preserve"> in areas where these services are deployed </w:t>
      </w:r>
      <w:r w:rsidRPr="003E0698">
        <w:t>typically</w:t>
      </w:r>
      <w:r w:rsidRPr="003E0698">
        <w:rPr>
          <w:lang w:val="en-GB"/>
        </w:rPr>
        <w:t xml:space="preserve"> live in census block groups with a lower percentage of households living in poverty, and with higher </w:t>
      </w:r>
      <w:r w:rsidRPr="003E0698">
        <w:rPr>
          <w:rFonts w:eastAsia="MS Mincho"/>
          <w:lang w:val="en-GB"/>
        </w:rPr>
        <w:t>average</w:t>
      </w:r>
      <w:r w:rsidRPr="003E0698">
        <w:rPr>
          <w:lang w:val="en-GB"/>
        </w:rPr>
        <w:t xml:space="preserve"> populations, population densities, per capita incomes, and median household incomes than Americans living in areas without coverage by these services.</w:t>
      </w:r>
    </w:p>
    <w:p w:rsidR="00C6287D" w:rsidRPr="00A56B17" w:rsidP="00C6287D">
      <w:pPr>
        <w:jc w:val="center"/>
        <w:rPr>
          <w:b/>
        </w:rPr>
      </w:pPr>
      <w:r w:rsidRPr="00A56B17">
        <w:rPr>
          <w:b/>
        </w:rPr>
        <w:t>Fig. 6</w:t>
      </w:r>
    </w:p>
    <w:p w:rsidR="00C6287D" w:rsidRPr="00A56B17" w:rsidP="00C6287D">
      <w:pPr>
        <w:spacing w:after="120"/>
        <w:jc w:val="center"/>
        <w:rPr>
          <w:b/>
          <w:bCs/>
        </w:rPr>
      </w:pPr>
      <w:r w:rsidRPr="00A56B17">
        <w:rPr>
          <w:b/>
          <w:bCs/>
        </w:rPr>
        <w:t>Comparison of Demographic Data Between Areas Where Fixed Terrestrial 25 Mbps/3 Mbps Services and Mobile LTE with a Minimum Advertised Speed of 5 Mbps/1 Mbps Have Been Deployed and Where These Services Have Not Been Deployed (As of December 31, 2017)</w:t>
      </w:r>
    </w:p>
    <w:tbl>
      <w:tblPr>
        <w:tblW w:w="5000" w:type="pct"/>
        <w:jc w:val="center"/>
        <w:tblLayout w:type="fixed"/>
        <w:tblCellMar>
          <w:left w:w="0" w:type="dxa"/>
          <w:right w:w="0" w:type="dxa"/>
        </w:tblCellMar>
        <w:tblLook w:val="0000"/>
      </w:tblPr>
      <w:tblGrid>
        <w:gridCol w:w="2083"/>
        <w:gridCol w:w="1274"/>
        <w:gridCol w:w="1548"/>
        <w:gridCol w:w="1546"/>
        <w:gridCol w:w="1669"/>
        <w:gridCol w:w="1320"/>
      </w:tblGrid>
      <w:tr w:rsidTr="00525353">
        <w:tblPrEx>
          <w:tblW w:w="5000" w:type="pct"/>
          <w:jc w:val="center"/>
          <w:tblLayout w:type="fixed"/>
          <w:tblCellMar>
            <w:left w:w="0" w:type="dxa"/>
            <w:right w:w="0" w:type="dxa"/>
          </w:tblCellMar>
          <w:tblLook w:val="0000"/>
        </w:tblPrEx>
        <w:trPr>
          <w:cantSplit/>
          <w:tblHeader/>
          <w:jc w:val="center"/>
        </w:trPr>
        <w:tc>
          <w:tcPr>
            <w:tcW w:w="1103"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sz w:val="20"/>
              </w:rPr>
            </w:pPr>
          </w:p>
        </w:tc>
        <w:tc>
          <w:tcPr>
            <w:tcW w:w="675"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spacing w:before="40" w:after="120"/>
              <w:jc w:val="center"/>
              <w:rPr>
                <w:b/>
                <w:sz w:val="20"/>
              </w:rPr>
            </w:pPr>
            <w:r w:rsidRPr="005B36BB">
              <w:rPr>
                <w:b/>
                <w:sz w:val="20"/>
              </w:rPr>
              <w:t>Average Population</w:t>
            </w:r>
          </w:p>
        </w:tc>
        <w:tc>
          <w:tcPr>
            <w:tcW w:w="820"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spacing w:before="40" w:after="120"/>
              <w:jc w:val="center"/>
              <w:rPr>
                <w:b/>
                <w:sz w:val="20"/>
              </w:rPr>
            </w:pPr>
            <w:r w:rsidRPr="005B36BB">
              <w:rPr>
                <w:b/>
                <w:sz w:val="20"/>
              </w:rPr>
              <w:t>Average Population Density</w:t>
            </w:r>
          </w:p>
        </w:tc>
        <w:tc>
          <w:tcPr>
            <w:tcW w:w="819"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spacing w:before="40" w:after="120"/>
              <w:jc w:val="center"/>
              <w:rPr>
                <w:b/>
                <w:sz w:val="20"/>
              </w:rPr>
            </w:pPr>
            <w:r w:rsidRPr="005B36BB">
              <w:rPr>
                <w:b/>
                <w:sz w:val="20"/>
              </w:rPr>
              <w:t>Average Per Capita Income ($2017)</w:t>
            </w:r>
          </w:p>
        </w:tc>
        <w:tc>
          <w:tcPr>
            <w:tcW w:w="884"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spacing w:before="40" w:after="120"/>
              <w:jc w:val="center"/>
              <w:rPr>
                <w:b/>
                <w:sz w:val="20"/>
              </w:rPr>
            </w:pPr>
            <w:r w:rsidRPr="005B36BB">
              <w:rPr>
                <w:b/>
                <w:sz w:val="20"/>
              </w:rPr>
              <w:t>Average Median Household Income ($2017)</w:t>
            </w:r>
          </w:p>
        </w:tc>
        <w:tc>
          <w:tcPr>
            <w:tcW w:w="699" w:type="pct"/>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5B36BB" w:rsidP="00525353">
            <w:pPr>
              <w:autoSpaceDE w:val="0"/>
              <w:autoSpaceDN w:val="0"/>
              <w:adjustRightInd w:val="0"/>
              <w:spacing w:before="40" w:after="120"/>
              <w:jc w:val="center"/>
              <w:rPr>
                <w:b/>
                <w:sz w:val="20"/>
              </w:rPr>
            </w:pPr>
            <w:r w:rsidRPr="005B36BB">
              <w:rPr>
                <w:b/>
                <w:sz w:val="20"/>
              </w:rPr>
              <w:t>Average Poverty Rate</w:t>
            </w:r>
          </w:p>
        </w:tc>
      </w:tr>
      <w:tr w:rsidTr="00525353">
        <w:tblPrEx>
          <w:tblW w:w="5000" w:type="pct"/>
          <w:jc w:val="center"/>
          <w:tblLayout w:type="fixed"/>
          <w:tblCellMar>
            <w:left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5B36BB" w:rsidP="00525353">
            <w:pPr>
              <w:autoSpaceDE w:val="0"/>
              <w:autoSpaceDN w:val="0"/>
              <w:adjustRightInd w:val="0"/>
              <w:spacing w:before="40" w:after="120"/>
              <w:rPr>
                <w:sz w:val="20"/>
              </w:rPr>
            </w:pPr>
            <w:r w:rsidRPr="005B36BB">
              <w:rPr>
                <w:b/>
                <w:sz w:val="20"/>
              </w:rPr>
              <w:t>United States (All Areas)</w:t>
            </w:r>
          </w:p>
        </w:tc>
      </w:tr>
      <w:tr w:rsidTr="00525353">
        <w:tblPrEx>
          <w:tblW w:w="5000" w:type="pct"/>
          <w:jc w:val="center"/>
          <w:tblLayout w:type="fixed"/>
          <w:tblCellMar>
            <w:left w:w="0" w:type="dxa"/>
            <w:right w:w="0" w:type="dxa"/>
          </w:tblCellMar>
          <w:tblLook w:val="0000"/>
        </w:tblPrEx>
        <w:trPr>
          <w:cantSplit/>
          <w:trHeight w:val="389"/>
          <w:jc w:val="center"/>
        </w:trPr>
        <w:tc>
          <w:tcPr>
            <w:tcW w:w="1103"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ind w:firstLine="144"/>
              <w:rPr>
                <w:b/>
                <w:sz w:val="20"/>
              </w:rPr>
            </w:pPr>
            <w:r w:rsidRPr="005B36BB">
              <w:rPr>
                <w:b/>
                <w:sz w:val="20"/>
              </w:rPr>
              <w:t>With Deployment</w:t>
            </w:r>
          </w:p>
        </w:tc>
        <w:tc>
          <w:tcPr>
            <w:tcW w:w="675"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autoSpaceDE w:val="0"/>
              <w:autoSpaceDN w:val="0"/>
              <w:adjustRightInd w:val="0"/>
              <w:spacing w:before="40" w:after="120"/>
              <w:jc w:val="center"/>
              <w:rPr>
                <w:sz w:val="20"/>
                <w:vertAlign w:val="superscript"/>
              </w:rPr>
            </w:pPr>
            <w:r w:rsidRPr="00D61250">
              <w:rPr>
                <w:sz w:val="20"/>
              </w:rPr>
              <w:t>1,</w:t>
            </w:r>
            <w:r w:rsidRPr="007C060D">
              <w:rPr>
                <w:sz w:val="20"/>
              </w:rPr>
              <w:t>512.1</w:t>
            </w:r>
            <w:r w:rsidRPr="00D61250">
              <w:rPr>
                <w:sz w:val="20"/>
              </w:rPr>
              <w:t>***</w:t>
            </w:r>
          </w:p>
        </w:tc>
        <w:tc>
          <w:tcPr>
            <w:tcW w:w="820"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autoSpaceDE w:val="0"/>
              <w:autoSpaceDN w:val="0"/>
              <w:adjustRightInd w:val="0"/>
              <w:spacing w:before="40" w:after="120"/>
              <w:jc w:val="center"/>
              <w:rPr>
                <w:sz w:val="20"/>
              </w:rPr>
            </w:pPr>
            <w:r w:rsidRPr="00D61250">
              <w:rPr>
                <w:sz w:val="20"/>
              </w:rPr>
              <w:t>7,</w:t>
            </w:r>
            <w:r w:rsidRPr="007C060D">
              <w:rPr>
                <w:sz w:val="20"/>
              </w:rPr>
              <w:t>570.7</w:t>
            </w:r>
            <w:r w:rsidRPr="00D61250">
              <w:rPr>
                <w:sz w:val="20"/>
              </w:rPr>
              <w:t>***</w:t>
            </w:r>
          </w:p>
        </w:tc>
        <w:tc>
          <w:tcPr>
            <w:tcW w:w="819"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autoSpaceDE w:val="0"/>
              <w:autoSpaceDN w:val="0"/>
              <w:adjustRightInd w:val="0"/>
              <w:spacing w:before="40" w:after="120"/>
              <w:jc w:val="center"/>
              <w:rPr>
                <w:sz w:val="20"/>
              </w:rPr>
            </w:pPr>
            <w:r w:rsidRPr="00D61250">
              <w:rPr>
                <w:sz w:val="20"/>
              </w:rPr>
              <w:t>$</w:t>
            </w:r>
            <w:r w:rsidRPr="007C060D">
              <w:rPr>
                <w:sz w:val="20"/>
              </w:rPr>
              <w:t>32,060.91</w:t>
            </w:r>
            <w:r w:rsidRPr="00D61250">
              <w:rPr>
                <w:sz w:val="20"/>
              </w:rPr>
              <w:t>***</w:t>
            </w:r>
          </w:p>
        </w:tc>
        <w:tc>
          <w:tcPr>
            <w:tcW w:w="884"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autoSpaceDE w:val="0"/>
              <w:autoSpaceDN w:val="0"/>
              <w:adjustRightInd w:val="0"/>
              <w:spacing w:before="40" w:after="120"/>
              <w:jc w:val="center"/>
              <w:rPr>
                <w:sz w:val="20"/>
              </w:rPr>
            </w:pPr>
            <w:r w:rsidRPr="00D61250">
              <w:rPr>
                <w:sz w:val="20"/>
              </w:rPr>
              <w:t>$65,</w:t>
            </w:r>
            <w:r w:rsidRPr="007C060D">
              <w:rPr>
                <w:sz w:val="20"/>
              </w:rPr>
              <w:t>497.86</w:t>
            </w:r>
            <w:r w:rsidRPr="00D61250">
              <w:rPr>
                <w:sz w:val="20"/>
              </w:rPr>
              <w:t>***</w:t>
            </w:r>
          </w:p>
        </w:tc>
        <w:tc>
          <w:tcPr>
            <w:tcW w:w="699"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7C060D" w:rsidP="00525353">
            <w:pPr>
              <w:autoSpaceDE w:val="0"/>
              <w:autoSpaceDN w:val="0"/>
              <w:adjustRightInd w:val="0"/>
              <w:spacing w:before="40" w:after="120"/>
              <w:jc w:val="center"/>
              <w:rPr>
                <w:sz w:val="20"/>
              </w:rPr>
            </w:pPr>
            <w:r w:rsidRPr="00D61250">
              <w:rPr>
                <w:sz w:val="20"/>
              </w:rPr>
              <w:t>14.7%***</w:t>
            </w:r>
          </w:p>
        </w:tc>
      </w:tr>
      <w:tr w:rsidTr="00525353">
        <w:tblPrEx>
          <w:tblW w:w="5000" w:type="pct"/>
          <w:jc w:val="center"/>
          <w:tblLayout w:type="fixed"/>
          <w:tblCellMar>
            <w:left w:w="0" w:type="dxa"/>
            <w:right w:w="0" w:type="dxa"/>
          </w:tblCellMar>
          <w:tblLook w:val="0000"/>
        </w:tblPrEx>
        <w:trPr>
          <w:cantSplit/>
          <w:trHeight w:val="389"/>
          <w:jc w:val="center"/>
        </w:trPr>
        <w:tc>
          <w:tcPr>
            <w:tcW w:w="1103"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ind w:firstLine="144"/>
              <w:rPr>
                <w:b/>
                <w:sz w:val="20"/>
              </w:rPr>
            </w:pPr>
            <w:r w:rsidRPr="005B36BB">
              <w:rPr>
                <w:b/>
                <w:sz w:val="20"/>
              </w:rPr>
              <w:t>Without Deployment</w:t>
            </w:r>
          </w:p>
        </w:tc>
        <w:tc>
          <w:tcPr>
            <w:tcW w:w="675"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autoSpaceDE w:val="0"/>
              <w:autoSpaceDN w:val="0"/>
              <w:adjustRightInd w:val="0"/>
              <w:spacing w:before="40" w:after="120"/>
              <w:jc w:val="center"/>
              <w:rPr>
                <w:sz w:val="20"/>
              </w:rPr>
            </w:pPr>
            <w:r w:rsidRPr="00D61250">
              <w:rPr>
                <w:sz w:val="20"/>
              </w:rPr>
              <w:t>1,</w:t>
            </w:r>
            <w:r w:rsidRPr="007C060D">
              <w:rPr>
                <w:sz w:val="20"/>
              </w:rPr>
              <w:t>419.6</w:t>
            </w:r>
          </w:p>
        </w:tc>
        <w:tc>
          <w:tcPr>
            <w:tcW w:w="820"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autoSpaceDE w:val="0"/>
              <w:autoSpaceDN w:val="0"/>
              <w:adjustRightInd w:val="0"/>
              <w:spacing w:before="40" w:after="120"/>
              <w:jc w:val="center"/>
              <w:rPr>
                <w:sz w:val="20"/>
              </w:rPr>
            </w:pPr>
            <w:r w:rsidRPr="007C060D">
              <w:rPr>
                <w:sz w:val="20"/>
              </w:rPr>
              <w:t>1,071.1</w:t>
            </w:r>
          </w:p>
        </w:tc>
        <w:tc>
          <w:tcPr>
            <w:tcW w:w="819"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autoSpaceDE w:val="0"/>
              <w:autoSpaceDN w:val="0"/>
              <w:adjustRightInd w:val="0"/>
              <w:spacing w:before="40" w:after="120"/>
              <w:jc w:val="center"/>
              <w:rPr>
                <w:sz w:val="20"/>
              </w:rPr>
            </w:pPr>
            <w:r w:rsidRPr="00D61250">
              <w:rPr>
                <w:sz w:val="20"/>
              </w:rPr>
              <w:t>$26,</w:t>
            </w:r>
            <w:r w:rsidRPr="007C060D">
              <w:rPr>
                <w:sz w:val="20"/>
              </w:rPr>
              <w:t>532.76</w:t>
            </w:r>
          </w:p>
        </w:tc>
        <w:tc>
          <w:tcPr>
            <w:tcW w:w="884"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autoSpaceDE w:val="0"/>
              <w:autoSpaceDN w:val="0"/>
              <w:adjustRightInd w:val="0"/>
              <w:spacing w:before="40" w:after="120"/>
              <w:jc w:val="center"/>
              <w:rPr>
                <w:sz w:val="20"/>
              </w:rPr>
            </w:pPr>
            <w:r w:rsidRPr="00D61250">
              <w:rPr>
                <w:sz w:val="20"/>
              </w:rPr>
              <w:t>$52,</w:t>
            </w:r>
            <w:r w:rsidRPr="007C060D">
              <w:rPr>
                <w:sz w:val="20"/>
              </w:rPr>
              <w:t>876.25</w:t>
            </w:r>
          </w:p>
        </w:tc>
        <w:tc>
          <w:tcPr>
            <w:tcW w:w="69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7C060D" w:rsidP="00525353">
            <w:pPr>
              <w:autoSpaceDE w:val="0"/>
              <w:autoSpaceDN w:val="0"/>
              <w:adjustRightInd w:val="0"/>
              <w:spacing w:before="40" w:after="120"/>
              <w:jc w:val="center"/>
              <w:rPr>
                <w:sz w:val="20"/>
              </w:rPr>
            </w:pPr>
            <w:r w:rsidRPr="00D61250">
              <w:rPr>
                <w:sz w:val="20"/>
              </w:rPr>
              <w:t>15.</w:t>
            </w:r>
            <w:r w:rsidRPr="007C060D">
              <w:rPr>
                <w:sz w:val="20"/>
              </w:rPr>
              <w:t>4</w:t>
            </w:r>
            <w:r w:rsidRPr="00D61250">
              <w:rPr>
                <w:sz w:val="20"/>
              </w:rPr>
              <w:t>%</w:t>
            </w:r>
          </w:p>
        </w:tc>
      </w:tr>
      <w:tr w:rsidTr="00525353">
        <w:tblPrEx>
          <w:tblW w:w="5000" w:type="pct"/>
          <w:jc w:val="center"/>
          <w:tblLayout w:type="fixed"/>
          <w:tblCellMar>
            <w:left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7C060D" w:rsidP="00525353">
            <w:pPr>
              <w:autoSpaceDE w:val="0"/>
              <w:autoSpaceDN w:val="0"/>
              <w:adjustRightInd w:val="0"/>
              <w:spacing w:before="40" w:after="120"/>
              <w:rPr>
                <w:b/>
                <w:sz w:val="20"/>
              </w:rPr>
            </w:pPr>
            <w:r w:rsidRPr="007C060D">
              <w:rPr>
                <w:b/>
                <w:sz w:val="20"/>
              </w:rPr>
              <w:t>U.S. Rural Areas</w:t>
            </w:r>
          </w:p>
        </w:tc>
      </w:tr>
      <w:tr w:rsidTr="00525353">
        <w:tblPrEx>
          <w:tblW w:w="5000" w:type="pct"/>
          <w:jc w:val="center"/>
          <w:tblLayout w:type="fixed"/>
          <w:tblCellMar>
            <w:left w:w="0" w:type="dxa"/>
            <w:right w:w="0" w:type="dxa"/>
          </w:tblCellMar>
          <w:tblLook w:val="0000"/>
        </w:tblPrEx>
        <w:trPr>
          <w:cantSplit/>
          <w:trHeight w:val="389"/>
          <w:jc w:val="center"/>
        </w:trPr>
        <w:tc>
          <w:tcPr>
            <w:tcW w:w="1103"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ind w:firstLine="144"/>
              <w:rPr>
                <w:b/>
                <w:sz w:val="20"/>
              </w:rPr>
            </w:pPr>
            <w:r w:rsidRPr="005B36BB">
              <w:rPr>
                <w:b/>
                <w:sz w:val="20"/>
              </w:rPr>
              <w:t>With Deployment</w:t>
            </w:r>
          </w:p>
        </w:tc>
        <w:tc>
          <w:tcPr>
            <w:tcW w:w="675"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autoSpaceDE w:val="0"/>
              <w:autoSpaceDN w:val="0"/>
              <w:adjustRightInd w:val="0"/>
              <w:spacing w:before="40" w:after="120"/>
              <w:jc w:val="center"/>
              <w:rPr>
                <w:sz w:val="20"/>
              </w:rPr>
            </w:pPr>
            <w:r w:rsidRPr="007C060D">
              <w:rPr>
                <w:sz w:val="20"/>
              </w:rPr>
              <w:t>1,441.8</w:t>
            </w:r>
            <w:r w:rsidRPr="00D61250">
              <w:rPr>
                <w:sz w:val="20"/>
              </w:rPr>
              <w:t>***</w:t>
            </w:r>
          </w:p>
        </w:tc>
        <w:tc>
          <w:tcPr>
            <w:tcW w:w="820"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autoSpaceDE w:val="0"/>
              <w:autoSpaceDN w:val="0"/>
              <w:adjustRightInd w:val="0"/>
              <w:spacing w:before="40" w:after="120"/>
              <w:jc w:val="center"/>
              <w:rPr>
                <w:sz w:val="20"/>
              </w:rPr>
            </w:pPr>
            <w:r w:rsidRPr="007C060D">
              <w:rPr>
                <w:sz w:val="20"/>
              </w:rPr>
              <w:t>206.6</w:t>
            </w:r>
            <w:r w:rsidRPr="00D61250">
              <w:rPr>
                <w:sz w:val="20"/>
              </w:rPr>
              <w:t>***</w:t>
            </w:r>
          </w:p>
        </w:tc>
        <w:tc>
          <w:tcPr>
            <w:tcW w:w="819"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autoSpaceDE w:val="0"/>
              <w:autoSpaceDN w:val="0"/>
              <w:adjustRightInd w:val="0"/>
              <w:spacing w:before="40" w:after="120"/>
              <w:jc w:val="center"/>
              <w:rPr>
                <w:sz w:val="20"/>
              </w:rPr>
            </w:pPr>
            <w:r w:rsidRPr="00D61250">
              <w:rPr>
                <w:sz w:val="20"/>
              </w:rPr>
              <w:t>$</w:t>
            </w:r>
            <w:r w:rsidRPr="007C060D">
              <w:rPr>
                <w:sz w:val="20"/>
              </w:rPr>
              <w:t>31,108.09</w:t>
            </w:r>
            <w:r w:rsidRPr="00D61250">
              <w:rPr>
                <w:sz w:val="20"/>
              </w:rPr>
              <w:t>***</w:t>
            </w:r>
          </w:p>
        </w:tc>
        <w:tc>
          <w:tcPr>
            <w:tcW w:w="884"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autoSpaceDE w:val="0"/>
              <w:autoSpaceDN w:val="0"/>
              <w:adjustRightInd w:val="0"/>
              <w:spacing w:before="40" w:after="120"/>
              <w:jc w:val="center"/>
              <w:rPr>
                <w:sz w:val="20"/>
              </w:rPr>
            </w:pPr>
            <w:r w:rsidRPr="00D61250">
              <w:rPr>
                <w:sz w:val="20"/>
              </w:rPr>
              <w:t>$</w:t>
            </w:r>
            <w:r w:rsidRPr="007C060D">
              <w:rPr>
                <w:sz w:val="20"/>
              </w:rPr>
              <w:t>63,207</w:t>
            </w:r>
            <w:r w:rsidRPr="00D61250">
              <w:rPr>
                <w:sz w:val="20"/>
              </w:rPr>
              <w:t>.69***</w:t>
            </w:r>
          </w:p>
        </w:tc>
        <w:tc>
          <w:tcPr>
            <w:tcW w:w="699"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7C060D" w:rsidP="00525353">
            <w:pPr>
              <w:autoSpaceDE w:val="0"/>
              <w:autoSpaceDN w:val="0"/>
              <w:adjustRightInd w:val="0"/>
              <w:spacing w:before="40" w:after="120"/>
              <w:jc w:val="center"/>
              <w:rPr>
                <w:sz w:val="20"/>
              </w:rPr>
            </w:pPr>
            <w:r w:rsidRPr="00D61250">
              <w:rPr>
                <w:sz w:val="20"/>
              </w:rPr>
              <w:t>11.2%***</w:t>
            </w:r>
          </w:p>
        </w:tc>
      </w:tr>
      <w:tr w:rsidTr="00525353">
        <w:tblPrEx>
          <w:tblW w:w="5000" w:type="pct"/>
          <w:jc w:val="center"/>
          <w:tblLayout w:type="fixed"/>
          <w:tblCellMar>
            <w:left w:w="0" w:type="dxa"/>
            <w:right w:w="0" w:type="dxa"/>
          </w:tblCellMar>
          <w:tblLook w:val="0000"/>
        </w:tblPrEx>
        <w:trPr>
          <w:cantSplit/>
          <w:trHeight w:val="389"/>
          <w:jc w:val="center"/>
        </w:trPr>
        <w:tc>
          <w:tcPr>
            <w:tcW w:w="1103"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ind w:firstLine="144"/>
              <w:rPr>
                <w:b/>
                <w:sz w:val="20"/>
              </w:rPr>
            </w:pPr>
            <w:r w:rsidRPr="005B36BB">
              <w:rPr>
                <w:b/>
                <w:sz w:val="20"/>
              </w:rPr>
              <w:t>Without Deployment</w:t>
            </w:r>
          </w:p>
        </w:tc>
        <w:tc>
          <w:tcPr>
            <w:tcW w:w="675"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autoSpaceDE w:val="0"/>
              <w:autoSpaceDN w:val="0"/>
              <w:adjustRightInd w:val="0"/>
              <w:spacing w:before="40" w:after="120"/>
              <w:jc w:val="center"/>
              <w:rPr>
                <w:sz w:val="20"/>
              </w:rPr>
            </w:pPr>
            <w:r w:rsidRPr="007C060D">
              <w:rPr>
                <w:sz w:val="20"/>
              </w:rPr>
              <w:t>1,327.8</w:t>
            </w:r>
          </w:p>
        </w:tc>
        <w:tc>
          <w:tcPr>
            <w:tcW w:w="820"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autoSpaceDE w:val="0"/>
              <w:autoSpaceDN w:val="0"/>
              <w:adjustRightInd w:val="0"/>
              <w:spacing w:before="40" w:after="120"/>
              <w:jc w:val="center"/>
              <w:rPr>
                <w:sz w:val="20"/>
              </w:rPr>
            </w:pPr>
            <w:r w:rsidRPr="007C060D">
              <w:rPr>
                <w:sz w:val="20"/>
              </w:rPr>
              <w:t>77.1</w:t>
            </w:r>
          </w:p>
        </w:tc>
        <w:tc>
          <w:tcPr>
            <w:tcW w:w="819"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autoSpaceDE w:val="0"/>
              <w:autoSpaceDN w:val="0"/>
              <w:adjustRightInd w:val="0"/>
              <w:spacing w:before="40" w:after="120"/>
              <w:jc w:val="center"/>
              <w:rPr>
                <w:sz w:val="20"/>
              </w:rPr>
            </w:pPr>
            <w:r w:rsidRPr="00D61250">
              <w:rPr>
                <w:sz w:val="20"/>
              </w:rPr>
              <w:t>$26,</w:t>
            </w:r>
            <w:r w:rsidRPr="007C060D">
              <w:rPr>
                <w:sz w:val="20"/>
              </w:rPr>
              <w:t>423.34</w:t>
            </w:r>
          </w:p>
        </w:tc>
        <w:tc>
          <w:tcPr>
            <w:tcW w:w="884"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autoSpaceDE w:val="0"/>
              <w:autoSpaceDN w:val="0"/>
              <w:adjustRightInd w:val="0"/>
              <w:spacing w:before="40" w:after="120"/>
              <w:jc w:val="center"/>
              <w:rPr>
                <w:sz w:val="20"/>
              </w:rPr>
            </w:pPr>
            <w:r w:rsidRPr="00D61250">
              <w:rPr>
                <w:sz w:val="20"/>
              </w:rPr>
              <w:t>$52,</w:t>
            </w:r>
            <w:r w:rsidRPr="007C060D">
              <w:rPr>
                <w:sz w:val="20"/>
              </w:rPr>
              <w:t>690.47</w:t>
            </w:r>
          </w:p>
        </w:tc>
        <w:tc>
          <w:tcPr>
            <w:tcW w:w="69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7C060D" w:rsidP="00525353">
            <w:pPr>
              <w:autoSpaceDE w:val="0"/>
              <w:autoSpaceDN w:val="0"/>
              <w:adjustRightInd w:val="0"/>
              <w:spacing w:before="40" w:after="120"/>
              <w:jc w:val="center"/>
              <w:rPr>
                <w:sz w:val="20"/>
              </w:rPr>
            </w:pPr>
            <w:r w:rsidRPr="00D61250">
              <w:rPr>
                <w:sz w:val="20"/>
              </w:rPr>
              <w:t>14.</w:t>
            </w:r>
            <w:r w:rsidRPr="007C060D">
              <w:rPr>
                <w:sz w:val="20"/>
              </w:rPr>
              <w:t>1</w:t>
            </w:r>
            <w:r w:rsidRPr="00D61250">
              <w:rPr>
                <w:sz w:val="20"/>
              </w:rPr>
              <w:t>%</w:t>
            </w:r>
          </w:p>
        </w:tc>
      </w:tr>
      <w:tr w:rsidTr="00525353">
        <w:tblPrEx>
          <w:tblW w:w="5000" w:type="pct"/>
          <w:jc w:val="center"/>
          <w:tblLayout w:type="fixed"/>
          <w:tblCellMar>
            <w:left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7C060D" w:rsidP="00525353">
            <w:pPr>
              <w:autoSpaceDE w:val="0"/>
              <w:autoSpaceDN w:val="0"/>
              <w:adjustRightInd w:val="0"/>
              <w:spacing w:before="40" w:after="120"/>
              <w:rPr>
                <w:b/>
                <w:sz w:val="20"/>
              </w:rPr>
            </w:pPr>
            <w:r w:rsidRPr="007C060D">
              <w:rPr>
                <w:b/>
                <w:sz w:val="20"/>
              </w:rPr>
              <w:t>U.S. Urban Areas</w:t>
            </w:r>
          </w:p>
        </w:tc>
      </w:tr>
      <w:tr w:rsidTr="00525353">
        <w:tblPrEx>
          <w:tblW w:w="5000" w:type="pct"/>
          <w:jc w:val="center"/>
          <w:tblLayout w:type="fixed"/>
          <w:tblCellMar>
            <w:left w:w="0" w:type="dxa"/>
            <w:right w:w="0" w:type="dxa"/>
          </w:tblCellMar>
          <w:tblLook w:val="0000"/>
        </w:tblPrEx>
        <w:trPr>
          <w:cantSplit/>
          <w:trHeight w:val="389"/>
          <w:jc w:val="center"/>
        </w:trPr>
        <w:tc>
          <w:tcPr>
            <w:tcW w:w="1103"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ind w:firstLine="144"/>
              <w:rPr>
                <w:b/>
                <w:sz w:val="20"/>
              </w:rPr>
            </w:pPr>
            <w:r w:rsidRPr="005B36BB">
              <w:rPr>
                <w:b/>
                <w:sz w:val="20"/>
              </w:rPr>
              <w:t>With Deployment</w:t>
            </w:r>
          </w:p>
        </w:tc>
        <w:tc>
          <w:tcPr>
            <w:tcW w:w="675"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autoSpaceDE w:val="0"/>
              <w:autoSpaceDN w:val="0"/>
              <w:adjustRightInd w:val="0"/>
              <w:spacing w:before="40" w:after="120"/>
              <w:jc w:val="center"/>
              <w:rPr>
                <w:sz w:val="20"/>
              </w:rPr>
            </w:pPr>
            <w:r w:rsidRPr="00D61250">
              <w:rPr>
                <w:color w:val="000000"/>
                <w:sz w:val="20"/>
              </w:rPr>
              <w:t>1,</w:t>
            </w:r>
            <w:r w:rsidRPr="007C060D">
              <w:rPr>
                <w:color w:val="000000"/>
                <w:sz w:val="20"/>
              </w:rPr>
              <w:t>519.6</w:t>
            </w:r>
            <w:r w:rsidRPr="00D61250">
              <w:rPr>
                <w:color w:val="000000"/>
                <w:sz w:val="20"/>
              </w:rPr>
              <w:t>***</w:t>
            </w:r>
          </w:p>
        </w:tc>
        <w:tc>
          <w:tcPr>
            <w:tcW w:w="820"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autoSpaceDE w:val="0"/>
              <w:autoSpaceDN w:val="0"/>
              <w:adjustRightInd w:val="0"/>
              <w:spacing w:before="40" w:after="120"/>
              <w:jc w:val="center"/>
              <w:rPr>
                <w:sz w:val="20"/>
              </w:rPr>
            </w:pPr>
            <w:r w:rsidRPr="00D61250">
              <w:rPr>
                <w:color w:val="000000"/>
                <w:sz w:val="20"/>
              </w:rPr>
              <w:t>8,</w:t>
            </w:r>
            <w:r w:rsidRPr="007C060D">
              <w:rPr>
                <w:color w:val="000000"/>
                <w:sz w:val="20"/>
              </w:rPr>
              <w:t>354.0</w:t>
            </w:r>
            <w:r w:rsidRPr="00D61250">
              <w:rPr>
                <w:color w:val="000000"/>
                <w:sz w:val="20"/>
              </w:rPr>
              <w:t>***</w:t>
            </w:r>
          </w:p>
        </w:tc>
        <w:tc>
          <w:tcPr>
            <w:tcW w:w="819"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autoSpaceDE w:val="0"/>
              <w:autoSpaceDN w:val="0"/>
              <w:adjustRightInd w:val="0"/>
              <w:spacing w:before="40" w:after="120"/>
              <w:jc w:val="center"/>
              <w:rPr>
                <w:sz w:val="20"/>
              </w:rPr>
            </w:pPr>
            <w:r w:rsidRPr="007C060D">
              <w:rPr>
                <w:color w:val="000000"/>
                <w:sz w:val="20"/>
              </w:rPr>
              <w:t>$32,162.26</w:t>
            </w:r>
            <w:r w:rsidRPr="00D61250">
              <w:rPr>
                <w:color w:val="000000"/>
                <w:sz w:val="20"/>
              </w:rPr>
              <w:t>***</w:t>
            </w:r>
          </w:p>
        </w:tc>
        <w:tc>
          <w:tcPr>
            <w:tcW w:w="884"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autoSpaceDE w:val="0"/>
              <w:autoSpaceDN w:val="0"/>
              <w:adjustRightInd w:val="0"/>
              <w:spacing w:before="40" w:after="120"/>
              <w:jc w:val="center"/>
              <w:rPr>
                <w:sz w:val="20"/>
              </w:rPr>
            </w:pPr>
            <w:r w:rsidRPr="007C060D">
              <w:rPr>
                <w:color w:val="000000"/>
                <w:sz w:val="20"/>
              </w:rPr>
              <w:t>$65,744.56</w:t>
            </w:r>
            <w:r w:rsidRPr="00D61250">
              <w:rPr>
                <w:color w:val="000000"/>
                <w:sz w:val="20"/>
              </w:rPr>
              <w:t>***</w:t>
            </w:r>
          </w:p>
        </w:tc>
        <w:tc>
          <w:tcPr>
            <w:tcW w:w="699"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7C060D" w:rsidP="00525353">
            <w:pPr>
              <w:autoSpaceDE w:val="0"/>
              <w:autoSpaceDN w:val="0"/>
              <w:adjustRightInd w:val="0"/>
              <w:spacing w:before="40" w:after="120"/>
              <w:jc w:val="center"/>
              <w:rPr>
                <w:sz w:val="20"/>
              </w:rPr>
            </w:pPr>
            <w:r w:rsidRPr="007C060D">
              <w:rPr>
                <w:color w:val="000000"/>
                <w:sz w:val="20"/>
              </w:rPr>
              <w:t>15.1%</w:t>
            </w:r>
            <w:r w:rsidRPr="00D61250">
              <w:rPr>
                <w:color w:val="000000"/>
                <w:sz w:val="20"/>
              </w:rPr>
              <w:t>***</w:t>
            </w:r>
          </w:p>
        </w:tc>
      </w:tr>
      <w:tr w:rsidTr="00525353">
        <w:tblPrEx>
          <w:tblW w:w="5000" w:type="pct"/>
          <w:jc w:val="center"/>
          <w:tblLayout w:type="fixed"/>
          <w:tblCellMar>
            <w:left w:w="0" w:type="dxa"/>
            <w:right w:w="0" w:type="dxa"/>
          </w:tblCellMar>
          <w:tblLook w:val="0000"/>
        </w:tblPrEx>
        <w:trPr>
          <w:cantSplit/>
          <w:trHeight w:val="389"/>
          <w:jc w:val="center"/>
        </w:trPr>
        <w:tc>
          <w:tcPr>
            <w:tcW w:w="1103"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ind w:firstLine="144"/>
              <w:rPr>
                <w:b/>
                <w:sz w:val="20"/>
              </w:rPr>
            </w:pPr>
            <w:r w:rsidRPr="005B36BB">
              <w:rPr>
                <w:b/>
                <w:sz w:val="20"/>
              </w:rPr>
              <w:t>Without Deployment</w:t>
            </w:r>
          </w:p>
        </w:tc>
        <w:tc>
          <w:tcPr>
            <w:tcW w:w="675"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autoSpaceDE w:val="0"/>
              <w:autoSpaceDN w:val="0"/>
              <w:adjustRightInd w:val="0"/>
              <w:spacing w:before="40" w:after="120"/>
              <w:jc w:val="center"/>
              <w:rPr>
                <w:sz w:val="20"/>
              </w:rPr>
            </w:pPr>
            <w:r w:rsidRPr="00D61250">
              <w:rPr>
                <w:color w:val="000000"/>
                <w:sz w:val="20"/>
              </w:rPr>
              <w:t>1,</w:t>
            </w:r>
            <w:r w:rsidRPr="007C060D">
              <w:rPr>
                <w:color w:val="000000"/>
                <w:sz w:val="20"/>
              </w:rPr>
              <w:t>635.2</w:t>
            </w:r>
          </w:p>
        </w:tc>
        <w:tc>
          <w:tcPr>
            <w:tcW w:w="820"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autoSpaceDE w:val="0"/>
              <w:autoSpaceDN w:val="0"/>
              <w:adjustRightInd w:val="0"/>
              <w:spacing w:before="40" w:after="120"/>
              <w:jc w:val="center"/>
              <w:rPr>
                <w:sz w:val="20"/>
              </w:rPr>
            </w:pPr>
            <w:r w:rsidRPr="00D61250">
              <w:rPr>
                <w:color w:val="000000"/>
                <w:sz w:val="20"/>
              </w:rPr>
              <w:t>3,</w:t>
            </w:r>
            <w:r w:rsidRPr="007C060D">
              <w:rPr>
                <w:color w:val="000000"/>
                <w:sz w:val="20"/>
              </w:rPr>
              <w:t>404.9</w:t>
            </w:r>
          </w:p>
        </w:tc>
        <w:tc>
          <w:tcPr>
            <w:tcW w:w="819"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autoSpaceDE w:val="0"/>
              <w:autoSpaceDN w:val="0"/>
              <w:adjustRightInd w:val="0"/>
              <w:spacing w:before="40" w:after="120"/>
              <w:jc w:val="center"/>
              <w:rPr>
                <w:sz w:val="20"/>
              </w:rPr>
            </w:pPr>
            <w:r w:rsidRPr="007C060D">
              <w:rPr>
                <w:color w:val="000000"/>
                <w:sz w:val="20"/>
              </w:rPr>
              <w:t>$26,792.18</w:t>
            </w:r>
          </w:p>
        </w:tc>
        <w:tc>
          <w:tcPr>
            <w:tcW w:w="884"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autoSpaceDE w:val="0"/>
              <w:autoSpaceDN w:val="0"/>
              <w:adjustRightInd w:val="0"/>
              <w:spacing w:before="40" w:after="120"/>
              <w:jc w:val="center"/>
              <w:rPr>
                <w:sz w:val="20"/>
              </w:rPr>
            </w:pPr>
            <w:r w:rsidRPr="007C060D">
              <w:rPr>
                <w:color w:val="000000"/>
                <w:sz w:val="20"/>
              </w:rPr>
              <w:t>$53,328.64</w:t>
            </w:r>
          </w:p>
        </w:tc>
        <w:tc>
          <w:tcPr>
            <w:tcW w:w="69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7C060D" w:rsidP="00525353">
            <w:pPr>
              <w:autoSpaceDE w:val="0"/>
              <w:autoSpaceDN w:val="0"/>
              <w:adjustRightInd w:val="0"/>
              <w:spacing w:before="40" w:after="120"/>
              <w:jc w:val="center"/>
              <w:rPr>
                <w:sz w:val="20"/>
              </w:rPr>
            </w:pPr>
            <w:r w:rsidRPr="007C060D">
              <w:rPr>
                <w:color w:val="000000"/>
                <w:sz w:val="20"/>
              </w:rPr>
              <w:t>18.4%</w:t>
            </w:r>
          </w:p>
        </w:tc>
      </w:tr>
      <w:tr w:rsidTr="00525353">
        <w:tblPrEx>
          <w:tblW w:w="5000" w:type="pct"/>
          <w:jc w:val="center"/>
          <w:tblLayout w:type="fixed"/>
          <w:tblCellMar>
            <w:left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7C060D" w:rsidP="00525353">
            <w:pPr>
              <w:keepNext/>
              <w:autoSpaceDE w:val="0"/>
              <w:autoSpaceDN w:val="0"/>
              <w:adjustRightInd w:val="0"/>
              <w:spacing w:before="40" w:after="120"/>
              <w:rPr>
                <w:b/>
                <w:sz w:val="20"/>
              </w:rPr>
            </w:pPr>
            <w:r w:rsidRPr="007C060D">
              <w:rPr>
                <w:b/>
                <w:sz w:val="20"/>
              </w:rPr>
              <w:t>Tribal Lands</w:t>
            </w:r>
          </w:p>
        </w:tc>
      </w:tr>
      <w:tr w:rsidTr="00525353">
        <w:tblPrEx>
          <w:tblW w:w="5000" w:type="pct"/>
          <w:jc w:val="center"/>
          <w:tblLayout w:type="fixed"/>
          <w:tblCellMar>
            <w:left w:w="0" w:type="dxa"/>
            <w:right w:w="0" w:type="dxa"/>
          </w:tblCellMar>
          <w:tblLook w:val="0000"/>
        </w:tblPrEx>
        <w:trPr>
          <w:cantSplit/>
          <w:trHeight w:val="389"/>
          <w:jc w:val="center"/>
        </w:trPr>
        <w:tc>
          <w:tcPr>
            <w:tcW w:w="1103"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keepNext/>
              <w:autoSpaceDE w:val="0"/>
              <w:autoSpaceDN w:val="0"/>
              <w:adjustRightInd w:val="0"/>
              <w:spacing w:before="40" w:after="120"/>
              <w:ind w:firstLine="144"/>
              <w:rPr>
                <w:b/>
                <w:sz w:val="20"/>
              </w:rPr>
            </w:pPr>
            <w:r w:rsidRPr="005B36BB">
              <w:rPr>
                <w:b/>
                <w:sz w:val="20"/>
              </w:rPr>
              <w:t>With Deployment</w:t>
            </w:r>
          </w:p>
        </w:tc>
        <w:tc>
          <w:tcPr>
            <w:tcW w:w="675"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keepNext/>
              <w:autoSpaceDE w:val="0"/>
              <w:autoSpaceDN w:val="0"/>
              <w:adjustRightInd w:val="0"/>
              <w:spacing w:before="40" w:after="120"/>
              <w:jc w:val="center"/>
              <w:rPr>
                <w:sz w:val="20"/>
              </w:rPr>
            </w:pPr>
            <w:r w:rsidRPr="007C060D">
              <w:rPr>
                <w:color w:val="000000"/>
                <w:sz w:val="20"/>
              </w:rPr>
              <w:t>1,358.2</w:t>
            </w:r>
          </w:p>
        </w:tc>
        <w:tc>
          <w:tcPr>
            <w:tcW w:w="820"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keepNext/>
              <w:autoSpaceDE w:val="0"/>
              <w:autoSpaceDN w:val="0"/>
              <w:adjustRightInd w:val="0"/>
              <w:spacing w:before="40" w:after="120"/>
              <w:jc w:val="center"/>
              <w:rPr>
                <w:sz w:val="20"/>
              </w:rPr>
            </w:pPr>
            <w:r w:rsidRPr="007C060D">
              <w:rPr>
                <w:color w:val="000000"/>
                <w:sz w:val="20"/>
              </w:rPr>
              <w:t>2,186.8</w:t>
            </w:r>
            <w:r>
              <w:rPr>
                <w:color w:val="000000"/>
                <w:sz w:val="20"/>
              </w:rPr>
              <w:t>***</w:t>
            </w:r>
          </w:p>
        </w:tc>
        <w:tc>
          <w:tcPr>
            <w:tcW w:w="819"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keepNext/>
              <w:autoSpaceDE w:val="0"/>
              <w:autoSpaceDN w:val="0"/>
              <w:adjustRightInd w:val="0"/>
              <w:spacing w:before="40" w:after="120"/>
              <w:jc w:val="center"/>
              <w:rPr>
                <w:sz w:val="20"/>
              </w:rPr>
            </w:pPr>
            <w:r w:rsidRPr="007C060D">
              <w:rPr>
                <w:color w:val="000000"/>
                <w:sz w:val="20"/>
              </w:rPr>
              <w:t>$26,362.86</w:t>
            </w:r>
            <w:r>
              <w:rPr>
                <w:color w:val="000000"/>
                <w:sz w:val="20"/>
              </w:rPr>
              <w:t>***</w:t>
            </w:r>
          </w:p>
        </w:tc>
        <w:tc>
          <w:tcPr>
            <w:tcW w:w="884"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keepNext/>
              <w:autoSpaceDE w:val="0"/>
              <w:autoSpaceDN w:val="0"/>
              <w:adjustRightInd w:val="0"/>
              <w:spacing w:before="40" w:after="120"/>
              <w:jc w:val="center"/>
              <w:rPr>
                <w:sz w:val="20"/>
              </w:rPr>
            </w:pPr>
            <w:r w:rsidRPr="007C060D">
              <w:rPr>
                <w:color w:val="000000"/>
                <w:sz w:val="20"/>
              </w:rPr>
              <w:t>$51,260.27</w:t>
            </w:r>
            <w:r>
              <w:rPr>
                <w:color w:val="000000"/>
                <w:sz w:val="20"/>
              </w:rPr>
              <w:t>***</w:t>
            </w:r>
          </w:p>
        </w:tc>
        <w:tc>
          <w:tcPr>
            <w:tcW w:w="699"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7C060D" w:rsidP="00525353">
            <w:pPr>
              <w:keepNext/>
              <w:autoSpaceDE w:val="0"/>
              <w:autoSpaceDN w:val="0"/>
              <w:adjustRightInd w:val="0"/>
              <w:spacing w:before="40" w:after="120"/>
              <w:jc w:val="center"/>
              <w:rPr>
                <w:sz w:val="20"/>
              </w:rPr>
            </w:pPr>
            <w:r w:rsidRPr="007C060D">
              <w:rPr>
                <w:color w:val="000000"/>
                <w:sz w:val="20"/>
              </w:rPr>
              <w:t>17.0%</w:t>
            </w:r>
            <w:r>
              <w:rPr>
                <w:color w:val="000000"/>
                <w:sz w:val="20"/>
              </w:rPr>
              <w:t>***</w:t>
            </w:r>
          </w:p>
        </w:tc>
      </w:tr>
      <w:tr w:rsidTr="00525353">
        <w:tblPrEx>
          <w:tblW w:w="5000" w:type="pct"/>
          <w:jc w:val="center"/>
          <w:tblLayout w:type="fixed"/>
          <w:tblCellMar>
            <w:left w:w="0" w:type="dxa"/>
            <w:right w:w="0" w:type="dxa"/>
          </w:tblCellMar>
          <w:tblLook w:val="0000"/>
        </w:tblPrEx>
        <w:trPr>
          <w:cantSplit/>
          <w:trHeight w:val="389"/>
          <w:jc w:val="center"/>
        </w:trPr>
        <w:tc>
          <w:tcPr>
            <w:tcW w:w="1103"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keepNext/>
              <w:autoSpaceDE w:val="0"/>
              <w:autoSpaceDN w:val="0"/>
              <w:adjustRightInd w:val="0"/>
              <w:spacing w:before="40" w:after="120"/>
              <w:ind w:firstLine="144"/>
              <w:rPr>
                <w:b/>
                <w:sz w:val="20"/>
              </w:rPr>
            </w:pPr>
            <w:r w:rsidRPr="005B36BB">
              <w:rPr>
                <w:b/>
                <w:sz w:val="20"/>
              </w:rPr>
              <w:t>Without Deployment</w:t>
            </w:r>
          </w:p>
        </w:tc>
        <w:tc>
          <w:tcPr>
            <w:tcW w:w="675"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keepNext/>
              <w:autoSpaceDE w:val="0"/>
              <w:autoSpaceDN w:val="0"/>
              <w:adjustRightInd w:val="0"/>
              <w:spacing w:before="40" w:after="120"/>
              <w:jc w:val="center"/>
              <w:rPr>
                <w:sz w:val="20"/>
              </w:rPr>
            </w:pPr>
            <w:r w:rsidRPr="007C060D">
              <w:rPr>
                <w:color w:val="000000"/>
                <w:sz w:val="20"/>
              </w:rPr>
              <w:t>1,353.1</w:t>
            </w:r>
          </w:p>
        </w:tc>
        <w:tc>
          <w:tcPr>
            <w:tcW w:w="820"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keepNext/>
              <w:autoSpaceDE w:val="0"/>
              <w:autoSpaceDN w:val="0"/>
              <w:adjustRightInd w:val="0"/>
              <w:spacing w:before="40" w:after="120"/>
              <w:jc w:val="center"/>
              <w:rPr>
                <w:sz w:val="20"/>
              </w:rPr>
            </w:pPr>
            <w:r w:rsidRPr="007C060D">
              <w:rPr>
                <w:color w:val="000000"/>
                <w:sz w:val="20"/>
              </w:rPr>
              <w:t>243.5</w:t>
            </w:r>
          </w:p>
        </w:tc>
        <w:tc>
          <w:tcPr>
            <w:tcW w:w="819"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keepNext/>
              <w:autoSpaceDE w:val="0"/>
              <w:autoSpaceDN w:val="0"/>
              <w:adjustRightInd w:val="0"/>
              <w:spacing w:before="40" w:after="120"/>
              <w:jc w:val="center"/>
              <w:rPr>
                <w:sz w:val="20"/>
              </w:rPr>
            </w:pPr>
            <w:r w:rsidRPr="007C060D">
              <w:rPr>
                <w:color w:val="000000"/>
                <w:sz w:val="20"/>
              </w:rPr>
              <w:t>$21,829.21</w:t>
            </w:r>
          </w:p>
        </w:tc>
        <w:tc>
          <w:tcPr>
            <w:tcW w:w="884"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keepNext/>
              <w:autoSpaceDE w:val="0"/>
              <w:autoSpaceDN w:val="0"/>
              <w:adjustRightInd w:val="0"/>
              <w:spacing w:before="40" w:after="120"/>
              <w:jc w:val="center"/>
              <w:rPr>
                <w:sz w:val="20"/>
              </w:rPr>
            </w:pPr>
            <w:r w:rsidRPr="007C060D">
              <w:rPr>
                <w:color w:val="000000"/>
                <w:sz w:val="20"/>
              </w:rPr>
              <w:t>$45,105.49</w:t>
            </w:r>
          </w:p>
        </w:tc>
        <w:tc>
          <w:tcPr>
            <w:tcW w:w="69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7C060D" w:rsidP="00525353">
            <w:pPr>
              <w:keepNext/>
              <w:autoSpaceDE w:val="0"/>
              <w:autoSpaceDN w:val="0"/>
              <w:adjustRightInd w:val="0"/>
              <w:spacing w:before="40" w:after="120"/>
              <w:jc w:val="center"/>
              <w:rPr>
                <w:sz w:val="20"/>
              </w:rPr>
            </w:pPr>
            <w:r w:rsidRPr="007C060D">
              <w:rPr>
                <w:color w:val="000000"/>
                <w:sz w:val="20"/>
              </w:rPr>
              <w:t>20.9%</w:t>
            </w:r>
          </w:p>
        </w:tc>
      </w:tr>
      <w:tr w:rsidTr="00525353">
        <w:tblPrEx>
          <w:tblW w:w="5000" w:type="pct"/>
          <w:jc w:val="center"/>
          <w:tblLayout w:type="fixed"/>
          <w:tblCellMar>
            <w:left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7C060D" w:rsidP="00525353">
            <w:pPr>
              <w:autoSpaceDE w:val="0"/>
              <w:autoSpaceDN w:val="0"/>
              <w:adjustRightInd w:val="0"/>
              <w:spacing w:before="40" w:after="120"/>
              <w:rPr>
                <w:b/>
                <w:sz w:val="20"/>
              </w:rPr>
            </w:pPr>
            <w:r w:rsidRPr="007C060D">
              <w:rPr>
                <w:b/>
                <w:sz w:val="20"/>
              </w:rPr>
              <w:t>Tribal Rural Areas</w:t>
            </w:r>
          </w:p>
        </w:tc>
      </w:tr>
      <w:tr w:rsidTr="00525353">
        <w:tblPrEx>
          <w:tblW w:w="5000" w:type="pct"/>
          <w:jc w:val="center"/>
          <w:tblLayout w:type="fixed"/>
          <w:tblCellMar>
            <w:left w:w="0" w:type="dxa"/>
            <w:right w:w="0" w:type="dxa"/>
          </w:tblCellMar>
          <w:tblLook w:val="0000"/>
        </w:tblPrEx>
        <w:trPr>
          <w:cantSplit/>
          <w:trHeight w:val="389"/>
          <w:jc w:val="center"/>
        </w:trPr>
        <w:tc>
          <w:tcPr>
            <w:tcW w:w="1103"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ind w:firstLine="144"/>
              <w:rPr>
                <w:b/>
                <w:sz w:val="20"/>
              </w:rPr>
            </w:pPr>
            <w:r w:rsidRPr="005B36BB">
              <w:rPr>
                <w:b/>
                <w:sz w:val="20"/>
              </w:rPr>
              <w:t>With Deployment</w:t>
            </w:r>
          </w:p>
        </w:tc>
        <w:tc>
          <w:tcPr>
            <w:tcW w:w="675"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autoSpaceDE w:val="0"/>
              <w:autoSpaceDN w:val="0"/>
              <w:adjustRightInd w:val="0"/>
              <w:spacing w:before="40" w:after="120"/>
              <w:jc w:val="center"/>
              <w:rPr>
                <w:sz w:val="20"/>
              </w:rPr>
            </w:pPr>
            <w:r w:rsidRPr="007C060D">
              <w:rPr>
                <w:color w:val="000000"/>
                <w:sz w:val="20"/>
              </w:rPr>
              <w:t>1,370.2</w:t>
            </w:r>
          </w:p>
        </w:tc>
        <w:tc>
          <w:tcPr>
            <w:tcW w:w="820"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autoSpaceDE w:val="0"/>
              <w:autoSpaceDN w:val="0"/>
              <w:adjustRightInd w:val="0"/>
              <w:spacing w:before="40" w:after="120"/>
              <w:jc w:val="center"/>
              <w:rPr>
                <w:sz w:val="20"/>
              </w:rPr>
            </w:pPr>
            <w:r w:rsidRPr="007C060D">
              <w:rPr>
                <w:color w:val="000000"/>
                <w:sz w:val="20"/>
              </w:rPr>
              <w:t>183.3</w:t>
            </w:r>
            <w:r>
              <w:rPr>
                <w:color w:val="000000"/>
                <w:sz w:val="20"/>
              </w:rPr>
              <w:t>***</w:t>
            </w:r>
          </w:p>
        </w:tc>
        <w:tc>
          <w:tcPr>
            <w:tcW w:w="819"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autoSpaceDE w:val="0"/>
              <w:autoSpaceDN w:val="0"/>
              <w:adjustRightInd w:val="0"/>
              <w:spacing w:before="40" w:after="120"/>
              <w:jc w:val="center"/>
              <w:rPr>
                <w:sz w:val="20"/>
              </w:rPr>
            </w:pPr>
            <w:r w:rsidRPr="007C060D">
              <w:rPr>
                <w:color w:val="000000"/>
                <w:sz w:val="20"/>
              </w:rPr>
              <w:t>$25,633.00</w:t>
            </w:r>
            <w:r>
              <w:rPr>
                <w:color w:val="000000"/>
                <w:sz w:val="20"/>
              </w:rPr>
              <w:t>***</w:t>
            </w:r>
          </w:p>
        </w:tc>
        <w:tc>
          <w:tcPr>
            <w:tcW w:w="884"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autoSpaceDE w:val="0"/>
              <w:autoSpaceDN w:val="0"/>
              <w:adjustRightInd w:val="0"/>
              <w:spacing w:before="40" w:after="120"/>
              <w:jc w:val="center"/>
              <w:rPr>
                <w:sz w:val="20"/>
              </w:rPr>
            </w:pPr>
            <w:r w:rsidRPr="007C060D">
              <w:rPr>
                <w:color w:val="000000"/>
                <w:sz w:val="20"/>
              </w:rPr>
              <w:t>$51,612.76</w:t>
            </w:r>
            <w:r>
              <w:rPr>
                <w:color w:val="000000"/>
                <w:sz w:val="20"/>
              </w:rPr>
              <w:t>***</w:t>
            </w:r>
          </w:p>
        </w:tc>
        <w:tc>
          <w:tcPr>
            <w:tcW w:w="699"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7C060D" w:rsidP="00525353">
            <w:pPr>
              <w:autoSpaceDE w:val="0"/>
              <w:autoSpaceDN w:val="0"/>
              <w:adjustRightInd w:val="0"/>
              <w:spacing w:before="40" w:after="120"/>
              <w:jc w:val="center"/>
              <w:rPr>
                <w:sz w:val="20"/>
              </w:rPr>
            </w:pPr>
            <w:r w:rsidRPr="007C060D">
              <w:rPr>
                <w:color w:val="000000"/>
                <w:sz w:val="20"/>
              </w:rPr>
              <w:t>16.3%</w:t>
            </w:r>
            <w:r>
              <w:rPr>
                <w:color w:val="000000"/>
                <w:sz w:val="20"/>
              </w:rPr>
              <w:t>***</w:t>
            </w:r>
          </w:p>
        </w:tc>
      </w:tr>
      <w:tr w:rsidTr="00525353">
        <w:tblPrEx>
          <w:tblW w:w="5000" w:type="pct"/>
          <w:jc w:val="center"/>
          <w:tblLayout w:type="fixed"/>
          <w:tblCellMar>
            <w:left w:w="0" w:type="dxa"/>
            <w:right w:w="0" w:type="dxa"/>
          </w:tblCellMar>
          <w:tblLook w:val="0000"/>
        </w:tblPrEx>
        <w:trPr>
          <w:cantSplit/>
          <w:trHeight w:val="389"/>
          <w:jc w:val="center"/>
        </w:trPr>
        <w:tc>
          <w:tcPr>
            <w:tcW w:w="1103"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ind w:firstLine="144"/>
              <w:rPr>
                <w:b/>
                <w:sz w:val="20"/>
              </w:rPr>
            </w:pPr>
            <w:r w:rsidRPr="005B36BB">
              <w:rPr>
                <w:b/>
                <w:sz w:val="20"/>
              </w:rPr>
              <w:t>Without Deployment</w:t>
            </w:r>
          </w:p>
        </w:tc>
        <w:tc>
          <w:tcPr>
            <w:tcW w:w="675"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autoSpaceDE w:val="0"/>
              <w:autoSpaceDN w:val="0"/>
              <w:adjustRightInd w:val="0"/>
              <w:spacing w:before="40" w:after="120"/>
              <w:jc w:val="center"/>
              <w:rPr>
                <w:sz w:val="20"/>
              </w:rPr>
            </w:pPr>
            <w:r w:rsidRPr="007C060D">
              <w:rPr>
                <w:color w:val="000000"/>
                <w:sz w:val="20"/>
              </w:rPr>
              <w:t>1,336.8</w:t>
            </w:r>
          </w:p>
        </w:tc>
        <w:tc>
          <w:tcPr>
            <w:tcW w:w="820"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autoSpaceDE w:val="0"/>
              <w:autoSpaceDN w:val="0"/>
              <w:adjustRightInd w:val="0"/>
              <w:spacing w:before="40" w:after="120"/>
              <w:jc w:val="center"/>
              <w:rPr>
                <w:sz w:val="20"/>
              </w:rPr>
            </w:pPr>
            <w:r w:rsidRPr="007C060D">
              <w:rPr>
                <w:color w:val="000000"/>
                <w:sz w:val="20"/>
              </w:rPr>
              <w:t>76.8</w:t>
            </w:r>
          </w:p>
        </w:tc>
        <w:tc>
          <w:tcPr>
            <w:tcW w:w="819"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autoSpaceDE w:val="0"/>
              <w:autoSpaceDN w:val="0"/>
              <w:adjustRightInd w:val="0"/>
              <w:spacing w:before="40" w:after="120"/>
              <w:jc w:val="center"/>
              <w:rPr>
                <w:sz w:val="20"/>
              </w:rPr>
            </w:pPr>
            <w:r w:rsidRPr="007C060D">
              <w:rPr>
                <w:color w:val="000000"/>
                <w:sz w:val="20"/>
              </w:rPr>
              <w:t>$22,133.74</w:t>
            </w:r>
          </w:p>
        </w:tc>
        <w:tc>
          <w:tcPr>
            <w:tcW w:w="884"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autoSpaceDE w:val="0"/>
              <w:autoSpaceDN w:val="0"/>
              <w:adjustRightInd w:val="0"/>
              <w:spacing w:before="40" w:after="120"/>
              <w:jc w:val="center"/>
              <w:rPr>
                <w:sz w:val="20"/>
              </w:rPr>
            </w:pPr>
            <w:r w:rsidRPr="007C060D">
              <w:rPr>
                <w:color w:val="000000"/>
                <w:sz w:val="20"/>
              </w:rPr>
              <w:t>$45,575.36</w:t>
            </w:r>
          </w:p>
        </w:tc>
        <w:tc>
          <w:tcPr>
            <w:tcW w:w="69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7C060D" w:rsidP="00525353">
            <w:pPr>
              <w:autoSpaceDE w:val="0"/>
              <w:autoSpaceDN w:val="0"/>
              <w:adjustRightInd w:val="0"/>
              <w:spacing w:before="40" w:after="120"/>
              <w:jc w:val="center"/>
              <w:rPr>
                <w:sz w:val="20"/>
              </w:rPr>
            </w:pPr>
            <w:r w:rsidRPr="007C060D">
              <w:rPr>
                <w:color w:val="000000"/>
                <w:sz w:val="20"/>
              </w:rPr>
              <w:t>20.4%</w:t>
            </w:r>
          </w:p>
        </w:tc>
      </w:tr>
      <w:tr w:rsidTr="00525353">
        <w:tblPrEx>
          <w:tblW w:w="5000" w:type="pct"/>
          <w:jc w:val="center"/>
          <w:tblLayout w:type="fixed"/>
          <w:tblCellMar>
            <w:left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7C060D" w:rsidP="00525353">
            <w:pPr>
              <w:keepNext/>
              <w:autoSpaceDE w:val="0"/>
              <w:autoSpaceDN w:val="0"/>
              <w:adjustRightInd w:val="0"/>
              <w:spacing w:before="40" w:after="120"/>
              <w:rPr>
                <w:b/>
                <w:sz w:val="20"/>
              </w:rPr>
            </w:pPr>
            <w:r w:rsidRPr="007C060D">
              <w:rPr>
                <w:b/>
                <w:sz w:val="20"/>
              </w:rPr>
              <w:t>Tribal Urban Areas</w:t>
            </w:r>
          </w:p>
        </w:tc>
      </w:tr>
      <w:tr w:rsidTr="00525353">
        <w:tblPrEx>
          <w:tblW w:w="5000" w:type="pct"/>
          <w:jc w:val="center"/>
          <w:tblLayout w:type="fixed"/>
          <w:tblCellMar>
            <w:left w:w="0" w:type="dxa"/>
            <w:right w:w="0" w:type="dxa"/>
          </w:tblCellMar>
          <w:tblLook w:val="0000"/>
        </w:tblPrEx>
        <w:trPr>
          <w:cantSplit/>
          <w:trHeight w:val="389"/>
          <w:jc w:val="center"/>
        </w:trPr>
        <w:tc>
          <w:tcPr>
            <w:tcW w:w="1103"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keepNext/>
              <w:autoSpaceDE w:val="0"/>
              <w:autoSpaceDN w:val="0"/>
              <w:adjustRightInd w:val="0"/>
              <w:spacing w:before="40" w:after="120"/>
              <w:ind w:firstLine="144"/>
              <w:rPr>
                <w:b/>
                <w:sz w:val="20"/>
              </w:rPr>
            </w:pPr>
            <w:r w:rsidRPr="005B36BB">
              <w:rPr>
                <w:b/>
                <w:sz w:val="20"/>
              </w:rPr>
              <w:t>With Deployment</w:t>
            </w:r>
          </w:p>
        </w:tc>
        <w:tc>
          <w:tcPr>
            <w:tcW w:w="675"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keepNext/>
              <w:autoSpaceDE w:val="0"/>
              <w:autoSpaceDN w:val="0"/>
              <w:adjustRightInd w:val="0"/>
              <w:spacing w:before="40" w:after="120"/>
              <w:jc w:val="center"/>
              <w:rPr>
                <w:sz w:val="20"/>
              </w:rPr>
            </w:pPr>
            <w:r w:rsidRPr="007C060D">
              <w:rPr>
                <w:color w:val="000000"/>
                <w:sz w:val="20"/>
              </w:rPr>
              <w:t>1,355.4</w:t>
            </w:r>
          </w:p>
        </w:tc>
        <w:tc>
          <w:tcPr>
            <w:tcW w:w="820"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keepNext/>
              <w:autoSpaceDE w:val="0"/>
              <w:autoSpaceDN w:val="0"/>
              <w:adjustRightInd w:val="0"/>
              <w:spacing w:before="40" w:after="120"/>
              <w:jc w:val="center"/>
              <w:rPr>
                <w:sz w:val="20"/>
              </w:rPr>
            </w:pPr>
            <w:r w:rsidRPr="007C060D">
              <w:rPr>
                <w:color w:val="000000"/>
                <w:sz w:val="20"/>
              </w:rPr>
              <w:t>2,643.4</w:t>
            </w:r>
            <w:r>
              <w:rPr>
                <w:color w:val="000000"/>
                <w:sz w:val="20"/>
              </w:rPr>
              <w:t>***</w:t>
            </w:r>
          </w:p>
        </w:tc>
        <w:tc>
          <w:tcPr>
            <w:tcW w:w="819"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keepNext/>
              <w:autoSpaceDE w:val="0"/>
              <w:autoSpaceDN w:val="0"/>
              <w:adjustRightInd w:val="0"/>
              <w:spacing w:before="40" w:after="120"/>
              <w:jc w:val="center"/>
              <w:rPr>
                <w:sz w:val="20"/>
              </w:rPr>
            </w:pPr>
            <w:r w:rsidRPr="007C060D">
              <w:rPr>
                <w:color w:val="000000"/>
                <w:sz w:val="20"/>
              </w:rPr>
              <w:t>$26,527.19</w:t>
            </w:r>
            <w:r>
              <w:rPr>
                <w:color w:val="000000"/>
                <w:sz w:val="20"/>
              </w:rPr>
              <w:t>***</w:t>
            </w:r>
          </w:p>
        </w:tc>
        <w:tc>
          <w:tcPr>
            <w:tcW w:w="884" w:type="pct"/>
            <w:tcBorders>
              <w:top w:val="nil"/>
              <w:left w:val="single" w:sz="8" w:space="0" w:color="000000"/>
              <w:bottom w:val="single" w:sz="8" w:space="0" w:color="000000"/>
              <w:right w:val="nil"/>
            </w:tcBorders>
            <w:shd w:val="clear" w:color="auto" w:fill="F5F5F5"/>
            <w:tcMar>
              <w:left w:w="40" w:type="dxa"/>
              <w:right w:w="40" w:type="dxa"/>
            </w:tcMar>
          </w:tcPr>
          <w:p w:rsidR="00C6287D" w:rsidRPr="007C060D" w:rsidP="00525353">
            <w:pPr>
              <w:keepNext/>
              <w:autoSpaceDE w:val="0"/>
              <w:autoSpaceDN w:val="0"/>
              <w:adjustRightInd w:val="0"/>
              <w:spacing w:before="40" w:after="120"/>
              <w:jc w:val="center"/>
              <w:rPr>
                <w:sz w:val="20"/>
              </w:rPr>
            </w:pPr>
            <w:r w:rsidRPr="007C060D">
              <w:rPr>
                <w:color w:val="000000"/>
                <w:sz w:val="20"/>
              </w:rPr>
              <w:t>$51,181.42</w:t>
            </w:r>
            <w:r>
              <w:rPr>
                <w:color w:val="000000"/>
                <w:sz w:val="20"/>
              </w:rPr>
              <w:t>***</w:t>
            </w:r>
          </w:p>
        </w:tc>
        <w:tc>
          <w:tcPr>
            <w:tcW w:w="699"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7C060D" w:rsidP="00525353">
            <w:pPr>
              <w:keepNext/>
              <w:autoSpaceDE w:val="0"/>
              <w:autoSpaceDN w:val="0"/>
              <w:adjustRightInd w:val="0"/>
              <w:spacing w:before="40" w:after="120"/>
              <w:jc w:val="center"/>
              <w:rPr>
                <w:sz w:val="20"/>
              </w:rPr>
            </w:pPr>
            <w:r w:rsidRPr="007C060D">
              <w:rPr>
                <w:color w:val="000000"/>
                <w:sz w:val="20"/>
              </w:rPr>
              <w:t>17.1%</w:t>
            </w:r>
            <w:r>
              <w:rPr>
                <w:color w:val="000000"/>
                <w:sz w:val="20"/>
              </w:rPr>
              <w:t>***</w:t>
            </w:r>
          </w:p>
        </w:tc>
      </w:tr>
      <w:tr w:rsidTr="00525353">
        <w:tblPrEx>
          <w:tblW w:w="5000" w:type="pct"/>
          <w:jc w:val="center"/>
          <w:tblLayout w:type="fixed"/>
          <w:tblCellMar>
            <w:left w:w="0" w:type="dxa"/>
            <w:right w:w="0" w:type="dxa"/>
          </w:tblCellMar>
          <w:tblLook w:val="0000"/>
        </w:tblPrEx>
        <w:trPr>
          <w:cantSplit/>
          <w:trHeight w:val="389"/>
          <w:jc w:val="center"/>
        </w:trPr>
        <w:tc>
          <w:tcPr>
            <w:tcW w:w="1103" w:type="pct"/>
            <w:tcBorders>
              <w:top w:val="nil"/>
              <w:left w:val="single" w:sz="8" w:space="0" w:color="000000"/>
              <w:bottom w:val="single" w:sz="4" w:space="0" w:color="auto"/>
              <w:right w:val="nil"/>
            </w:tcBorders>
            <w:shd w:val="clear" w:color="auto" w:fill="90B0D9"/>
            <w:tcMar>
              <w:left w:w="40" w:type="dxa"/>
              <w:right w:w="40" w:type="dxa"/>
            </w:tcMar>
          </w:tcPr>
          <w:p w:rsidR="00C6287D" w:rsidRPr="005B36BB" w:rsidP="00525353">
            <w:pPr>
              <w:keepNext/>
              <w:autoSpaceDE w:val="0"/>
              <w:autoSpaceDN w:val="0"/>
              <w:adjustRightInd w:val="0"/>
              <w:spacing w:before="40" w:after="120"/>
              <w:ind w:firstLine="144"/>
              <w:rPr>
                <w:b/>
                <w:sz w:val="20"/>
              </w:rPr>
            </w:pPr>
            <w:r w:rsidRPr="005B36BB">
              <w:rPr>
                <w:b/>
                <w:sz w:val="20"/>
              </w:rPr>
              <w:t>Without Deployment</w:t>
            </w:r>
          </w:p>
        </w:tc>
        <w:tc>
          <w:tcPr>
            <w:tcW w:w="675"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keepNext/>
              <w:autoSpaceDE w:val="0"/>
              <w:autoSpaceDN w:val="0"/>
              <w:adjustRightInd w:val="0"/>
              <w:spacing w:before="40" w:after="120"/>
              <w:jc w:val="center"/>
              <w:rPr>
                <w:sz w:val="20"/>
              </w:rPr>
            </w:pPr>
            <w:r w:rsidRPr="007C060D">
              <w:rPr>
                <w:color w:val="000000"/>
                <w:sz w:val="20"/>
              </w:rPr>
              <w:t>1,417.4</w:t>
            </w:r>
          </w:p>
        </w:tc>
        <w:tc>
          <w:tcPr>
            <w:tcW w:w="820"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keepNext/>
              <w:autoSpaceDE w:val="0"/>
              <w:autoSpaceDN w:val="0"/>
              <w:adjustRightInd w:val="0"/>
              <w:spacing w:before="40" w:after="120"/>
              <w:jc w:val="center"/>
              <w:rPr>
                <w:sz w:val="20"/>
              </w:rPr>
            </w:pPr>
            <w:r w:rsidRPr="007C060D">
              <w:rPr>
                <w:color w:val="000000"/>
                <w:sz w:val="20"/>
              </w:rPr>
              <w:t>904.7</w:t>
            </w:r>
          </w:p>
        </w:tc>
        <w:tc>
          <w:tcPr>
            <w:tcW w:w="819"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keepNext/>
              <w:autoSpaceDE w:val="0"/>
              <w:autoSpaceDN w:val="0"/>
              <w:adjustRightInd w:val="0"/>
              <w:spacing w:before="40" w:after="120"/>
              <w:jc w:val="center"/>
              <w:rPr>
                <w:sz w:val="20"/>
              </w:rPr>
            </w:pPr>
            <w:r w:rsidRPr="007C060D">
              <w:rPr>
                <w:color w:val="000000"/>
                <w:sz w:val="20"/>
              </w:rPr>
              <w:t>$20,626.90</w:t>
            </w:r>
          </w:p>
        </w:tc>
        <w:tc>
          <w:tcPr>
            <w:tcW w:w="884" w:type="pct"/>
            <w:tcBorders>
              <w:top w:val="nil"/>
              <w:left w:val="single" w:sz="8" w:space="0" w:color="000000"/>
              <w:bottom w:val="single" w:sz="8" w:space="0" w:color="000000"/>
              <w:right w:val="nil"/>
            </w:tcBorders>
            <w:shd w:val="clear" w:color="auto" w:fill="FFFFFF"/>
            <w:tcMar>
              <w:left w:w="40" w:type="dxa"/>
              <w:right w:w="40" w:type="dxa"/>
            </w:tcMar>
          </w:tcPr>
          <w:p w:rsidR="00C6287D" w:rsidRPr="007C060D" w:rsidP="00525353">
            <w:pPr>
              <w:keepNext/>
              <w:autoSpaceDE w:val="0"/>
              <w:autoSpaceDN w:val="0"/>
              <w:adjustRightInd w:val="0"/>
              <w:spacing w:before="40" w:after="120"/>
              <w:jc w:val="center"/>
              <w:rPr>
                <w:sz w:val="20"/>
              </w:rPr>
            </w:pPr>
            <w:r w:rsidRPr="007C060D">
              <w:rPr>
                <w:color w:val="000000"/>
                <w:sz w:val="20"/>
              </w:rPr>
              <w:t>$43,237.53</w:t>
            </w:r>
          </w:p>
        </w:tc>
        <w:tc>
          <w:tcPr>
            <w:tcW w:w="69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7C060D" w:rsidP="00525353">
            <w:pPr>
              <w:keepNext/>
              <w:autoSpaceDE w:val="0"/>
              <w:autoSpaceDN w:val="0"/>
              <w:adjustRightInd w:val="0"/>
              <w:spacing w:before="40" w:after="120"/>
              <w:jc w:val="center"/>
              <w:rPr>
                <w:sz w:val="20"/>
              </w:rPr>
            </w:pPr>
            <w:r w:rsidRPr="007C060D">
              <w:rPr>
                <w:color w:val="000000"/>
                <w:sz w:val="20"/>
              </w:rPr>
              <w:t>22.6%</w:t>
            </w:r>
          </w:p>
        </w:tc>
      </w:tr>
      <w:tr w:rsidTr="00525353">
        <w:tblPrEx>
          <w:tblW w:w="5000" w:type="pct"/>
          <w:jc w:val="center"/>
          <w:tblLayout w:type="fixed"/>
          <w:tblCellMar>
            <w:left w:w="0" w:type="dxa"/>
            <w:right w:w="0" w:type="dxa"/>
          </w:tblCellMar>
          <w:tblLook w:val="0000"/>
        </w:tblPrEx>
        <w:trPr>
          <w:cantSplit/>
          <w:trHeight w:hRule="exact" w:val="1280"/>
          <w:jc w:val="center"/>
        </w:trPr>
        <w:tc>
          <w:tcPr>
            <w:tcW w:w="5000" w:type="pct"/>
            <w:gridSpan w:val="6"/>
            <w:tcBorders>
              <w:top w:val="single" w:sz="4" w:space="0" w:color="auto"/>
              <w:left w:val="single" w:sz="8" w:space="0" w:color="000000"/>
              <w:bottom w:val="single" w:sz="8" w:space="0" w:color="000000"/>
              <w:right w:val="single" w:sz="8" w:space="0" w:color="000000"/>
            </w:tcBorders>
            <w:shd w:val="clear" w:color="auto" w:fill="auto"/>
            <w:tcMar>
              <w:left w:w="40" w:type="dxa"/>
              <w:right w:w="40" w:type="dxa"/>
            </w:tcMar>
          </w:tcPr>
          <w:p w:rsidR="00C6287D" w:rsidRPr="005B36BB" w:rsidP="00525353">
            <w:pPr>
              <w:keepNext/>
              <w:autoSpaceDE w:val="0"/>
              <w:autoSpaceDN w:val="0"/>
              <w:adjustRightInd w:val="0"/>
              <w:spacing w:before="40" w:after="120"/>
              <w:rPr>
                <w:sz w:val="20"/>
              </w:rPr>
            </w:pPr>
            <w:r w:rsidRPr="005B36BB">
              <w:rPr>
                <w:sz w:val="20"/>
              </w:rPr>
              <w:t xml:space="preserve">We test for a statistical difference in the reported means between areas with and without deployment of these services.  The level of statistical significance is indicated by a superscript: </w:t>
            </w:r>
            <w:r>
              <w:rPr>
                <w:sz w:val="20"/>
              </w:rPr>
              <w:t xml:space="preserve"> </w:t>
            </w:r>
            <w:r w:rsidRPr="005B36BB">
              <w:rPr>
                <w:sz w:val="20"/>
              </w:rPr>
              <w:t>The absence of a star indicates no statistical difference between the reported figures.  * signifies statistical significance at a 90% level of confidence, ** signifies statistical significance at a 95% level of confidence, and *** signifies statistical significance at a 99% level of confidence.</w:t>
            </w:r>
          </w:p>
        </w:tc>
      </w:tr>
    </w:tbl>
    <w:p w:rsidR="00C6287D" w:rsidRPr="00A56B17" w:rsidP="00C6287D">
      <w:pPr>
        <w:pStyle w:val="ParaNum"/>
        <w:spacing w:before="120"/>
        <w:rPr>
          <w:lang w:val="en-GB"/>
        </w:rPr>
      </w:pPr>
      <w:r w:rsidRPr="00A56B17">
        <w:t>Figure 7 compares the available demographic data across urban and rural areas for Americans with and without coverage by both fixed terrestrial 25 Mbps/3 Mbps service and mobile LTE service with a median speed of 10 Mbps/3 Mbps in 2017.</w:t>
      </w:r>
      <w:r>
        <w:rPr>
          <w:sz w:val="20"/>
          <w:vertAlign w:val="superscript"/>
        </w:rPr>
        <w:footnoteReference w:id="132"/>
      </w:r>
      <w:r w:rsidRPr="00A56B17">
        <w:t xml:space="preserve">  Like Figure 6, Figure 7 shows that </w:t>
      </w:r>
      <w:r w:rsidRPr="00A56B17">
        <w:rPr>
          <w:lang w:val="en-GB"/>
        </w:rPr>
        <w:t xml:space="preserve">Americans living in areas where these services are deployed typically live in census block groups where there is a lower percentage of households living in poverty, and where there are higher </w:t>
      </w:r>
      <w:r w:rsidRPr="00640FB2">
        <w:rPr>
          <w:rFonts w:eastAsia="MS Mincho"/>
          <w:lang w:val="en-GB"/>
        </w:rPr>
        <w:t>average</w:t>
      </w:r>
      <w:r w:rsidRPr="00A56B17">
        <w:rPr>
          <w:lang w:val="en-GB"/>
        </w:rPr>
        <w:t xml:space="preserve"> populations, population densities, per capita incomes, and median household incomes. </w:t>
      </w:r>
    </w:p>
    <w:p w:rsidR="00C6287D" w:rsidRPr="00A56B17" w:rsidP="00C6287D">
      <w:pPr>
        <w:jc w:val="center"/>
        <w:rPr>
          <w:b/>
        </w:rPr>
      </w:pPr>
      <w:bookmarkStart w:id="265" w:name="_Hlk532216413"/>
      <w:r w:rsidRPr="00A56B17">
        <w:rPr>
          <w:b/>
        </w:rPr>
        <w:t>Fig. 7</w:t>
      </w:r>
    </w:p>
    <w:p w:rsidR="00C6287D" w:rsidRPr="00A56B17" w:rsidP="00C6287D">
      <w:pPr>
        <w:spacing w:after="120"/>
        <w:jc w:val="center"/>
        <w:rPr>
          <w:b/>
        </w:rPr>
      </w:pPr>
      <w:r w:rsidRPr="00A56B17">
        <w:rPr>
          <w:b/>
        </w:rPr>
        <w:t>Comparison of Demographic Data Between Areas Where Fixed Terrestrial 25 Mbps/3 Mbps Services and Mobile LTE with a Median Speed of 10 Mbps/3 Mbps Has Been Deployed and Where These Services Have Not Been Deployed (As of December 31, 2017)</w:t>
      </w:r>
    </w:p>
    <w:tbl>
      <w:tblPr>
        <w:tblW w:w="5000" w:type="pct"/>
        <w:jc w:val="center"/>
        <w:tblLayout w:type="fixed"/>
        <w:tblCellMar>
          <w:left w:w="0" w:type="dxa"/>
          <w:right w:w="0" w:type="dxa"/>
        </w:tblCellMar>
        <w:tblLook w:val="0000"/>
      </w:tblPr>
      <w:tblGrid>
        <w:gridCol w:w="2083"/>
        <w:gridCol w:w="1274"/>
        <w:gridCol w:w="1548"/>
        <w:gridCol w:w="1546"/>
        <w:gridCol w:w="1669"/>
        <w:gridCol w:w="1320"/>
      </w:tblGrid>
      <w:tr w:rsidTr="00525353">
        <w:tblPrEx>
          <w:tblW w:w="5000" w:type="pct"/>
          <w:jc w:val="center"/>
          <w:tblLayout w:type="fixed"/>
          <w:tblCellMar>
            <w:left w:w="0" w:type="dxa"/>
            <w:right w:w="0" w:type="dxa"/>
          </w:tblCellMar>
          <w:tblLook w:val="0000"/>
        </w:tblPrEx>
        <w:trPr>
          <w:cantSplit/>
          <w:tblHeader/>
          <w:jc w:val="center"/>
        </w:trPr>
        <w:tc>
          <w:tcPr>
            <w:tcW w:w="1103"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sz w:val="20"/>
              </w:rPr>
            </w:pPr>
          </w:p>
        </w:tc>
        <w:tc>
          <w:tcPr>
            <w:tcW w:w="675"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spacing w:before="40" w:after="120"/>
              <w:jc w:val="center"/>
              <w:rPr>
                <w:b/>
                <w:sz w:val="20"/>
              </w:rPr>
            </w:pPr>
            <w:r w:rsidRPr="005B36BB">
              <w:rPr>
                <w:b/>
                <w:sz w:val="20"/>
              </w:rPr>
              <w:t>Average Population</w:t>
            </w:r>
          </w:p>
        </w:tc>
        <w:tc>
          <w:tcPr>
            <w:tcW w:w="820"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spacing w:before="40" w:after="120"/>
              <w:jc w:val="center"/>
              <w:rPr>
                <w:b/>
                <w:sz w:val="20"/>
              </w:rPr>
            </w:pPr>
            <w:r w:rsidRPr="005B36BB">
              <w:rPr>
                <w:b/>
                <w:sz w:val="20"/>
              </w:rPr>
              <w:t>Average Population Density</w:t>
            </w:r>
          </w:p>
        </w:tc>
        <w:tc>
          <w:tcPr>
            <w:tcW w:w="819"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spacing w:before="40" w:after="120"/>
              <w:jc w:val="center"/>
              <w:rPr>
                <w:b/>
                <w:sz w:val="20"/>
              </w:rPr>
            </w:pPr>
            <w:r w:rsidRPr="005B36BB">
              <w:rPr>
                <w:b/>
                <w:sz w:val="20"/>
              </w:rPr>
              <w:t>Average Per Capita Income ($2017)</w:t>
            </w:r>
          </w:p>
        </w:tc>
        <w:tc>
          <w:tcPr>
            <w:tcW w:w="884"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spacing w:before="40" w:after="120"/>
              <w:jc w:val="center"/>
              <w:rPr>
                <w:b/>
                <w:sz w:val="20"/>
              </w:rPr>
            </w:pPr>
            <w:r w:rsidRPr="005B36BB">
              <w:rPr>
                <w:b/>
                <w:sz w:val="20"/>
              </w:rPr>
              <w:t>Average Median Household Income ($2017)</w:t>
            </w:r>
          </w:p>
        </w:tc>
        <w:tc>
          <w:tcPr>
            <w:tcW w:w="699" w:type="pct"/>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5B36BB" w:rsidP="00525353">
            <w:pPr>
              <w:autoSpaceDE w:val="0"/>
              <w:autoSpaceDN w:val="0"/>
              <w:adjustRightInd w:val="0"/>
              <w:spacing w:before="40" w:after="120"/>
              <w:jc w:val="center"/>
              <w:rPr>
                <w:b/>
                <w:sz w:val="20"/>
              </w:rPr>
            </w:pPr>
            <w:r w:rsidRPr="005B36BB">
              <w:rPr>
                <w:b/>
                <w:sz w:val="20"/>
              </w:rPr>
              <w:t>Average Poverty Rate</w:t>
            </w:r>
          </w:p>
        </w:tc>
      </w:tr>
      <w:tr w:rsidTr="00525353">
        <w:tblPrEx>
          <w:tblW w:w="5000" w:type="pct"/>
          <w:jc w:val="center"/>
          <w:tblLayout w:type="fixed"/>
          <w:tblCellMar>
            <w:left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5B36BB" w:rsidP="00525353">
            <w:pPr>
              <w:autoSpaceDE w:val="0"/>
              <w:autoSpaceDN w:val="0"/>
              <w:adjustRightInd w:val="0"/>
              <w:spacing w:before="40" w:after="120"/>
              <w:rPr>
                <w:sz w:val="20"/>
              </w:rPr>
            </w:pPr>
            <w:r w:rsidRPr="005B36BB">
              <w:rPr>
                <w:b/>
                <w:sz w:val="20"/>
              </w:rPr>
              <w:t>United States (All Areas)</w:t>
            </w:r>
          </w:p>
        </w:tc>
      </w:tr>
      <w:tr w:rsidTr="00525353">
        <w:tblPrEx>
          <w:tblW w:w="5000" w:type="pct"/>
          <w:jc w:val="center"/>
          <w:tblLayout w:type="fixed"/>
          <w:tblCellMar>
            <w:left w:w="0" w:type="dxa"/>
            <w:right w:w="0" w:type="dxa"/>
          </w:tblCellMar>
          <w:tblLook w:val="0000"/>
        </w:tblPrEx>
        <w:trPr>
          <w:cantSplit/>
          <w:trHeight w:val="389"/>
          <w:jc w:val="center"/>
        </w:trPr>
        <w:tc>
          <w:tcPr>
            <w:tcW w:w="1103"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ind w:firstLine="144"/>
              <w:rPr>
                <w:b/>
                <w:sz w:val="20"/>
              </w:rPr>
            </w:pPr>
            <w:r w:rsidRPr="005B36BB">
              <w:rPr>
                <w:b/>
                <w:sz w:val="20"/>
              </w:rPr>
              <w:t>With Deployment</w:t>
            </w:r>
          </w:p>
        </w:tc>
        <w:tc>
          <w:tcPr>
            <w:tcW w:w="675" w:type="pct"/>
            <w:tcBorders>
              <w:top w:val="nil"/>
              <w:left w:val="single" w:sz="8" w:space="0" w:color="000000"/>
              <w:bottom w:val="single" w:sz="8" w:space="0" w:color="000000"/>
              <w:right w:val="nil"/>
            </w:tcBorders>
            <w:shd w:val="clear" w:color="auto" w:fill="F5F5F5"/>
            <w:tcMar>
              <w:left w:w="40" w:type="dxa"/>
              <w:right w:w="40" w:type="dxa"/>
            </w:tcMar>
          </w:tcPr>
          <w:p w:rsidR="00C6287D" w:rsidRPr="00B53334" w:rsidP="00525353">
            <w:pPr>
              <w:autoSpaceDE w:val="0"/>
              <w:autoSpaceDN w:val="0"/>
              <w:adjustRightInd w:val="0"/>
              <w:spacing w:before="40" w:after="120"/>
              <w:jc w:val="center"/>
              <w:rPr>
                <w:sz w:val="20"/>
                <w:vertAlign w:val="superscript"/>
              </w:rPr>
            </w:pPr>
            <w:r w:rsidRPr="00B53334">
              <w:rPr>
                <w:color w:val="000000"/>
                <w:sz w:val="20"/>
              </w:rPr>
              <w:t>1,531.6</w:t>
            </w:r>
            <w:r>
              <w:rPr>
                <w:color w:val="000000"/>
                <w:sz w:val="20"/>
              </w:rPr>
              <w:t>***</w:t>
            </w:r>
          </w:p>
        </w:tc>
        <w:tc>
          <w:tcPr>
            <w:tcW w:w="820" w:type="pct"/>
            <w:tcBorders>
              <w:top w:val="nil"/>
              <w:left w:val="single" w:sz="8" w:space="0" w:color="000000"/>
              <w:bottom w:val="single" w:sz="8" w:space="0" w:color="000000"/>
              <w:right w:val="nil"/>
            </w:tcBorders>
            <w:shd w:val="clear" w:color="auto" w:fill="F5F5F5"/>
            <w:tcMar>
              <w:left w:w="40" w:type="dxa"/>
              <w:right w:w="40" w:type="dxa"/>
            </w:tcMar>
          </w:tcPr>
          <w:p w:rsidR="00C6287D" w:rsidRPr="00B53334" w:rsidP="00525353">
            <w:pPr>
              <w:autoSpaceDE w:val="0"/>
              <w:autoSpaceDN w:val="0"/>
              <w:adjustRightInd w:val="0"/>
              <w:spacing w:before="40" w:after="120"/>
              <w:jc w:val="center"/>
              <w:rPr>
                <w:sz w:val="20"/>
              </w:rPr>
            </w:pPr>
            <w:r w:rsidRPr="00B53334">
              <w:rPr>
                <w:color w:val="000000"/>
                <w:sz w:val="20"/>
              </w:rPr>
              <w:t>8,404.8</w:t>
            </w:r>
            <w:r>
              <w:rPr>
                <w:color w:val="000000"/>
                <w:sz w:val="20"/>
              </w:rPr>
              <w:t>***</w:t>
            </w:r>
          </w:p>
        </w:tc>
        <w:tc>
          <w:tcPr>
            <w:tcW w:w="819" w:type="pct"/>
            <w:tcBorders>
              <w:top w:val="nil"/>
              <w:left w:val="single" w:sz="8" w:space="0" w:color="000000"/>
              <w:bottom w:val="single" w:sz="8" w:space="0" w:color="000000"/>
              <w:right w:val="nil"/>
            </w:tcBorders>
            <w:shd w:val="clear" w:color="auto" w:fill="F5F5F5"/>
            <w:tcMar>
              <w:left w:w="40" w:type="dxa"/>
              <w:right w:w="40" w:type="dxa"/>
            </w:tcMar>
          </w:tcPr>
          <w:p w:rsidR="00C6287D" w:rsidRPr="00B53334" w:rsidP="00525353">
            <w:pPr>
              <w:autoSpaceDE w:val="0"/>
              <w:autoSpaceDN w:val="0"/>
              <w:adjustRightInd w:val="0"/>
              <w:spacing w:before="40" w:after="120"/>
              <w:jc w:val="center"/>
              <w:rPr>
                <w:sz w:val="20"/>
              </w:rPr>
            </w:pPr>
            <w:r w:rsidRPr="00B53334">
              <w:rPr>
                <w:color w:val="000000"/>
                <w:sz w:val="20"/>
              </w:rPr>
              <w:t>$33,082.96</w:t>
            </w:r>
            <w:r>
              <w:rPr>
                <w:color w:val="000000"/>
                <w:sz w:val="20"/>
              </w:rPr>
              <w:t>***</w:t>
            </w:r>
          </w:p>
        </w:tc>
        <w:tc>
          <w:tcPr>
            <w:tcW w:w="884" w:type="pct"/>
            <w:tcBorders>
              <w:top w:val="nil"/>
              <w:left w:val="single" w:sz="8" w:space="0" w:color="000000"/>
              <w:bottom w:val="single" w:sz="8" w:space="0" w:color="000000"/>
              <w:right w:val="nil"/>
            </w:tcBorders>
            <w:shd w:val="clear" w:color="auto" w:fill="F5F5F5"/>
            <w:tcMar>
              <w:left w:w="40" w:type="dxa"/>
              <w:right w:w="40" w:type="dxa"/>
            </w:tcMar>
          </w:tcPr>
          <w:p w:rsidR="00C6287D" w:rsidRPr="00B53334" w:rsidP="00525353">
            <w:pPr>
              <w:autoSpaceDE w:val="0"/>
              <w:autoSpaceDN w:val="0"/>
              <w:adjustRightInd w:val="0"/>
              <w:spacing w:before="40" w:after="120"/>
              <w:jc w:val="center"/>
              <w:rPr>
                <w:sz w:val="20"/>
              </w:rPr>
            </w:pPr>
            <w:r w:rsidRPr="00B53334">
              <w:rPr>
                <w:color w:val="000000"/>
                <w:sz w:val="20"/>
              </w:rPr>
              <w:t>$67,851.75</w:t>
            </w:r>
            <w:r>
              <w:rPr>
                <w:color w:val="000000"/>
                <w:sz w:val="20"/>
              </w:rPr>
              <w:t>***</w:t>
            </w:r>
          </w:p>
        </w:tc>
        <w:tc>
          <w:tcPr>
            <w:tcW w:w="699"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B53334" w:rsidP="00525353">
            <w:pPr>
              <w:autoSpaceDE w:val="0"/>
              <w:autoSpaceDN w:val="0"/>
              <w:adjustRightInd w:val="0"/>
              <w:spacing w:before="40" w:after="120"/>
              <w:jc w:val="center"/>
              <w:rPr>
                <w:sz w:val="20"/>
              </w:rPr>
            </w:pPr>
            <w:r w:rsidRPr="00B53334">
              <w:rPr>
                <w:color w:val="000000"/>
                <w:sz w:val="20"/>
              </w:rPr>
              <w:t>14.3%</w:t>
            </w:r>
            <w:r>
              <w:rPr>
                <w:color w:val="000000"/>
                <w:sz w:val="20"/>
              </w:rPr>
              <w:t>***</w:t>
            </w:r>
          </w:p>
        </w:tc>
      </w:tr>
      <w:tr w:rsidTr="00525353">
        <w:tblPrEx>
          <w:tblW w:w="5000" w:type="pct"/>
          <w:jc w:val="center"/>
          <w:tblLayout w:type="fixed"/>
          <w:tblCellMar>
            <w:left w:w="0" w:type="dxa"/>
            <w:right w:w="0" w:type="dxa"/>
          </w:tblCellMar>
          <w:tblLook w:val="0000"/>
        </w:tblPrEx>
        <w:trPr>
          <w:cantSplit/>
          <w:trHeight w:val="389"/>
          <w:jc w:val="center"/>
        </w:trPr>
        <w:tc>
          <w:tcPr>
            <w:tcW w:w="1103"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ind w:firstLine="144"/>
              <w:rPr>
                <w:b/>
                <w:sz w:val="20"/>
              </w:rPr>
            </w:pPr>
            <w:r w:rsidRPr="005B36BB">
              <w:rPr>
                <w:b/>
                <w:sz w:val="20"/>
              </w:rPr>
              <w:t>Without Deployment</w:t>
            </w:r>
          </w:p>
        </w:tc>
        <w:tc>
          <w:tcPr>
            <w:tcW w:w="675" w:type="pct"/>
            <w:tcBorders>
              <w:top w:val="nil"/>
              <w:left w:val="single" w:sz="8" w:space="0" w:color="000000"/>
              <w:bottom w:val="single" w:sz="8" w:space="0" w:color="000000"/>
              <w:right w:val="nil"/>
            </w:tcBorders>
            <w:shd w:val="clear" w:color="auto" w:fill="FFFFFF"/>
            <w:tcMar>
              <w:left w:w="40" w:type="dxa"/>
              <w:right w:w="40" w:type="dxa"/>
            </w:tcMar>
          </w:tcPr>
          <w:p w:rsidR="00C6287D" w:rsidRPr="00B53334" w:rsidP="00525353">
            <w:pPr>
              <w:autoSpaceDE w:val="0"/>
              <w:autoSpaceDN w:val="0"/>
              <w:adjustRightInd w:val="0"/>
              <w:spacing w:before="40" w:after="120"/>
              <w:jc w:val="center"/>
              <w:rPr>
                <w:sz w:val="20"/>
              </w:rPr>
            </w:pPr>
            <w:r w:rsidRPr="00B53334">
              <w:rPr>
                <w:color w:val="000000"/>
                <w:sz w:val="20"/>
              </w:rPr>
              <w:t>1,432.0</w:t>
            </w:r>
          </w:p>
        </w:tc>
        <w:tc>
          <w:tcPr>
            <w:tcW w:w="820" w:type="pct"/>
            <w:tcBorders>
              <w:top w:val="nil"/>
              <w:left w:val="single" w:sz="8" w:space="0" w:color="000000"/>
              <w:bottom w:val="single" w:sz="8" w:space="0" w:color="000000"/>
              <w:right w:val="nil"/>
            </w:tcBorders>
            <w:shd w:val="clear" w:color="auto" w:fill="FFFFFF"/>
            <w:tcMar>
              <w:left w:w="40" w:type="dxa"/>
              <w:right w:w="40" w:type="dxa"/>
            </w:tcMar>
          </w:tcPr>
          <w:p w:rsidR="00C6287D" w:rsidRPr="00B53334" w:rsidP="00525353">
            <w:pPr>
              <w:autoSpaceDE w:val="0"/>
              <w:autoSpaceDN w:val="0"/>
              <w:adjustRightInd w:val="0"/>
              <w:spacing w:before="40" w:after="120"/>
              <w:jc w:val="center"/>
              <w:rPr>
                <w:sz w:val="20"/>
              </w:rPr>
            </w:pPr>
            <w:r w:rsidRPr="00B53334">
              <w:rPr>
                <w:color w:val="000000"/>
                <w:sz w:val="20"/>
              </w:rPr>
              <w:t>1,659.6</w:t>
            </w:r>
          </w:p>
        </w:tc>
        <w:tc>
          <w:tcPr>
            <w:tcW w:w="819" w:type="pct"/>
            <w:tcBorders>
              <w:top w:val="nil"/>
              <w:left w:val="single" w:sz="8" w:space="0" w:color="000000"/>
              <w:bottom w:val="single" w:sz="8" w:space="0" w:color="000000"/>
              <w:right w:val="nil"/>
            </w:tcBorders>
            <w:shd w:val="clear" w:color="auto" w:fill="FFFFFF"/>
            <w:tcMar>
              <w:left w:w="40" w:type="dxa"/>
              <w:right w:w="40" w:type="dxa"/>
            </w:tcMar>
          </w:tcPr>
          <w:p w:rsidR="00C6287D" w:rsidRPr="00B53334" w:rsidP="00525353">
            <w:pPr>
              <w:autoSpaceDE w:val="0"/>
              <w:autoSpaceDN w:val="0"/>
              <w:adjustRightInd w:val="0"/>
              <w:spacing w:before="40" w:after="120"/>
              <w:jc w:val="center"/>
              <w:rPr>
                <w:sz w:val="20"/>
              </w:rPr>
            </w:pPr>
            <w:r w:rsidRPr="00B53334">
              <w:rPr>
                <w:color w:val="000000"/>
                <w:sz w:val="20"/>
              </w:rPr>
              <w:t>$26,811.40</w:t>
            </w:r>
          </w:p>
        </w:tc>
        <w:tc>
          <w:tcPr>
            <w:tcW w:w="884" w:type="pct"/>
            <w:tcBorders>
              <w:top w:val="nil"/>
              <w:left w:val="single" w:sz="8" w:space="0" w:color="000000"/>
              <w:bottom w:val="single" w:sz="8" w:space="0" w:color="000000"/>
              <w:right w:val="nil"/>
            </w:tcBorders>
            <w:shd w:val="clear" w:color="auto" w:fill="FFFFFF"/>
            <w:tcMar>
              <w:left w:w="40" w:type="dxa"/>
              <w:right w:w="40" w:type="dxa"/>
            </w:tcMar>
          </w:tcPr>
          <w:p w:rsidR="00C6287D" w:rsidRPr="00B53334" w:rsidP="00525353">
            <w:pPr>
              <w:autoSpaceDE w:val="0"/>
              <w:autoSpaceDN w:val="0"/>
              <w:adjustRightInd w:val="0"/>
              <w:spacing w:before="40" w:after="120"/>
              <w:jc w:val="center"/>
              <w:rPr>
                <w:sz w:val="20"/>
              </w:rPr>
            </w:pPr>
            <w:r w:rsidRPr="00B53334">
              <w:rPr>
                <w:color w:val="000000"/>
                <w:sz w:val="20"/>
              </w:rPr>
              <w:t>$53,785.02</w:t>
            </w:r>
          </w:p>
        </w:tc>
        <w:tc>
          <w:tcPr>
            <w:tcW w:w="69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53334" w:rsidP="00525353">
            <w:pPr>
              <w:autoSpaceDE w:val="0"/>
              <w:autoSpaceDN w:val="0"/>
              <w:adjustRightInd w:val="0"/>
              <w:spacing w:before="40" w:after="120"/>
              <w:jc w:val="center"/>
              <w:rPr>
                <w:sz w:val="20"/>
              </w:rPr>
            </w:pPr>
            <w:r w:rsidRPr="00B53334">
              <w:rPr>
                <w:color w:val="000000"/>
                <w:sz w:val="20"/>
              </w:rPr>
              <w:t>15.8%</w:t>
            </w:r>
          </w:p>
        </w:tc>
      </w:tr>
      <w:tr w:rsidTr="00525353">
        <w:tblPrEx>
          <w:tblW w:w="5000" w:type="pct"/>
          <w:jc w:val="center"/>
          <w:tblLayout w:type="fixed"/>
          <w:tblCellMar>
            <w:left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B53334" w:rsidP="00525353">
            <w:pPr>
              <w:autoSpaceDE w:val="0"/>
              <w:autoSpaceDN w:val="0"/>
              <w:adjustRightInd w:val="0"/>
              <w:spacing w:before="40" w:after="120"/>
              <w:rPr>
                <w:b/>
                <w:sz w:val="20"/>
              </w:rPr>
            </w:pPr>
            <w:r w:rsidRPr="00B53334">
              <w:rPr>
                <w:b/>
                <w:sz w:val="20"/>
              </w:rPr>
              <w:t>U.S. Rural Areas</w:t>
            </w:r>
          </w:p>
        </w:tc>
      </w:tr>
      <w:tr w:rsidTr="00525353">
        <w:tblPrEx>
          <w:tblW w:w="5000" w:type="pct"/>
          <w:jc w:val="center"/>
          <w:tblLayout w:type="fixed"/>
          <w:tblCellMar>
            <w:left w:w="0" w:type="dxa"/>
            <w:right w:w="0" w:type="dxa"/>
          </w:tblCellMar>
          <w:tblLook w:val="0000"/>
        </w:tblPrEx>
        <w:trPr>
          <w:cantSplit/>
          <w:trHeight w:val="389"/>
          <w:jc w:val="center"/>
        </w:trPr>
        <w:tc>
          <w:tcPr>
            <w:tcW w:w="1103"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ind w:firstLine="144"/>
              <w:rPr>
                <w:b/>
                <w:sz w:val="20"/>
              </w:rPr>
            </w:pPr>
            <w:r w:rsidRPr="005B36BB">
              <w:rPr>
                <w:b/>
                <w:sz w:val="20"/>
              </w:rPr>
              <w:t>With Deployment</w:t>
            </w:r>
          </w:p>
        </w:tc>
        <w:tc>
          <w:tcPr>
            <w:tcW w:w="675" w:type="pct"/>
            <w:tcBorders>
              <w:top w:val="nil"/>
              <w:left w:val="single" w:sz="8" w:space="0" w:color="000000"/>
              <w:bottom w:val="single" w:sz="8" w:space="0" w:color="000000"/>
              <w:right w:val="nil"/>
            </w:tcBorders>
            <w:shd w:val="clear" w:color="auto" w:fill="F5F5F5"/>
            <w:tcMar>
              <w:left w:w="40" w:type="dxa"/>
              <w:right w:w="40" w:type="dxa"/>
            </w:tcMar>
          </w:tcPr>
          <w:p w:rsidR="00C6287D" w:rsidRPr="00B53334" w:rsidP="00525353">
            <w:pPr>
              <w:autoSpaceDE w:val="0"/>
              <w:autoSpaceDN w:val="0"/>
              <w:adjustRightInd w:val="0"/>
              <w:spacing w:before="40" w:after="120"/>
              <w:jc w:val="center"/>
              <w:rPr>
                <w:sz w:val="20"/>
              </w:rPr>
            </w:pPr>
            <w:r w:rsidRPr="00B53334">
              <w:rPr>
                <w:color w:val="000000"/>
                <w:sz w:val="20"/>
              </w:rPr>
              <w:t>1,436.7</w:t>
            </w:r>
            <w:r>
              <w:rPr>
                <w:color w:val="000000"/>
                <w:sz w:val="20"/>
              </w:rPr>
              <w:t>***</w:t>
            </w:r>
          </w:p>
        </w:tc>
        <w:tc>
          <w:tcPr>
            <w:tcW w:w="820" w:type="pct"/>
            <w:tcBorders>
              <w:top w:val="nil"/>
              <w:left w:val="single" w:sz="8" w:space="0" w:color="000000"/>
              <w:bottom w:val="single" w:sz="8" w:space="0" w:color="000000"/>
              <w:right w:val="nil"/>
            </w:tcBorders>
            <w:shd w:val="clear" w:color="auto" w:fill="F5F5F5"/>
            <w:tcMar>
              <w:left w:w="40" w:type="dxa"/>
              <w:right w:w="40" w:type="dxa"/>
            </w:tcMar>
          </w:tcPr>
          <w:p w:rsidR="00C6287D" w:rsidRPr="00B53334" w:rsidP="00525353">
            <w:pPr>
              <w:autoSpaceDE w:val="0"/>
              <w:autoSpaceDN w:val="0"/>
              <w:adjustRightInd w:val="0"/>
              <w:spacing w:before="40" w:after="120"/>
              <w:jc w:val="center"/>
              <w:rPr>
                <w:sz w:val="20"/>
              </w:rPr>
            </w:pPr>
            <w:r w:rsidRPr="00B53334">
              <w:rPr>
                <w:color w:val="000000"/>
                <w:sz w:val="20"/>
              </w:rPr>
              <w:t>198.7</w:t>
            </w:r>
            <w:r>
              <w:rPr>
                <w:color w:val="000000"/>
                <w:sz w:val="20"/>
              </w:rPr>
              <w:t>***</w:t>
            </w:r>
          </w:p>
        </w:tc>
        <w:tc>
          <w:tcPr>
            <w:tcW w:w="819" w:type="pct"/>
            <w:tcBorders>
              <w:top w:val="nil"/>
              <w:left w:val="single" w:sz="8" w:space="0" w:color="000000"/>
              <w:bottom w:val="single" w:sz="8" w:space="0" w:color="000000"/>
              <w:right w:val="nil"/>
            </w:tcBorders>
            <w:shd w:val="clear" w:color="auto" w:fill="F5F5F5"/>
            <w:tcMar>
              <w:left w:w="40" w:type="dxa"/>
              <w:right w:w="40" w:type="dxa"/>
            </w:tcMar>
          </w:tcPr>
          <w:p w:rsidR="00C6287D" w:rsidRPr="00B53334" w:rsidP="00525353">
            <w:pPr>
              <w:autoSpaceDE w:val="0"/>
              <w:autoSpaceDN w:val="0"/>
              <w:adjustRightInd w:val="0"/>
              <w:spacing w:before="40" w:after="120"/>
              <w:jc w:val="center"/>
              <w:rPr>
                <w:sz w:val="20"/>
              </w:rPr>
            </w:pPr>
            <w:r w:rsidRPr="00B53334">
              <w:rPr>
                <w:color w:val="000000"/>
                <w:sz w:val="20"/>
              </w:rPr>
              <w:t>$33,143.34</w:t>
            </w:r>
            <w:r>
              <w:rPr>
                <w:color w:val="000000"/>
                <w:sz w:val="20"/>
              </w:rPr>
              <w:t>***</w:t>
            </w:r>
          </w:p>
        </w:tc>
        <w:tc>
          <w:tcPr>
            <w:tcW w:w="884" w:type="pct"/>
            <w:tcBorders>
              <w:top w:val="nil"/>
              <w:left w:val="single" w:sz="8" w:space="0" w:color="000000"/>
              <w:bottom w:val="single" w:sz="8" w:space="0" w:color="000000"/>
              <w:right w:val="nil"/>
            </w:tcBorders>
            <w:shd w:val="clear" w:color="auto" w:fill="F5F5F5"/>
            <w:tcMar>
              <w:left w:w="40" w:type="dxa"/>
              <w:right w:w="40" w:type="dxa"/>
            </w:tcMar>
          </w:tcPr>
          <w:p w:rsidR="00C6287D" w:rsidRPr="00B53334" w:rsidP="00525353">
            <w:pPr>
              <w:autoSpaceDE w:val="0"/>
              <w:autoSpaceDN w:val="0"/>
              <w:adjustRightInd w:val="0"/>
              <w:spacing w:before="40" w:after="120"/>
              <w:jc w:val="center"/>
              <w:rPr>
                <w:sz w:val="20"/>
              </w:rPr>
            </w:pPr>
            <w:r w:rsidRPr="00B53334">
              <w:rPr>
                <w:color w:val="000000"/>
                <w:sz w:val="20"/>
              </w:rPr>
              <w:t>$68,438.01</w:t>
            </w:r>
            <w:r>
              <w:rPr>
                <w:color w:val="000000"/>
                <w:sz w:val="20"/>
              </w:rPr>
              <w:t>***</w:t>
            </w:r>
          </w:p>
        </w:tc>
        <w:tc>
          <w:tcPr>
            <w:tcW w:w="699"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B53334" w:rsidP="00525353">
            <w:pPr>
              <w:autoSpaceDE w:val="0"/>
              <w:autoSpaceDN w:val="0"/>
              <w:adjustRightInd w:val="0"/>
              <w:spacing w:before="40" w:after="120"/>
              <w:jc w:val="center"/>
              <w:rPr>
                <w:sz w:val="20"/>
              </w:rPr>
            </w:pPr>
            <w:r w:rsidRPr="00B53334">
              <w:rPr>
                <w:color w:val="000000"/>
                <w:sz w:val="20"/>
              </w:rPr>
              <w:t>9.9%</w:t>
            </w:r>
            <w:r>
              <w:rPr>
                <w:color w:val="000000"/>
                <w:sz w:val="20"/>
              </w:rPr>
              <w:t>***</w:t>
            </w:r>
          </w:p>
        </w:tc>
      </w:tr>
      <w:tr w:rsidTr="00525353">
        <w:tblPrEx>
          <w:tblW w:w="5000" w:type="pct"/>
          <w:jc w:val="center"/>
          <w:tblLayout w:type="fixed"/>
          <w:tblCellMar>
            <w:left w:w="0" w:type="dxa"/>
            <w:right w:w="0" w:type="dxa"/>
          </w:tblCellMar>
          <w:tblLook w:val="0000"/>
        </w:tblPrEx>
        <w:trPr>
          <w:cantSplit/>
          <w:trHeight w:val="389"/>
          <w:jc w:val="center"/>
        </w:trPr>
        <w:tc>
          <w:tcPr>
            <w:tcW w:w="1103"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ind w:firstLine="144"/>
              <w:rPr>
                <w:b/>
                <w:sz w:val="20"/>
              </w:rPr>
            </w:pPr>
            <w:r w:rsidRPr="005B36BB">
              <w:rPr>
                <w:b/>
                <w:sz w:val="20"/>
              </w:rPr>
              <w:t>Without Deployment</w:t>
            </w:r>
          </w:p>
        </w:tc>
        <w:tc>
          <w:tcPr>
            <w:tcW w:w="675" w:type="pct"/>
            <w:tcBorders>
              <w:top w:val="nil"/>
              <w:left w:val="single" w:sz="8" w:space="0" w:color="000000"/>
              <w:bottom w:val="single" w:sz="8" w:space="0" w:color="000000"/>
              <w:right w:val="nil"/>
            </w:tcBorders>
            <w:shd w:val="clear" w:color="auto" w:fill="FFFFFF"/>
            <w:tcMar>
              <w:left w:w="40" w:type="dxa"/>
              <w:right w:w="40" w:type="dxa"/>
            </w:tcMar>
          </w:tcPr>
          <w:p w:rsidR="00C6287D" w:rsidRPr="00B53334" w:rsidP="00525353">
            <w:pPr>
              <w:autoSpaceDE w:val="0"/>
              <w:autoSpaceDN w:val="0"/>
              <w:adjustRightInd w:val="0"/>
              <w:spacing w:before="40" w:after="120"/>
              <w:jc w:val="center"/>
              <w:rPr>
                <w:sz w:val="20"/>
              </w:rPr>
            </w:pPr>
            <w:r w:rsidRPr="00B53334">
              <w:rPr>
                <w:color w:val="000000"/>
                <w:sz w:val="20"/>
              </w:rPr>
              <w:t>1,301.1</w:t>
            </w:r>
          </w:p>
        </w:tc>
        <w:tc>
          <w:tcPr>
            <w:tcW w:w="820" w:type="pct"/>
            <w:tcBorders>
              <w:top w:val="nil"/>
              <w:left w:val="single" w:sz="8" w:space="0" w:color="000000"/>
              <w:bottom w:val="single" w:sz="8" w:space="0" w:color="000000"/>
              <w:right w:val="nil"/>
            </w:tcBorders>
            <w:shd w:val="clear" w:color="auto" w:fill="FFFFFF"/>
            <w:tcMar>
              <w:left w:w="40" w:type="dxa"/>
              <w:right w:w="40" w:type="dxa"/>
            </w:tcMar>
          </w:tcPr>
          <w:p w:rsidR="00C6287D" w:rsidRPr="00B53334" w:rsidP="00525353">
            <w:pPr>
              <w:autoSpaceDE w:val="0"/>
              <w:autoSpaceDN w:val="0"/>
              <w:adjustRightInd w:val="0"/>
              <w:spacing w:before="40" w:after="120"/>
              <w:jc w:val="center"/>
              <w:rPr>
                <w:sz w:val="20"/>
              </w:rPr>
            </w:pPr>
            <w:r w:rsidRPr="00B53334">
              <w:rPr>
                <w:color w:val="000000"/>
                <w:sz w:val="20"/>
              </w:rPr>
              <w:t>99.0</w:t>
            </w:r>
          </w:p>
        </w:tc>
        <w:tc>
          <w:tcPr>
            <w:tcW w:w="819" w:type="pct"/>
            <w:tcBorders>
              <w:top w:val="nil"/>
              <w:left w:val="single" w:sz="8" w:space="0" w:color="000000"/>
              <w:bottom w:val="single" w:sz="8" w:space="0" w:color="000000"/>
              <w:right w:val="nil"/>
            </w:tcBorders>
            <w:shd w:val="clear" w:color="auto" w:fill="FFFFFF"/>
            <w:tcMar>
              <w:left w:w="40" w:type="dxa"/>
              <w:right w:w="40" w:type="dxa"/>
            </w:tcMar>
          </w:tcPr>
          <w:p w:rsidR="00C6287D" w:rsidRPr="00B53334" w:rsidP="00525353">
            <w:pPr>
              <w:autoSpaceDE w:val="0"/>
              <w:autoSpaceDN w:val="0"/>
              <w:adjustRightInd w:val="0"/>
              <w:spacing w:before="40" w:after="120"/>
              <w:jc w:val="center"/>
              <w:rPr>
                <w:sz w:val="20"/>
              </w:rPr>
            </w:pPr>
            <w:r w:rsidRPr="00B53334">
              <w:rPr>
                <w:color w:val="000000"/>
                <w:sz w:val="20"/>
              </w:rPr>
              <w:t>$27,616.76</w:t>
            </w:r>
          </w:p>
        </w:tc>
        <w:tc>
          <w:tcPr>
            <w:tcW w:w="884" w:type="pct"/>
            <w:tcBorders>
              <w:top w:val="nil"/>
              <w:left w:val="single" w:sz="8" w:space="0" w:color="000000"/>
              <w:bottom w:val="single" w:sz="8" w:space="0" w:color="000000"/>
              <w:right w:val="nil"/>
            </w:tcBorders>
            <w:shd w:val="clear" w:color="auto" w:fill="FFFFFF"/>
            <w:tcMar>
              <w:left w:w="40" w:type="dxa"/>
              <w:right w:w="40" w:type="dxa"/>
            </w:tcMar>
          </w:tcPr>
          <w:p w:rsidR="00C6287D" w:rsidRPr="00B53334" w:rsidP="00525353">
            <w:pPr>
              <w:autoSpaceDE w:val="0"/>
              <w:autoSpaceDN w:val="0"/>
              <w:adjustRightInd w:val="0"/>
              <w:spacing w:before="40" w:after="120"/>
              <w:jc w:val="center"/>
              <w:rPr>
                <w:sz w:val="20"/>
              </w:rPr>
            </w:pPr>
            <w:r w:rsidRPr="00B53334">
              <w:rPr>
                <w:color w:val="000000"/>
                <w:sz w:val="20"/>
              </w:rPr>
              <w:t>$55,614.17</w:t>
            </w:r>
          </w:p>
        </w:tc>
        <w:tc>
          <w:tcPr>
            <w:tcW w:w="69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53334" w:rsidP="00525353">
            <w:pPr>
              <w:autoSpaceDE w:val="0"/>
              <w:autoSpaceDN w:val="0"/>
              <w:adjustRightInd w:val="0"/>
              <w:spacing w:before="40" w:after="120"/>
              <w:jc w:val="center"/>
              <w:rPr>
                <w:sz w:val="20"/>
              </w:rPr>
            </w:pPr>
            <w:r w:rsidRPr="00B53334">
              <w:rPr>
                <w:color w:val="000000"/>
                <w:sz w:val="20"/>
              </w:rPr>
              <w:t>13.1%</w:t>
            </w:r>
          </w:p>
        </w:tc>
      </w:tr>
      <w:tr w:rsidTr="00525353">
        <w:tblPrEx>
          <w:tblW w:w="5000" w:type="pct"/>
          <w:jc w:val="center"/>
          <w:tblLayout w:type="fixed"/>
          <w:tblCellMar>
            <w:left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B53334" w:rsidP="00525353">
            <w:pPr>
              <w:keepNext/>
              <w:autoSpaceDE w:val="0"/>
              <w:autoSpaceDN w:val="0"/>
              <w:adjustRightInd w:val="0"/>
              <w:spacing w:before="40" w:after="120"/>
              <w:rPr>
                <w:b/>
                <w:sz w:val="20"/>
              </w:rPr>
            </w:pPr>
            <w:r w:rsidRPr="00B53334">
              <w:rPr>
                <w:b/>
                <w:sz w:val="20"/>
              </w:rPr>
              <w:t>U.S. Urban Areas</w:t>
            </w:r>
          </w:p>
        </w:tc>
      </w:tr>
      <w:tr w:rsidTr="00525353">
        <w:tblPrEx>
          <w:tblW w:w="5000" w:type="pct"/>
          <w:jc w:val="center"/>
          <w:tblLayout w:type="fixed"/>
          <w:tblCellMar>
            <w:left w:w="0" w:type="dxa"/>
            <w:right w:w="0" w:type="dxa"/>
          </w:tblCellMar>
          <w:tblLook w:val="0000"/>
        </w:tblPrEx>
        <w:trPr>
          <w:cantSplit/>
          <w:trHeight w:val="389"/>
          <w:jc w:val="center"/>
        </w:trPr>
        <w:tc>
          <w:tcPr>
            <w:tcW w:w="1103"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keepNext/>
              <w:autoSpaceDE w:val="0"/>
              <w:autoSpaceDN w:val="0"/>
              <w:adjustRightInd w:val="0"/>
              <w:spacing w:before="40" w:after="120"/>
              <w:ind w:firstLine="144"/>
              <w:rPr>
                <w:b/>
                <w:sz w:val="20"/>
              </w:rPr>
            </w:pPr>
            <w:r w:rsidRPr="005B36BB">
              <w:rPr>
                <w:b/>
                <w:sz w:val="20"/>
              </w:rPr>
              <w:t>With Deployment</w:t>
            </w:r>
          </w:p>
        </w:tc>
        <w:tc>
          <w:tcPr>
            <w:tcW w:w="675" w:type="pct"/>
            <w:tcBorders>
              <w:top w:val="nil"/>
              <w:left w:val="single" w:sz="8" w:space="0" w:color="000000"/>
              <w:bottom w:val="single" w:sz="8" w:space="0" w:color="000000"/>
              <w:right w:val="nil"/>
            </w:tcBorders>
            <w:shd w:val="clear" w:color="auto" w:fill="F5F5F5"/>
            <w:tcMar>
              <w:left w:w="40" w:type="dxa"/>
              <w:right w:w="40" w:type="dxa"/>
            </w:tcMar>
          </w:tcPr>
          <w:p w:rsidR="00C6287D" w:rsidRPr="00B53334" w:rsidP="00525353">
            <w:pPr>
              <w:keepNext/>
              <w:autoSpaceDE w:val="0"/>
              <w:autoSpaceDN w:val="0"/>
              <w:adjustRightInd w:val="0"/>
              <w:spacing w:before="40" w:after="120"/>
              <w:jc w:val="center"/>
              <w:rPr>
                <w:sz w:val="20"/>
              </w:rPr>
            </w:pPr>
            <w:r w:rsidRPr="00B53334">
              <w:rPr>
                <w:color w:val="000000"/>
                <w:sz w:val="20"/>
              </w:rPr>
              <w:t>1,538.7</w:t>
            </w:r>
            <w:r>
              <w:rPr>
                <w:color w:val="000000"/>
                <w:sz w:val="20"/>
              </w:rPr>
              <w:t>***</w:t>
            </w:r>
          </w:p>
        </w:tc>
        <w:tc>
          <w:tcPr>
            <w:tcW w:w="820" w:type="pct"/>
            <w:tcBorders>
              <w:top w:val="nil"/>
              <w:left w:val="single" w:sz="8" w:space="0" w:color="000000"/>
              <w:bottom w:val="single" w:sz="8" w:space="0" w:color="000000"/>
              <w:right w:val="nil"/>
            </w:tcBorders>
            <w:shd w:val="clear" w:color="auto" w:fill="F5F5F5"/>
            <w:tcMar>
              <w:left w:w="40" w:type="dxa"/>
              <w:right w:w="40" w:type="dxa"/>
            </w:tcMar>
          </w:tcPr>
          <w:p w:rsidR="00C6287D" w:rsidRPr="00B53334" w:rsidP="00525353">
            <w:pPr>
              <w:keepNext/>
              <w:autoSpaceDE w:val="0"/>
              <w:autoSpaceDN w:val="0"/>
              <w:adjustRightInd w:val="0"/>
              <w:spacing w:before="40" w:after="120"/>
              <w:jc w:val="center"/>
              <w:rPr>
                <w:sz w:val="20"/>
              </w:rPr>
            </w:pPr>
            <w:r w:rsidRPr="00B53334">
              <w:rPr>
                <w:color w:val="000000"/>
                <w:sz w:val="20"/>
              </w:rPr>
              <w:t>9,015.9</w:t>
            </w:r>
            <w:r>
              <w:rPr>
                <w:color w:val="000000"/>
                <w:sz w:val="20"/>
              </w:rPr>
              <w:t>***</w:t>
            </w:r>
          </w:p>
        </w:tc>
        <w:tc>
          <w:tcPr>
            <w:tcW w:w="819" w:type="pct"/>
            <w:tcBorders>
              <w:top w:val="nil"/>
              <w:left w:val="single" w:sz="8" w:space="0" w:color="000000"/>
              <w:bottom w:val="single" w:sz="8" w:space="0" w:color="000000"/>
              <w:right w:val="nil"/>
            </w:tcBorders>
            <w:shd w:val="clear" w:color="auto" w:fill="F5F5F5"/>
            <w:tcMar>
              <w:left w:w="40" w:type="dxa"/>
              <w:right w:w="40" w:type="dxa"/>
            </w:tcMar>
          </w:tcPr>
          <w:p w:rsidR="00C6287D" w:rsidRPr="00B53334" w:rsidP="00525353">
            <w:pPr>
              <w:keepNext/>
              <w:autoSpaceDE w:val="0"/>
              <w:autoSpaceDN w:val="0"/>
              <w:adjustRightInd w:val="0"/>
              <w:spacing w:before="40" w:after="120"/>
              <w:jc w:val="center"/>
              <w:rPr>
                <w:sz w:val="20"/>
              </w:rPr>
            </w:pPr>
            <w:r w:rsidRPr="00B53334">
              <w:rPr>
                <w:color w:val="000000"/>
                <w:sz w:val="20"/>
              </w:rPr>
              <w:t>$33,078.47</w:t>
            </w:r>
            <w:r>
              <w:rPr>
                <w:color w:val="000000"/>
                <w:sz w:val="20"/>
              </w:rPr>
              <w:t>***</w:t>
            </w:r>
          </w:p>
        </w:tc>
        <w:tc>
          <w:tcPr>
            <w:tcW w:w="884" w:type="pct"/>
            <w:tcBorders>
              <w:top w:val="nil"/>
              <w:left w:val="single" w:sz="8" w:space="0" w:color="000000"/>
              <w:bottom w:val="single" w:sz="8" w:space="0" w:color="000000"/>
              <w:right w:val="nil"/>
            </w:tcBorders>
            <w:shd w:val="clear" w:color="auto" w:fill="F5F5F5"/>
            <w:tcMar>
              <w:left w:w="40" w:type="dxa"/>
              <w:right w:w="40" w:type="dxa"/>
            </w:tcMar>
          </w:tcPr>
          <w:p w:rsidR="00C6287D" w:rsidRPr="00B53334" w:rsidP="00525353">
            <w:pPr>
              <w:keepNext/>
              <w:autoSpaceDE w:val="0"/>
              <w:autoSpaceDN w:val="0"/>
              <w:adjustRightInd w:val="0"/>
              <w:spacing w:before="40" w:after="120"/>
              <w:jc w:val="center"/>
              <w:rPr>
                <w:sz w:val="20"/>
              </w:rPr>
            </w:pPr>
            <w:r w:rsidRPr="00B53334">
              <w:rPr>
                <w:color w:val="000000"/>
                <w:sz w:val="20"/>
              </w:rPr>
              <w:t>$67,807.68</w:t>
            </w:r>
            <w:r>
              <w:rPr>
                <w:color w:val="000000"/>
                <w:sz w:val="20"/>
              </w:rPr>
              <w:t>***</w:t>
            </w:r>
          </w:p>
        </w:tc>
        <w:tc>
          <w:tcPr>
            <w:tcW w:w="699"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B53334" w:rsidP="00525353">
            <w:pPr>
              <w:keepNext/>
              <w:autoSpaceDE w:val="0"/>
              <w:autoSpaceDN w:val="0"/>
              <w:adjustRightInd w:val="0"/>
              <w:spacing w:before="40" w:after="120"/>
              <w:jc w:val="center"/>
              <w:rPr>
                <w:sz w:val="20"/>
              </w:rPr>
            </w:pPr>
            <w:r w:rsidRPr="00B53334">
              <w:rPr>
                <w:color w:val="000000"/>
                <w:sz w:val="20"/>
              </w:rPr>
              <w:t>14.6%</w:t>
            </w:r>
            <w:r>
              <w:rPr>
                <w:color w:val="000000"/>
                <w:sz w:val="20"/>
              </w:rPr>
              <w:t>***</w:t>
            </w:r>
          </w:p>
        </w:tc>
      </w:tr>
      <w:tr w:rsidTr="00525353">
        <w:tblPrEx>
          <w:tblW w:w="5000" w:type="pct"/>
          <w:jc w:val="center"/>
          <w:tblLayout w:type="fixed"/>
          <w:tblCellMar>
            <w:left w:w="0" w:type="dxa"/>
            <w:right w:w="0" w:type="dxa"/>
          </w:tblCellMar>
          <w:tblLook w:val="0000"/>
        </w:tblPrEx>
        <w:trPr>
          <w:cantSplit/>
          <w:trHeight w:val="389"/>
          <w:jc w:val="center"/>
        </w:trPr>
        <w:tc>
          <w:tcPr>
            <w:tcW w:w="1103" w:type="pct"/>
            <w:tcBorders>
              <w:top w:val="nil"/>
              <w:left w:val="single" w:sz="8" w:space="0" w:color="000000"/>
              <w:bottom w:val="single" w:sz="4" w:space="0" w:color="000000"/>
              <w:right w:val="nil"/>
            </w:tcBorders>
            <w:shd w:val="clear" w:color="auto" w:fill="90B0D9"/>
            <w:tcMar>
              <w:left w:w="40" w:type="dxa"/>
              <w:right w:w="40" w:type="dxa"/>
            </w:tcMar>
          </w:tcPr>
          <w:p w:rsidR="00C6287D" w:rsidRPr="005B36BB" w:rsidP="00525353">
            <w:pPr>
              <w:keepNext/>
              <w:autoSpaceDE w:val="0"/>
              <w:autoSpaceDN w:val="0"/>
              <w:adjustRightInd w:val="0"/>
              <w:spacing w:before="40" w:after="120"/>
              <w:ind w:firstLine="144"/>
              <w:rPr>
                <w:b/>
                <w:sz w:val="20"/>
              </w:rPr>
            </w:pPr>
            <w:r w:rsidRPr="005B36BB">
              <w:rPr>
                <w:b/>
                <w:sz w:val="20"/>
              </w:rPr>
              <w:t>Without Deployment</w:t>
            </w:r>
          </w:p>
        </w:tc>
        <w:tc>
          <w:tcPr>
            <w:tcW w:w="675" w:type="pct"/>
            <w:tcBorders>
              <w:top w:val="nil"/>
              <w:left w:val="single" w:sz="8" w:space="0" w:color="000000"/>
              <w:bottom w:val="single" w:sz="8" w:space="0" w:color="000000"/>
              <w:right w:val="nil"/>
            </w:tcBorders>
            <w:shd w:val="clear" w:color="auto" w:fill="FFFFFF"/>
            <w:tcMar>
              <w:left w:w="40" w:type="dxa"/>
              <w:right w:w="40" w:type="dxa"/>
            </w:tcMar>
          </w:tcPr>
          <w:p w:rsidR="00C6287D" w:rsidRPr="00B53334" w:rsidP="00525353">
            <w:pPr>
              <w:keepNext/>
              <w:autoSpaceDE w:val="0"/>
              <w:autoSpaceDN w:val="0"/>
              <w:adjustRightInd w:val="0"/>
              <w:spacing w:before="40" w:after="120"/>
              <w:jc w:val="center"/>
              <w:rPr>
                <w:sz w:val="20"/>
              </w:rPr>
            </w:pPr>
            <w:r w:rsidRPr="00B53334">
              <w:rPr>
                <w:color w:val="000000"/>
                <w:sz w:val="20"/>
              </w:rPr>
              <w:t>1,565.6</w:t>
            </w:r>
          </w:p>
        </w:tc>
        <w:tc>
          <w:tcPr>
            <w:tcW w:w="820" w:type="pct"/>
            <w:tcBorders>
              <w:top w:val="nil"/>
              <w:left w:val="single" w:sz="8" w:space="0" w:color="000000"/>
              <w:bottom w:val="single" w:sz="8" w:space="0" w:color="000000"/>
              <w:right w:val="nil"/>
            </w:tcBorders>
            <w:shd w:val="clear" w:color="auto" w:fill="FFFFFF"/>
            <w:tcMar>
              <w:left w:w="40" w:type="dxa"/>
              <w:right w:w="40" w:type="dxa"/>
            </w:tcMar>
          </w:tcPr>
          <w:p w:rsidR="00C6287D" w:rsidRPr="00B53334" w:rsidP="00525353">
            <w:pPr>
              <w:keepNext/>
              <w:autoSpaceDE w:val="0"/>
              <w:autoSpaceDN w:val="0"/>
              <w:adjustRightInd w:val="0"/>
              <w:spacing w:before="40" w:after="120"/>
              <w:jc w:val="center"/>
              <w:rPr>
                <w:sz w:val="20"/>
              </w:rPr>
            </w:pPr>
            <w:r w:rsidRPr="00B53334">
              <w:rPr>
                <w:color w:val="000000"/>
                <w:sz w:val="20"/>
              </w:rPr>
              <w:t>3,253.1</w:t>
            </w:r>
          </w:p>
        </w:tc>
        <w:tc>
          <w:tcPr>
            <w:tcW w:w="819" w:type="pct"/>
            <w:tcBorders>
              <w:top w:val="nil"/>
              <w:left w:val="single" w:sz="8" w:space="0" w:color="000000"/>
              <w:bottom w:val="single" w:sz="8" w:space="0" w:color="000000"/>
              <w:right w:val="nil"/>
            </w:tcBorders>
            <w:shd w:val="clear" w:color="auto" w:fill="FFFFFF"/>
            <w:tcMar>
              <w:left w:w="40" w:type="dxa"/>
              <w:right w:w="40" w:type="dxa"/>
            </w:tcMar>
          </w:tcPr>
          <w:p w:rsidR="00C6287D" w:rsidRPr="00B53334" w:rsidP="00525353">
            <w:pPr>
              <w:keepNext/>
              <w:autoSpaceDE w:val="0"/>
              <w:autoSpaceDN w:val="0"/>
              <w:adjustRightInd w:val="0"/>
              <w:spacing w:before="40" w:after="120"/>
              <w:jc w:val="center"/>
              <w:rPr>
                <w:sz w:val="20"/>
              </w:rPr>
            </w:pPr>
            <w:r w:rsidRPr="00B53334">
              <w:rPr>
                <w:color w:val="000000"/>
                <w:sz w:val="20"/>
              </w:rPr>
              <w:t>$25,986.07</w:t>
            </w:r>
          </w:p>
        </w:tc>
        <w:tc>
          <w:tcPr>
            <w:tcW w:w="884" w:type="pct"/>
            <w:tcBorders>
              <w:top w:val="nil"/>
              <w:left w:val="single" w:sz="8" w:space="0" w:color="000000"/>
              <w:bottom w:val="single" w:sz="8" w:space="0" w:color="000000"/>
              <w:right w:val="nil"/>
            </w:tcBorders>
            <w:shd w:val="clear" w:color="auto" w:fill="FFFFFF"/>
            <w:tcMar>
              <w:left w:w="40" w:type="dxa"/>
              <w:right w:w="40" w:type="dxa"/>
            </w:tcMar>
          </w:tcPr>
          <w:p w:rsidR="00C6287D" w:rsidRPr="00B53334" w:rsidP="00525353">
            <w:pPr>
              <w:keepNext/>
              <w:autoSpaceDE w:val="0"/>
              <w:autoSpaceDN w:val="0"/>
              <w:adjustRightInd w:val="0"/>
              <w:spacing w:before="40" w:after="120"/>
              <w:jc w:val="center"/>
              <w:rPr>
                <w:sz w:val="20"/>
              </w:rPr>
            </w:pPr>
            <w:r w:rsidRPr="00B53334">
              <w:rPr>
                <w:color w:val="000000"/>
                <w:sz w:val="20"/>
              </w:rPr>
              <w:t>$51,867.00</w:t>
            </w:r>
          </w:p>
        </w:tc>
        <w:tc>
          <w:tcPr>
            <w:tcW w:w="699"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53334" w:rsidP="00525353">
            <w:pPr>
              <w:keepNext/>
              <w:autoSpaceDE w:val="0"/>
              <w:autoSpaceDN w:val="0"/>
              <w:adjustRightInd w:val="0"/>
              <w:spacing w:before="40" w:after="120"/>
              <w:jc w:val="center"/>
              <w:rPr>
                <w:sz w:val="20"/>
              </w:rPr>
            </w:pPr>
            <w:r w:rsidRPr="00B53334">
              <w:rPr>
                <w:color w:val="000000"/>
                <w:sz w:val="20"/>
              </w:rPr>
              <w:t>18.5%</w:t>
            </w:r>
          </w:p>
        </w:tc>
      </w:tr>
      <w:tr w:rsidTr="00525353">
        <w:tblPrEx>
          <w:tblW w:w="5000" w:type="pct"/>
          <w:jc w:val="center"/>
          <w:tblLayout w:type="fixed"/>
          <w:tblCellMar>
            <w:left w:w="0" w:type="dxa"/>
            <w:right w:w="0" w:type="dxa"/>
          </w:tblCellMar>
          <w:tblLook w:val="0000"/>
        </w:tblPrEx>
        <w:trPr>
          <w:cantSplit/>
          <w:trHeight w:val="389"/>
          <w:jc w:val="center"/>
        </w:trPr>
        <w:tc>
          <w:tcPr>
            <w:tcW w:w="5000" w:type="pct"/>
            <w:gridSpan w:val="6"/>
            <w:tcBorders>
              <w:top w:val="single" w:sz="4" w:space="0" w:color="000000"/>
              <w:left w:val="single" w:sz="8" w:space="0" w:color="000000"/>
              <w:bottom w:val="single" w:sz="8" w:space="0" w:color="000000"/>
              <w:right w:val="single" w:sz="8" w:space="0" w:color="000000"/>
            </w:tcBorders>
            <w:shd w:val="clear" w:color="auto" w:fill="auto"/>
            <w:tcMar>
              <w:left w:w="40" w:type="dxa"/>
              <w:right w:w="40" w:type="dxa"/>
            </w:tcMar>
          </w:tcPr>
          <w:p w:rsidR="00C6287D" w:rsidRPr="005B36BB" w:rsidP="00525353">
            <w:pPr>
              <w:keepNext/>
              <w:autoSpaceDE w:val="0"/>
              <w:autoSpaceDN w:val="0"/>
              <w:adjustRightInd w:val="0"/>
              <w:spacing w:before="40" w:after="120"/>
              <w:rPr>
                <w:color w:val="000000"/>
                <w:sz w:val="20"/>
              </w:rPr>
            </w:pPr>
            <w:r w:rsidRPr="005B36BB">
              <w:rPr>
                <w:sz w:val="20"/>
              </w:rPr>
              <w:t>We test for a statistical difference in the reported means between areas with and without deployment of these services.  The level of statistical significance is indicated by a superscript:</w:t>
            </w:r>
            <w:r>
              <w:rPr>
                <w:sz w:val="20"/>
              </w:rPr>
              <w:t xml:space="preserve"> </w:t>
            </w:r>
            <w:r w:rsidRPr="005B36BB">
              <w:rPr>
                <w:sz w:val="20"/>
              </w:rPr>
              <w:t xml:space="preserve"> The absence of a star indicates no statistical difference between the reported figures.  A * signifies statistical significance at a 90% level of confidence, ** signifies statistical significance at a 95% level of confidence, and *** signifies statistical significance at a 99% level of confidence.</w:t>
            </w:r>
          </w:p>
        </w:tc>
      </w:tr>
    </w:tbl>
    <w:p w:rsidR="00C6287D" w:rsidRPr="00A56B17" w:rsidP="00C6287D">
      <w:pPr>
        <w:pStyle w:val="ParaNum"/>
        <w:spacing w:before="120"/>
      </w:pPr>
      <w:bookmarkStart w:id="266" w:name="_Hlk530131968"/>
      <w:bookmarkEnd w:id="265"/>
      <w:r w:rsidRPr="00A56B17">
        <w:t>Figure 8 shows, for 2017, how the average proportion of the population with coverage by fixed terrestrial 25 Mbps/3 Mbps service and mobile LTE service with a minimum advertised speed of 5 Mbps/1 Mbps varies with census block group-level median household income, census block group-level population density, and census block group-level poverty rate.</w:t>
      </w:r>
      <w:r>
        <w:rPr>
          <w:sz w:val="20"/>
          <w:vertAlign w:val="superscript"/>
        </w:rPr>
        <w:footnoteReference w:id="133"/>
      </w:r>
      <w:r w:rsidRPr="00A56B17">
        <w:t xml:space="preserve">  </w:t>
      </w:r>
      <w:r w:rsidRPr="00A56B17">
        <w:rPr>
          <w:lang w:val="en-GB"/>
        </w:rPr>
        <w:t>On average, deployment is highest in census block groups with the highest median household income, the highest population density and the lowest poverty rate.</w:t>
      </w:r>
      <w:bookmarkStart w:id="267" w:name="_Hlk526331218"/>
    </w:p>
    <w:p w:rsidR="00C6287D" w:rsidRPr="00A56B17" w:rsidP="00C6287D">
      <w:pPr>
        <w:jc w:val="center"/>
        <w:rPr>
          <w:b/>
        </w:rPr>
      </w:pPr>
      <w:bookmarkStart w:id="268" w:name="_Hlk532216447"/>
      <w:bookmarkEnd w:id="266"/>
      <w:r w:rsidRPr="00A56B17">
        <w:rPr>
          <w:b/>
        </w:rPr>
        <w:t>Fig. 8</w:t>
      </w:r>
    </w:p>
    <w:p w:rsidR="00C6287D" w:rsidRPr="00A56B17" w:rsidP="00C6287D">
      <w:pPr>
        <w:spacing w:after="120"/>
        <w:jc w:val="center"/>
        <w:rPr>
          <w:b/>
          <w:bCs/>
        </w:rPr>
      </w:pPr>
      <w:r w:rsidRPr="00A56B17">
        <w:rPr>
          <w:b/>
          <w:bCs/>
        </w:rPr>
        <w:t>Average Percentage of Population with Fixed Terrestrial 25 Mbps/3 Mbps and Mobile LTE 5 Mbps/1 Mbps with a Minimum Advertised Speed of 5 Mbps/1 Mbps by Census Block Group Level Demographic Variable (As of December 31, 2017)</w:t>
      </w:r>
    </w:p>
    <w:tbl>
      <w:tblPr>
        <w:tblW w:w="0" w:type="auto"/>
        <w:jc w:val="center"/>
        <w:tblLayout w:type="fixed"/>
        <w:tblCellMar>
          <w:left w:w="0" w:type="dxa"/>
          <w:right w:w="0" w:type="dxa"/>
        </w:tblCellMar>
        <w:tblLook w:val="0000"/>
      </w:tblPr>
      <w:tblGrid>
        <w:gridCol w:w="4458"/>
        <w:gridCol w:w="1710"/>
        <w:gridCol w:w="1350"/>
        <w:gridCol w:w="1758"/>
      </w:tblGrid>
      <w:tr w:rsidTr="00525353">
        <w:tblPrEx>
          <w:tblW w:w="0" w:type="auto"/>
          <w:jc w:val="center"/>
          <w:tblLayout w:type="fixed"/>
          <w:tblCellMar>
            <w:left w:w="0" w:type="dxa"/>
            <w:right w:w="0" w:type="dxa"/>
          </w:tblCellMar>
          <w:tblLook w:val="0000"/>
        </w:tblPrEx>
        <w:trPr>
          <w:cantSplit/>
          <w:tblHeader/>
          <w:jc w:val="center"/>
        </w:trPr>
        <w:tc>
          <w:tcPr>
            <w:tcW w:w="4458"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rPr>
                <w:b/>
                <w:bCs/>
                <w:color w:val="000000"/>
                <w:sz w:val="20"/>
              </w:rPr>
            </w:pPr>
          </w:p>
        </w:tc>
        <w:tc>
          <w:tcPr>
            <w:tcW w:w="1710"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Fixed</w:t>
            </w:r>
          </w:p>
        </w:tc>
        <w:tc>
          <w:tcPr>
            <w:tcW w:w="1350"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 xml:space="preserve">Mobile LTE </w:t>
            </w:r>
          </w:p>
        </w:tc>
        <w:tc>
          <w:tcPr>
            <w:tcW w:w="1758" w:type="dxa"/>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Both Fixed and Mobile LTE</w:t>
            </w:r>
          </w:p>
        </w:tc>
      </w:tr>
      <w:tr w:rsidTr="00525353">
        <w:tblPrEx>
          <w:tblW w:w="0" w:type="auto"/>
          <w:jc w:val="center"/>
          <w:tblLayout w:type="fixed"/>
          <w:tblCellMar>
            <w:left w:w="0" w:type="dxa"/>
            <w:right w:w="0" w:type="dxa"/>
          </w:tblCellMar>
          <w:tblLook w:val="0000"/>
        </w:tblPrEx>
        <w:trPr>
          <w:cantSplit/>
          <w:jc w:val="center"/>
        </w:trPr>
        <w:tc>
          <w:tcPr>
            <w:tcW w:w="9276" w:type="dxa"/>
            <w:gridSpan w:val="4"/>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5B36BB" w:rsidP="00525353">
            <w:pPr>
              <w:adjustRightInd w:val="0"/>
              <w:spacing w:before="40" w:after="120"/>
              <w:jc w:val="center"/>
              <w:rPr>
                <w:b/>
                <w:color w:val="000000"/>
                <w:sz w:val="20"/>
              </w:rPr>
            </w:pPr>
            <w:r w:rsidRPr="005B36BB">
              <w:rPr>
                <w:b/>
                <w:color w:val="000000"/>
                <w:sz w:val="20"/>
              </w:rPr>
              <w:t>Median Household Income ($2017)</w:t>
            </w:r>
          </w:p>
        </w:tc>
      </w:tr>
      <w:tr w:rsidTr="00525353">
        <w:tblPrEx>
          <w:tblW w:w="0" w:type="auto"/>
          <w:jc w:val="center"/>
          <w:tblLayout w:type="fixed"/>
          <w:tblCellMar>
            <w:left w:w="0" w:type="dxa"/>
            <w:right w:w="0" w:type="dxa"/>
          </w:tblCellMar>
          <w:tblLook w:val="0000"/>
        </w:tblPrEx>
        <w:trPr>
          <w:cantSplit/>
          <w:jc w:val="center"/>
        </w:trPr>
        <w:tc>
          <w:tcPr>
            <w:tcW w:w="4458"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spacing w:after="120"/>
              <w:rPr>
                <w:b/>
                <w:sz w:val="20"/>
              </w:rPr>
            </w:pPr>
            <w:r w:rsidRPr="00EE3052">
              <w:rPr>
                <w:b/>
                <w:sz w:val="20"/>
              </w:rPr>
              <w:t>First Quartile (Lowest Median Household Income)</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91.4%</w:t>
            </w:r>
          </w:p>
        </w:tc>
        <w:tc>
          <w:tcPr>
            <w:tcW w:w="135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99.5%</w:t>
            </w:r>
          </w:p>
        </w:tc>
        <w:tc>
          <w:tcPr>
            <w:tcW w:w="175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91.1%</w:t>
            </w:r>
          </w:p>
        </w:tc>
      </w:tr>
      <w:tr w:rsidTr="00525353">
        <w:tblPrEx>
          <w:tblW w:w="0" w:type="auto"/>
          <w:jc w:val="center"/>
          <w:tblLayout w:type="fixed"/>
          <w:tblCellMar>
            <w:left w:w="0" w:type="dxa"/>
            <w:right w:w="0" w:type="dxa"/>
          </w:tblCellMar>
          <w:tblLook w:val="0000"/>
        </w:tblPrEx>
        <w:trPr>
          <w:cantSplit/>
          <w:jc w:val="center"/>
        </w:trPr>
        <w:tc>
          <w:tcPr>
            <w:tcW w:w="4458"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spacing w:after="120"/>
              <w:rPr>
                <w:b/>
                <w:sz w:val="20"/>
              </w:rPr>
            </w:pPr>
            <w:r w:rsidRPr="00EE3052">
              <w:rPr>
                <w:b/>
                <w:sz w:val="20"/>
              </w:rPr>
              <w:t>Second Quartile</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89.3%</w:t>
            </w:r>
          </w:p>
        </w:tc>
        <w:tc>
          <w:tcPr>
            <w:tcW w:w="135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99.7%</w:t>
            </w:r>
          </w:p>
        </w:tc>
        <w:tc>
          <w:tcPr>
            <w:tcW w:w="175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89.2%</w:t>
            </w:r>
          </w:p>
        </w:tc>
      </w:tr>
      <w:tr w:rsidTr="00525353">
        <w:tblPrEx>
          <w:tblW w:w="0" w:type="auto"/>
          <w:jc w:val="center"/>
          <w:tblLayout w:type="fixed"/>
          <w:tblCellMar>
            <w:left w:w="0" w:type="dxa"/>
            <w:right w:w="0" w:type="dxa"/>
          </w:tblCellMar>
          <w:tblLook w:val="0000"/>
        </w:tblPrEx>
        <w:trPr>
          <w:cantSplit/>
          <w:jc w:val="center"/>
        </w:trPr>
        <w:tc>
          <w:tcPr>
            <w:tcW w:w="4458"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spacing w:after="120"/>
              <w:rPr>
                <w:b/>
                <w:sz w:val="20"/>
              </w:rPr>
            </w:pPr>
            <w:r w:rsidRPr="00EE3052">
              <w:rPr>
                <w:b/>
                <w:sz w:val="20"/>
              </w:rPr>
              <w:t>Third Quartile</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92.5%</w:t>
            </w:r>
          </w:p>
        </w:tc>
        <w:tc>
          <w:tcPr>
            <w:tcW w:w="135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99.8%</w:t>
            </w:r>
          </w:p>
        </w:tc>
        <w:tc>
          <w:tcPr>
            <w:tcW w:w="175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92.4%</w:t>
            </w:r>
          </w:p>
        </w:tc>
      </w:tr>
      <w:tr w:rsidTr="00525353">
        <w:tblPrEx>
          <w:tblW w:w="0" w:type="auto"/>
          <w:jc w:val="center"/>
          <w:tblLayout w:type="fixed"/>
          <w:tblCellMar>
            <w:left w:w="0" w:type="dxa"/>
            <w:right w:w="0" w:type="dxa"/>
          </w:tblCellMar>
          <w:tblLook w:val="0000"/>
        </w:tblPrEx>
        <w:trPr>
          <w:cantSplit/>
          <w:jc w:val="center"/>
        </w:trPr>
        <w:tc>
          <w:tcPr>
            <w:tcW w:w="4458"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spacing w:after="120"/>
              <w:rPr>
                <w:b/>
                <w:sz w:val="20"/>
              </w:rPr>
            </w:pPr>
            <w:r w:rsidRPr="00EE3052">
              <w:rPr>
                <w:b/>
                <w:sz w:val="20"/>
              </w:rPr>
              <w:t>Fourth Quartile (Highest Median Household Income)</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97.6%</w:t>
            </w:r>
          </w:p>
        </w:tc>
        <w:tc>
          <w:tcPr>
            <w:tcW w:w="135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100%</w:t>
            </w:r>
          </w:p>
        </w:tc>
        <w:tc>
          <w:tcPr>
            <w:tcW w:w="175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97.6%</w:t>
            </w:r>
          </w:p>
        </w:tc>
      </w:tr>
      <w:tr w:rsidTr="00525353">
        <w:tblPrEx>
          <w:tblW w:w="0" w:type="auto"/>
          <w:jc w:val="center"/>
          <w:tblLayout w:type="fixed"/>
          <w:tblCellMar>
            <w:left w:w="0" w:type="dxa"/>
            <w:right w:w="0" w:type="dxa"/>
          </w:tblCellMar>
          <w:tblLook w:val="0000"/>
        </w:tblPrEx>
        <w:trPr>
          <w:cantSplit/>
          <w:jc w:val="center"/>
        </w:trPr>
        <w:tc>
          <w:tcPr>
            <w:tcW w:w="9276" w:type="dxa"/>
            <w:gridSpan w:val="4"/>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EE3052" w:rsidP="00525353">
            <w:pPr>
              <w:adjustRightInd w:val="0"/>
              <w:spacing w:before="40" w:after="120"/>
              <w:jc w:val="center"/>
              <w:rPr>
                <w:b/>
                <w:color w:val="000000"/>
                <w:sz w:val="20"/>
              </w:rPr>
            </w:pPr>
            <w:r w:rsidRPr="00EE3052">
              <w:rPr>
                <w:b/>
                <w:color w:val="000000"/>
                <w:sz w:val="20"/>
              </w:rPr>
              <w:t>Population Density</w:t>
            </w:r>
          </w:p>
        </w:tc>
      </w:tr>
      <w:tr w:rsidTr="00525353">
        <w:tblPrEx>
          <w:tblW w:w="0" w:type="auto"/>
          <w:jc w:val="center"/>
          <w:tblLayout w:type="fixed"/>
          <w:tblCellMar>
            <w:left w:w="0" w:type="dxa"/>
            <w:right w:w="0" w:type="dxa"/>
          </w:tblCellMar>
          <w:tblLook w:val="0000"/>
        </w:tblPrEx>
        <w:trPr>
          <w:cantSplit/>
          <w:jc w:val="center"/>
        </w:trPr>
        <w:tc>
          <w:tcPr>
            <w:tcW w:w="4458"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spacing w:after="120"/>
              <w:rPr>
                <w:b/>
                <w:sz w:val="20"/>
              </w:rPr>
            </w:pPr>
            <w:r w:rsidRPr="00EE3052">
              <w:rPr>
                <w:b/>
                <w:sz w:val="20"/>
              </w:rPr>
              <w:t>First Quartile (Lowest Pop. Density)</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74.8%</w:t>
            </w:r>
          </w:p>
        </w:tc>
        <w:tc>
          <w:tcPr>
            <w:tcW w:w="135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98.9%</w:t>
            </w:r>
          </w:p>
        </w:tc>
        <w:tc>
          <w:tcPr>
            <w:tcW w:w="175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74.4%</w:t>
            </w:r>
          </w:p>
        </w:tc>
      </w:tr>
      <w:tr w:rsidTr="00525353">
        <w:tblPrEx>
          <w:tblW w:w="0" w:type="auto"/>
          <w:jc w:val="center"/>
          <w:tblLayout w:type="fixed"/>
          <w:tblCellMar>
            <w:left w:w="0" w:type="dxa"/>
            <w:right w:w="0" w:type="dxa"/>
          </w:tblCellMar>
          <w:tblLook w:val="0000"/>
        </w:tblPrEx>
        <w:trPr>
          <w:cantSplit/>
          <w:jc w:val="center"/>
        </w:trPr>
        <w:tc>
          <w:tcPr>
            <w:tcW w:w="4458"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spacing w:after="120"/>
              <w:rPr>
                <w:b/>
                <w:sz w:val="20"/>
              </w:rPr>
            </w:pPr>
            <w:r w:rsidRPr="00EE3052">
              <w:rPr>
                <w:b/>
                <w:sz w:val="20"/>
              </w:rPr>
              <w:t>Second Quartile</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97.5%</w:t>
            </w:r>
          </w:p>
        </w:tc>
        <w:tc>
          <w:tcPr>
            <w:tcW w:w="135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100%</w:t>
            </w:r>
          </w:p>
        </w:tc>
        <w:tc>
          <w:tcPr>
            <w:tcW w:w="175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97.5%</w:t>
            </w:r>
          </w:p>
        </w:tc>
      </w:tr>
      <w:tr w:rsidTr="00525353">
        <w:tblPrEx>
          <w:tblW w:w="0" w:type="auto"/>
          <w:jc w:val="center"/>
          <w:tblLayout w:type="fixed"/>
          <w:tblCellMar>
            <w:left w:w="0" w:type="dxa"/>
            <w:right w:w="0" w:type="dxa"/>
          </w:tblCellMar>
          <w:tblLook w:val="0000"/>
        </w:tblPrEx>
        <w:trPr>
          <w:cantSplit/>
          <w:jc w:val="center"/>
        </w:trPr>
        <w:tc>
          <w:tcPr>
            <w:tcW w:w="4458"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spacing w:after="120"/>
              <w:rPr>
                <w:b/>
                <w:sz w:val="20"/>
              </w:rPr>
            </w:pPr>
            <w:r w:rsidRPr="00EE3052">
              <w:rPr>
                <w:b/>
                <w:sz w:val="20"/>
              </w:rPr>
              <w:t>Third Quartile</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98.9%</w:t>
            </w:r>
          </w:p>
        </w:tc>
        <w:tc>
          <w:tcPr>
            <w:tcW w:w="135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100%</w:t>
            </w:r>
          </w:p>
        </w:tc>
        <w:tc>
          <w:tcPr>
            <w:tcW w:w="175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98.9%</w:t>
            </w:r>
          </w:p>
        </w:tc>
      </w:tr>
      <w:tr w:rsidTr="00525353">
        <w:tblPrEx>
          <w:tblW w:w="0" w:type="auto"/>
          <w:jc w:val="center"/>
          <w:tblLayout w:type="fixed"/>
          <w:tblCellMar>
            <w:left w:w="0" w:type="dxa"/>
            <w:right w:w="0" w:type="dxa"/>
          </w:tblCellMar>
          <w:tblLook w:val="0000"/>
        </w:tblPrEx>
        <w:trPr>
          <w:cantSplit/>
          <w:jc w:val="center"/>
        </w:trPr>
        <w:tc>
          <w:tcPr>
            <w:tcW w:w="4458"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spacing w:after="120"/>
              <w:rPr>
                <w:b/>
                <w:sz w:val="20"/>
              </w:rPr>
            </w:pPr>
            <w:r w:rsidRPr="00EE3052">
              <w:rPr>
                <w:b/>
                <w:sz w:val="20"/>
              </w:rPr>
              <w:t>Fourth Quartile (Highest Pop. Density)</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99.1%</w:t>
            </w:r>
          </w:p>
        </w:tc>
        <w:tc>
          <w:tcPr>
            <w:tcW w:w="135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100%</w:t>
            </w:r>
          </w:p>
        </w:tc>
        <w:tc>
          <w:tcPr>
            <w:tcW w:w="175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99.1%</w:t>
            </w:r>
          </w:p>
        </w:tc>
      </w:tr>
      <w:tr w:rsidTr="00525353">
        <w:tblPrEx>
          <w:tblW w:w="0" w:type="auto"/>
          <w:jc w:val="center"/>
          <w:tblLayout w:type="fixed"/>
          <w:tblCellMar>
            <w:left w:w="0" w:type="dxa"/>
            <w:right w:w="0" w:type="dxa"/>
          </w:tblCellMar>
          <w:tblLook w:val="0000"/>
        </w:tblPrEx>
        <w:trPr>
          <w:cantSplit/>
          <w:jc w:val="center"/>
        </w:trPr>
        <w:tc>
          <w:tcPr>
            <w:tcW w:w="9276" w:type="dxa"/>
            <w:gridSpan w:val="4"/>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EE3052" w:rsidP="00525353">
            <w:pPr>
              <w:keepNext/>
              <w:adjustRightInd w:val="0"/>
              <w:spacing w:before="40" w:after="120"/>
              <w:jc w:val="center"/>
              <w:rPr>
                <w:b/>
                <w:color w:val="000000"/>
                <w:sz w:val="20"/>
              </w:rPr>
            </w:pPr>
            <w:r w:rsidRPr="00EE3052">
              <w:rPr>
                <w:b/>
                <w:color w:val="000000"/>
                <w:sz w:val="20"/>
              </w:rPr>
              <w:t>Household Poverty Rate</w:t>
            </w:r>
          </w:p>
        </w:tc>
      </w:tr>
      <w:tr w:rsidTr="00525353">
        <w:tblPrEx>
          <w:tblW w:w="0" w:type="auto"/>
          <w:jc w:val="center"/>
          <w:tblLayout w:type="fixed"/>
          <w:tblCellMar>
            <w:left w:w="0" w:type="dxa"/>
            <w:right w:w="0" w:type="dxa"/>
          </w:tblCellMar>
          <w:tblLook w:val="0000"/>
        </w:tblPrEx>
        <w:trPr>
          <w:cantSplit/>
          <w:jc w:val="center"/>
        </w:trPr>
        <w:tc>
          <w:tcPr>
            <w:tcW w:w="4458"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keepNext/>
              <w:spacing w:after="120"/>
              <w:rPr>
                <w:b/>
                <w:sz w:val="20"/>
              </w:rPr>
            </w:pPr>
            <w:r w:rsidRPr="00EE3052">
              <w:rPr>
                <w:b/>
                <w:sz w:val="20"/>
              </w:rPr>
              <w:t>First Quartile (Lowest Poverty Rate)</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keepNext/>
              <w:adjustRightInd w:val="0"/>
              <w:spacing w:before="40" w:after="120"/>
              <w:jc w:val="center"/>
              <w:rPr>
                <w:color w:val="000000"/>
                <w:sz w:val="20"/>
              </w:rPr>
            </w:pPr>
            <w:r w:rsidRPr="00EE3052">
              <w:rPr>
                <w:color w:val="000000"/>
                <w:sz w:val="20"/>
              </w:rPr>
              <w:t>95.7%</w:t>
            </w:r>
          </w:p>
        </w:tc>
        <w:tc>
          <w:tcPr>
            <w:tcW w:w="135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keepNext/>
              <w:adjustRightInd w:val="0"/>
              <w:spacing w:before="40" w:after="120"/>
              <w:jc w:val="center"/>
              <w:rPr>
                <w:color w:val="000000"/>
                <w:sz w:val="20"/>
              </w:rPr>
            </w:pPr>
            <w:r w:rsidRPr="00EE3052">
              <w:rPr>
                <w:color w:val="000000"/>
                <w:sz w:val="20"/>
              </w:rPr>
              <w:t>99.9%</w:t>
            </w:r>
          </w:p>
        </w:tc>
        <w:tc>
          <w:tcPr>
            <w:tcW w:w="175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keepNext/>
              <w:adjustRightInd w:val="0"/>
              <w:spacing w:before="40" w:after="120"/>
              <w:jc w:val="center"/>
              <w:rPr>
                <w:color w:val="000000"/>
                <w:sz w:val="20"/>
              </w:rPr>
            </w:pPr>
            <w:r w:rsidRPr="00EE3052">
              <w:rPr>
                <w:color w:val="000000"/>
                <w:sz w:val="20"/>
              </w:rPr>
              <w:t>95.7%</w:t>
            </w:r>
          </w:p>
        </w:tc>
      </w:tr>
      <w:tr w:rsidTr="00525353">
        <w:tblPrEx>
          <w:tblW w:w="0" w:type="auto"/>
          <w:jc w:val="center"/>
          <w:tblLayout w:type="fixed"/>
          <w:tblCellMar>
            <w:left w:w="0" w:type="dxa"/>
            <w:right w:w="0" w:type="dxa"/>
          </w:tblCellMar>
          <w:tblLook w:val="0000"/>
        </w:tblPrEx>
        <w:trPr>
          <w:cantSplit/>
          <w:jc w:val="center"/>
        </w:trPr>
        <w:tc>
          <w:tcPr>
            <w:tcW w:w="4458"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keepNext/>
              <w:spacing w:after="120"/>
              <w:rPr>
                <w:b/>
                <w:sz w:val="20"/>
              </w:rPr>
            </w:pPr>
            <w:r w:rsidRPr="00EE3052">
              <w:rPr>
                <w:b/>
                <w:sz w:val="20"/>
              </w:rPr>
              <w:t>Second Quartile</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keepNext/>
              <w:adjustRightInd w:val="0"/>
              <w:spacing w:before="40" w:after="120"/>
              <w:jc w:val="center"/>
              <w:rPr>
                <w:color w:val="000000"/>
                <w:sz w:val="20"/>
              </w:rPr>
            </w:pPr>
            <w:r w:rsidRPr="00EE3052">
              <w:rPr>
                <w:color w:val="000000"/>
                <w:sz w:val="20"/>
              </w:rPr>
              <w:t>92.3%</w:t>
            </w:r>
          </w:p>
        </w:tc>
        <w:tc>
          <w:tcPr>
            <w:tcW w:w="135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keepNext/>
              <w:adjustRightInd w:val="0"/>
              <w:spacing w:before="40" w:after="120"/>
              <w:jc w:val="center"/>
              <w:rPr>
                <w:color w:val="000000"/>
                <w:sz w:val="20"/>
              </w:rPr>
            </w:pPr>
            <w:r w:rsidRPr="00EE3052">
              <w:rPr>
                <w:color w:val="000000"/>
                <w:sz w:val="20"/>
              </w:rPr>
              <w:t>99.8%</w:t>
            </w:r>
          </w:p>
        </w:tc>
        <w:tc>
          <w:tcPr>
            <w:tcW w:w="175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keepNext/>
              <w:adjustRightInd w:val="0"/>
              <w:spacing w:before="40" w:after="120"/>
              <w:jc w:val="center"/>
              <w:rPr>
                <w:color w:val="000000"/>
                <w:sz w:val="20"/>
              </w:rPr>
            </w:pPr>
            <w:r w:rsidRPr="00EE3052">
              <w:rPr>
                <w:color w:val="000000"/>
                <w:sz w:val="20"/>
              </w:rPr>
              <w:t>92.2%</w:t>
            </w:r>
          </w:p>
        </w:tc>
      </w:tr>
      <w:tr w:rsidTr="00525353">
        <w:tblPrEx>
          <w:tblW w:w="0" w:type="auto"/>
          <w:jc w:val="center"/>
          <w:tblLayout w:type="fixed"/>
          <w:tblCellMar>
            <w:left w:w="0" w:type="dxa"/>
            <w:right w:w="0" w:type="dxa"/>
          </w:tblCellMar>
          <w:tblLook w:val="0000"/>
        </w:tblPrEx>
        <w:trPr>
          <w:cantSplit/>
          <w:jc w:val="center"/>
        </w:trPr>
        <w:tc>
          <w:tcPr>
            <w:tcW w:w="4458"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keepNext/>
              <w:spacing w:after="120"/>
              <w:rPr>
                <w:b/>
                <w:sz w:val="20"/>
              </w:rPr>
            </w:pPr>
            <w:r w:rsidRPr="00EE3052">
              <w:rPr>
                <w:b/>
                <w:sz w:val="20"/>
              </w:rPr>
              <w:t>Third Quartile</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keepNext/>
              <w:adjustRightInd w:val="0"/>
              <w:spacing w:before="40" w:after="120"/>
              <w:jc w:val="center"/>
              <w:rPr>
                <w:color w:val="000000"/>
                <w:sz w:val="20"/>
              </w:rPr>
            </w:pPr>
            <w:r w:rsidRPr="00EE3052">
              <w:rPr>
                <w:color w:val="000000"/>
                <w:sz w:val="20"/>
              </w:rPr>
              <w:t>90.3%</w:t>
            </w:r>
          </w:p>
        </w:tc>
        <w:tc>
          <w:tcPr>
            <w:tcW w:w="135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keepNext/>
              <w:adjustRightInd w:val="0"/>
              <w:spacing w:before="40" w:after="120"/>
              <w:jc w:val="center"/>
              <w:rPr>
                <w:color w:val="000000"/>
                <w:sz w:val="20"/>
              </w:rPr>
            </w:pPr>
            <w:r w:rsidRPr="00EE3052">
              <w:rPr>
                <w:color w:val="000000"/>
                <w:sz w:val="20"/>
              </w:rPr>
              <w:t>99.7%</w:t>
            </w:r>
          </w:p>
        </w:tc>
        <w:tc>
          <w:tcPr>
            <w:tcW w:w="175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keepNext/>
              <w:adjustRightInd w:val="0"/>
              <w:spacing w:before="40" w:after="120"/>
              <w:jc w:val="center"/>
              <w:rPr>
                <w:color w:val="000000"/>
                <w:sz w:val="20"/>
              </w:rPr>
            </w:pPr>
            <w:r w:rsidRPr="00EE3052">
              <w:rPr>
                <w:color w:val="000000"/>
                <w:sz w:val="20"/>
              </w:rPr>
              <w:t>90.2%</w:t>
            </w:r>
          </w:p>
        </w:tc>
      </w:tr>
      <w:tr w:rsidTr="00525353">
        <w:tblPrEx>
          <w:tblW w:w="0" w:type="auto"/>
          <w:jc w:val="center"/>
          <w:tblLayout w:type="fixed"/>
          <w:tblCellMar>
            <w:left w:w="0" w:type="dxa"/>
            <w:right w:w="0" w:type="dxa"/>
          </w:tblCellMar>
          <w:tblLook w:val="0000"/>
        </w:tblPrEx>
        <w:trPr>
          <w:cantSplit/>
          <w:jc w:val="center"/>
        </w:trPr>
        <w:tc>
          <w:tcPr>
            <w:tcW w:w="4458"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keepNext/>
              <w:spacing w:after="120"/>
              <w:rPr>
                <w:b/>
                <w:sz w:val="20"/>
              </w:rPr>
            </w:pPr>
            <w:r w:rsidRPr="00EE3052">
              <w:rPr>
                <w:b/>
                <w:sz w:val="20"/>
              </w:rPr>
              <w:t>Fourth Quartile (Highest Poverty Rate)</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keepNext/>
              <w:adjustRightInd w:val="0"/>
              <w:spacing w:before="40" w:after="120"/>
              <w:jc w:val="center"/>
              <w:rPr>
                <w:color w:val="000000"/>
                <w:sz w:val="20"/>
              </w:rPr>
            </w:pPr>
            <w:r w:rsidRPr="00EE3052">
              <w:rPr>
                <w:color w:val="000000"/>
                <w:sz w:val="20"/>
              </w:rPr>
              <w:t>92.5%</w:t>
            </w:r>
          </w:p>
        </w:tc>
        <w:tc>
          <w:tcPr>
            <w:tcW w:w="135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keepNext/>
              <w:adjustRightInd w:val="0"/>
              <w:spacing w:before="40" w:after="120"/>
              <w:jc w:val="center"/>
              <w:rPr>
                <w:color w:val="000000"/>
                <w:sz w:val="20"/>
              </w:rPr>
            </w:pPr>
            <w:r w:rsidRPr="00EE3052">
              <w:rPr>
                <w:color w:val="000000"/>
                <w:sz w:val="20"/>
              </w:rPr>
              <w:t>99.5%</w:t>
            </w:r>
          </w:p>
        </w:tc>
        <w:tc>
          <w:tcPr>
            <w:tcW w:w="175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keepNext/>
              <w:adjustRightInd w:val="0"/>
              <w:spacing w:before="40" w:after="120"/>
              <w:jc w:val="center"/>
              <w:rPr>
                <w:color w:val="000000"/>
                <w:sz w:val="20"/>
              </w:rPr>
            </w:pPr>
            <w:r w:rsidRPr="00EE3052">
              <w:rPr>
                <w:color w:val="000000"/>
                <w:sz w:val="20"/>
              </w:rPr>
              <w:t>92.3%</w:t>
            </w:r>
          </w:p>
        </w:tc>
      </w:tr>
    </w:tbl>
    <w:bookmarkEnd w:id="267"/>
    <w:p w:rsidR="00C6287D" w:rsidRPr="00A56B17" w:rsidP="00C6287D">
      <w:pPr>
        <w:pStyle w:val="ParaNum"/>
        <w:spacing w:before="120"/>
      </w:pPr>
      <w:r w:rsidRPr="00A56B17">
        <w:t>Figure 9</w:t>
      </w:r>
      <w:r>
        <w:t xml:space="preserve"> depicts</w:t>
      </w:r>
      <w:r w:rsidRPr="00A56B17">
        <w:t xml:space="preserve"> how the average proportion of the population with coverage of fixed terrestrial services by speed tier varies with census block-level median household income, census block-level population density, and census block-level poverty rate.  </w:t>
      </w:r>
      <w:r w:rsidRPr="00A56B17">
        <w:rPr>
          <w:lang w:val="en-GB"/>
        </w:rPr>
        <w:t>On average, deployment is highest in census block groups with the highest median household income, the highest population density and the lowest poverty rate.</w:t>
      </w:r>
      <w:r w:rsidRPr="00A56B17">
        <w:t xml:space="preserve"> </w:t>
      </w:r>
    </w:p>
    <w:p w:rsidR="00C6287D" w:rsidRPr="00A56B17" w:rsidP="00C6287D">
      <w:pPr>
        <w:jc w:val="center"/>
        <w:rPr>
          <w:b/>
        </w:rPr>
      </w:pPr>
      <w:r w:rsidRPr="00A56B17">
        <w:rPr>
          <w:b/>
        </w:rPr>
        <w:t>Fig. 9</w:t>
      </w:r>
    </w:p>
    <w:p w:rsidR="00C6287D" w:rsidRPr="00A56B17" w:rsidP="00C6287D">
      <w:pPr>
        <w:spacing w:after="120"/>
        <w:jc w:val="center"/>
        <w:rPr>
          <w:b/>
          <w:bCs/>
        </w:rPr>
      </w:pPr>
      <w:r w:rsidRPr="00A56B17">
        <w:rPr>
          <w:b/>
          <w:bCs/>
        </w:rPr>
        <w:t>Average Percentage of Population with Fixed Terrestrial Services by Census Block Group Level Demographic Variable (As of December 31, 2017)</w:t>
      </w:r>
    </w:p>
    <w:tbl>
      <w:tblPr>
        <w:tblW w:w="0" w:type="auto"/>
        <w:jc w:val="center"/>
        <w:tblLayout w:type="fixed"/>
        <w:tblCellMar>
          <w:left w:w="0" w:type="dxa"/>
          <w:right w:w="0" w:type="dxa"/>
        </w:tblCellMar>
        <w:tblLook w:val="0000"/>
      </w:tblPr>
      <w:tblGrid>
        <w:gridCol w:w="4484"/>
        <w:gridCol w:w="900"/>
        <w:gridCol w:w="990"/>
        <w:gridCol w:w="900"/>
        <w:gridCol w:w="990"/>
        <w:gridCol w:w="1063"/>
      </w:tblGrid>
      <w:tr w:rsidTr="00525353">
        <w:tblPrEx>
          <w:tblW w:w="0" w:type="auto"/>
          <w:jc w:val="center"/>
          <w:tblLayout w:type="fixed"/>
          <w:tblCellMar>
            <w:left w:w="0" w:type="dxa"/>
            <w:right w:w="0" w:type="dxa"/>
          </w:tblCellMar>
          <w:tblLook w:val="0000"/>
        </w:tblPrEx>
        <w:trPr>
          <w:cantSplit/>
          <w:tblHeader/>
          <w:jc w:val="center"/>
        </w:trPr>
        <w:tc>
          <w:tcPr>
            <w:tcW w:w="4484"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EE3052" w:rsidP="00525353">
            <w:pPr>
              <w:adjustRightInd w:val="0"/>
              <w:spacing w:after="120"/>
              <w:jc w:val="center"/>
              <w:rPr>
                <w:b/>
                <w:bCs/>
                <w:color w:val="000000"/>
                <w:sz w:val="20"/>
              </w:rPr>
            </w:pPr>
          </w:p>
        </w:tc>
        <w:tc>
          <w:tcPr>
            <w:tcW w:w="900"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EE3052" w:rsidP="00525353">
            <w:pPr>
              <w:adjustRightInd w:val="0"/>
              <w:jc w:val="center"/>
              <w:rPr>
                <w:b/>
                <w:bCs/>
                <w:color w:val="000000"/>
                <w:sz w:val="20"/>
              </w:rPr>
            </w:pPr>
            <w:r w:rsidRPr="00EE3052">
              <w:rPr>
                <w:b/>
                <w:bCs/>
                <w:color w:val="000000"/>
                <w:sz w:val="20"/>
              </w:rPr>
              <w:t>10 Mbps/</w:t>
            </w:r>
          </w:p>
          <w:p w:rsidR="00C6287D" w:rsidRPr="00EE3052" w:rsidP="00525353">
            <w:pPr>
              <w:adjustRightInd w:val="0"/>
              <w:jc w:val="center"/>
              <w:rPr>
                <w:b/>
                <w:bCs/>
                <w:color w:val="000000"/>
                <w:sz w:val="20"/>
              </w:rPr>
            </w:pPr>
            <w:r w:rsidRPr="00EE3052">
              <w:rPr>
                <w:b/>
                <w:bCs/>
                <w:color w:val="000000"/>
                <w:sz w:val="20"/>
              </w:rPr>
              <w:t>1 Mbps</w:t>
            </w:r>
          </w:p>
        </w:tc>
        <w:tc>
          <w:tcPr>
            <w:tcW w:w="990"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EE3052" w:rsidP="00525353">
            <w:pPr>
              <w:adjustRightInd w:val="0"/>
              <w:jc w:val="center"/>
              <w:rPr>
                <w:b/>
                <w:bCs/>
                <w:color w:val="000000"/>
                <w:sz w:val="20"/>
              </w:rPr>
            </w:pPr>
            <w:r w:rsidRPr="00EE3052">
              <w:rPr>
                <w:b/>
                <w:bCs/>
                <w:color w:val="000000"/>
                <w:sz w:val="20"/>
              </w:rPr>
              <w:t>25 Mbps/</w:t>
            </w:r>
          </w:p>
          <w:p w:rsidR="00C6287D" w:rsidRPr="00EE3052" w:rsidP="00525353">
            <w:pPr>
              <w:adjustRightInd w:val="0"/>
              <w:jc w:val="center"/>
              <w:rPr>
                <w:b/>
                <w:bCs/>
                <w:color w:val="000000"/>
                <w:sz w:val="20"/>
              </w:rPr>
            </w:pPr>
            <w:r w:rsidRPr="00EE3052">
              <w:rPr>
                <w:b/>
                <w:bCs/>
                <w:color w:val="000000"/>
                <w:sz w:val="20"/>
              </w:rPr>
              <w:t>3 Mbps</w:t>
            </w:r>
          </w:p>
        </w:tc>
        <w:tc>
          <w:tcPr>
            <w:tcW w:w="900"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EE3052" w:rsidP="00525353">
            <w:pPr>
              <w:adjustRightInd w:val="0"/>
              <w:jc w:val="center"/>
              <w:rPr>
                <w:b/>
                <w:bCs/>
                <w:color w:val="000000"/>
                <w:sz w:val="20"/>
              </w:rPr>
            </w:pPr>
            <w:r w:rsidRPr="00EE3052">
              <w:rPr>
                <w:b/>
                <w:bCs/>
                <w:color w:val="000000"/>
                <w:sz w:val="20"/>
              </w:rPr>
              <w:t>50 Mbps/</w:t>
            </w:r>
          </w:p>
          <w:p w:rsidR="00C6287D" w:rsidRPr="00EE3052" w:rsidP="00525353">
            <w:pPr>
              <w:adjustRightInd w:val="0"/>
              <w:jc w:val="center"/>
              <w:rPr>
                <w:b/>
                <w:bCs/>
                <w:color w:val="000000"/>
                <w:sz w:val="20"/>
              </w:rPr>
            </w:pPr>
            <w:r w:rsidRPr="00EE3052">
              <w:rPr>
                <w:b/>
                <w:bCs/>
                <w:color w:val="000000"/>
                <w:sz w:val="20"/>
              </w:rPr>
              <w:t>5 Mbps</w:t>
            </w:r>
          </w:p>
        </w:tc>
        <w:tc>
          <w:tcPr>
            <w:tcW w:w="990"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EE3052" w:rsidP="00525353">
            <w:pPr>
              <w:adjustRightInd w:val="0"/>
              <w:jc w:val="center"/>
              <w:rPr>
                <w:b/>
                <w:bCs/>
                <w:color w:val="000000"/>
                <w:sz w:val="20"/>
              </w:rPr>
            </w:pPr>
            <w:r w:rsidRPr="00EE3052">
              <w:rPr>
                <w:b/>
                <w:bCs/>
                <w:color w:val="000000"/>
                <w:sz w:val="20"/>
              </w:rPr>
              <w:t>100 Mbps/</w:t>
            </w:r>
          </w:p>
          <w:p w:rsidR="00C6287D" w:rsidRPr="00EE3052" w:rsidP="00525353">
            <w:pPr>
              <w:adjustRightInd w:val="0"/>
              <w:jc w:val="center"/>
              <w:rPr>
                <w:b/>
                <w:bCs/>
                <w:color w:val="000000"/>
                <w:sz w:val="20"/>
              </w:rPr>
            </w:pPr>
            <w:r w:rsidRPr="00EE3052">
              <w:rPr>
                <w:b/>
                <w:bCs/>
                <w:color w:val="000000"/>
                <w:sz w:val="20"/>
              </w:rPr>
              <w:t>10 Mbps</w:t>
            </w:r>
          </w:p>
        </w:tc>
        <w:tc>
          <w:tcPr>
            <w:tcW w:w="1063" w:type="dxa"/>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EE3052" w:rsidP="00525353">
            <w:pPr>
              <w:adjustRightInd w:val="0"/>
              <w:jc w:val="center"/>
              <w:rPr>
                <w:b/>
                <w:bCs/>
                <w:color w:val="000000"/>
                <w:sz w:val="20"/>
              </w:rPr>
            </w:pPr>
            <w:r w:rsidRPr="00EE3052">
              <w:rPr>
                <w:b/>
                <w:bCs/>
                <w:color w:val="000000"/>
                <w:sz w:val="20"/>
              </w:rPr>
              <w:t>250 Mbps/</w:t>
            </w:r>
          </w:p>
          <w:p w:rsidR="00C6287D" w:rsidRPr="00EE3052" w:rsidP="00525353">
            <w:pPr>
              <w:adjustRightInd w:val="0"/>
              <w:jc w:val="center"/>
              <w:rPr>
                <w:b/>
                <w:bCs/>
                <w:color w:val="000000"/>
                <w:sz w:val="20"/>
              </w:rPr>
            </w:pPr>
            <w:r w:rsidRPr="00EE3052">
              <w:rPr>
                <w:b/>
                <w:bCs/>
                <w:color w:val="000000"/>
                <w:sz w:val="20"/>
              </w:rPr>
              <w:t>25 Mbps</w:t>
            </w:r>
          </w:p>
        </w:tc>
      </w:tr>
      <w:tr w:rsidTr="00525353">
        <w:tblPrEx>
          <w:tblW w:w="0" w:type="auto"/>
          <w:jc w:val="center"/>
          <w:tblLayout w:type="fixed"/>
          <w:tblCellMar>
            <w:left w:w="0" w:type="dxa"/>
            <w:right w:w="0" w:type="dxa"/>
          </w:tblCellMar>
          <w:tblLook w:val="0000"/>
        </w:tblPrEx>
        <w:trPr>
          <w:cantSplit/>
          <w:jc w:val="center"/>
        </w:trPr>
        <w:tc>
          <w:tcPr>
            <w:tcW w:w="9327" w:type="dxa"/>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EE3052" w:rsidP="00525353">
            <w:pPr>
              <w:adjustRightInd w:val="0"/>
              <w:spacing w:before="40" w:after="120"/>
              <w:jc w:val="center"/>
              <w:rPr>
                <w:b/>
                <w:color w:val="000000"/>
                <w:sz w:val="20"/>
              </w:rPr>
            </w:pPr>
            <w:r w:rsidRPr="00EE3052">
              <w:rPr>
                <w:b/>
                <w:color w:val="000000"/>
                <w:sz w:val="20"/>
              </w:rPr>
              <w:t>Median Household Income ($2017)</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spacing w:after="120"/>
              <w:rPr>
                <w:b/>
                <w:sz w:val="20"/>
              </w:rPr>
            </w:pPr>
            <w:r w:rsidRPr="00EE3052">
              <w:rPr>
                <w:b/>
                <w:sz w:val="20"/>
              </w:rPr>
              <w:t>First Quartile (Lowest Median Household Income)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95.9</w:t>
            </w:r>
            <w:r w:rsidRPr="00D61250">
              <w:rPr>
                <w:sz w:val="20"/>
              </w:rPr>
              <w:t>%</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D61250">
              <w:rPr>
                <w:sz w:val="20"/>
              </w:rPr>
              <w:t>91.</w:t>
            </w:r>
            <w:r w:rsidRPr="00EE3052">
              <w:rPr>
                <w:sz w:val="20"/>
              </w:rPr>
              <w:t>4</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89.6</w:t>
            </w:r>
            <w:r w:rsidRPr="00D61250">
              <w:rPr>
                <w:sz w:val="20"/>
              </w:rPr>
              <w:t>%</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85.4</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50.4</w:t>
            </w:r>
            <w:r w:rsidRPr="00D61250">
              <w:rPr>
                <w:sz w:val="20"/>
              </w:rPr>
              <w:t>%</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spacing w:after="120"/>
              <w:rPr>
                <w:b/>
                <w:sz w:val="20"/>
              </w:rPr>
            </w:pPr>
            <w:r w:rsidRPr="00EE3052">
              <w:rPr>
                <w:b/>
                <w:sz w:val="20"/>
              </w:rPr>
              <w:t>Second Quartile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D61250">
              <w:rPr>
                <w:sz w:val="20"/>
              </w:rPr>
              <w:t>95.</w:t>
            </w:r>
            <w:r w:rsidRPr="00EE3052">
              <w:rPr>
                <w:sz w:val="20"/>
              </w:rPr>
              <w:t>2</w:t>
            </w:r>
            <w:r w:rsidRPr="00D61250">
              <w:rPr>
                <w:sz w:val="20"/>
              </w:rPr>
              <w:t>%</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89.3</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86.8</w:t>
            </w:r>
            <w:r w:rsidRPr="00D61250">
              <w:rPr>
                <w:sz w:val="20"/>
              </w:rPr>
              <w:t>%</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82.5</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49</w:t>
            </w:r>
            <w:r w:rsidRPr="00D61250">
              <w:rPr>
                <w:sz w:val="20"/>
              </w:rPr>
              <w:t>.8%</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spacing w:after="120"/>
              <w:rPr>
                <w:b/>
                <w:sz w:val="20"/>
              </w:rPr>
            </w:pPr>
            <w:r w:rsidRPr="00EE3052">
              <w:rPr>
                <w:b/>
                <w:sz w:val="20"/>
              </w:rPr>
              <w:t>Third Quartile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96.7</w:t>
            </w:r>
            <w:r w:rsidRPr="00D61250">
              <w:rPr>
                <w:sz w:val="20"/>
              </w:rPr>
              <w:t>%</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92.5</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89</w:t>
            </w:r>
            <w:r w:rsidRPr="00D61250">
              <w:rPr>
                <w:sz w:val="20"/>
              </w:rPr>
              <w:t>.9%</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86.8</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56.7</w:t>
            </w:r>
            <w:r w:rsidRPr="00D61250">
              <w:rPr>
                <w:sz w:val="20"/>
              </w:rPr>
              <w:t>%</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spacing w:after="120"/>
              <w:rPr>
                <w:b/>
                <w:sz w:val="20"/>
              </w:rPr>
            </w:pPr>
            <w:r w:rsidRPr="00EE3052">
              <w:rPr>
                <w:b/>
                <w:sz w:val="20"/>
              </w:rPr>
              <w:t>Fourth Quartile (Highest Median Household Income)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98.8</w:t>
            </w:r>
            <w:r w:rsidRPr="00D61250">
              <w:rPr>
                <w:sz w:val="20"/>
              </w:rPr>
              <w:t>%</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D61250">
              <w:rPr>
                <w:sz w:val="20"/>
              </w:rPr>
              <w:t>97.</w:t>
            </w:r>
            <w:r w:rsidRPr="00EE3052">
              <w:rPr>
                <w:sz w:val="20"/>
              </w:rPr>
              <w:t>6</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96.7</w:t>
            </w:r>
            <w:r w:rsidRPr="00D61250">
              <w:rPr>
                <w:sz w:val="20"/>
              </w:rPr>
              <w:t>%</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D61250">
              <w:rPr>
                <w:sz w:val="20"/>
              </w:rPr>
              <w:t>95.</w:t>
            </w:r>
            <w:r w:rsidRPr="00EE3052">
              <w:rPr>
                <w:sz w:val="20"/>
              </w:rPr>
              <w:t>5</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73.2</w:t>
            </w:r>
            <w:r w:rsidRPr="00D61250">
              <w:rPr>
                <w:sz w:val="20"/>
              </w:rPr>
              <w:t>%</w:t>
            </w:r>
          </w:p>
        </w:tc>
      </w:tr>
      <w:tr w:rsidTr="00525353">
        <w:tblPrEx>
          <w:tblW w:w="0" w:type="auto"/>
          <w:jc w:val="center"/>
          <w:tblLayout w:type="fixed"/>
          <w:tblCellMar>
            <w:left w:w="0" w:type="dxa"/>
            <w:right w:w="0" w:type="dxa"/>
          </w:tblCellMar>
          <w:tblLook w:val="0000"/>
        </w:tblPrEx>
        <w:trPr>
          <w:cantSplit/>
          <w:jc w:val="center"/>
        </w:trPr>
        <w:tc>
          <w:tcPr>
            <w:tcW w:w="9327" w:type="dxa"/>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EE3052" w:rsidP="00525353">
            <w:pPr>
              <w:adjustRightInd w:val="0"/>
              <w:spacing w:before="40" w:after="120"/>
              <w:jc w:val="center"/>
              <w:rPr>
                <w:b/>
                <w:color w:val="000000"/>
                <w:sz w:val="20"/>
              </w:rPr>
            </w:pPr>
            <w:r w:rsidRPr="00EE3052">
              <w:rPr>
                <w:b/>
                <w:color w:val="000000"/>
                <w:sz w:val="20"/>
              </w:rPr>
              <w:t>Population Density</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spacing w:after="120"/>
              <w:rPr>
                <w:b/>
                <w:sz w:val="20"/>
              </w:rPr>
            </w:pPr>
            <w:r w:rsidRPr="00EE3052">
              <w:rPr>
                <w:b/>
                <w:sz w:val="20"/>
              </w:rPr>
              <w:t>First Quartile (Lowest Pop. Density)</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88.6%</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74.8%</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68.6%</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60.8%</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30.0%</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spacing w:after="120"/>
              <w:rPr>
                <w:b/>
                <w:sz w:val="20"/>
              </w:rPr>
            </w:pPr>
            <w:r w:rsidRPr="00EE3052">
              <w:rPr>
                <w:b/>
                <w:sz w:val="20"/>
              </w:rPr>
              <w:t>Second Quartile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98.8%</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97.5%</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96.4%</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93.2%</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57.7%</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spacing w:after="120"/>
              <w:rPr>
                <w:b/>
                <w:sz w:val="20"/>
              </w:rPr>
            </w:pPr>
            <w:r w:rsidRPr="00EE3052">
              <w:rPr>
                <w:b/>
                <w:sz w:val="20"/>
              </w:rPr>
              <w:t>Third Quartile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99.4%</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98.9%</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98.5%</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97.3%</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67.4%</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spacing w:after="120"/>
              <w:rPr>
                <w:b/>
                <w:sz w:val="20"/>
              </w:rPr>
            </w:pPr>
            <w:r w:rsidRPr="00EE3052">
              <w:rPr>
                <w:b/>
                <w:sz w:val="20"/>
              </w:rPr>
              <w:t>Fourth Quartile (Highest Pop. Density)</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99.4%</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99.1%</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98.9%</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98.4%</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color w:val="000000"/>
                <w:sz w:val="20"/>
              </w:rPr>
              <w:t>74.8%</w:t>
            </w:r>
          </w:p>
        </w:tc>
      </w:tr>
      <w:tr w:rsidTr="00525353">
        <w:tblPrEx>
          <w:tblW w:w="0" w:type="auto"/>
          <w:jc w:val="center"/>
          <w:tblLayout w:type="fixed"/>
          <w:tblCellMar>
            <w:left w:w="0" w:type="dxa"/>
            <w:right w:w="0" w:type="dxa"/>
          </w:tblCellMar>
          <w:tblLook w:val="0000"/>
        </w:tblPrEx>
        <w:trPr>
          <w:cantSplit/>
          <w:jc w:val="center"/>
        </w:trPr>
        <w:tc>
          <w:tcPr>
            <w:tcW w:w="9327" w:type="dxa"/>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EE3052" w:rsidP="00525353">
            <w:pPr>
              <w:adjustRightInd w:val="0"/>
              <w:spacing w:before="40" w:after="120"/>
              <w:jc w:val="center"/>
              <w:rPr>
                <w:b/>
                <w:color w:val="000000"/>
                <w:sz w:val="20"/>
              </w:rPr>
            </w:pPr>
            <w:r w:rsidRPr="00EE3052">
              <w:rPr>
                <w:b/>
                <w:color w:val="000000"/>
                <w:sz w:val="20"/>
              </w:rPr>
              <w:t>Poverty Rate</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spacing w:after="120"/>
              <w:rPr>
                <w:b/>
                <w:sz w:val="20"/>
              </w:rPr>
            </w:pPr>
            <w:r w:rsidRPr="00EE3052">
              <w:rPr>
                <w:b/>
                <w:sz w:val="20"/>
              </w:rPr>
              <w:t>First Quartile (Lowest Poverty Rate)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D61250">
              <w:rPr>
                <w:sz w:val="20"/>
              </w:rPr>
              <w:t>98.</w:t>
            </w:r>
            <w:r w:rsidRPr="00EE3052">
              <w:rPr>
                <w:sz w:val="20"/>
              </w:rPr>
              <w:t>0</w:t>
            </w:r>
            <w:r w:rsidRPr="00D61250">
              <w:rPr>
                <w:sz w:val="20"/>
              </w:rPr>
              <w:t>%</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95.7</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D61250">
              <w:rPr>
                <w:sz w:val="20"/>
              </w:rPr>
              <w:t>94.</w:t>
            </w:r>
            <w:r w:rsidRPr="00EE3052">
              <w:rPr>
                <w:sz w:val="20"/>
              </w:rPr>
              <w:t>3</w:t>
            </w:r>
            <w:r w:rsidRPr="00D61250">
              <w:rPr>
                <w:sz w:val="20"/>
              </w:rPr>
              <w:t>%</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D61250">
              <w:rPr>
                <w:sz w:val="20"/>
              </w:rPr>
              <w:t>92.</w:t>
            </w:r>
            <w:r w:rsidRPr="00EE3052">
              <w:rPr>
                <w:sz w:val="20"/>
              </w:rPr>
              <w:t>3</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66.4</w:t>
            </w:r>
            <w:r w:rsidRPr="00D61250">
              <w:rPr>
                <w:sz w:val="20"/>
              </w:rPr>
              <w:t>%</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spacing w:after="120"/>
              <w:rPr>
                <w:b/>
                <w:sz w:val="20"/>
              </w:rPr>
            </w:pPr>
            <w:r w:rsidRPr="00EE3052">
              <w:rPr>
                <w:b/>
                <w:sz w:val="20"/>
              </w:rPr>
              <w:t>Second Quartile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96.6</w:t>
            </w:r>
            <w:r w:rsidRPr="00D61250">
              <w:rPr>
                <w:sz w:val="20"/>
              </w:rPr>
              <w:t>%</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92.3</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90.0</w:t>
            </w:r>
            <w:r w:rsidRPr="00D61250">
              <w:rPr>
                <w:sz w:val="20"/>
              </w:rPr>
              <w:t>%</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86.9</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57.3</w:t>
            </w:r>
            <w:r w:rsidRPr="00D61250">
              <w:rPr>
                <w:sz w:val="20"/>
              </w:rPr>
              <w:t>%</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spacing w:after="120"/>
              <w:rPr>
                <w:b/>
                <w:sz w:val="20"/>
              </w:rPr>
            </w:pPr>
            <w:r w:rsidRPr="00EE3052">
              <w:rPr>
                <w:b/>
                <w:sz w:val="20"/>
              </w:rPr>
              <w:t>Third Quartile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95.6</w:t>
            </w:r>
            <w:r w:rsidRPr="00D61250">
              <w:rPr>
                <w:sz w:val="20"/>
              </w:rPr>
              <w:t>%</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90.3</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87</w:t>
            </w:r>
            <w:r w:rsidRPr="00D61250">
              <w:rPr>
                <w:sz w:val="20"/>
              </w:rPr>
              <w:t>.9%</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83.9</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52.7</w:t>
            </w:r>
            <w:r w:rsidRPr="00D61250">
              <w:rPr>
                <w:sz w:val="20"/>
              </w:rPr>
              <w:t>%</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EE3052" w:rsidP="00525353">
            <w:pPr>
              <w:spacing w:after="120"/>
              <w:rPr>
                <w:b/>
                <w:sz w:val="20"/>
              </w:rPr>
            </w:pPr>
            <w:r w:rsidRPr="00EE3052">
              <w:rPr>
                <w:b/>
                <w:sz w:val="20"/>
              </w:rPr>
              <w:t>Fourth Quartile (Highest Poverty Rate)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D61250">
              <w:rPr>
                <w:sz w:val="20"/>
              </w:rPr>
              <w:t>96.</w:t>
            </w:r>
            <w:r w:rsidRPr="00EE3052">
              <w:rPr>
                <w:sz w:val="20"/>
              </w:rPr>
              <w:t>3</w:t>
            </w:r>
            <w:r w:rsidRPr="00D61250">
              <w:rPr>
                <w:sz w:val="20"/>
              </w:rPr>
              <w:t>%</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D61250">
              <w:rPr>
                <w:sz w:val="20"/>
              </w:rPr>
              <w:t>92.</w:t>
            </w:r>
            <w:r w:rsidRPr="00EE3052">
              <w:rPr>
                <w:sz w:val="20"/>
              </w:rPr>
              <w:t>5</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90.8</w:t>
            </w:r>
            <w:r w:rsidRPr="00D61250">
              <w:rPr>
                <w:sz w:val="20"/>
              </w:rPr>
              <w:t>%</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D61250">
              <w:rPr>
                <w:sz w:val="20"/>
              </w:rPr>
              <w:t>87.</w:t>
            </w:r>
            <w:r w:rsidRPr="00EE3052">
              <w:rPr>
                <w:sz w:val="20"/>
              </w:rPr>
              <w:t>1</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EE3052" w:rsidP="00525353">
            <w:pPr>
              <w:adjustRightInd w:val="0"/>
              <w:spacing w:before="40" w:after="120"/>
              <w:jc w:val="center"/>
              <w:rPr>
                <w:color w:val="000000"/>
                <w:sz w:val="20"/>
              </w:rPr>
            </w:pPr>
            <w:r w:rsidRPr="00EE3052">
              <w:rPr>
                <w:sz w:val="20"/>
              </w:rPr>
              <w:t>53.8</w:t>
            </w:r>
            <w:r w:rsidRPr="00D61250">
              <w:rPr>
                <w:sz w:val="20"/>
              </w:rPr>
              <w:t>%</w:t>
            </w:r>
          </w:p>
        </w:tc>
      </w:tr>
    </w:tbl>
    <w:p w:rsidR="00C6287D" w:rsidRPr="00A56B17" w:rsidP="00A94DE8">
      <w:pPr>
        <w:pStyle w:val="Heading2"/>
      </w:pPr>
      <w:bookmarkStart w:id="269" w:name="_Toc970737"/>
      <w:bookmarkStart w:id="270" w:name="_Toc527724388"/>
      <w:bookmarkStart w:id="271" w:name="_Toc529447284"/>
      <w:bookmarkStart w:id="272" w:name="_Toc529449187"/>
      <w:bookmarkStart w:id="273" w:name="_Toc529454964"/>
      <w:bookmarkStart w:id="274" w:name="_Toc530161124"/>
      <w:bookmarkStart w:id="275" w:name="_Toc530161778"/>
      <w:bookmarkStart w:id="276" w:name="_Toc530161970"/>
      <w:bookmarkStart w:id="277" w:name="_Toc530389389"/>
      <w:bookmarkStart w:id="278" w:name="_Toc530435796"/>
      <w:bookmarkStart w:id="279" w:name="_Toc530436028"/>
      <w:bookmarkStart w:id="280" w:name="_Toc530436089"/>
      <w:bookmarkStart w:id="281" w:name="_Toc530439581"/>
      <w:bookmarkStart w:id="282" w:name="_Toc530444366"/>
      <w:bookmarkStart w:id="283" w:name="_Toc530444425"/>
      <w:bookmarkStart w:id="284" w:name="_Toc530444484"/>
      <w:bookmarkStart w:id="285" w:name="_Toc530444543"/>
      <w:bookmarkStart w:id="286" w:name="_Toc530444602"/>
      <w:bookmarkStart w:id="287" w:name="_Toc530444662"/>
      <w:bookmarkStart w:id="288" w:name="_Toc530473164"/>
      <w:bookmarkStart w:id="289" w:name="_Toc530482607"/>
      <w:bookmarkStart w:id="290" w:name="_Toc532311077"/>
      <w:bookmarkStart w:id="291" w:name="_Toc532983376"/>
      <w:bookmarkStart w:id="292" w:name="_Toc780517"/>
      <w:bookmarkStart w:id="293" w:name="_Toc529180607"/>
      <w:bookmarkStart w:id="294" w:name="_Toc530069130"/>
      <w:bookmarkStart w:id="295" w:name="_Toc530147033"/>
      <w:bookmarkStart w:id="296" w:name="_Toc530148245"/>
      <w:bookmarkStart w:id="297" w:name="_Toc970738"/>
      <w:bookmarkStart w:id="298" w:name="_Toc1469952"/>
      <w:bookmarkStart w:id="299" w:name="_Toc2676106"/>
      <w:bookmarkEnd w:id="268"/>
      <w:bookmarkEnd w:id="269"/>
      <w:r w:rsidRPr="00A56B17">
        <w:t>Tribal Lands Data</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A56B17">
        <w:t xml:space="preserve"> </w:t>
      </w:r>
    </w:p>
    <w:p w:rsidR="00C6287D" w:rsidRPr="00A56B17" w:rsidP="00C6287D">
      <w:pPr>
        <w:pStyle w:val="ParaNum"/>
        <w:widowControl/>
      </w:pPr>
      <w:r w:rsidRPr="00A56B17">
        <w:t>In Figures 10 and 11 we present additional deployment estimates for Americans living on Tribal lands by Tribal lands category.</w:t>
      </w:r>
      <w:r>
        <w:rPr>
          <w:sz w:val="20"/>
          <w:vertAlign w:val="superscript"/>
        </w:rPr>
        <w:footnoteReference w:id="134"/>
      </w:r>
      <w:r w:rsidRPr="00A56B17">
        <w:t xml:space="preserve">  The Commission’s data indicate that deployment in rural Tribal lands continue to lag deployment in urban Tribal lands.</w:t>
      </w:r>
    </w:p>
    <w:p w:rsidR="00C6287D" w:rsidRPr="00A56B17" w:rsidP="00C6287D">
      <w:pPr>
        <w:pStyle w:val="ParaNum"/>
      </w:pPr>
      <w:r w:rsidRPr="00A56B17">
        <w:t>Figure 10 presents deployment on Tribal lands from 2013 to 2017 of both fixed terrestrial 25 Mbps/3 Mbps services and mobile LTE service with a speed of at least 5 Mbps/1 Mbps.  Overall, in 2017, 67.</w:t>
      </w:r>
      <w:r>
        <w:t>6</w:t>
      </w:r>
      <w:r w:rsidRPr="00A56B17">
        <w:t>% of Tribal lands are covered by fixed terrestrial 25 Mbps/3 Mbps services and mobile LTE with a speed of 5 Mbps/1 Mbps based on Form 477 data.  Rural Tribal lands continue to lag behind urban Tribal lands, with only 45.</w:t>
      </w:r>
      <w:r>
        <w:t>4</w:t>
      </w:r>
      <w:r w:rsidRPr="00A56B17">
        <w:t>% of all Tribal lands in rural areas having deployment of both services, as compared to 91.6% of Tribal lands in urban areas.</w:t>
      </w:r>
    </w:p>
    <w:p w:rsidR="00C6287D" w:rsidRPr="00A56B17" w:rsidP="00C6287D">
      <w:pPr>
        <w:jc w:val="center"/>
        <w:rPr>
          <w:b/>
        </w:rPr>
      </w:pPr>
      <w:r w:rsidRPr="00A56B17">
        <w:rPr>
          <w:b/>
        </w:rPr>
        <w:t>Fig. 10</w:t>
      </w:r>
    </w:p>
    <w:p w:rsidR="00C6287D" w:rsidRPr="00A56B17" w:rsidP="00C6287D">
      <w:pPr>
        <w:spacing w:after="120"/>
        <w:jc w:val="center"/>
        <w:rPr>
          <w:b/>
        </w:rPr>
      </w:pPr>
      <w:r w:rsidRPr="00A56B17">
        <w:rPr>
          <w:b/>
        </w:rPr>
        <w:t>Deployment (Millions) on Tribal Lands of Fixed 25 Mbps/3 Mbps Fixed Terrestrial Services and Mobile LTE Services with a Minimum Advertised Speed of 5 Mbps/1 Mbps</w:t>
      </w:r>
    </w:p>
    <w:tbl>
      <w:tblPr>
        <w:tblW w:w="0" w:type="auto"/>
        <w:jc w:val="center"/>
        <w:tblLayout w:type="fixed"/>
        <w:tblCellMar>
          <w:left w:w="0" w:type="dxa"/>
          <w:right w:w="0" w:type="dxa"/>
        </w:tblCellMar>
        <w:tblLook w:val="0000"/>
      </w:tblPr>
      <w:tblGrid>
        <w:gridCol w:w="1520"/>
        <w:gridCol w:w="856"/>
        <w:gridCol w:w="704"/>
        <w:gridCol w:w="856"/>
        <w:gridCol w:w="704"/>
        <w:gridCol w:w="856"/>
        <w:gridCol w:w="704"/>
        <w:gridCol w:w="856"/>
        <w:gridCol w:w="704"/>
        <w:gridCol w:w="856"/>
        <w:gridCol w:w="704"/>
      </w:tblGrid>
      <w:tr w:rsidTr="00525353">
        <w:tblPrEx>
          <w:tblW w:w="0" w:type="auto"/>
          <w:jc w:val="center"/>
          <w:tblLayout w:type="fixed"/>
          <w:tblCellMar>
            <w:left w:w="0" w:type="dxa"/>
            <w:right w:w="0" w:type="dxa"/>
          </w:tblCellMar>
          <w:tblLook w:val="0000"/>
        </w:tblPrEx>
        <w:trPr>
          <w:cantSplit/>
          <w:tblHeader/>
          <w:jc w:val="center"/>
        </w:trPr>
        <w:tc>
          <w:tcPr>
            <w:tcW w:w="1520"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p>
        </w:tc>
        <w:tc>
          <w:tcPr>
            <w:tcW w:w="156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2013</w:t>
            </w:r>
          </w:p>
        </w:tc>
        <w:tc>
          <w:tcPr>
            <w:tcW w:w="156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2014</w:t>
            </w:r>
          </w:p>
        </w:tc>
        <w:tc>
          <w:tcPr>
            <w:tcW w:w="156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2015</w:t>
            </w:r>
          </w:p>
        </w:tc>
        <w:tc>
          <w:tcPr>
            <w:tcW w:w="156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2016</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2017</w:t>
            </w:r>
          </w:p>
        </w:tc>
      </w:tr>
      <w:tr w:rsidTr="00525353">
        <w:tblPrEx>
          <w:tblW w:w="0" w:type="auto"/>
          <w:jc w:val="center"/>
          <w:tblLayout w:type="fixed"/>
          <w:tblCellMar>
            <w:left w:w="0" w:type="dxa"/>
            <w:right w:w="0" w:type="dxa"/>
          </w:tblCellMar>
          <w:tblLook w:val="0000"/>
        </w:tblPrEx>
        <w:trPr>
          <w:cantSplit/>
          <w:tblHeader/>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p>
        </w:tc>
        <w:tc>
          <w:tcPr>
            <w:tcW w:w="856"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704"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c>
          <w:tcPr>
            <w:tcW w:w="856"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704"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c>
          <w:tcPr>
            <w:tcW w:w="856"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704"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c>
          <w:tcPr>
            <w:tcW w:w="856"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704"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c>
          <w:tcPr>
            <w:tcW w:w="856" w:type="dxa"/>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Pop.</w:t>
            </w:r>
          </w:p>
        </w:tc>
        <w:tc>
          <w:tcPr>
            <w:tcW w:w="704"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5B36BB" w:rsidP="00525353">
            <w:pPr>
              <w:adjustRightInd w:val="0"/>
              <w:spacing w:before="40" w:after="120"/>
              <w:jc w:val="center"/>
              <w:rPr>
                <w:b/>
                <w:bCs/>
                <w:color w:val="000000"/>
                <w:sz w:val="20"/>
              </w:rPr>
            </w:pPr>
            <w:r w:rsidRPr="005B36BB">
              <w:rPr>
                <w:b/>
                <w:bCs/>
                <w:color w:val="000000"/>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Tribal Lands</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1.385</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35.5%</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2.206</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56.1%</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2.258</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57.0%</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2.491</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62.4%</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2.716</w:t>
            </w:r>
          </w:p>
        </w:tc>
        <w:tc>
          <w:tcPr>
            <w:tcW w:w="70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67.6%</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Rural Areas</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0.283</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14.1%</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0.592</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29.3%</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0.614</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30.1%</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0.780</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37.8%</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0.948</w:t>
            </w:r>
          </w:p>
        </w:tc>
        <w:tc>
          <w:tcPr>
            <w:tcW w:w="70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45.4%</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single" w:sz="8" w:space="0" w:color="000000"/>
              <w:left w:val="single" w:sz="8" w:space="0" w:color="000000"/>
              <w:bottom w:val="double" w:sz="4" w:space="0" w:color="auto"/>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Urban Areas</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1.102</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57.9%</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1.614</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84.5%</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1.644</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85.6%</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1.711</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88.8%</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1.768</w:t>
            </w:r>
          </w:p>
        </w:tc>
        <w:tc>
          <w:tcPr>
            <w:tcW w:w="70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91.6%</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double" w:sz="4" w:space="0" w:color="auto"/>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Alaskan Villages</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0.071</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28.2%</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0.110</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42.9%</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0.110</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42.7%</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0.135</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51.5%</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0.151</w:t>
            </w:r>
          </w:p>
        </w:tc>
        <w:tc>
          <w:tcPr>
            <w:tcW w:w="70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57.0%</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Rural Areas</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0.021</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13.1%</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0.039</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23.7%</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0.039</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23.7%</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0.061</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36.2%</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0.073</w:t>
            </w:r>
          </w:p>
        </w:tc>
        <w:tc>
          <w:tcPr>
            <w:tcW w:w="70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42.4%</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Urban Areas</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0.050</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54.9%</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0.071</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77.0%</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0.071</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76.7%</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0.074</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79.0%</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0.079</w:t>
            </w:r>
          </w:p>
        </w:tc>
        <w:tc>
          <w:tcPr>
            <w:tcW w:w="70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83.3%</w:t>
            </w:r>
          </w:p>
        </w:tc>
      </w:tr>
      <w:tr w:rsidTr="00525353">
        <w:tblPrEx>
          <w:tblW w:w="0" w:type="auto"/>
          <w:jc w:val="center"/>
          <w:tblLayout w:type="fixed"/>
          <w:tblCellMar>
            <w:left w:w="0" w:type="dxa"/>
            <w:right w:w="0" w:type="dxa"/>
          </w:tblCellMar>
          <w:tblLook w:val="0000"/>
        </w:tblPrEx>
        <w:trPr>
          <w:cantSplit/>
          <w:trHeight w:hRule="exact" w:val="578"/>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Hawaiian Homelands</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0.029</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90.6%</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0.032</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96.9%</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0.030</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88.9%</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0.030</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88.6%</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0.030</w:t>
            </w:r>
          </w:p>
        </w:tc>
        <w:tc>
          <w:tcPr>
            <w:tcW w:w="70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89.4%</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Rural Areas</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0.002</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45.0%</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0.005</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83.0%</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0.002</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43.9%</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0.002</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43.5%</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0.003</w:t>
            </w:r>
          </w:p>
        </w:tc>
        <w:tc>
          <w:tcPr>
            <w:tcW w:w="70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47.7%</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Urban Areas</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0.027</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99.4%</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0.027</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99.8%</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0.027</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98.0%</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0.027</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98.0%</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0.027</w:t>
            </w:r>
          </w:p>
        </w:tc>
        <w:tc>
          <w:tcPr>
            <w:tcW w:w="70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98.2%</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Lower 48 States</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0.321</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30.0%</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0.417</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38.7%</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0.452</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41.5%</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0.508</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46.1%</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0.595</w:t>
            </w:r>
          </w:p>
        </w:tc>
        <w:tc>
          <w:tcPr>
            <w:tcW w:w="70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53.3%</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Rural Areas</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0.134</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18.9%</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0.184</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25.6%</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0.207</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28.4%</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0.239</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32.3%</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0.311</w:t>
            </w:r>
          </w:p>
        </w:tc>
        <w:tc>
          <w:tcPr>
            <w:tcW w:w="70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41.3%</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Urban Areas</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0.187</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51.9%</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0.233</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64.6%</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0.245</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67.8%</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0.270</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74.1%</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0.284</w:t>
            </w:r>
          </w:p>
        </w:tc>
        <w:tc>
          <w:tcPr>
            <w:tcW w:w="70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78.1%</w:t>
            </w:r>
          </w:p>
        </w:tc>
      </w:tr>
      <w:tr w:rsidTr="00525353">
        <w:tblPrEx>
          <w:tblW w:w="0" w:type="auto"/>
          <w:jc w:val="center"/>
          <w:tblLayout w:type="fixed"/>
          <w:tblCellMar>
            <w:left w:w="0" w:type="dxa"/>
            <w:right w:w="0" w:type="dxa"/>
          </w:tblCellMar>
          <w:tblLook w:val="0000"/>
        </w:tblPrEx>
        <w:trPr>
          <w:cantSplit/>
          <w:trHeight w:hRule="exact" w:val="587"/>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Tribal Statistical Areas</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0.964</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37.8%</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1.648</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64.2%</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1.666</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64.5%</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1.818</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70.2%</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1.939</w:t>
            </w:r>
          </w:p>
        </w:tc>
        <w:tc>
          <w:tcPr>
            <w:tcW w:w="70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74.5%</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Rural Areas</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0.126</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11.2%</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0.365</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32.1%</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0.365</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32.0%</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0.478</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41.5%</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0.561</w:t>
            </w:r>
          </w:p>
        </w:tc>
        <w:tc>
          <w:tcPr>
            <w:tcW w:w="70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48.5%</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 xml:space="preserve">   Urban Areas</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0.838</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58.8%</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1.283</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89.7%</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1.301</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90.3%</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1.341</w:t>
            </w:r>
          </w:p>
        </w:tc>
        <w:tc>
          <w:tcPr>
            <w:tcW w:w="704"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93.0%</w:t>
            </w:r>
          </w:p>
        </w:tc>
        <w:tc>
          <w:tcPr>
            <w:tcW w:w="856" w:type="dxa"/>
            <w:tcBorders>
              <w:top w:val="nil"/>
              <w:left w:val="single" w:sz="8" w:space="0" w:color="000000"/>
              <w:bottom w:val="single" w:sz="8" w:space="0" w:color="000000"/>
              <w:right w:val="nil"/>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1.378</w:t>
            </w:r>
          </w:p>
        </w:tc>
        <w:tc>
          <w:tcPr>
            <w:tcW w:w="70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95.4%</w:t>
            </w:r>
          </w:p>
        </w:tc>
      </w:tr>
      <w:tr w:rsidTr="00525353">
        <w:tblPrEx>
          <w:tblW w:w="0" w:type="auto"/>
          <w:jc w:val="center"/>
          <w:tblLayout w:type="fixed"/>
          <w:tblCellMar>
            <w:left w:w="0" w:type="dxa"/>
            <w:right w:w="0" w:type="dxa"/>
          </w:tblCellMar>
          <w:tblLook w:val="0000"/>
        </w:tblPrEx>
        <w:trPr>
          <w:cantSplit/>
          <w:trHeight w:hRule="exact" w:val="382"/>
          <w:jc w:val="center"/>
        </w:trPr>
        <w:tc>
          <w:tcPr>
            <w:tcW w:w="1520"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djustRightInd w:val="0"/>
              <w:spacing w:before="40" w:after="120"/>
              <w:rPr>
                <w:b/>
                <w:bCs/>
                <w:color w:val="000000"/>
                <w:sz w:val="20"/>
              </w:rPr>
            </w:pPr>
            <w:r w:rsidRPr="005B36BB">
              <w:rPr>
                <w:b/>
                <w:bCs/>
                <w:color w:val="000000"/>
                <w:sz w:val="20"/>
              </w:rPr>
              <w:t>Pop. Evaluated</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3.905</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AC3C23" w:rsidP="00525353">
            <w:pPr>
              <w:adjustRightInd w:val="0"/>
              <w:spacing w:before="40" w:after="120"/>
              <w:jc w:val="right"/>
              <w:rPr>
                <w:color w:val="000000"/>
                <w:sz w:val="20"/>
              </w:rPr>
            </w:pPr>
            <w:r>
              <w:rPr>
                <w:color w:val="000000"/>
                <w:sz w:val="20"/>
              </w:rPr>
              <w:t xml:space="preserve"> </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3.933</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AC3C23" w:rsidP="00525353">
            <w:pPr>
              <w:adjustRightInd w:val="0"/>
              <w:spacing w:before="40" w:after="120"/>
              <w:jc w:val="right"/>
              <w:rPr>
                <w:color w:val="000000"/>
                <w:sz w:val="20"/>
              </w:rPr>
            </w:pPr>
            <w:r>
              <w:rPr>
                <w:color w:val="000000"/>
                <w:sz w:val="20"/>
              </w:rPr>
              <w:t xml:space="preserve"> </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3.964</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AC3C23" w:rsidP="00525353">
            <w:pPr>
              <w:adjustRightInd w:val="0"/>
              <w:spacing w:before="40" w:after="120"/>
              <w:jc w:val="right"/>
              <w:rPr>
                <w:color w:val="000000"/>
                <w:sz w:val="20"/>
              </w:rPr>
            </w:pPr>
            <w:r>
              <w:rPr>
                <w:color w:val="000000"/>
                <w:sz w:val="20"/>
              </w:rPr>
              <w:t xml:space="preserve"> </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3.991</w:t>
            </w:r>
          </w:p>
        </w:tc>
        <w:tc>
          <w:tcPr>
            <w:tcW w:w="704" w:type="dxa"/>
            <w:tcBorders>
              <w:top w:val="nil"/>
              <w:left w:val="single" w:sz="8" w:space="0" w:color="000000"/>
              <w:bottom w:val="single" w:sz="8" w:space="0" w:color="000000"/>
              <w:right w:val="nil"/>
            </w:tcBorders>
            <w:shd w:val="clear" w:color="auto" w:fill="F5F5F5"/>
            <w:tcMar>
              <w:left w:w="40" w:type="dxa"/>
              <w:right w:w="40" w:type="dxa"/>
            </w:tcMar>
          </w:tcPr>
          <w:p w:rsidR="00C6287D" w:rsidRPr="00AC3C23" w:rsidP="00525353">
            <w:pPr>
              <w:adjustRightInd w:val="0"/>
              <w:spacing w:before="40" w:after="120"/>
              <w:jc w:val="right"/>
              <w:rPr>
                <w:color w:val="000000"/>
                <w:sz w:val="20"/>
              </w:rPr>
            </w:pPr>
            <w:r>
              <w:rPr>
                <w:color w:val="000000"/>
                <w:sz w:val="20"/>
              </w:rPr>
              <w:t xml:space="preserve"> </w:t>
            </w:r>
          </w:p>
        </w:tc>
        <w:tc>
          <w:tcPr>
            <w:tcW w:w="856" w:type="dxa"/>
            <w:tcBorders>
              <w:top w:val="nil"/>
              <w:left w:val="single" w:sz="8" w:space="0" w:color="000000"/>
              <w:bottom w:val="single" w:sz="8" w:space="0" w:color="000000"/>
              <w:right w:val="nil"/>
            </w:tcBorders>
            <w:shd w:val="clear" w:color="auto" w:fill="F5F5F5"/>
            <w:tcMar>
              <w:left w:w="40" w:type="dxa"/>
              <w:right w:w="40" w:type="dxa"/>
            </w:tcMar>
          </w:tcPr>
          <w:p w:rsidR="00C6287D" w:rsidRPr="00BD4A91" w:rsidP="00525353">
            <w:pPr>
              <w:adjustRightInd w:val="0"/>
              <w:spacing w:before="40" w:after="120"/>
              <w:jc w:val="right"/>
              <w:rPr>
                <w:color w:val="000000"/>
                <w:sz w:val="20"/>
              </w:rPr>
            </w:pPr>
            <w:r w:rsidRPr="00BD4A91">
              <w:rPr>
                <w:color w:val="000000"/>
                <w:sz w:val="20"/>
              </w:rPr>
              <w:t>4.017</w:t>
            </w:r>
          </w:p>
        </w:tc>
        <w:tc>
          <w:tcPr>
            <w:tcW w:w="70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AC3C23" w:rsidP="00525353">
            <w:pPr>
              <w:adjustRightInd w:val="0"/>
              <w:spacing w:before="40" w:after="120"/>
              <w:jc w:val="right"/>
              <w:rPr>
                <w:color w:val="000000"/>
                <w:sz w:val="20"/>
              </w:rPr>
            </w:pPr>
            <w:r>
              <w:rPr>
                <w:color w:val="000000"/>
                <w:sz w:val="20"/>
              </w:rPr>
              <w:t xml:space="preserve"> </w:t>
            </w:r>
          </w:p>
        </w:tc>
      </w:tr>
    </w:tbl>
    <w:p w:rsidR="00C6287D" w:rsidRPr="00A56B17" w:rsidP="00C6287D">
      <w:pPr>
        <w:pStyle w:val="ParaNum"/>
        <w:spacing w:before="120"/>
      </w:pPr>
      <w:r w:rsidRPr="00A56B17">
        <w:t>In Figure 11 we present deployment estimates for fixed terrestrial 25 Mbps/3 Mbps service and mobile LTE service with a speed of at least 5 Mbps/1 Mbps on Tribal lands.  As of December 31, 2017, fixed terrestrial 25 Mbps/3 Mbps services is deployed to 6</w:t>
      </w:r>
      <w:r>
        <w:t>7.9</w:t>
      </w:r>
      <w:r w:rsidRPr="00A56B17">
        <w:t>% of Americans on Tribal Lands, 97% are covered by mobile LTE 5 Mbps/1 Mbps</w:t>
      </w:r>
      <w:r>
        <w:t>,</w:t>
      </w:r>
      <w:r w:rsidRPr="00A56B17">
        <w:t xml:space="preserve"> and 67.</w:t>
      </w:r>
      <w:r>
        <w:t>6</w:t>
      </w:r>
      <w:r w:rsidRPr="00A56B17">
        <w:t>% of Americans on Tribal lands are covered by both services.  The figures show variability in deployment across the Tribal lands categories, with the least deployment occurring in Alaskan Villages and the Lower 48 states.</w:t>
      </w:r>
    </w:p>
    <w:p w:rsidR="00C6287D" w:rsidRPr="00A56B17" w:rsidP="00C6287D">
      <w:pPr>
        <w:jc w:val="center"/>
        <w:rPr>
          <w:b/>
        </w:rPr>
      </w:pPr>
      <w:r w:rsidRPr="00A56B17">
        <w:rPr>
          <w:b/>
        </w:rPr>
        <w:t>Fig. 11</w:t>
      </w:r>
    </w:p>
    <w:p w:rsidR="00C6287D" w:rsidRPr="00A56B17" w:rsidP="00C6287D">
      <w:pPr>
        <w:spacing w:after="120"/>
        <w:jc w:val="center"/>
        <w:rPr>
          <w:b/>
          <w:bCs/>
        </w:rPr>
      </w:pPr>
      <w:r w:rsidRPr="00A56B17">
        <w:rPr>
          <w:b/>
        </w:rPr>
        <w:t>Deployment (Millions) of Fixed Terrestrial 25 Mbps/3 Mbps Services and/or Mobile LTE with a Minimum Advertised Speed of 5 Mbps/1 Mbps on Tribal Lands</w:t>
      </w:r>
      <w:r w:rsidRPr="00A56B17">
        <w:rPr>
          <w:b/>
          <w:bCs/>
        </w:rPr>
        <w:t xml:space="preserve"> (As of December 31, 2017)</w:t>
      </w:r>
    </w:p>
    <w:tbl>
      <w:tblPr>
        <w:tblW w:w="5000" w:type="pct"/>
        <w:jc w:val="center"/>
        <w:tblLayout w:type="fixed"/>
        <w:tblCellMar>
          <w:left w:w="0" w:type="dxa"/>
          <w:right w:w="0" w:type="dxa"/>
        </w:tblCellMar>
        <w:tblLook w:val="0000"/>
      </w:tblPr>
      <w:tblGrid>
        <w:gridCol w:w="1661"/>
        <w:gridCol w:w="628"/>
        <w:gridCol w:w="991"/>
        <w:gridCol w:w="810"/>
        <w:gridCol w:w="810"/>
        <w:gridCol w:w="767"/>
        <w:gridCol w:w="944"/>
        <w:gridCol w:w="942"/>
        <w:gridCol w:w="884"/>
        <w:gridCol w:w="1003"/>
      </w:tblGrid>
      <w:tr w:rsidTr="00525353">
        <w:tblPrEx>
          <w:tblW w:w="5000" w:type="pct"/>
          <w:jc w:val="center"/>
          <w:tblLayout w:type="fixed"/>
          <w:tblCellMar>
            <w:left w:w="0" w:type="dxa"/>
            <w:right w:w="0" w:type="dxa"/>
          </w:tblCellMar>
          <w:tblLook w:val="0000"/>
        </w:tblPrEx>
        <w:trPr>
          <w:cantSplit/>
          <w:tblHeader/>
          <w:jc w:val="center"/>
        </w:trPr>
        <w:tc>
          <w:tcPr>
            <w:tcW w:w="880" w:type="pct"/>
            <w:vMerge w:val="restart"/>
            <w:tcBorders>
              <w:top w:val="single" w:sz="4" w:space="0" w:color="auto"/>
              <w:left w:val="single" w:sz="4" w:space="0" w:color="auto"/>
              <w:right w:val="single" w:sz="4" w:space="0" w:color="auto"/>
            </w:tcBorders>
            <w:shd w:val="clear" w:color="auto" w:fill="90B0D9"/>
            <w:tcMar>
              <w:left w:w="40" w:type="dxa"/>
              <w:right w:w="40" w:type="dxa"/>
            </w:tcMar>
            <w:vAlign w:val="bottom"/>
          </w:tcPr>
          <w:p w:rsidR="00C6287D" w:rsidRPr="005B36BB" w:rsidP="00525353">
            <w:pPr>
              <w:autoSpaceDE w:val="0"/>
              <w:autoSpaceDN w:val="0"/>
              <w:adjustRightInd w:val="0"/>
              <w:spacing w:after="120"/>
              <w:rPr>
                <w:b/>
                <w:sz w:val="20"/>
              </w:rPr>
            </w:pPr>
          </w:p>
        </w:tc>
        <w:tc>
          <w:tcPr>
            <w:tcW w:w="333" w:type="pct"/>
            <w:vMerge w:val="restart"/>
            <w:tcBorders>
              <w:top w:val="single" w:sz="4" w:space="0" w:color="auto"/>
              <w:left w:val="single" w:sz="4" w:space="0" w:color="auto"/>
              <w:right w:val="nil"/>
            </w:tcBorders>
            <w:shd w:val="clear" w:color="auto" w:fill="90B0D9"/>
            <w:tcMar>
              <w:left w:w="40" w:type="dxa"/>
              <w:right w:w="40" w:type="dxa"/>
            </w:tcMar>
            <w:vAlign w:val="bottom"/>
          </w:tcPr>
          <w:p w:rsidR="00C6287D" w:rsidRPr="005B36BB" w:rsidP="00525353">
            <w:pPr>
              <w:autoSpaceDE w:val="0"/>
              <w:autoSpaceDN w:val="0"/>
              <w:adjustRightInd w:val="0"/>
              <w:rPr>
                <w:b/>
                <w:sz w:val="20"/>
              </w:rPr>
            </w:pPr>
            <w:r w:rsidRPr="005B36BB">
              <w:rPr>
                <w:b/>
                <w:sz w:val="20"/>
              </w:rPr>
              <w:t>Total Pop.</w:t>
            </w:r>
          </w:p>
          <w:p w:rsidR="00C6287D" w:rsidRPr="005B36BB" w:rsidP="00525353">
            <w:pPr>
              <w:autoSpaceDE w:val="0"/>
              <w:autoSpaceDN w:val="0"/>
              <w:adjustRightInd w:val="0"/>
              <w:rPr>
                <w:b/>
                <w:sz w:val="20"/>
              </w:rPr>
            </w:pPr>
          </w:p>
        </w:tc>
        <w:tc>
          <w:tcPr>
            <w:tcW w:w="954" w:type="pct"/>
            <w:gridSpan w:val="2"/>
            <w:tcBorders>
              <w:top w:val="single" w:sz="4" w:space="0" w:color="auto"/>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jc w:val="center"/>
              <w:rPr>
                <w:b/>
                <w:sz w:val="20"/>
              </w:rPr>
            </w:pPr>
            <w:r w:rsidRPr="005B36BB">
              <w:rPr>
                <w:b/>
                <w:sz w:val="20"/>
              </w:rPr>
              <w:t>Fixed 25 Mbps/</w:t>
            </w:r>
          </w:p>
          <w:p w:rsidR="00C6287D" w:rsidRPr="005B36BB" w:rsidP="00525353">
            <w:pPr>
              <w:autoSpaceDE w:val="0"/>
              <w:autoSpaceDN w:val="0"/>
              <w:adjustRightInd w:val="0"/>
              <w:jc w:val="center"/>
              <w:rPr>
                <w:b/>
                <w:sz w:val="20"/>
              </w:rPr>
            </w:pPr>
            <w:r w:rsidRPr="005B36BB">
              <w:rPr>
                <w:b/>
                <w:sz w:val="20"/>
              </w:rPr>
              <w:t>3 Mbps</w:t>
            </w:r>
          </w:p>
          <w:p w:rsidR="00C6287D" w:rsidRPr="005B36BB" w:rsidP="00525353">
            <w:pPr>
              <w:autoSpaceDE w:val="0"/>
              <w:autoSpaceDN w:val="0"/>
              <w:adjustRightInd w:val="0"/>
              <w:jc w:val="center"/>
              <w:rPr>
                <w:b/>
                <w:sz w:val="20"/>
              </w:rPr>
            </w:pPr>
          </w:p>
        </w:tc>
        <w:tc>
          <w:tcPr>
            <w:tcW w:w="835" w:type="pct"/>
            <w:gridSpan w:val="2"/>
            <w:tcBorders>
              <w:top w:val="single" w:sz="4" w:space="0" w:color="auto"/>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jc w:val="center"/>
              <w:rPr>
                <w:b/>
                <w:sz w:val="20"/>
              </w:rPr>
            </w:pPr>
            <w:r w:rsidRPr="005B36BB">
              <w:rPr>
                <w:b/>
                <w:sz w:val="20"/>
              </w:rPr>
              <w:t>Mobile LTE 5 Mbps/1 Mbps</w:t>
            </w:r>
          </w:p>
          <w:p w:rsidR="00C6287D" w:rsidRPr="005B36BB" w:rsidP="00525353">
            <w:pPr>
              <w:autoSpaceDE w:val="0"/>
              <w:autoSpaceDN w:val="0"/>
              <w:adjustRightInd w:val="0"/>
              <w:jc w:val="center"/>
              <w:rPr>
                <w:b/>
                <w:sz w:val="20"/>
              </w:rPr>
            </w:pPr>
          </w:p>
        </w:tc>
        <w:tc>
          <w:tcPr>
            <w:tcW w:w="999" w:type="pct"/>
            <w:gridSpan w:val="2"/>
            <w:tcBorders>
              <w:top w:val="single" w:sz="4" w:space="0" w:color="auto"/>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jc w:val="center"/>
              <w:rPr>
                <w:b/>
                <w:sz w:val="20"/>
              </w:rPr>
            </w:pPr>
            <w:r w:rsidRPr="005B36BB">
              <w:rPr>
                <w:b/>
                <w:sz w:val="20"/>
              </w:rPr>
              <w:t>Fixed 25 Mbps/3 Mbps and Mobile LTE 5 Mbps/1 Mbps</w:t>
            </w:r>
          </w:p>
        </w:tc>
        <w:tc>
          <w:tcPr>
            <w:tcW w:w="999" w:type="pct"/>
            <w:gridSpan w:val="2"/>
            <w:tcBorders>
              <w:top w:val="single" w:sz="4" w:space="0" w:color="auto"/>
              <w:left w:val="single" w:sz="8" w:space="0" w:color="000000"/>
              <w:bottom w:val="single" w:sz="8" w:space="0" w:color="000000"/>
              <w:right w:val="single" w:sz="4" w:space="0" w:color="auto"/>
            </w:tcBorders>
            <w:shd w:val="clear" w:color="auto" w:fill="90B0D9"/>
            <w:tcMar>
              <w:left w:w="40" w:type="dxa"/>
              <w:right w:w="40" w:type="dxa"/>
            </w:tcMar>
            <w:vAlign w:val="bottom"/>
          </w:tcPr>
          <w:p w:rsidR="00C6287D" w:rsidRPr="005B36BB" w:rsidP="00525353">
            <w:pPr>
              <w:autoSpaceDE w:val="0"/>
              <w:autoSpaceDN w:val="0"/>
              <w:adjustRightInd w:val="0"/>
              <w:jc w:val="center"/>
              <w:rPr>
                <w:b/>
                <w:sz w:val="20"/>
              </w:rPr>
            </w:pPr>
            <w:r w:rsidRPr="005B36BB">
              <w:rPr>
                <w:b/>
                <w:sz w:val="20"/>
              </w:rPr>
              <w:t>Fixed 25 Mbps/3 Mbps or Mobile LTE 5 Mbps/1 Mbps</w:t>
            </w:r>
          </w:p>
        </w:tc>
      </w:tr>
      <w:tr w:rsidTr="00525353">
        <w:tblPrEx>
          <w:tblW w:w="5000" w:type="pct"/>
          <w:jc w:val="center"/>
          <w:tblLayout w:type="fixed"/>
          <w:tblCellMar>
            <w:left w:w="0" w:type="dxa"/>
            <w:right w:w="0" w:type="dxa"/>
          </w:tblCellMar>
          <w:tblLook w:val="0000"/>
        </w:tblPrEx>
        <w:trPr>
          <w:cantSplit/>
          <w:tblHeader/>
          <w:jc w:val="center"/>
        </w:trPr>
        <w:tc>
          <w:tcPr>
            <w:tcW w:w="880" w:type="pct"/>
            <w:vMerge/>
            <w:tcBorders>
              <w:left w:val="single" w:sz="4" w:space="0" w:color="auto"/>
              <w:bottom w:val="single" w:sz="4" w:space="0" w:color="auto"/>
              <w:right w:val="single" w:sz="4" w:space="0" w:color="auto"/>
            </w:tcBorders>
            <w:shd w:val="clear" w:color="auto" w:fill="90B0D9"/>
            <w:tcMar>
              <w:left w:w="40" w:type="dxa"/>
              <w:right w:w="40" w:type="dxa"/>
            </w:tcMar>
            <w:vAlign w:val="bottom"/>
          </w:tcPr>
          <w:p w:rsidR="00C6287D" w:rsidRPr="005B36BB" w:rsidP="00525353">
            <w:pPr>
              <w:autoSpaceDE w:val="0"/>
              <w:autoSpaceDN w:val="0"/>
              <w:adjustRightInd w:val="0"/>
              <w:spacing w:after="120"/>
              <w:jc w:val="center"/>
              <w:rPr>
                <w:b/>
                <w:sz w:val="20"/>
              </w:rPr>
            </w:pPr>
          </w:p>
        </w:tc>
        <w:tc>
          <w:tcPr>
            <w:tcW w:w="333" w:type="pct"/>
            <w:vMerge/>
            <w:tcBorders>
              <w:left w:val="single" w:sz="4" w:space="0" w:color="auto"/>
              <w:bottom w:val="single" w:sz="4" w:space="0" w:color="auto"/>
            </w:tcBorders>
            <w:shd w:val="clear" w:color="auto" w:fill="90B0D9"/>
            <w:tcMar>
              <w:left w:w="40" w:type="dxa"/>
              <w:right w:w="40" w:type="dxa"/>
            </w:tcMar>
            <w:vAlign w:val="bottom"/>
          </w:tcPr>
          <w:p w:rsidR="00C6287D" w:rsidRPr="005B36BB" w:rsidP="00525353">
            <w:pPr>
              <w:autoSpaceDE w:val="0"/>
              <w:autoSpaceDN w:val="0"/>
              <w:adjustRightInd w:val="0"/>
              <w:jc w:val="center"/>
              <w:rPr>
                <w:b/>
                <w:sz w:val="20"/>
              </w:rPr>
            </w:pPr>
          </w:p>
        </w:tc>
        <w:tc>
          <w:tcPr>
            <w:tcW w:w="525"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jc w:val="center"/>
              <w:rPr>
                <w:b/>
                <w:sz w:val="20"/>
              </w:rPr>
            </w:pPr>
            <w:r w:rsidRPr="005B36BB">
              <w:rPr>
                <w:b/>
                <w:sz w:val="20"/>
              </w:rPr>
              <w:t xml:space="preserve">Pop. </w:t>
            </w:r>
          </w:p>
        </w:tc>
        <w:tc>
          <w:tcPr>
            <w:tcW w:w="429"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jc w:val="center"/>
              <w:rPr>
                <w:b/>
                <w:sz w:val="20"/>
              </w:rPr>
            </w:pPr>
            <w:r w:rsidRPr="005B36BB">
              <w:rPr>
                <w:b/>
                <w:sz w:val="20"/>
              </w:rPr>
              <w:t xml:space="preserve">% </w:t>
            </w:r>
          </w:p>
        </w:tc>
        <w:tc>
          <w:tcPr>
            <w:tcW w:w="429"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jc w:val="center"/>
              <w:rPr>
                <w:b/>
                <w:sz w:val="20"/>
              </w:rPr>
            </w:pPr>
            <w:r w:rsidRPr="005B36BB">
              <w:rPr>
                <w:b/>
                <w:sz w:val="20"/>
              </w:rPr>
              <w:t xml:space="preserve">Pop. </w:t>
            </w:r>
          </w:p>
        </w:tc>
        <w:tc>
          <w:tcPr>
            <w:tcW w:w="406"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jc w:val="center"/>
              <w:rPr>
                <w:b/>
                <w:sz w:val="20"/>
              </w:rPr>
            </w:pPr>
            <w:r w:rsidRPr="005B36BB">
              <w:rPr>
                <w:b/>
                <w:sz w:val="20"/>
              </w:rPr>
              <w:t xml:space="preserve">% </w:t>
            </w:r>
          </w:p>
        </w:tc>
        <w:tc>
          <w:tcPr>
            <w:tcW w:w="500"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jc w:val="center"/>
              <w:rPr>
                <w:b/>
                <w:sz w:val="20"/>
              </w:rPr>
            </w:pPr>
            <w:r w:rsidRPr="005B36BB">
              <w:rPr>
                <w:b/>
                <w:sz w:val="20"/>
              </w:rPr>
              <w:t xml:space="preserve">Pop. </w:t>
            </w:r>
          </w:p>
        </w:tc>
        <w:tc>
          <w:tcPr>
            <w:tcW w:w="499"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jc w:val="center"/>
              <w:rPr>
                <w:b/>
                <w:sz w:val="20"/>
              </w:rPr>
            </w:pPr>
            <w:r w:rsidRPr="005B36BB">
              <w:rPr>
                <w:b/>
                <w:sz w:val="20"/>
              </w:rPr>
              <w:t xml:space="preserve">% </w:t>
            </w:r>
          </w:p>
        </w:tc>
        <w:tc>
          <w:tcPr>
            <w:tcW w:w="468" w:type="pct"/>
            <w:tcBorders>
              <w:top w:val="nil"/>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jc w:val="center"/>
              <w:rPr>
                <w:b/>
                <w:sz w:val="20"/>
              </w:rPr>
            </w:pPr>
            <w:r w:rsidRPr="005B36BB">
              <w:rPr>
                <w:b/>
                <w:sz w:val="20"/>
              </w:rPr>
              <w:t xml:space="preserve">Pop. </w:t>
            </w:r>
          </w:p>
        </w:tc>
        <w:tc>
          <w:tcPr>
            <w:tcW w:w="531" w:type="pct"/>
            <w:tcBorders>
              <w:top w:val="nil"/>
              <w:left w:val="single" w:sz="8" w:space="0" w:color="000000"/>
              <w:bottom w:val="single" w:sz="8" w:space="0" w:color="000000"/>
              <w:right w:val="single" w:sz="4" w:space="0" w:color="auto"/>
            </w:tcBorders>
            <w:shd w:val="clear" w:color="auto" w:fill="90B0D9"/>
            <w:tcMar>
              <w:left w:w="40" w:type="dxa"/>
              <w:right w:w="40" w:type="dxa"/>
            </w:tcMar>
            <w:vAlign w:val="bottom"/>
          </w:tcPr>
          <w:p w:rsidR="00C6287D" w:rsidRPr="005B36BB" w:rsidP="00525353">
            <w:pPr>
              <w:autoSpaceDE w:val="0"/>
              <w:autoSpaceDN w:val="0"/>
              <w:adjustRightInd w:val="0"/>
              <w:jc w:val="center"/>
              <w:rPr>
                <w:b/>
                <w:sz w:val="20"/>
              </w:rPr>
            </w:pPr>
            <w:r w:rsidRPr="005B36BB">
              <w:rPr>
                <w:b/>
                <w:sz w:val="20"/>
              </w:rPr>
              <w:t>%</w:t>
            </w:r>
          </w:p>
        </w:tc>
      </w:tr>
      <w:tr w:rsidTr="00525353">
        <w:tblPrEx>
          <w:tblW w:w="5000" w:type="pct"/>
          <w:jc w:val="center"/>
          <w:tblLayout w:type="fixed"/>
          <w:tblCellMar>
            <w:left w:w="0" w:type="dxa"/>
            <w:right w:w="0" w:type="dxa"/>
          </w:tblCellMar>
          <w:tblLook w:val="0000"/>
        </w:tblPrEx>
        <w:trPr>
          <w:cantSplit/>
          <w:jc w:val="center"/>
        </w:trPr>
        <w:tc>
          <w:tcPr>
            <w:tcW w:w="880" w:type="pct"/>
            <w:tcBorders>
              <w:top w:val="single" w:sz="4" w:space="0" w:color="auto"/>
              <w:left w:val="single" w:sz="4" w:space="0" w:color="auto"/>
              <w:bottom w:val="single" w:sz="8" w:space="0" w:color="000000"/>
              <w:right w:val="single" w:sz="4" w:space="0" w:color="auto"/>
            </w:tcBorders>
            <w:shd w:val="clear" w:color="auto" w:fill="90B0D9"/>
            <w:tcMar>
              <w:left w:w="40" w:type="dxa"/>
              <w:right w:w="40" w:type="dxa"/>
            </w:tcMar>
          </w:tcPr>
          <w:p w:rsidR="00C6287D" w:rsidRPr="005B36BB" w:rsidP="00525353">
            <w:pPr>
              <w:autoSpaceDE w:val="0"/>
              <w:autoSpaceDN w:val="0"/>
              <w:adjustRightInd w:val="0"/>
              <w:spacing w:before="40" w:after="120"/>
              <w:rPr>
                <w:b/>
                <w:sz w:val="20"/>
              </w:rPr>
            </w:pPr>
            <w:r w:rsidRPr="005B36BB">
              <w:rPr>
                <w:b/>
                <w:sz w:val="20"/>
              </w:rPr>
              <w:t>Tribal Lands</w:t>
            </w:r>
          </w:p>
        </w:tc>
        <w:tc>
          <w:tcPr>
            <w:tcW w:w="333" w:type="pct"/>
            <w:tcBorders>
              <w:top w:val="single" w:sz="4" w:space="0" w:color="auto"/>
              <w:left w:val="single" w:sz="4" w:space="0" w:color="auto"/>
              <w:bottom w:val="single" w:sz="8" w:space="0" w:color="000000"/>
              <w:right w:val="nil"/>
            </w:tcBorders>
            <w:shd w:val="clear" w:color="auto" w:fill="F5F5F5"/>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4.017</w:t>
            </w:r>
          </w:p>
        </w:tc>
        <w:tc>
          <w:tcPr>
            <w:tcW w:w="525" w:type="pct"/>
            <w:tcBorders>
              <w:top w:val="nil"/>
              <w:left w:val="single" w:sz="8" w:space="0" w:color="000000"/>
              <w:bottom w:val="single" w:sz="8" w:space="0" w:color="000000"/>
              <w:right w:val="nil"/>
            </w:tcBorders>
            <w:shd w:val="clear" w:color="auto" w:fill="F5F5F5"/>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2.727</w:t>
            </w:r>
          </w:p>
        </w:tc>
        <w:tc>
          <w:tcPr>
            <w:tcW w:w="429" w:type="pct"/>
            <w:tcBorders>
              <w:top w:val="nil"/>
              <w:left w:val="single" w:sz="8" w:space="0" w:color="000000"/>
              <w:bottom w:val="single" w:sz="8" w:space="0" w:color="000000"/>
              <w:right w:val="nil"/>
            </w:tcBorders>
            <w:shd w:val="clear" w:color="auto" w:fill="F5F5F5"/>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67.9%</w:t>
            </w:r>
          </w:p>
        </w:tc>
        <w:tc>
          <w:tcPr>
            <w:tcW w:w="429" w:type="pct"/>
            <w:tcBorders>
              <w:top w:val="nil"/>
              <w:left w:val="single" w:sz="8" w:space="0" w:color="000000"/>
              <w:bottom w:val="single" w:sz="8" w:space="0" w:color="000000"/>
              <w:right w:val="nil"/>
            </w:tcBorders>
            <w:shd w:val="clear" w:color="auto" w:fill="F5F5F5"/>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3.896</w:t>
            </w:r>
          </w:p>
        </w:tc>
        <w:tc>
          <w:tcPr>
            <w:tcW w:w="406" w:type="pct"/>
            <w:tcBorders>
              <w:top w:val="nil"/>
              <w:left w:val="single" w:sz="8" w:space="0" w:color="000000"/>
              <w:bottom w:val="single" w:sz="8" w:space="0" w:color="000000"/>
              <w:right w:val="nil"/>
            </w:tcBorders>
            <w:shd w:val="clear" w:color="auto" w:fill="F5F5F5"/>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97.0%</w:t>
            </w:r>
          </w:p>
        </w:tc>
        <w:tc>
          <w:tcPr>
            <w:tcW w:w="500" w:type="pct"/>
            <w:tcBorders>
              <w:top w:val="nil"/>
              <w:left w:val="single" w:sz="8" w:space="0" w:color="000000"/>
              <w:bottom w:val="single" w:sz="8" w:space="0" w:color="000000"/>
              <w:right w:val="nil"/>
            </w:tcBorders>
            <w:shd w:val="clear" w:color="auto" w:fill="F5F5F5"/>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2.716</w:t>
            </w:r>
          </w:p>
        </w:tc>
        <w:tc>
          <w:tcPr>
            <w:tcW w:w="499" w:type="pct"/>
            <w:tcBorders>
              <w:top w:val="nil"/>
              <w:left w:val="single" w:sz="8" w:space="0" w:color="000000"/>
              <w:bottom w:val="single" w:sz="8" w:space="0" w:color="000000"/>
              <w:right w:val="nil"/>
            </w:tcBorders>
            <w:shd w:val="clear" w:color="auto" w:fill="F5F5F5"/>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67.6%</w:t>
            </w:r>
          </w:p>
        </w:tc>
        <w:tc>
          <w:tcPr>
            <w:tcW w:w="468" w:type="pct"/>
            <w:tcBorders>
              <w:top w:val="nil"/>
              <w:left w:val="single" w:sz="8" w:space="0" w:color="000000"/>
              <w:bottom w:val="single" w:sz="8" w:space="0" w:color="000000"/>
              <w:right w:val="nil"/>
            </w:tcBorders>
            <w:shd w:val="clear" w:color="auto" w:fill="F5F5F5"/>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3.907</w:t>
            </w:r>
          </w:p>
        </w:tc>
        <w:tc>
          <w:tcPr>
            <w:tcW w:w="531"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97.3%</w:t>
            </w:r>
          </w:p>
        </w:tc>
      </w:tr>
      <w:tr w:rsidTr="00525353">
        <w:tblPrEx>
          <w:tblW w:w="5000" w:type="pct"/>
          <w:jc w:val="center"/>
          <w:tblLayout w:type="fixed"/>
          <w:tblCellMar>
            <w:left w:w="0" w:type="dxa"/>
            <w:right w:w="0" w:type="dxa"/>
          </w:tblCellMar>
          <w:tblLook w:val="0000"/>
        </w:tblPrEx>
        <w:trPr>
          <w:cantSplit/>
          <w:jc w:val="center"/>
        </w:trPr>
        <w:tc>
          <w:tcPr>
            <w:tcW w:w="880"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ind w:left="72"/>
              <w:rPr>
                <w:b/>
                <w:sz w:val="20"/>
              </w:rPr>
            </w:pPr>
            <w:r w:rsidRPr="005B36BB">
              <w:rPr>
                <w:b/>
                <w:sz w:val="20"/>
              </w:rPr>
              <w:t>Alaskan Villages</w:t>
            </w:r>
          </w:p>
        </w:tc>
        <w:tc>
          <w:tcPr>
            <w:tcW w:w="333"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0.265</w:t>
            </w:r>
          </w:p>
        </w:tc>
        <w:tc>
          <w:tcPr>
            <w:tcW w:w="525"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0.154</w:t>
            </w:r>
          </w:p>
        </w:tc>
        <w:tc>
          <w:tcPr>
            <w:tcW w:w="429"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58.0%</w:t>
            </w:r>
          </w:p>
        </w:tc>
        <w:tc>
          <w:tcPr>
            <w:tcW w:w="429"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0.197</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74.3%</w:t>
            </w:r>
          </w:p>
        </w:tc>
        <w:tc>
          <w:tcPr>
            <w:tcW w:w="500"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0.151</w:t>
            </w:r>
          </w:p>
        </w:tc>
        <w:tc>
          <w:tcPr>
            <w:tcW w:w="499"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57.0%</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0.200</w:t>
            </w:r>
          </w:p>
        </w:tc>
        <w:tc>
          <w:tcPr>
            <w:tcW w:w="531"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75.4%</w:t>
            </w:r>
          </w:p>
        </w:tc>
      </w:tr>
      <w:tr w:rsidTr="00525353">
        <w:tblPrEx>
          <w:tblW w:w="5000" w:type="pct"/>
          <w:jc w:val="center"/>
          <w:tblLayout w:type="fixed"/>
          <w:tblCellMar>
            <w:left w:w="0" w:type="dxa"/>
            <w:right w:w="0" w:type="dxa"/>
          </w:tblCellMar>
          <w:tblLook w:val="0000"/>
        </w:tblPrEx>
        <w:trPr>
          <w:cantSplit/>
          <w:jc w:val="center"/>
        </w:trPr>
        <w:tc>
          <w:tcPr>
            <w:tcW w:w="880"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ind w:left="72"/>
              <w:rPr>
                <w:b/>
                <w:sz w:val="20"/>
              </w:rPr>
            </w:pPr>
            <w:r w:rsidRPr="005B36BB">
              <w:rPr>
                <w:b/>
                <w:sz w:val="20"/>
              </w:rPr>
              <w:t>Hawaiian Homelands</w:t>
            </w:r>
          </w:p>
        </w:tc>
        <w:tc>
          <w:tcPr>
            <w:tcW w:w="333"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0.034</w:t>
            </w:r>
          </w:p>
        </w:tc>
        <w:tc>
          <w:tcPr>
            <w:tcW w:w="525"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0.030</w:t>
            </w:r>
          </w:p>
        </w:tc>
        <w:tc>
          <w:tcPr>
            <w:tcW w:w="429"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89.4%</w:t>
            </w:r>
          </w:p>
        </w:tc>
        <w:tc>
          <w:tcPr>
            <w:tcW w:w="429"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0.034</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99.9%</w:t>
            </w:r>
          </w:p>
        </w:tc>
        <w:tc>
          <w:tcPr>
            <w:tcW w:w="500"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0.030</w:t>
            </w:r>
          </w:p>
        </w:tc>
        <w:tc>
          <w:tcPr>
            <w:tcW w:w="499"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89.4%</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0.034</w:t>
            </w:r>
          </w:p>
        </w:tc>
        <w:tc>
          <w:tcPr>
            <w:tcW w:w="531"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99.9%</w:t>
            </w:r>
          </w:p>
        </w:tc>
      </w:tr>
      <w:tr w:rsidTr="00525353">
        <w:tblPrEx>
          <w:tblW w:w="5000" w:type="pct"/>
          <w:jc w:val="center"/>
          <w:tblLayout w:type="fixed"/>
          <w:tblCellMar>
            <w:left w:w="0" w:type="dxa"/>
            <w:right w:w="0" w:type="dxa"/>
          </w:tblCellMar>
          <w:tblLook w:val="0000"/>
        </w:tblPrEx>
        <w:trPr>
          <w:cantSplit/>
          <w:jc w:val="center"/>
        </w:trPr>
        <w:tc>
          <w:tcPr>
            <w:tcW w:w="880"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ind w:left="72"/>
              <w:rPr>
                <w:b/>
                <w:sz w:val="20"/>
              </w:rPr>
            </w:pPr>
            <w:r w:rsidRPr="005B36BB">
              <w:rPr>
                <w:b/>
                <w:sz w:val="20"/>
              </w:rPr>
              <w:t>Lower 48 States</w:t>
            </w:r>
          </w:p>
        </w:tc>
        <w:tc>
          <w:tcPr>
            <w:tcW w:w="333"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1.117</w:t>
            </w:r>
          </w:p>
        </w:tc>
        <w:tc>
          <w:tcPr>
            <w:tcW w:w="525"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0.604</w:t>
            </w:r>
          </w:p>
        </w:tc>
        <w:tc>
          <w:tcPr>
            <w:tcW w:w="429"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54.1%</w:t>
            </w:r>
          </w:p>
        </w:tc>
        <w:tc>
          <w:tcPr>
            <w:tcW w:w="429"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1.069</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95.7%</w:t>
            </w:r>
          </w:p>
        </w:tc>
        <w:tc>
          <w:tcPr>
            <w:tcW w:w="500"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0.595</w:t>
            </w:r>
          </w:p>
        </w:tc>
        <w:tc>
          <w:tcPr>
            <w:tcW w:w="499"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53.3%</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1.078</w:t>
            </w:r>
          </w:p>
        </w:tc>
        <w:tc>
          <w:tcPr>
            <w:tcW w:w="531"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96.5%</w:t>
            </w:r>
          </w:p>
        </w:tc>
      </w:tr>
      <w:tr w:rsidTr="00525353">
        <w:tblPrEx>
          <w:tblW w:w="5000" w:type="pct"/>
          <w:jc w:val="center"/>
          <w:tblLayout w:type="fixed"/>
          <w:tblCellMar>
            <w:left w:w="0" w:type="dxa"/>
            <w:right w:w="0" w:type="dxa"/>
          </w:tblCellMar>
          <w:tblLook w:val="0000"/>
        </w:tblPrEx>
        <w:trPr>
          <w:cantSplit/>
          <w:jc w:val="center"/>
        </w:trPr>
        <w:tc>
          <w:tcPr>
            <w:tcW w:w="880" w:type="pct"/>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ind w:left="72"/>
              <w:rPr>
                <w:b/>
                <w:sz w:val="20"/>
              </w:rPr>
            </w:pPr>
            <w:r w:rsidRPr="005B36BB">
              <w:rPr>
                <w:b/>
                <w:sz w:val="20"/>
              </w:rPr>
              <w:t>Tribal Statistical Areas</w:t>
            </w:r>
          </w:p>
        </w:tc>
        <w:tc>
          <w:tcPr>
            <w:tcW w:w="333"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2.601</w:t>
            </w:r>
          </w:p>
        </w:tc>
        <w:tc>
          <w:tcPr>
            <w:tcW w:w="525"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1.939</w:t>
            </w:r>
          </w:p>
        </w:tc>
        <w:tc>
          <w:tcPr>
            <w:tcW w:w="429"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74.6%</w:t>
            </w:r>
          </w:p>
        </w:tc>
        <w:tc>
          <w:tcPr>
            <w:tcW w:w="429"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2.596</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99.8%</w:t>
            </w:r>
          </w:p>
        </w:tc>
        <w:tc>
          <w:tcPr>
            <w:tcW w:w="500"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1.939</w:t>
            </w:r>
          </w:p>
        </w:tc>
        <w:tc>
          <w:tcPr>
            <w:tcW w:w="499"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74.5%</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2.596</w:t>
            </w:r>
          </w:p>
        </w:tc>
        <w:tc>
          <w:tcPr>
            <w:tcW w:w="531"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194A11" w:rsidP="00525353">
            <w:pPr>
              <w:autoSpaceDE w:val="0"/>
              <w:autoSpaceDN w:val="0"/>
              <w:adjustRightInd w:val="0"/>
              <w:spacing w:before="40" w:after="120"/>
              <w:jc w:val="right"/>
              <w:rPr>
                <w:sz w:val="20"/>
              </w:rPr>
            </w:pPr>
            <w:r w:rsidRPr="00194A11">
              <w:rPr>
                <w:color w:val="000000"/>
                <w:sz w:val="20"/>
              </w:rPr>
              <w:t>99.8%</w:t>
            </w:r>
          </w:p>
        </w:tc>
      </w:tr>
    </w:tbl>
    <w:p w:rsidR="00C6287D" w:rsidRPr="00A56B17" w:rsidP="00A94DE8">
      <w:pPr>
        <w:pStyle w:val="Heading2"/>
      </w:pPr>
      <w:bookmarkStart w:id="300" w:name="_Toc780518"/>
      <w:bookmarkStart w:id="301" w:name="_Toc970739"/>
      <w:bookmarkStart w:id="302" w:name="_Toc527724389"/>
      <w:bookmarkStart w:id="303" w:name="_Toc529447285"/>
      <w:bookmarkStart w:id="304" w:name="_Toc529449188"/>
      <w:bookmarkStart w:id="305" w:name="_Toc529454965"/>
      <w:bookmarkStart w:id="306" w:name="_Toc530161125"/>
      <w:bookmarkStart w:id="307" w:name="_Toc530161779"/>
      <w:bookmarkStart w:id="308" w:name="_Toc530161971"/>
      <w:bookmarkStart w:id="309" w:name="_Toc530389390"/>
      <w:bookmarkStart w:id="310" w:name="_Toc530435797"/>
      <w:bookmarkStart w:id="311" w:name="_Toc530436029"/>
      <w:bookmarkStart w:id="312" w:name="_Toc530436090"/>
      <w:bookmarkStart w:id="313" w:name="_Toc530439582"/>
      <w:bookmarkStart w:id="314" w:name="_Toc530444367"/>
      <w:bookmarkStart w:id="315" w:name="_Toc530444426"/>
      <w:bookmarkStart w:id="316" w:name="_Toc530444485"/>
      <w:bookmarkStart w:id="317" w:name="_Toc530444544"/>
      <w:bookmarkStart w:id="318" w:name="_Toc530444603"/>
      <w:bookmarkStart w:id="319" w:name="_Toc530444663"/>
      <w:bookmarkStart w:id="320" w:name="_Toc530473165"/>
      <w:bookmarkStart w:id="321" w:name="_Toc530482608"/>
      <w:bookmarkStart w:id="322" w:name="_Toc532311078"/>
      <w:bookmarkStart w:id="323" w:name="_Toc532983377"/>
      <w:bookmarkStart w:id="324" w:name="_Toc780519"/>
      <w:bookmarkStart w:id="325" w:name="_Toc529180608"/>
      <w:bookmarkStart w:id="326" w:name="_Toc530069131"/>
      <w:bookmarkStart w:id="327" w:name="_Toc530147034"/>
      <w:bookmarkStart w:id="328" w:name="_Toc530148246"/>
      <w:bookmarkStart w:id="329" w:name="_Toc970740"/>
      <w:bookmarkStart w:id="330" w:name="_Toc1469953"/>
      <w:bookmarkStart w:id="331" w:name="_Toc2676107"/>
      <w:bookmarkEnd w:id="300"/>
      <w:bookmarkEnd w:id="301"/>
      <w:r w:rsidRPr="00A56B17">
        <w:t>Adoption Data</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C6287D" w:rsidRPr="00A56B17" w:rsidP="00C6287D">
      <w:pPr>
        <w:pStyle w:val="ParaNum"/>
      </w:pPr>
      <w:r w:rsidRPr="00A56B17">
        <w:t>We also include an assessment of adoption because adoption of services is necessarily a lower bound on fixed deployment.</w:t>
      </w:r>
      <w:r>
        <w:rPr>
          <w:sz w:val="20"/>
          <w:vertAlign w:val="superscript"/>
        </w:rPr>
        <w:footnoteReference w:id="135"/>
      </w:r>
      <w:r w:rsidRPr="00A56B17">
        <w:t xml:space="preserve">  We report adoption rates based upon data as of December 2013 to December 2017.  The reported adoption rates are the ratio of residential Form 477 data subscriptions to fixed terrestrial services at the designated speed divided by the total number of households in the area where our Form 477 deployment data indicated that fixed terrestrial services are deployed.</w:t>
      </w:r>
      <w:r>
        <w:rPr>
          <w:sz w:val="20"/>
          <w:vertAlign w:val="superscript"/>
        </w:rPr>
        <w:footnoteReference w:id="136"/>
      </w:r>
      <w:r w:rsidRPr="00A56B17">
        <w:t xml:space="preserve"> </w:t>
      </w:r>
    </w:p>
    <w:p w:rsidR="00C6287D" w:rsidRPr="00A56B17" w:rsidP="00C6287D">
      <w:pPr>
        <w:pStyle w:val="ParaNum"/>
      </w:pPr>
      <w:r w:rsidRPr="00A56B17">
        <w:t>Figure 12 shows the overall adoption rates,</w:t>
      </w:r>
      <w:r w:rsidRPr="00A56B17">
        <w:rPr>
          <w:vertAlign w:val="superscript"/>
        </w:rPr>
        <w:t xml:space="preserve"> </w:t>
      </w:r>
      <w:r>
        <w:rPr>
          <w:vertAlign w:val="superscript"/>
        </w:rPr>
        <w:footnoteReference w:id="137"/>
      </w:r>
      <w:r w:rsidRPr="00A56B17">
        <w:t xml:space="preserve"> using Form 477 subscribership data, from 2013 through 2017 for fixed terrestrial services for the U.S. as a whole, urban and non-urban core areas,</w:t>
      </w:r>
      <w:r w:rsidRPr="00A56B17">
        <w:rPr>
          <w:vertAlign w:val="superscript"/>
        </w:rPr>
        <w:t xml:space="preserve"> </w:t>
      </w:r>
      <w:r w:rsidRPr="00A56B17">
        <w:t>and Tribal lands.  The data show year-to-year increases across the vast majority of areas, including Tribal lands, for adoption of 10 Mbps/3 Mbps, 25 Mbps/3 Mbps, 50 Mbps/3 Mbps, 100 Mbps/10 Mbps, and 250 Mbps/25 Mbps fixed terrestrial services.</w:t>
      </w:r>
      <w:r>
        <w:rPr>
          <w:vertAlign w:val="superscript"/>
        </w:rPr>
        <w:footnoteReference w:id="138"/>
      </w:r>
      <w:r w:rsidRPr="00A56B17">
        <w:t xml:space="preserve">  </w:t>
      </w:r>
    </w:p>
    <w:p w:rsidR="00C6287D" w:rsidRPr="00A56B17" w:rsidP="00C6287D">
      <w:pPr>
        <w:jc w:val="center"/>
        <w:rPr>
          <w:b/>
        </w:rPr>
      </w:pPr>
      <w:r w:rsidRPr="00A56B17">
        <w:rPr>
          <w:b/>
        </w:rPr>
        <w:t>Fig. 12</w:t>
      </w:r>
    </w:p>
    <w:p w:rsidR="00C6287D" w:rsidRPr="00820DFD" w:rsidP="00C6287D">
      <w:pPr>
        <w:keepNext/>
        <w:adjustRightInd w:val="0"/>
        <w:spacing w:before="10" w:after="120"/>
        <w:jc w:val="center"/>
        <w:rPr>
          <w:b/>
          <w:sz w:val="20"/>
        </w:rPr>
      </w:pPr>
      <w:r w:rsidRPr="00A56B17">
        <w:rPr>
          <w:b/>
        </w:rPr>
        <w:t>Adoption Rates for Fixed Terrestrial Services</w:t>
      </w:r>
    </w:p>
    <w:tbl>
      <w:tblPr>
        <w:tblW w:w="0" w:type="auto"/>
        <w:jc w:val="center"/>
        <w:tblLayout w:type="fixed"/>
        <w:tblCellMar>
          <w:left w:w="0" w:type="dxa"/>
          <w:right w:w="0" w:type="dxa"/>
        </w:tblCellMar>
        <w:tblLook w:val="0000"/>
      </w:tblPr>
      <w:tblGrid>
        <w:gridCol w:w="3357"/>
        <w:gridCol w:w="1196"/>
        <w:gridCol w:w="1196"/>
        <w:gridCol w:w="1196"/>
        <w:gridCol w:w="1196"/>
        <w:gridCol w:w="1173"/>
      </w:tblGrid>
      <w:tr w:rsidTr="00525353">
        <w:tblPrEx>
          <w:tblW w:w="0" w:type="auto"/>
          <w:jc w:val="center"/>
          <w:tblLayout w:type="fixed"/>
          <w:tblCellMar>
            <w:left w:w="0" w:type="dxa"/>
            <w:right w:w="0" w:type="dxa"/>
          </w:tblCellMar>
          <w:tblLook w:val="0000"/>
        </w:tblPrEx>
        <w:trPr>
          <w:cantSplit/>
          <w:tblHeader/>
          <w:jc w:val="center"/>
        </w:trPr>
        <w:tc>
          <w:tcPr>
            <w:tcW w:w="3357" w:type="dxa"/>
            <w:tcBorders>
              <w:top w:val="single" w:sz="4" w:space="0" w:color="auto"/>
              <w:left w:val="single" w:sz="4" w:space="0" w:color="auto"/>
              <w:bottom w:val="single" w:sz="4" w:space="0" w:color="auto"/>
              <w:right w:val="single" w:sz="4" w:space="0" w:color="auto"/>
            </w:tcBorders>
            <w:shd w:val="clear" w:color="auto" w:fill="90B0D9"/>
            <w:tcMar>
              <w:left w:w="40" w:type="dxa"/>
              <w:right w:w="40" w:type="dxa"/>
            </w:tcMar>
            <w:vAlign w:val="bottom"/>
          </w:tcPr>
          <w:p w:rsidR="00C6287D" w:rsidRPr="005B36BB" w:rsidP="00525353">
            <w:pPr>
              <w:autoSpaceDE w:val="0"/>
              <w:autoSpaceDN w:val="0"/>
              <w:adjustRightInd w:val="0"/>
              <w:spacing w:before="40" w:after="120"/>
              <w:jc w:val="center"/>
              <w:rPr>
                <w:b/>
                <w:color w:val="000000"/>
                <w:sz w:val="20"/>
              </w:rPr>
            </w:pPr>
          </w:p>
        </w:tc>
        <w:tc>
          <w:tcPr>
            <w:tcW w:w="1196" w:type="dxa"/>
            <w:tcBorders>
              <w:top w:val="single" w:sz="4" w:space="0" w:color="auto"/>
              <w:left w:val="single" w:sz="4" w:space="0" w:color="auto"/>
              <w:bottom w:val="single" w:sz="4" w:space="0" w:color="auto"/>
              <w:right w:val="single" w:sz="4" w:space="0" w:color="auto"/>
            </w:tcBorders>
            <w:shd w:val="clear" w:color="auto" w:fill="90B0D9"/>
            <w:tcMar>
              <w:left w:w="40" w:type="dxa"/>
              <w:right w:w="40" w:type="dxa"/>
            </w:tcMar>
            <w:vAlign w:val="bottom"/>
          </w:tcPr>
          <w:p w:rsidR="00C6287D" w:rsidRPr="005B36BB" w:rsidP="00525353">
            <w:pPr>
              <w:autoSpaceDE w:val="0"/>
              <w:autoSpaceDN w:val="0"/>
              <w:adjustRightInd w:val="0"/>
              <w:spacing w:before="40" w:after="120"/>
              <w:jc w:val="center"/>
              <w:rPr>
                <w:b/>
                <w:color w:val="000000"/>
                <w:sz w:val="20"/>
              </w:rPr>
            </w:pPr>
            <w:r w:rsidRPr="005B36BB">
              <w:rPr>
                <w:b/>
                <w:color w:val="000000"/>
                <w:sz w:val="20"/>
              </w:rPr>
              <w:t>2013</w:t>
            </w:r>
          </w:p>
        </w:tc>
        <w:tc>
          <w:tcPr>
            <w:tcW w:w="1196" w:type="dxa"/>
            <w:tcBorders>
              <w:top w:val="single" w:sz="4" w:space="0" w:color="auto"/>
              <w:left w:val="single" w:sz="4" w:space="0" w:color="auto"/>
              <w:bottom w:val="single" w:sz="4" w:space="0" w:color="auto"/>
              <w:right w:val="single" w:sz="4" w:space="0" w:color="auto"/>
            </w:tcBorders>
            <w:shd w:val="clear" w:color="auto" w:fill="90B0D9"/>
            <w:tcMar>
              <w:left w:w="40" w:type="dxa"/>
              <w:right w:w="40" w:type="dxa"/>
            </w:tcMar>
            <w:vAlign w:val="bottom"/>
          </w:tcPr>
          <w:p w:rsidR="00C6287D" w:rsidRPr="005B36BB" w:rsidP="00525353">
            <w:pPr>
              <w:autoSpaceDE w:val="0"/>
              <w:autoSpaceDN w:val="0"/>
              <w:adjustRightInd w:val="0"/>
              <w:spacing w:before="40" w:after="120"/>
              <w:jc w:val="center"/>
              <w:rPr>
                <w:b/>
                <w:color w:val="000000"/>
                <w:sz w:val="20"/>
              </w:rPr>
            </w:pPr>
            <w:r w:rsidRPr="005B36BB">
              <w:rPr>
                <w:b/>
                <w:color w:val="000000"/>
                <w:sz w:val="20"/>
              </w:rPr>
              <w:t>2014</w:t>
            </w:r>
          </w:p>
        </w:tc>
        <w:tc>
          <w:tcPr>
            <w:tcW w:w="1196" w:type="dxa"/>
            <w:tcBorders>
              <w:top w:val="single" w:sz="4" w:space="0" w:color="auto"/>
              <w:left w:val="single" w:sz="4" w:space="0" w:color="auto"/>
              <w:bottom w:val="single" w:sz="4" w:space="0" w:color="auto"/>
              <w:right w:val="single" w:sz="4" w:space="0" w:color="auto"/>
            </w:tcBorders>
            <w:shd w:val="clear" w:color="auto" w:fill="90B0D9"/>
            <w:tcMar>
              <w:left w:w="40" w:type="dxa"/>
              <w:right w:w="40" w:type="dxa"/>
            </w:tcMar>
            <w:vAlign w:val="bottom"/>
          </w:tcPr>
          <w:p w:rsidR="00C6287D" w:rsidRPr="005B36BB" w:rsidP="00525353">
            <w:pPr>
              <w:autoSpaceDE w:val="0"/>
              <w:autoSpaceDN w:val="0"/>
              <w:adjustRightInd w:val="0"/>
              <w:spacing w:before="40" w:after="120"/>
              <w:jc w:val="center"/>
              <w:rPr>
                <w:b/>
                <w:color w:val="000000"/>
                <w:sz w:val="20"/>
              </w:rPr>
            </w:pPr>
            <w:r w:rsidRPr="005B36BB">
              <w:rPr>
                <w:b/>
                <w:color w:val="000000"/>
                <w:sz w:val="20"/>
              </w:rPr>
              <w:t>2015</w:t>
            </w:r>
          </w:p>
        </w:tc>
        <w:tc>
          <w:tcPr>
            <w:tcW w:w="1196" w:type="dxa"/>
            <w:tcBorders>
              <w:top w:val="single" w:sz="4" w:space="0" w:color="auto"/>
              <w:left w:val="single" w:sz="4" w:space="0" w:color="auto"/>
              <w:bottom w:val="single" w:sz="4" w:space="0" w:color="auto"/>
              <w:right w:val="single" w:sz="4" w:space="0" w:color="auto"/>
            </w:tcBorders>
            <w:shd w:val="clear" w:color="auto" w:fill="90B0D9"/>
            <w:tcMar>
              <w:left w:w="40" w:type="dxa"/>
              <w:right w:w="40" w:type="dxa"/>
            </w:tcMar>
            <w:vAlign w:val="bottom"/>
          </w:tcPr>
          <w:p w:rsidR="00C6287D" w:rsidRPr="005B36BB" w:rsidP="00525353">
            <w:pPr>
              <w:autoSpaceDE w:val="0"/>
              <w:autoSpaceDN w:val="0"/>
              <w:adjustRightInd w:val="0"/>
              <w:spacing w:before="40" w:after="120"/>
              <w:jc w:val="center"/>
              <w:rPr>
                <w:b/>
                <w:color w:val="000000"/>
                <w:sz w:val="20"/>
              </w:rPr>
            </w:pPr>
            <w:r w:rsidRPr="005B36BB">
              <w:rPr>
                <w:b/>
                <w:color w:val="000000"/>
                <w:sz w:val="20"/>
              </w:rPr>
              <w:t>2016</w:t>
            </w:r>
          </w:p>
        </w:tc>
        <w:tc>
          <w:tcPr>
            <w:tcW w:w="1173" w:type="dxa"/>
            <w:tcBorders>
              <w:top w:val="single" w:sz="4" w:space="0" w:color="auto"/>
              <w:left w:val="single" w:sz="4" w:space="0" w:color="auto"/>
              <w:bottom w:val="single" w:sz="4" w:space="0" w:color="auto"/>
              <w:right w:val="single" w:sz="4" w:space="0" w:color="auto"/>
            </w:tcBorders>
            <w:shd w:val="clear" w:color="auto" w:fill="90B0D9"/>
            <w:tcMar>
              <w:left w:w="40" w:type="dxa"/>
              <w:right w:w="40" w:type="dxa"/>
            </w:tcMar>
            <w:vAlign w:val="bottom"/>
          </w:tcPr>
          <w:p w:rsidR="00C6287D" w:rsidRPr="005B36BB" w:rsidP="00525353">
            <w:pPr>
              <w:autoSpaceDE w:val="0"/>
              <w:autoSpaceDN w:val="0"/>
              <w:adjustRightInd w:val="0"/>
              <w:spacing w:before="40" w:after="120"/>
              <w:jc w:val="center"/>
              <w:rPr>
                <w:b/>
                <w:color w:val="000000"/>
                <w:sz w:val="20"/>
              </w:rPr>
            </w:pPr>
            <w:r w:rsidRPr="005B36BB">
              <w:rPr>
                <w:b/>
                <w:color w:val="000000"/>
                <w:sz w:val="20"/>
              </w:rPr>
              <w:t>2017</w:t>
            </w:r>
          </w:p>
        </w:tc>
      </w:tr>
      <w:tr w:rsidTr="00525353">
        <w:tblPrEx>
          <w:tblW w:w="0" w:type="auto"/>
          <w:jc w:val="center"/>
          <w:tblLayout w:type="fixed"/>
          <w:tblCellMar>
            <w:left w:w="0" w:type="dxa"/>
            <w:right w:w="0" w:type="dxa"/>
          </w:tblCellMar>
          <w:tblLook w:val="0000"/>
        </w:tblPrEx>
        <w:trPr>
          <w:cantSplit/>
          <w:trHeight w:hRule="exact" w:val="382"/>
          <w:jc w:val="center"/>
        </w:trPr>
        <w:tc>
          <w:tcPr>
            <w:tcW w:w="9314" w:type="dxa"/>
            <w:gridSpan w:val="6"/>
            <w:tcBorders>
              <w:top w:val="single" w:sz="4" w:space="0" w:color="auto"/>
              <w:left w:val="single" w:sz="8" w:space="0" w:color="000000"/>
              <w:bottom w:val="single" w:sz="8" w:space="0" w:color="000000"/>
              <w:right w:val="single" w:sz="8" w:space="0" w:color="000000"/>
            </w:tcBorders>
            <w:shd w:val="clear" w:color="auto" w:fill="90B0D9"/>
            <w:tcMar>
              <w:left w:w="40" w:type="dxa"/>
              <w:right w:w="40" w:type="dxa"/>
            </w:tcMar>
          </w:tcPr>
          <w:p w:rsidR="00C6287D" w:rsidRPr="005B36BB" w:rsidP="00525353">
            <w:pPr>
              <w:autoSpaceDE w:val="0"/>
              <w:autoSpaceDN w:val="0"/>
              <w:adjustRightInd w:val="0"/>
              <w:spacing w:before="40" w:after="120"/>
              <w:jc w:val="center"/>
              <w:rPr>
                <w:b/>
                <w:color w:val="000000"/>
                <w:sz w:val="20"/>
              </w:rPr>
            </w:pPr>
            <w:r w:rsidRPr="005B36BB">
              <w:rPr>
                <w:b/>
                <w:color w:val="000000"/>
                <w:sz w:val="20"/>
              </w:rPr>
              <w:t>10 Mbps/1 Mbps</w:t>
            </w:r>
          </w:p>
        </w:tc>
      </w:tr>
      <w:tr w:rsidTr="00525353">
        <w:tblPrEx>
          <w:tblW w:w="0" w:type="auto"/>
          <w:jc w:val="center"/>
          <w:tblLayout w:type="fixed"/>
          <w:tblCellMar>
            <w:left w:w="0" w:type="dxa"/>
            <w:right w:w="0" w:type="dxa"/>
          </w:tblCellMar>
          <w:tblLook w:val="0000"/>
        </w:tblPrEx>
        <w:trPr>
          <w:cantSplit/>
          <w:trHeigh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United States</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53.4%</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56.0%</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62.2%</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66.3%</w:t>
            </w:r>
          </w:p>
        </w:tc>
        <w:tc>
          <w:tcPr>
            <w:tcW w:w="1173"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69.</w:t>
            </w:r>
            <w:r w:rsidRPr="00B03360">
              <w:rPr>
                <w:sz w:val="20"/>
              </w:rPr>
              <w:t>7</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 xml:space="preserve">  Non-Urban Core Areas</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48.9%</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49.7%</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55.8%</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60.2%</w:t>
            </w:r>
          </w:p>
        </w:tc>
        <w:tc>
          <w:tcPr>
            <w:tcW w:w="117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63.</w:t>
            </w:r>
            <w:r w:rsidRPr="00B03360">
              <w:rPr>
                <w:sz w:val="20"/>
              </w:rPr>
              <w:t>4</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 xml:space="preserve">  Urban Core Areas</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56.7%</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60.7%</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67.0%</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71.0%</w:t>
            </w:r>
          </w:p>
        </w:tc>
        <w:tc>
          <w:tcPr>
            <w:tcW w:w="117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74.</w:t>
            </w:r>
            <w:r w:rsidRPr="00B03360">
              <w:rPr>
                <w:sz w:val="20"/>
              </w:rPr>
              <w:t>7</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Tribal Lands</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33.0%</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35.5%</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42.4%</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43.1%</w:t>
            </w:r>
          </w:p>
        </w:tc>
        <w:tc>
          <w:tcPr>
            <w:tcW w:w="1173"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46.</w:t>
            </w:r>
            <w:r w:rsidRPr="00B03360">
              <w:rPr>
                <w:sz w:val="20"/>
              </w:rPr>
              <w:t>2</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 xml:space="preserve">  Non-Urban Core Areas</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49.2</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50.0</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56</w:t>
            </w:r>
            <w:r w:rsidRPr="00D61250">
              <w:rPr>
                <w:sz w:val="20"/>
              </w:rPr>
              <w:t>.1%</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60.6</w:t>
            </w:r>
            <w:r w:rsidRPr="00D61250">
              <w:rPr>
                <w:sz w:val="20"/>
              </w:rPr>
              <w:t>%</w:t>
            </w:r>
          </w:p>
        </w:tc>
        <w:tc>
          <w:tcPr>
            <w:tcW w:w="117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63</w:t>
            </w:r>
            <w:r w:rsidRPr="00D61250">
              <w:rPr>
                <w:sz w:val="20"/>
              </w:rPr>
              <w:t>.8%</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 xml:space="preserve">  Urban Core Areas</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28.9</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30.6</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36.1</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36.9</w:t>
            </w:r>
            <w:r w:rsidRPr="00D61250">
              <w:rPr>
                <w:sz w:val="20"/>
              </w:rPr>
              <w:t>%</w:t>
            </w:r>
          </w:p>
        </w:tc>
        <w:tc>
          <w:tcPr>
            <w:tcW w:w="117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40.4</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9314" w:type="dxa"/>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5B36BB" w:rsidP="00525353">
            <w:pPr>
              <w:autoSpaceDE w:val="0"/>
              <w:autoSpaceDN w:val="0"/>
              <w:adjustRightInd w:val="0"/>
              <w:spacing w:before="40" w:after="120"/>
              <w:jc w:val="center"/>
              <w:rPr>
                <w:b/>
                <w:color w:val="000000"/>
                <w:sz w:val="20"/>
              </w:rPr>
            </w:pPr>
            <w:r w:rsidRPr="005B36BB">
              <w:rPr>
                <w:b/>
                <w:color w:val="000000"/>
                <w:sz w:val="20"/>
              </w:rPr>
              <w:t>25 Mbps/3 Mbps</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United States</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29.7%</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38.5%</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48.1%</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53.5%</w:t>
            </w:r>
          </w:p>
        </w:tc>
        <w:tc>
          <w:tcPr>
            <w:tcW w:w="1173"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60.2</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 xml:space="preserve">  Non-Urban Core Areas</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28.5%</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34.4%</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43.2%</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48.9%</w:t>
            </w:r>
          </w:p>
        </w:tc>
        <w:tc>
          <w:tcPr>
            <w:tcW w:w="117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55.1</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 xml:space="preserve">  Urban Core Areas</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30.4%</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41.3%</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51.5%</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56.9%</w:t>
            </w:r>
          </w:p>
        </w:tc>
        <w:tc>
          <w:tcPr>
            <w:tcW w:w="117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64.0</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Tribal Lands</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31.9%</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27.</w:t>
            </w:r>
            <w:r w:rsidRPr="00B03360">
              <w:rPr>
                <w:sz w:val="20"/>
              </w:rPr>
              <w:t>3</w:t>
            </w:r>
            <w:r w:rsidRPr="00D61250">
              <w:rPr>
                <w:sz w:val="20"/>
              </w:rPr>
              <w:t>%</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31.7%</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33.4%</w:t>
            </w:r>
          </w:p>
        </w:tc>
        <w:tc>
          <w:tcPr>
            <w:tcW w:w="1173"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38.0</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 xml:space="preserve">  Non-Urban Core Areas</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28.5</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34.5</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43.4</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49</w:t>
            </w:r>
            <w:r w:rsidRPr="00D61250">
              <w:rPr>
                <w:sz w:val="20"/>
              </w:rPr>
              <w:t>.2%</w:t>
            </w:r>
          </w:p>
        </w:tc>
        <w:tc>
          <w:tcPr>
            <w:tcW w:w="117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55.4</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 xml:space="preserve">  Urban Core Areas</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27.8</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23.3</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28.5</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30.3</w:t>
            </w:r>
            <w:r w:rsidRPr="00D61250">
              <w:rPr>
                <w:sz w:val="20"/>
              </w:rPr>
              <w:t>%</w:t>
            </w:r>
          </w:p>
        </w:tc>
        <w:tc>
          <w:tcPr>
            <w:tcW w:w="117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34.6</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9314" w:type="dxa"/>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5B36BB" w:rsidP="00525353">
            <w:pPr>
              <w:autoSpaceDE w:val="0"/>
              <w:autoSpaceDN w:val="0"/>
              <w:adjustRightInd w:val="0"/>
              <w:spacing w:before="40" w:after="120"/>
              <w:jc w:val="center"/>
              <w:rPr>
                <w:b/>
                <w:color w:val="000000"/>
                <w:sz w:val="20"/>
              </w:rPr>
            </w:pPr>
            <w:r w:rsidRPr="005B36BB">
              <w:rPr>
                <w:b/>
                <w:color w:val="000000"/>
                <w:sz w:val="20"/>
              </w:rPr>
              <w:t>50 Mbps/ 5 Mbps</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United States</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utoSpaceDE w:val="0"/>
              <w:autoSpaceDN w:val="0"/>
              <w:adjustRightInd w:val="0"/>
              <w:spacing w:before="40" w:after="120"/>
              <w:jc w:val="right"/>
              <w:rPr>
                <w:color w:val="000000"/>
                <w:sz w:val="20"/>
              </w:rPr>
            </w:pPr>
            <w:r w:rsidRPr="005B36BB">
              <w:rPr>
                <w:color w:val="000000"/>
                <w:sz w:val="20"/>
              </w:rPr>
              <w:t>NA</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24.8%</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33.9%</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44.4%</w:t>
            </w:r>
          </w:p>
        </w:tc>
        <w:tc>
          <w:tcPr>
            <w:tcW w:w="1173"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54.</w:t>
            </w:r>
            <w:r w:rsidRPr="00B03360">
              <w:rPr>
                <w:sz w:val="20"/>
              </w:rPr>
              <w:t>8</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 xml:space="preserve">  Non-Urban Core Areas</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utoSpaceDE w:val="0"/>
              <w:autoSpaceDN w:val="0"/>
              <w:spacing w:after="120"/>
              <w:jc w:val="right"/>
              <w:rPr>
                <w:sz w:val="20"/>
              </w:rPr>
            </w:pPr>
            <w:r w:rsidRPr="005B36BB">
              <w:rPr>
                <w:sz w:val="20"/>
              </w:rPr>
              <w:t>NA</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19.9%</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27.8%</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41.1%</w:t>
            </w:r>
          </w:p>
        </w:tc>
        <w:tc>
          <w:tcPr>
            <w:tcW w:w="117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50.</w:t>
            </w:r>
            <w:r w:rsidRPr="00B03360">
              <w:rPr>
                <w:sz w:val="20"/>
              </w:rPr>
              <w:t>7</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 xml:space="preserve">  Urban Core Areas</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utoSpaceDE w:val="0"/>
              <w:autoSpaceDN w:val="0"/>
              <w:spacing w:after="120"/>
              <w:jc w:val="right"/>
              <w:rPr>
                <w:sz w:val="20"/>
              </w:rPr>
            </w:pPr>
            <w:r w:rsidRPr="005B36BB">
              <w:rPr>
                <w:sz w:val="20"/>
              </w:rPr>
              <w:t>NA</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28.0%</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38.0%</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46.7%</w:t>
            </w:r>
          </w:p>
        </w:tc>
        <w:tc>
          <w:tcPr>
            <w:tcW w:w="117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57.</w:t>
            </w:r>
            <w:r w:rsidRPr="00B03360">
              <w:rPr>
                <w:sz w:val="20"/>
              </w:rPr>
              <w:t>8</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Tribal Lands</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5B36BB" w:rsidP="00525353">
            <w:pPr>
              <w:autoSpaceDE w:val="0"/>
              <w:autoSpaceDN w:val="0"/>
              <w:spacing w:after="120"/>
              <w:jc w:val="right"/>
              <w:rPr>
                <w:sz w:val="20"/>
              </w:rPr>
            </w:pPr>
            <w:r w:rsidRPr="005B36BB">
              <w:rPr>
                <w:sz w:val="20"/>
              </w:rPr>
              <w:t>NA</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22.</w:t>
            </w:r>
            <w:r w:rsidRPr="00B03360">
              <w:rPr>
                <w:sz w:val="20"/>
              </w:rPr>
              <w:t>7</w:t>
            </w:r>
            <w:r w:rsidRPr="00D61250">
              <w:rPr>
                <w:sz w:val="20"/>
              </w:rPr>
              <w:t>%</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25.0%</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28.9%</w:t>
            </w:r>
          </w:p>
        </w:tc>
        <w:tc>
          <w:tcPr>
            <w:tcW w:w="1173"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B03360" w:rsidP="00525353">
            <w:pPr>
              <w:autoSpaceDE w:val="0"/>
              <w:autoSpaceDN w:val="0"/>
              <w:adjustRightInd w:val="0"/>
              <w:spacing w:before="40" w:after="120"/>
              <w:jc w:val="right"/>
              <w:rPr>
                <w:color w:val="000000"/>
                <w:sz w:val="20"/>
              </w:rPr>
            </w:pPr>
            <w:r w:rsidRPr="00D61250">
              <w:rPr>
                <w:sz w:val="20"/>
              </w:rPr>
              <w:t>34.2%</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 xml:space="preserve">  Non-Urban Core Areas</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utoSpaceDE w:val="0"/>
              <w:autoSpaceDN w:val="0"/>
              <w:spacing w:after="120"/>
              <w:jc w:val="right"/>
              <w:rPr>
                <w:sz w:val="20"/>
              </w:rPr>
            </w:pPr>
            <w:r w:rsidRPr="005B36BB">
              <w:rPr>
                <w:sz w:val="20"/>
              </w:rPr>
              <w:t>NA</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20.0</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27.9</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41</w:t>
            </w:r>
            <w:r w:rsidRPr="00D61250">
              <w:rPr>
                <w:sz w:val="20"/>
              </w:rPr>
              <w:t>.3%</w:t>
            </w:r>
          </w:p>
        </w:tc>
        <w:tc>
          <w:tcPr>
            <w:tcW w:w="117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51.0</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 xml:space="preserve">  Urban Core Areas</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5B36BB" w:rsidP="00525353">
            <w:pPr>
              <w:autoSpaceDE w:val="0"/>
              <w:autoSpaceDN w:val="0"/>
              <w:spacing w:after="120"/>
              <w:jc w:val="right"/>
              <w:rPr>
                <w:sz w:val="20"/>
              </w:rPr>
            </w:pPr>
            <w:r w:rsidRPr="005B36BB">
              <w:rPr>
                <w:sz w:val="20"/>
              </w:rPr>
              <w:t>NA</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18.0</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20.4</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25.3</w:t>
            </w:r>
            <w:r w:rsidRPr="00D61250">
              <w:rPr>
                <w:sz w:val="20"/>
              </w:rPr>
              <w:t>%</w:t>
            </w:r>
          </w:p>
        </w:tc>
        <w:tc>
          <w:tcPr>
            <w:tcW w:w="117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B03360" w:rsidP="00525353">
            <w:pPr>
              <w:autoSpaceDE w:val="0"/>
              <w:autoSpaceDN w:val="0"/>
              <w:adjustRightInd w:val="0"/>
              <w:spacing w:before="40" w:after="120"/>
              <w:jc w:val="right"/>
              <w:rPr>
                <w:color w:val="000000"/>
                <w:sz w:val="20"/>
              </w:rPr>
            </w:pPr>
            <w:r w:rsidRPr="00B03360">
              <w:rPr>
                <w:sz w:val="20"/>
              </w:rPr>
              <w:t>30.9</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9314" w:type="dxa"/>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5B36BB" w:rsidP="00525353">
            <w:pPr>
              <w:autoSpaceDE w:val="0"/>
              <w:autoSpaceDN w:val="0"/>
              <w:adjustRightInd w:val="0"/>
              <w:spacing w:before="40" w:after="120"/>
              <w:jc w:val="center"/>
              <w:rPr>
                <w:b/>
                <w:color w:val="000000"/>
                <w:sz w:val="20"/>
              </w:rPr>
            </w:pPr>
            <w:r w:rsidRPr="005B36BB">
              <w:rPr>
                <w:b/>
                <w:color w:val="000000"/>
                <w:sz w:val="20"/>
              </w:rPr>
              <w:t>100 Mbps/10 Mbps</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United States</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0.9%</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11.2%</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16.7%</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19.2%</w:t>
            </w:r>
          </w:p>
        </w:tc>
        <w:tc>
          <w:tcPr>
            <w:tcW w:w="1173"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29.</w:t>
            </w:r>
            <w:r w:rsidRPr="00A409BC">
              <w:rPr>
                <w:sz w:val="20"/>
              </w:rPr>
              <w:t>6</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 xml:space="preserve">  Non-Urban Core Areas</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0.8%</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11.7%</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16.4%</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17.8%</w:t>
            </w:r>
          </w:p>
        </w:tc>
        <w:tc>
          <w:tcPr>
            <w:tcW w:w="117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A409BC">
              <w:rPr>
                <w:sz w:val="20"/>
              </w:rPr>
              <w:t>27.0</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 xml:space="preserve">  Urban Core Areas</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0.9%</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11.0%</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16.9%</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20.0%</w:t>
            </w:r>
          </w:p>
        </w:tc>
        <w:tc>
          <w:tcPr>
            <w:tcW w:w="117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31.</w:t>
            </w:r>
            <w:r w:rsidRPr="00A409BC">
              <w:rPr>
                <w:sz w:val="20"/>
              </w:rPr>
              <w:t>4</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Tribal Lands</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0.3%</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7.1%</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7.4%</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10.5%</w:t>
            </w:r>
          </w:p>
        </w:tc>
        <w:tc>
          <w:tcPr>
            <w:tcW w:w="1173"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18.3%</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 xml:space="preserve">  Non-Urban Core Areas</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0.</w:t>
            </w:r>
            <w:r w:rsidRPr="00A409BC">
              <w:rPr>
                <w:sz w:val="20"/>
              </w:rPr>
              <w:t>8</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A409BC">
              <w:rPr>
                <w:sz w:val="20"/>
              </w:rPr>
              <w:t>11.8</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A409BC">
              <w:rPr>
                <w:sz w:val="20"/>
              </w:rPr>
              <w:t>16.</w:t>
            </w:r>
            <w:r w:rsidRPr="00D61250">
              <w:rPr>
                <w:sz w:val="20"/>
              </w:rPr>
              <w:t>6%</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A409BC">
              <w:rPr>
                <w:sz w:val="20"/>
              </w:rPr>
              <w:t>17.</w:t>
            </w:r>
            <w:r w:rsidRPr="00D61250">
              <w:rPr>
                <w:sz w:val="20"/>
              </w:rPr>
              <w:t>9%</w:t>
            </w:r>
          </w:p>
        </w:tc>
        <w:tc>
          <w:tcPr>
            <w:tcW w:w="117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A409BC">
              <w:rPr>
                <w:sz w:val="20"/>
              </w:rPr>
              <w:t>27.1</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 xml:space="preserve">  Urban Core Areas</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0.3%</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A409BC">
              <w:rPr>
                <w:sz w:val="20"/>
              </w:rPr>
              <w:t>7.4</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A409BC">
              <w:rPr>
                <w:sz w:val="20"/>
              </w:rPr>
              <w:t>6.4</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A409BC">
              <w:rPr>
                <w:sz w:val="20"/>
              </w:rPr>
              <w:t>9.8</w:t>
            </w:r>
            <w:r w:rsidRPr="00D61250">
              <w:rPr>
                <w:sz w:val="20"/>
              </w:rPr>
              <w:t>%</w:t>
            </w:r>
          </w:p>
        </w:tc>
        <w:tc>
          <w:tcPr>
            <w:tcW w:w="117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A409BC">
              <w:rPr>
                <w:sz w:val="20"/>
              </w:rPr>
              <w:t>17.0</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9314" w:type="dxa"/>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5B36BB" w:rsidP="00525353">
            <w:pPr>
              <w:autoSpaceDE w:val="0"/>
              <w:autoSpaceDN w:val="0"/>
              <w:adjustRightInd w:val="0"/>
              <w:spacing w:before="40" w:after="120"/>
              <w:jc w:val="center"/>
              <w:rPr>
                <w:b/>
                <w:color w:val="000000"/>
                <w:sz w:val="20"/>
              </w:rPr>
            </w:pPr>
            <w:r w:rsidRPr="005B36BB">
              <w:rPr>
                <w:b/>
                <w:color w:val="000000"/>
                <w:sz w:val="20"/>
              </w:rPr>
              <w:t>250 Mbps/25 Mbps</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United States</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A53A96" w:rsidP="00525353">
            <w:pPr>
              <w:autoSpaceDE w:val="0"/>
              <w:autoSpaceDN w:val="0"/>
              <w:spacing w:after="120"/>
              <w:jc w:val="right"/>
              <w:rPr>
                <w:sz w:val="20"/>
              </w:rPr>
            </w:pPr>
            <w:r w:rsidRPr="00A53A96">
              <w:rPr>
                <w:sz w:val="20"/>
              </w:rPr>
              <w:t>NA</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2.</w:t>
            </w:r>
            <w:r w:rsidRPr="00A409BC">
              <w:rPr>
                <w:sz w:val="20"/>
              </w:rPr>
              <w:t>5</w:t>
            </w:r>
            <w:r w:rsidRPr="00D61250">
              <w:rPr>
                <w:sz w:val="20"/>
              </w:rPr>
              <w:t>%</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4.2%</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1.8%</w:t>
            </w:r>
          </w:p>
        </w:tc>
        <w:tc>
          <w:tcPr>
            <w:tcW w:w="1173"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A53A96" w:rsidP="00525353">
            <w:pPr>
              <w:autoSpaceDE w:val="0"/>
              <w:autoSpaceDN w:val="0"/>
              <w:adjustRightInd w:val="0"/>
              <w:spacing w:before="40" w:after="120"/>
              <w:jc w:val="right"/>
              <w:rPr>
                <w:color w:val="000000"/>
                <w:sz w:val="20"/>
              </w:rPr>
            </w:pPr>
            <w:r w:rsidRPr="00A409BC">
              <w:rPr>
                <w:sz w:val="20"/>
              </w:rPr>
              <w:t>4.1</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 xml:space="preserve">  Non-Urban Core Areas</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spacing w:after="120"/>
              <w:jc w:val="right"/>
              <w:rPr>
                <w:sz w:val="20"/>
              </w:rPr>
            </w:pPr>
            <w:r w:rsidRPr="00A53A96">
              <w:rPr>
                <w:sz w:val="20"/>
              </w:rPr>
              <w:t>NA</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3.0%</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6.7%</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2.3%</w:t>
            </w:r>
          </w:p>
        </w:tc>
        <w:tc>
          <w:tcPr>
            <w:tcW w:w="117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A409BC">
              <w:rPr>
                <w:sz w:val="20"/>
              </w:rPr>
              <w:t>4.0</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 xml:space="preserve">  Urban Core Areas</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spacing w:after="120"/>
              <w:jc w:val="right"/>
              <w:rPr>
                <w:sz w:val="20"/>
              </w:rPr>
            </w:pPr>
            <w:r w:rsidRPr="00A53A96">
              <w:rPr>
                <w:sz w:val="20"/>
              </w:rPr>
              <w:t>NA</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2.3%</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3.1%</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1.6%</w:t>
            </w:r>
          </w:p>
        </w:tc>
        <w:tc>
          <w:tcPr>
            <w:tcW w:w="117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A409BC">
              <w:rPr>
                <w:sz w:val="20"/>
              </w:rPr>
              <w:t>4.1</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Tribal Lands</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A53A96" w:rsidP="00525353">
            <w:pPr>
              <w:autoSpaceDE w:val="0"/>
              <w:autoSpaceDN w:val="0"/>
              <w:spacing w:after="120"/>
              <w:jc w:val="right"/>
              <w:rPr>
                <w:sz w:val="20"/>
              </w:rPr>
            </w:pPr>
            <w:r w:rsidRPr="00A53A96">
              <w:rPr>
                <w:sz w:val="20"/>
              </w:rPr>
              <w:t>NA</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0.1%</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1.4%</w:t>
            </w:r>
          </w:p>
        </w:tc>
        <w:tc>
          <w:tcPr>
            <w:tcW w:w="1196" w:type="dxa"/>
            <w:tcBorders>
              <w:top w:val="nil"/>
              <w:left w:val="single" w:sz="8" w:space="0" w:color="000000"/>
              <w:bottom w:val="single" w:sz="8" w:space="0" w:color="000000"/>
              <w:right w:val="nil"/>
            </w:tcBorders>
            <w:shd w:val="clear" w:color="auto" w:fill="F5F5F5"/>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1.8%</w:t>
            </w:r>
          </w:p>
        </w:tc>
        <w:tc>
          <w:tcPr>
            <w:tcW w:w="1173"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4.4%</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 xml:space="preserve">  Non-Urban Core Areas</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spacing w:after="120"/>
              <w:jc w:val="right"/>
              <w:rPr>
                <w:sz w:val="20"/>
              </w:rPr>
            </w:pPr>
            <w:r w:rsidRPr="00A53A96">
              <w:rPr>
                <w:sz w:val="20"/>
              </w:rPr>
              <w:t>NA</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A409BC">
              <w:rPr>
                <w:sz w:val="20"/>
              </w:rPr>
              <w:t>3.</w:t>
            </w:r>
            <w:r w:rsidRPr="00D61250">
              <w:rPr>
                <w:sz w:val="20"/>
              </w:rPr>
              <w:t>0%</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A409BC">
              <w:rPr>
                <w:sz w:val="20"/>
              </w:rPr>
              <w:t>6</w:t>
            </w:r>
            <w:r w:rsidRPr="00D61250">
              <w:rPr>
                <w:sz w:val="20"/>
              </w:rPr>
              <w:t>.7%</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2.</w:t>
            </w:r>
            <w:r w:rsidRPr="00A409BC">
              <w:rPr>
                <w:sz w:val="20"/>
              </w:rPr>
              <w:t>3</w:t>
            </w:r>
            <w:r w:rsidRPr="00D61250">
              <w:rPr>
                <w:sz w:val="20"/>
              </w:rPr>
              <w:t>%</w:t>
            </w:r>
          </w:p>
        </w:tc>
        <w:tc>
          <w:tcPr>
            <w:tcW w:w="117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4.</w:t>
            </w:r>
            <w:r w:rsidRPr="00A409BC">
              <w:rPr>
                <w:sz w:val="20"/>
              </w:rPr>
              <w:t>0</w:t>
            </w:r>
            <w:r w:rsidRPr="00D61250">
              <w:rPr>
                <w:sz w:val="20"/>
              </w:rPr>
              <w:t>%</w:t>
            </w:r>
          </w:p>
        </w:tc>
      </w:tr>
      <w:tr w:rsidTr="00525353">
        <w:tblPrEx>
          <w:tblW w:w="0" w:type="auto"/>
          <w:jc w:val="center"/>
          <w:tblLayout w:type="fixed"/>
          <w:tblCellMar>
            <w:left w:w="0" w:type="dxa"/>
            <w:right w:w="0" w:type="dxa"/>
          </w:tblCellMar>
          <w:tblLook w:val="0000"/>
        </w:tblPrEx>
        <w:trPr>
          <w:cantSplit/>
          <w:trHeight w:hRule="exact" w:val="382"/>
          <w:jc w:val="center"/>
        </w:trPr>
        <w:tc>
          <w:tcPr>
            <w:tcW w:w="3357"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color w:val="000000"/>
                <w:sz w:val="20"/>
              </w:rPr>
              <w:t xml:space="preserve">  Urban Core Areas</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spacing w:after="120"/>
              <w:jc w:val="right"/>
              <w:rPr>
                <w:sz w:val="20"/>
              </w:rPr>
            </w:pPr>
            <w:r w:rsidRPr="00A53A96">
              <w:rPr>
                <w:sz w:val="20"/>
              </w:rPr>
              <w:t>NA</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0.</w:t>
            </w:r>
            <w:r w:rsidRPr="00A409BC">
              <w:rPr>
                <w:sz w:val="20"/>
              </w:rPr>
              <w:t>2</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A409BC">
              <w:rPr>
                <w:sz w:val="20"/>
              </w:rPr>
              <w:t>1.7</w:t>
            </w:r>
            <w:r w:rsidRPr="00D61250">
              <w:rPr>
                <w:sz w:val="20"/>
              </w:rPr>
              <w:t>%</w:t>
            </w:r>
          </w:p>
        </w:tc>
        <w:tc>
          <w:tcPr>
            <w:tcW w:w="1196" w:type="dxa"/>
            <w:tcBorders>
              <w:top w:val="nil"/>
              <w:left w:val="single" w:sz="8" w:space="0" w:color="000000"/>
              <w:bottom w:val="single" w:sz="8" w:space="0" w:color="000000"/>
              <w:right w:val="nil"/>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A409BC">
              <w:rPr>
                <w:sz w:val="20"/>
              </w:rPr>
              <w:t>2.</w:t>
            </w:r>
            <w:r w:rsidRPr="00D61250">
              <w:rPr>
                <w:sz w:val="20"/>
              </w:rPr>
              <w:t>1%</w:t>
            </w:r>
          </w:p>
        </w:tc>
        <w:tc>
          <w:tcPr>
            <w:tcW w:w="117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A53A96" w:rsidP="00525353">
            <w:pPr>
              <w:autoSpaceDE w:val="0"/>
              <w:autoSpaceDN w:val="0"/>
              <w:adjustRightInd w:val="0"/>
              <w:spacing w:before="40" w:after="120"/>
              <w:jc w:val="right"/>
              <w:rPr>
                <w:color w:val="000000"/>
                <w:sz w:val="20"/>
              </w:rPr>
            </w:pPr>
            <w:r w:rsidRPr="00D61250">
              <w:rPr>
                <w:sz w:val="20"/>
              </w:rPr>
              <w:t>4.</w:t>
            </w:r>
            <w:r w:rsidRPr="00A409BC">
              <w:rPr>
                <w:sz w:val="20"/>
              </w:rPr>
              <w:t>5</w:t>
            </w:r>
            <w:r w:rsidRPr="00D61250">
              <w:rPr>
                <w:sz w:val="20"/>
              </w:rPr>
              <w:t>%</w:t>
            </w:r>
          </w:p>
        </w:tc>
      </w:tr>
    </w:tbl>
    <w:p w:rsidR="00C6287D" w:rsidRPr="00A56B17" w:rsidP="00C6287D">
      <w:pPr>
        <w:pStyle w:val="ParaNum"/>
        <w:spacing w:before="120"/>
      </w:pPr>
      <w:r w:rsidRPr="00A56B17">
        <w:t xml:space="preserve">Figure 13 reports average county level overall adoption rates for fixed terrestrial services by speed tier against the quartile ranking for median household income, population density, the poverty rate, and the proportion of the population that resides in a rural area.  These data suggest that the average household adoption rate increases with median household income and population density, although the adoption rate decreases as the poverty rate and rural population rate increase. </w:t>
      </w:r>
    </w:p>
    <w:p w:rsidR="00C6287D" w:rsidRPr="00A56B17" w:rsidP="00C6287D">
      <w:pPr>
        <w:jc w:val="center"/>
        <w:rPr>
          <w:b/>
        </w:rPr>
      </w:pPr>
      <w:r w:rsidRPr="00A56B17">
        <w:rPr>
          <w:b/>
        </w:rPr>
        <w:t>Fig. 13</w:t>
      </w:r>
    </w:p>
    <w:p w:rsidR="00C6287D" w:rsidRPr="00A56B17" w:rsidP="00C6287D">
      <w:pPr>
        <w:jc w:val="center"/>
        <w:rPr>
          <w:b/>
        </w:rPr>
      </w:pPr>
      <w:r w:rsidRPr="00A56B17">
        <w:rPr>
          <w:b/>
        </w:rPr>
        <w:t>Average County Overall Adoption Rate for Fixed Terrestrial Services</w:t>
      </w:r>
    </w:p>
    <w:p w:rsidR="00C6287D" w:rsidRPr="00A56B17" w:rsidP="00C6287D">
      <w:pPr>
        <w:spacing w:after="120"/>
        <w:jc w:val="center"/>
        <w:rPr>
          <w:b/>
          <w:bCs/>
        </w:rPr>
      </w:pPr>
      <w:r w:rsidRPr="00A56B17">
        <w:rPr>
          <w:b/>
          <w:bCs/>
        </w:rPr>
        <w:t>by County Level Demographic Variable (As of December 31, 2017)</w:t>
      </w:r>
    </w:p>
    <w:tbl>
      <w:tblPr>
        <w:tblW w:w="0" w:type="auto"/>
        <w:jc w:val="center"/>
        <w:tblLayout w:type="fixed"/>
        <w:tblCellMar>
          <w:left w:w="0" w:type="dxa"/>
          <w:right w:w="0" w:type="dxa"/>
        </w:tblCellMar>
        <w:tblLook w:val="0000"/>
      </w:tblPr>
      <w:tblGrid>
        <w:gridCol w:w="4484"/>
        <w:gridCol w:w="900"/>
        <w:gridCol w:w="900"/>
        <w:gridCol w:w="900"/>
        <w:gridCol w:w="1080"/>
        <w:gridCol w:w="1063"/>
      </w:tblGrid>
      <w:tr w:rsidTr="00525353">
        <w:tblPrEx>
          <w:tblW w:w="0" w:type="auto"/>
          <w:jc w:val="center"/>
          <w:tblLayout w:type="fixed"/>
          <w:tblCellMar>
            <w:left w:w="0" w:type="dxa"/>
            <w:right w:w="0" w:type="dxa"/>
          </w:tblCellMar>
          <w:tblLook w:val="0000"/>
        </w:tblPrEx>
        <w:trPr>
          <w:cantSplit/>
          <w:tblHeader/>
          <w:jc w:val="center"/>
        </w:trPr>
        <w:tc>
          <w:tcPr>
            <w:tcW w:w="4484"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spacing w:after="120"/>
              <w:jc w:val="center"/>
              <w:rPr>
                <w:b/>
                <w:color w:val="000000"/>
                <w:sz w:val="20"/>
              </w:rPr>
            </w:pPr>
          </w:p>
        </w:tc>
        <w:tc>
          <w:tcPr>
            <w:tcW w:w="900"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jc w:val="center"/>
              <w:rPr>
                <w:b/>
                <w:color w:val="000000"/>
                <w:sz w:val="20"/>
              </w:rPr>
            </w:pPr>
            <w:r w:rsidRPr="005B36BB">
              <w:rPr>
                <w:b/>
                <w:color w:val="000000"/>
                <w:sz w:val="20"/>
              </w:rPr>
              <w:t>10 Mbps/</w:t>
            </w:r>
          </w:p>
          <w:p w:rsidR="00C6287D" w:rsidRPr="005B36BB" w:rsidP="00525353">
            <w:pPr>
              <w:autoSpaceDE w:val="0"/>
              <w:autoSpaceDN w:val="0"/>
              <w:adjustRightInd w:val="0"/>
              <w:jc w:val="center"/>
              <w:rPr>
                <w:b/>
                <w:color w:val="000000"/>
                <w:sz w:val="20"/>
              </w:rPr>
            </w:pPr>
            <w:r w:rsidRPr="005B36BB">
              <w:rPr>
                <w:b/>
                <w:color w:val="000000"/>
                <w:sz w:val="20"/>
              </w:rPr>
              <w:t>1 Mbps</w:t>
            </w:r>
          </w:p>
        </w:tc>
        <w:tc>
          <w:tcPr>
            <w:tcW w:w="900"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jc w:val="center"/>
              <w:rPr>
                <w:b/>
                <w:color w:val="000000"/>
                <w:sz w:val="20"/>
              </w:rPr>
            </w:pPr>
            <w:r w:rsidRPr="005B36BB">
              <w:rPr>
                <w:b/>
                <w:color w:val="000000"/>
                <w:sz w:val="20"/>
              </w:rPr>
              <w:t>25 Mbps/</w:t>
            </w:r>
          </w:p>
          <w:p w:rsidR="00C6287D" w:rsidRPr="005B36BB" w:rsidP="00525353">
            <w:pPr>
              <w:autoSpaceDE w:val="0"/>
              <w:autoSpaceDN w:val="0"/>
              <w:adjustRightInd w:val="0"/>
              <w:jc w:val="center"/>
              <w:rPr>
                <w:b/>
                <w:color w:val="000000"/>
                <w:sz w:val="20"/>
              </w:rPr>
            </w:pPr>
            <w:r w:rsidRPr="005B36BB">
              <w:rPr>
                <w:b/>
                <w:color w:val="000000"/>
                <w:sz w:val="20"/>
              </w:rPr>
              <w:t>3 Mbps</w:t>
            </w:r>
          </w:p>
        </w:tc>
        <w:tc>
          <w:tcPr>
            <w:tcW w:w="900"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jc w:val="center"/>
              <w:rPr>
                <w:b/>
                <w:color w:val="000000"/>
                <w:sz w:val="20"/>
              </w:rPr>
            </w:pPr>
            <w:r w:rsidRPr="005B36BB">
              <w:rPr>
                <w:b/>
                <w:color w:val="000000"/>
                <w:sz w:val="20"/>
              </w:rPr>
              <w:t>50 Mbps/</w:t>
            </w:r>
          </w:p>
          <w:p w:rsidR="00C6287D" w:rsidRPr="005B36BB" w:rsidP="00525353">
            <w:pPr>
              <w:autoSpaceDE w:val="0"/>
              <w:autoSpaceDN w:val="0"/>
              <w:adjustRightInd w:val="0"/>
              <w:jc w:val="center"/>
              <w:rPr>
                <w:b/>
                <w:color w:val="000000"/>
                <w:sz w:val="20"/>
              </w:rPr>
            </w:pPr>
            <w:r w:rsidRPr="005B36BB">
              <w:rPr>
                <w:b/>
                <w:color w:val="000000"/>
                <w:sz w:val="20"/>
              </w:rPr>
              <w:t>5 Mbps</w:t>
            </w:r>
          </w:p>
        </w:tc>
        <w:tc>
          <w:tcPr>
            <w:tcW w:w="1080"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C6287D" w:rsidRPr="005B36BB" w:rsidP="00525353">
            <w:pPr>
              <w:autoSpaceDE w:val="0"/>
              <w:autoSpaceDN w:val="0"/>
              <w:adjustRightInd w:val="0"/>
              <w:jc w:val="center"/>
              <w:rPr>
                <w:b/>
                <w:color w:val="000000"/>
                <w:sz w:val="20"/>
              </w:rPr>
            </w:pPr>
            <w:r w:rsidRPr="005B36BB">
              <w:rPr>
                <w:b/>
                <w:color w:val="000000"/>
                <w:sz w:val="20"/>
              </w:rPr>
              <w:t>100 Mbps/</w:t>
            </w:r>
          </w:p>
          <w:p w:rsidR="00C6287D" w:rsidRPr="005B36BB" w:rsidP="00525353">
            <w:pPr>
              <w:autoSpaceDE w:val="0"/>
              <w:autoSpaceDN w:val="0"/>
              <w:adjustRightInd w:val="0"/>
              <w:jc w:val="center"/>
              <w:rPr>
                <w:b/>
                <w:color w:val="000000"/>
                <w:sz w:val="20"/>
              </w:rPr>
            </w:pPr>
            <w:r w:rsidRPr="005B36BB">
              <w:rPr>
                <w:b/>
                <w:color w:val="000000"/>
                <w:sz w:val="20"/>
              </w:rPr>
              <w:t>10 Mbps</w:t>
            </w:r>
          </w:p>
        </w:tc>
        <w:tc>
          <w:tcPr>
            <w:tcW w:w="1063" w:type="dxa"/>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C6287D" w:rsidRPr="005B36BB" w:rsidP="00525353">
            <w:pPr>
              <w:autoSpaceDE w:val="0"/>
              <w:autoSpaceDN w:val="0"/>
              <w:adjustRightInd w:val="0"/>
              <w:jc w:val="center"/>
              <w:rPr>
                <w:b/>
                <w:color w:val="000000"/>
                <w:sz w:val="20"/>
              </w:rPr>
            </w:pPr>
            <w:r w:rsidRPr="005B36BB">
              <w:rPr>
                <w:b/>
                <w:color w:val="000000"/>
                <w:sz w:val="20"/>
              </w:rPr>
              <w:t>250 Mbps/</w:t>
            </w:r>
          </w:p>
          <w:p w:rsidR="00C6287D" w:rsidRPr="005B36BB" w:rsidP="00525353">
            <w:pPr>
              <w:autoSpaceDE w:val="0"/>
              <w:autoSpaceDN w:val="0"/>
              <w:adjustRightInd w:val="0"/>
              <w:jc w:val="center"/>
              <w:rPr>
                <w:b/>
                <w:color w:val="000000"/>
                <w:sz w:val="20"/>
              </w:rPr>
            </w:pPr>
            <w:r w:rsidRPr="005B36BB">
              <w:rPr>
                <w:b/>
                <w:color w:val="000000"/>
                <w:sz w:val="20"/>
              </w:rPr>
              <w:t>25 Mbps</w:t>
            </w:r>
          </w:p>
        </w:tc>
      </w:tr>
      <w:tr w:rsidTr="00525353">
        <w:tblPrEx>
          <w:tblW w:w="0" w:type="auto"/>
          <w:jc w:val="center"/>
          <w:tblLayout w:type="fixed"/>
          <w:tblCellMar>
            <w:left w:w="0" w:type="dxa"/>
            <w:right w:w="0" w:type="dxa"/>
          </w:tblCellMar>
          <w:tblLook w:val="0000"/>
        </w:tblPrEx>
        <w:trPr>
          <w:cantSplit/>
          <w:jc w:val="center"/>
        </w:trPr>
        <w:tc>
          <w:tcPr>
            <w:tcW w:w="9327" w:type="dxa"/>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5B36BB" w:rsidP="00525353">
            <w:pPr>
              <w:autoSpaceDE w:val="0"/>
              <w:autoSpaceDN w:val="0"/>
              <w:adjustRightInd w:val="0"/>
              <w:spacing w:before="40" w:after="120"/>
              <w:jc w:val="center"/>
              <w:rPr>
                <w:b/>
                <w:color w:val="000000"/>
                <w:sz w:val="20"/>
              </w:rPr>
            </w:pPr>
            <w:r w:rsidRPr="005B36BB">
              <w:rPr>
                <w:b/>
                <w:color w:val="000000"/>
                <w:sz w:val="20"/>
              </w:rPr>
              <w:t>County Median Household Income ($2017)</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sz w:val="20"/>
              </w:rPr>
              <w:t>First Quartile (Lowest Median Household Income)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33.</w:t>
            </w:r>
            <w:r w:rsidRPr="00DF66FD">
              <w:rPr>
                <w:sz w:val="20"/>
              </w:rPr>
              <w:t>8</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24.</w:t>
            </w:r>
            <w:r w:rsidRPr="00DF66FD">
              <w:rPr>
                <w:sz w:val="20"/>
              </w:rPr>
              <w:t>5</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20.5%</w:t>
            </w:r>
          </w:p>
        </w:tc>
        <w:tc>
          <w:tcPr>
            <w:tcW w:w="108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15.</w:t>
            </w:r>
            <w:r w:rsidRPr="00DF66FD">
              <w:rPr>
                <w:sz w:val="20"/>
              </w:rPr>
              <w:t>6</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1.9%</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sz w:val="20"/>
              </w:rPr>
              <w:t>Second Quartile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42.</w:t>
            </w:r>
            <w:r w:rsidRPr="00DF66FD">
              <w:rPr>
                <w:sz w:val="20"/>
              </w:rPr>
              <w:t>3</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39.</w:t>
            </w:r>
            <w:r w:rsidRPr="00DF66FD">
              <w:rPr>
                <w:sz w:val="20"/>
              </w:rPr>
              <w:t>6</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30.</w:t>
            </w:r>
            <w:r w:rsidRPr="00DF66FD">
              <w:rPr>
                <w:sz w:val="20"/>
              </w:rPr>
              <w:t>6</w:t>
            </w:r>
            <w:r w:rsidRPr="00D61250">
              <w:rPr>
                <w:sz w:val="20"/>
              </w:rPr>
              <w:t>%</w:t>
            </w:r>
          </w:p>
        </w:tc>
        <w:tc>
          <w:tcPr>
            <w:tcW w:w="108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F66FD">
              <w:rPr>
                <w:sz w:val="20"/>
              </w:rPr>
              <w:t>15.0</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3.</w:t>
            </w:r>
            <w:r w:rsidRPr="00DF66FD">
              <w:rPr>
                <w:sz w:val="20"/>
              </w:rPr>
              <w:t>8</w:t>
            </w:r>
            <w:r w:rsidRPr="00D61250">
              <w:rPr>
                <w:sz w:val="20"/>
              </w:rPr>
              <w:t>%</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sz w:val="20"/>
              </w:rPr>
              <w:t>Third Quartile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F66FD">
              <w:rPr>
                <w:sz w:val="20"/>
              </w:rPr>
              <w:t>49.0</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37.</w:t>
            </w:r>
            <w:r w:rsidRPr="00DF66FD">
              <w:rPr>
                <w:sz w:val="20"/>
              </w:rPr>
              <w:t>9</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F66FD">
              <w:rPr>
                <w:sz w:val="20"/>
              </w:rPr>
              <w:t>33.3</w:t>
            </w:r>
            <w:r w:rsidRPr="00D61250">
              <w:rPr>
                <w:sz w:val="20"/>
              </w:rPr>
              <w:t>%</w:t>
            </w:r>
          </w:p>
        </w:tc>
        <w:tc>
          <w:tcPr>
            <w:tcW w:w="108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F66FD">
              <w:rPr>
                <w:sz w:val="20"/>
              </w:rPr>
              <w:t>16.4</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F66FD">
              <w:rPr>
                <w:sz w:val="20"/>
              </w:rPr>
              <w:t>5.1</w:t>
            </w:r>
            <w:r w:rsidRPr="00D61250">
              <w:rPr>
                <w:sz w:val="20"/>
              </w:rPr>
              <w:t>%</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sz w:val="20"/>
              </w:rPr>
              <w:t>Fourth Quartile (Highest Median Household Income)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F66FD">
              <w:rPr>
                <w:sz w:val="20"/>
              </w:rPr>
              <w:t>63.1</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53.</w:t>
            </w:r>
            <w:r w:rsidRPr="00DF66FD">
              <w:rPr>
                <w:sz w:val="20"/>
              </w:rPr>
              <w:t>7</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47.</w:t>
            </w:r>
            <w:r w:rsidRPr="00DF66FD">
              <w:rPr>
                <w:sz w:val="20"/>
              </w:rPr>
              <w:t>8</w:t>
            </w:r>
            <w:r w:rsidRPr="00D61250">
              <w:rPr>
                <w:sz w:val="20"/>
              </w:rPr>
              <w:t>%</w:t>
            </w:r>
          </w:p>
        </w:tc>
        <w:tc>
          <w:tcPr>
            <w:tcW w:w="108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23.</w:t>
            </w:r>
            <w:r w:rsidRPr="00DF66FD">
              <w:rPr>
                <w:sz w:val="20"/>
              </w:rPr>
              <w:t>3</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4.</w:t>
            </w:r>
            <w:r w:rsidRPr="00DF66FD">
              <w:rPr>
                <w:sz w:val="20"/>
              </w:rPr>
              <w:t>5</w:t>
            </w:r>
            <w:r w:rsidRPr="00D61250">
              <w:rPr>
                <w:sz w:val="20"/>
              </w:rPr>
              <w:t>%</w:t>
            </w:r>
          </w:p>
        </w:tc>
      </w:tr>
      <w:tr w:rsidTr="00525353">
        <w:tblPrEx>
          <w:tblW w:w="0" w:type="auto"/>
          <w:jc w:val="center"/>
          <w:tblLayout w:type="fixed"/>
          <w:tblCellMar>
            <w:left w:w="0" w:type="dxa"/>
            <w:right w:w="0" w:type="dxa"/>
          </w:tblCellMar>
          <w:tblLook w:val="0000"/>
        </w:tblPrEx>
        <w:trPr>
          <w:cantSplit/>
          <w:jc w:val="center"/>
        </w:trPr>
        <w:tc>
          <w:tcPr>
            <w:tcW w:w="9327" w:type="dxa"/>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DF66FD" w:rsidP="00525353">
            <w:pPr>
              <w:keepNext/>
              <w:autoSpaceDE w:val="0"/>
              <w:autoSpaceDN w:val="0"/>
              <w:adjustRightInd w:val="0"/>
              <w:spacing w:before="40" w:after="120"/>
              <w:jc w:val="center"/>
              <w:rPr>
                <w:b/>
                <w:color w:val="000000"/>
                <w:sz w:val="20"/>
              </w:rPr>
            </w:pPr>
            <w:r w:rsidRPr="00DF66FD">
              <w:rPr>
                <w:b/>
                <w:color w:val="000000"/>
                <w:sz w:val="20"/>
              </w:rPr>
              <w:t>County Population Density</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keepNext/>
              <w:autoSpaceDE w:val="0"/>
              <w:autoSpaceDN w:val="0"/>
              <w:adjustRightInd w:val="0"/>
              <w:spacing w:before="40" w:after="120"/>
              <w:rPr>
                <w:b/>
                <w:color w:val="000000"/>
                <w:sz w:val="20"/>
              </w:rPr>
            </w:pPr>
            <w:r w:rsidRPr="005B36BB">
              <w:rPr>
                <w:b/>
                <w:sz w:val="20"/>
              </w:rPr>
              <w:t>First Quartile (Lowest Population Density)</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keepNext/>
              <w:autoSpaceDE w:val="0"/>
              <w:autoSpaceDN w:val="0"/>
              <w:adjustRightInd w:val="0"/>
              <w:spacing w:before="40" w:after="120"/>
              <w:jc w:val="center"/>
              <w:rPr>
                <w:color w:val="000000"/>
                <w:sz w:val="20"/>
              </w:rPr>
            </w:pPr>
            <w:r w:rsidRPr="00D61250">
              <w:rPr>
                <w:sz w:val="20"/>
              </w:rPr>
              <w:t>40.</w:t>
            </w:r>
            <w:r w:rsidRPr="00DF66FD">
              <w:rPr>
                <w:sz w:val="20"/>
              </w:rPr>
              <w:t>1</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keepNext/>
              <w:autoSpaceDE w:val="0"/>
              <w:autoSpaceDN w:val="0"/>
              <w:adjustRightInd w:val="0"/>
              <w:spacing w:before="40" w:after="120"/>
              <w:jc w:val="center"/>
              <w:rPr>
                <w:color w:val="000000"/>
                <w:sz w:val="20"/>
              </w:rPr>
            </w:pPr>
            <w:r w:rsidRPr="00D61250">
              <w:rPr>
                <w:sz w:val="20"/>
              </w:rPr>
              <w:t>25.</w:t>
            </w:r>
            <w:r w:rsidRPr="00DF66FD">
              <w:rPr>
                <w:sz w:val="20"/>
              </w:rPr>
              <w:t>8</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keepNext/>
              <w:autoSpaceDE w:val="0"/>
              <w:autoSpaceDN w:val="0"/>
              <w:adjustRightInd w:val="0"/>
              <w:spacing w:before="40" w:after="120"/>
              <w:jc w:val="center"/>
              <w:rPr>
                <w:color w:val="000000"/>
                <w:sz w:val="20"/>
              </w:rPr>
            </w:pPr>
            <w:r w:rsidRPr="00D61250">
              <w:rPr>
                <w:sz w:val="20"/>
              </w:rPr>
              <w:t>21.</w:t>
            </w:r>
            <w:r w:rsidRPr="00DF66FD">
              <w:rPr>
                <w:sz w:val="20"/>
              </w:rPr>
              <w:t>7</w:t>
            </w:r>
            <w:r w:rsidRPr="00D61250">
              <w:rPr>
                <w:sz w:val="20"/>
              </w:rPr>
              <w:t>%</w:t>
            </w:r>
          </w:p>
        </w:tc>
        <w:tc>
          <w:tcPr>
            <w:tcW w:w="108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keepNext/>
              <w:autoSpaceDE w:val="0"/>
              <w:autoSpaceDN w:val="0"/>
              <w:adjustRightInd w:val="0"/>
              <w:spacing w:before="40" w:after="120"/>
              <w:jc w:val="center"/>
              <w:rPr>
                <w:color w:val="000000"/>
                <w:sz w:val="20"/>
              </w:rPr>
            </w:pPr>
            <w:r w:rsidRPr="00D61250">
              <w:rPr>
                <w:sz w:val="20"/>
              </w:rPr>
              <w:t>9.5%</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DF66FD" w:rsidP="00525353">
            <w:pPr>
              <w:keepNext/>
              <w:autoSpaceDE w:val="0"/>
              <w:autoSpaceDN w:val="0"/>
              <w:adjustRightInd w:val="0"/>
              <w:spacing w:before="40" w:after="120"/>
              <w:jc w:val="center"/>
              <w:rPr>
                <w:color w:val="000000"/>
                <w:sz w:val="20"/>
              </w:rPr>
            </w:pPr>
            <w:r w:rsidRPr="00D61250">
              <w:rPr>
                <w:sz w:val="20"/>
              </w:rPr>
              <w:t>5.0%</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keepNext/>
              <w:autoSpaceDE w:val="0"/>
              <w:autoSpaceDN w:val="0"/>
              <w:adjustRightInd w:val="0"/>
              <w:spacing w:before="40" w:after="120"/>
              <w:rPr>
                <w:b/>
                <w:color w:val="000000"/>
                <w:sz w:val="20"/>
              </w:rPr>
            </w:pPr>
            <w:r w:rsidRPr="005B36BB">
              <w:rPr>
                <w:b/>
                <w:sz w:val="20"/>
              </w:rPr>
              <w:t>Second Quartile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keepNext/>
              <w:autoSpaceDE w:val="0"/>
              <w:autoSpaceDN w:val="0"/>
              <w:adjustRightInd w:val="0"/>
              <w:spacing w:before="40" w:after="120"/>
              <w:jc w:val="center"/>
              <w:rPr>
                <w:color w:val="000000"/>
                <w:sz w:val="20"/>
              </w:rPr>
            </w:pPr>
            <w:r w:rsidRPr="00D61250">
              <w:rPr>
                <w:sz w:val="20"/>
              </w:rPr>
              <w:t>34.</w:t>
            </w:r>
            <w:r w:rsidRPr="00DF66FD">
              <w:rPr>
                <w:sz w:val="20"/>
              </w:rPr>
              <w:t>6</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keepNext/>
              <w:autoSpaceDE w:val="0"/>
              <w:autoSpaceDN w:val="0"/>
              <w:adjustRightInd w:val="0"/>
              <w:spacing w:before="40" w:after="120"/>
              <w:jc w:val="center"/>
              <w:rPr>
                <w:color w:val="000000"/>
                <w:sz w:val="20"/>
              </w:rPr>
            </w:pPr>
            <w:r w:rsidRPr="00DF66FD">
              <w:rPr>
                <w:sz w:val="20"/>
              </w:rPr>
              <w:t>34.1</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keepNext/>
              <w:autoSpaceDE w:val="0"/>
              <w:autoSpaceDN w:val="0"/>
              <w:adjustRightInd w:val="0"/>
              <w:spacing w:before="40" w:after="120"/>
              <w:jc w:val="center"/>
              <w:rPr>
                <w:color w:val="000000"/>
                <w:sz w:val="20"/>
              </w:rPr>
            </w:pPr>
            <w:r w:rsidRPr="00D61250">
              <w:rPr>
                <w:sz w:val="20"/>
              </w:rPr>
              <w:t>23.</w:t>
            </w:r>
            <w:r w:rsidRPr="00DF66FD">
              <w:rPr>
                <w:sz w:val="20"/>
              </w:rPr>
              <w:t>6</w:t>
            </w:r>
            <w:r w:rsidRPr="00D61250">
              <w:rPr>
                <w:sz w:val="20"/>
              </w:rPr>
              <w:t>%</w:t>
            </w:r>
          </w:p>
        </w:tc>
        <w:tc>
          <w:tcPr>
            <w:tcW w:w="108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keepNext/>
              <w:autoSpaceDE w:val="0"/>
              <w:autoSpaceDN w:val="0"/>
              <w:adjustRightInd w:val="0"/>
              <w:spacing w:before="40" w:after="120"/>
              <w:jc w:val="center"/>
              <w:rPr>
                <w:color w:val="000000"/>
                <w:sz w:val="20"/>
              </w:rPr>
            </w:pPr>
            <w:r w:rsidRPr="00D61250">
              <w:rPr>
                <w:sz w:val="20"/>
              </w:rPr>
              <w:t>11.</w:t>
            </w:r>
            <w:r w:rsidRPr="00DF66FD">
              <w:rPr>
                <w:sz w:val="20"/>
              </w:rPr>
              <w:t>4</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DF66FD" w:rsidP="00525353">
            <w:pPr>
              <w:keepNext/>
              <w:autoSpaceDE w:val="0"/>
              <w:autoSpaceDN w:val="0"/>
              <w:adjustRightInd w:val="0"/>
              <w:spacing w:before="40" w:after="120"/>
              <w:jc w:val="center"/>
              <w:rPr>
                <w:color w:val="000000"/>
                <w:sz w:val="20"/>
              </w:rPr>
            </w:pPr>
            <w:r w:rsidRPr="00D61250">
              <w:rPr>
                <w:sz w:val="20"/>
              </w:rPr>
              <w:t>2.</w:t>
            </w:r>
            <w:r w:rsidRPr="00DF66FD">
              <w:rPr>
                <w:sz w:val="20"/>
              </w:rPr>
              <w:t>6</w:t>
            </w:r>
            <w:r w:rsidRPr="00D61250">
              <w:rPr>
                <w:sz w:val="20"/>
              </w:rPr>
              <w:t>%</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keepNext/>
              <w:autoSpaceDE w:val="0"/>
              <w:autoSpaceDN w:val="0"/>
              <w:adjustRightInd w:val="0"/>
              <w:spacing w:before="40" w:after="120"/>
              <w:rPr>
                <w:b/>
                <w:color w:val="000000"/>
                <w:sz w:val="20"/>
              </w:rPr>
            </w:pPr>
            <w:r w:rsidRPr="005B36BB">
              <w:rPr>
                <w:b/>
                <w:sz w:val="20"/>
              </w:rPr>
              <w:t>Third Quartile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keepNext/>
              <w:autoSpaceDE w:val="0"/>
              <w:autoSpaceDN w:val="0"/>
              <w:adjustRightInd w:val="0"/>
              <w:spacing w:before="40" w:after="120"/>
              <w:jc w:val="center"/>
              <w:rPr>
                <w:color w:val="000000"/>
                <w:sz w:val="20"/>
              </w:rPr>
            </w:pPr>
            <w:r w:rsidRPr="00D61250">
              <w:rPr>
                <w:sz w:val="20"/>
              </w:rPr>
              <w:t>44.</w:t>
            </w:r>
            <w:r w:rsidRPr="00DF66FD">
              <w:rPr>
                <w:sz w:val="20"/>
              </w:rPr>
              <w:t>7</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keepNext/>
              <w:autoSpaceDE w:val="0"/>
              <w:autoSpaceDN w:val="0"/>
              <w:adjustRightInd w:val="0"/>
              <w:spacing w:before="40" w:after="120"/>
              <w:jc w:val="center"/>
              <w:rPr>
                <w:color w:val="000000"/>
                <w:sz w:val="20"/>
              </w:rPr>
            </w:pPr>
            <w:r w:rsidRPr="00DF66FD">
              <w:rPr>
                <w:sz w:val="20"/>
              </w:rPr>
              <w:t>37.2</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keepNext/>
              <w:autoSpaceDE w:val="0"/>
              <w:autoSpaceDN w:val="0"/>
              <w:adjustRightInd w:val="0"/>
              <w:spacing w:before="40" w:after="120"/>
              <w:jc w:val="center"/>
              <w:rPr>
                <w:color w:val="000000"/>
                <w:sz w:val="20"/>
              </w:rPr>
            </w:pPr>
            <w:r w:rsidRPr="00D61250">
              <w:rPr>
                <w:sz w:val="20"/>
              </w:rPr>
              <w:t>33.</w:t>
            </w:r>
            <w:r w:rsidRPr="00DF66FD">
              <w:rPr>
                <w:sz w:val="20"/>
              </w:rPr>
              <w:t>8</w:t>
            </w:r>
            <w:r w:rsidRPr="00D61250">
              <w:rPr>
                <w:sz w:val="20"/>
              </w:rPr>
              <w:t>%</w:t>
            </w:r>
          </w:p>
        </w:tc>
        <w:tc>
          <w:tcPr>
            <w:tcW w:w="108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keepNext/>
              <w:autoSpaceDE w:val="0"/>
              <w:autoSpaceDN w:val="0"/>
              <w:adjustRightInd w:val="0"/>
              <w:spacing w:before="40" w:after="120"/>
              <w:jc w:val="center"/>
              <w:rPr>
                <w:color w:val="000000"/>
                <w:sz w:val="20"/>
              </w:rPr>
            </w:pPr>
            <w:r w:rsidRPr="00DF66FD">
              <w:rPr>
                <w:sz w:val="20"/>
              </w:rPr>
              <w:t>21.3</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DF66FD" w:rsidP="00525353">
            <w:pPr>
              <w:keepNext/>
              <w:autoSpaceDE w:val="0"/>
              <w:autoSpaceDN w:val="0"/>
              <w:adjustRightInd w:val="0"/>
              <w:spacing w:before="40" w:after="120"/>
              <w:jc w:val="center"/>
              <w:rPr>
                <w:color w:val="000000"/>
                <w:sz w:val="20"/>
              </w:rPr>
            </w:pPr>
            <w:r w:rsidRPr="00D61250">
              <w:rPr>
                <w:sz w:val="20"/>
              </w:rPr>
              <w:t>3.</w:t>
            </w:r>
            <w:r w:rsidRPr="00DF66FD">
              <w:rPr>
                <w:sz w:val="20"/>
              </w:rPr>
              <w:t>6</w:t>
            </w:r>
            <w:r w:rsidRPr="00D61250">
              <w:rPr>
                <w:sz w:val="20"/>
              </w:rPr>
              <w:t>%</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keepNext/>
              <w:autoSpaceDE w:val="0"/>
              <w:autoSpaceDN w:val="0"/>
              <w:adjustRightInd w:val="0"/>
              <w:spacing w:before="40" w:after="120"/>
              <w:rPr>
                <w:b/>
                <w:color w:val="000000"/>
                <w:sz w:val="20"/>
              </w:rPr>
            </w:pPr>
            <w:r w:rsidRPr="005B36BB">
              <w:rPr>
                <w:b/>
                <w:sz w:val="20"/>
              </w:rPr>
              <w:t>Fourth Quartile (Highest Population Density)</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keepNext/>
              <w:autoSpaceDE w:val="0"/>
              <w:autoSpaceDN w:val="0"/>
              <w:adjustRightInd w:val="0"/>
              <w:spacing w:before="40" w:after="120"/>
              <w:jc w:val="center"/>
              <w:rPr>
                <w:color w:val="000000"/>
                <w:sz w:val="20"/>
              </w:rPr>
            </w:pPr>
            <w:r w:rsidRPr="00D61250">
              <w:rPr>
                <w:sz w:val="20"/>
              </w:rPr>
              <w:t>68.</w:t>
            </w:r>
            <w:r w:rsidRPr="00DF66FD">
              <w:rPr>
                <w:sz w:val="20"/>
              </w:rPr>
              <w:t>6</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keepNext/>
              <w:autoSpaceDE w:val="0"/>
              <w:autoSpaceDN w:val="0"/>
              <w:adjustRightInd w:val="0"/>
              <w:spacing w:before="40" w:after="120"/>
              <w:jc w:val="center"/>
              <w:rPr>
                <w:color w:val="000000"/>
                <w:sz w:val="20"/>
              </w:rPr>
            </w:pPr>
            <w:r w:rsidRPr="00DF66FD">
              <w:rPr>
                <w:sz w:val="20"/>
              </w:rPr>
              <w:t>58.0</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keepNext/>
              <w:autoSpaceDE w:val="0"/>
              <w:autoSpaceDN w:val="0"/>
              <w:adjustRightInd w:val="0"/>
              <w:spacing w:before="40" w:after="120"/>
              <w:jc w:val="center"/>
              <w:rPr>
                <w:color w:val="000000"/>
                <w:sz w:val="20"/>
              </w:rPr>
            </w:pPr>
            <w:r w:rsidRPr="00DF66FD">
              <w:rPr>
                <w:sz w:val="20"/>
              </w:rPr>
              <w:t>52.1</w:t>
            </w:r>
            <w:r w:rsidRPr="00D61250">
              <w:rPr>
                <w:sz w:val="20"/>
              </w:rPr>
              <w:t>%</w:t>
            </w:r>
          </w:p>
        </w:tc>
        <w:tc>
          <w:tcPr>
            <w:tcW w:w="108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keepNext/>
              <w:autoSpaceDE w:val="0"/>
              <w:autoSpaceDN w:val="0"/>
              <w:adjustRightInd w:val="0"/>
              <w:spacing w:before="40" w:after="120"/>
              <w:jc w:val="center"/>
              <w:rPr>
                <w:color w:val="000000"/>
                <w:sz w:val="20"/>
              </w:rPr>
            </w:pPr>
            <w:r w:rsidRPr="00D61250">
              <w:rPr>
                <w:sz w:val="20"/>
              </w:rPr>
              <w:t>26.</w:t>
            </w:r>
            <w:r w:rsidRPr="00DF66FD">
              <w:rPr>
                <w:sz w:val="20"/>
              </w:rPr>
              <w:t>9</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DF66FD" w:rsidP="00525353">
            <w:pPr>
              <w:keepNext/>
              <w:autoSpaceDE w:val="0"/>
              <w:autoSpaceDN w:val="0"/>
              <w:adjustRightInd w:val="0"/>
              <w:spacing w:before="40" w:after="120"/>
              <w:jc w:val="center"/>
              <w:rPr>
                <w:color w:val="000000"/>
                <w:sz w:val="20"/>
              </w:rPr>
            </w:pPr>
            <w:r w:rsidRPr="00D61250">
              <w:rPr>
                <w:sz w:val="20"/>
              </w:rPr>
              <w:t>4.</w:t>
            </w:r>
            <w:r w:rsidRPr="00DF66FD">
              <w:rPr>
                <w:sz w:val="20"/>
              </w:rPr>
              <w:t>6</w:t>
            </w:r>
            <w:r w:rsidRPr="00D61250">
              <w:rPr>
                <w:sz w:val="20"/>
              </w:rPr>
              <w:t>%</w:t>
            </w:r>
          </w:p>
        </w:tc>
      </w:tr>
      <w:tr w:rsidTr="00525353">
        <w:tblPrEx>
          <w:tblW w:w="0" w:type="auto"/>
          <w:jc w:val="center"/>
          <w:tblLayout w:type="fixed"/>
          <w:tblCellMar>
            <w:left w:w="0" w:type="dxa"/>
            <w:right w:w="0" w:type="dxa"/>
          </w:tblCellMar>
          <w:tblLook w:val="0000"/>
        </w:tblPrEx>
        <w:trPr>
          <w:cantSplit/>
          <w:jc w:val="center"/>
        </w:trPr>
        <w:tc>
          <w:tcPr>
            <w:tcW w:w="9327" w:type="dxa"/>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DF66FD" w:rsidP="00525353">
            <w:pPr>
              <w:autoSpaceDE w:val="0"/>
              <w:autoSpaceDN w:val="0"/>
              <w:adjustRightInd w:val="0"/>
              <w:spacing w:before="40" w:after="120"/>
              <w:jc w:val="center"/>
              <w:rPr>
                <w:b/>
                <w:color w:val="000000"/>
                <w:sz w:val="20"/>
              </w:rPr>
            </w:pPr>
            <w:r w:rsidRPr="00DF66FD">
              <w:rPr>
                <w:b/>
                <w:color w:val="000000"/>
                <w:sz w:val="20"/>
              </w:rPr>
              <w:t>County Poverty Rate</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sz w:val="20"/>
              </w:rPr>
              <w:t>Fourth Quartile (Lowest Poverty Rate)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58.</w:t>
            </w:r>
            <w:r w:rsidRPr="00DF66FD">
              <w:rPr>
                <w:sz w:val="20"/>
              </w:rPr>
              <w:t>4</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F66FD">
              <w:rPr>
                <w:sz w:val="20"/>
              </w:rPr>
              <w:t>48.6</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42.</w:t>
            </w:r>
            <w:r w:rsidRPr="00DF66FD">
              <w:rPr>
                <w:sz w:val="20"/>
              </w:rPr>
              <w:t>8</w:t>
            </w:r>
            <w:r w:rsidRPr="00D61250">
              <w:rPr>
                <w:sz w:val="20"/>
              </w:rPr>
              <w:t>%</w:t>
            </w:r>
          </w:p>
        </w:tc>
        <w:tc>
          <w:tcPr>
            <w:tcW w:w="108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F66FD">
              <w:rPr>
                <w:sz w:val="20"/>
              </w:rPr>
              <w:t>21.0</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4.</w:t>
            </w:r>
            <w:r w:rsidRPr="00DF66FD">
              <w:rPr>
                <w:sz w:val="20"/>
              </w:rPr>
              <w:t>8</w:t>
            </w:r>
            <w:r w:rsidRPr="00D61250">
              <w:rPr>
                <w:sz w:val="20"/>
              </w:rPr>
              <w:t>%</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sz w:val="20"/>
              </w:rPr>
              <w:t>Third Quartile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48.</w:t>
            </w:r>
            <w:r w:rsidRPr="00DF66FD">
              <w:rPr>
                <w:sz w:val="20"/>
              </w:rPr>
              <w:t>9</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F66FD">
              <w:rPr>
                <w:sz w:val="20"/>
              </w:rPr>
              <w:t>39.3</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F66FD">
              <w:rPr>
                <w:sz w:val="20"/>
              </w:rPr>
              <w:t>34.1</w:t>
            </w:r>
            <w:r w:rsidRPr="00D61250">
              <w:rPr>
                <w:sz w:val="20"/>
              </w:rPr>
              <w:t>%</w:t>
            </w:r>
          </w:p>
        </w:tc>
        <w:tc>
          <w:tcPr>
            <w:tcW w:w="108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17.</w:t>
            </w:r>
            <w:r w:rsidRPr="00DF66FD">
              <w:rPr>
                <w:sz w:val="20"/>
              </w:rPr>
              <w:t>7</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F66FD">
              <w:rPr>
                <w:sz w:val="20"/>
              </w:rPr>
              <w:t>4.6</w:t>
            </w:r>
            <w:r w:rsidRPr="00D61250">
              <w:rPr>
                <w:sz w:val="20"/>
              </w:rPr>
              <w:t>%</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sz w:val="20"/>
              </w:rPr>
              <w:t>Second Quartile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44.</w:t>
            </w:r>
            <w:r w:rsidRPr="00DF66FD">
              <w:rPr>
                <w:sz w:val="20"/>
              </w:rPr>
              <w:t>4</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41.</w:t>
            </w:r>
            <w:r w:rsidRPr="00DF66FD">
              <w:rPr>
                <w:sz w:val="20"/>
              </w:rPr>
              <w:t>6</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F66FD">
              <w:rPr>
                <w:sz w:val="20"/>
              </w:rPr>
              <w:t>33.0</w:t>
            </w:r>
            <w:r w:rsidRPr="00D61250">
              <w:rPr>
                <w:sz w:val="20"/>
              </w:rPr>
              <w:t>%</w:t>
            </w:r>
          </w:p>
        </w:tc>
        <w:tc>
          <w:tcPr>
            <w:tcW w:w="108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20.</w:t>
            </w:r>
            <w:r w:rsidRPr="00DF66FD">
              <w:rPr>
                <w:sz w:val="20"/>
              </w:rPr>
              <w:t>7</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3.</w:t>
            </w:r>
            <w:r w:rsidRPr="00DF66FD">
              <w:rPr>
                <w:sz w:val="20"/>
              </w:rPr>
              <w:t>8</w:t>
            </w:r>
            <w:r w:rsidRPr="00D61250">
              <w:rPr>
                <w:sz w:val="20"/>
              </w:rPr>
              <w:t>%</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sz w:val="20"/>
              </w:rPr>
              <w:t>First Quartile (Highest Poverty Rate)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36.</w:t>
            </w:r>
            <w:r w:rsidRPr="00DF66FD">
              <w:rPr>
                <w:sz w:val="20"/>
              </w:rPr>
              <w:t>3</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F66FD">
              <w:rPr>
                <w:sz w:val="20"/>
              </w:rPr>
              <w:t>26.0</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22.</w:t>
            </w:r>
            <w:r w:rsidRPr="00DF66FD">
              <w:rPr>
                <w:sz w:val="20"/>
              </w:rPr>
              <w:t>2</w:t>
            </w:r>
            <w:r w:rsidRPr="00D61250">
              <w:rPr>
                <w:sz w:val="20"/>
              </w:rPr>
              <w:t>%</w:t>
            </w:r>
          </w:p>
        </w:tc>
        <w:tc>
          <w:tcPr>
            <w:tcW w:w="108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10.9%</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2.2%</w:t>
            </w:r>
          </w:p>
        </w:tc>
      </w:tr>
      <w:tr w:rsidTr="00525353">
        <w:tblPrEx>
          <w:tblW w:w="0" w:type="auto"/>
          <w:jc w:val="center"/>
          <w:tblLayout w:type="fixed"/>
          <w:tblCellMar>
            <w:left w:w="0" w:type="dxa"/>
            <w:right w:w="0" w:type="dxa"/>
          </w:tblCellMar>
          <w:tblLook w:val="0000"/>
        </w:tblPrEx>
        <w:trPr>
          <w:cantSplit/>
          <w:jc w:val="center"/>
        </w:trPr>
        <w:tc>
          <w:tcPr>
            <w:tcW w:w="9327" w:type="dxa"/>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C6287D" w:rsidRPr="00DF66FD" w:rsidP="00525353">
            <w:pPr>
              <w:autoSpaceDE w:val="0"/>
              <w:autoSpaceDN w:val="0"/>
              <w:adjustRightInd w:val="0"/>
              <w:spacing w:before="40" w:after="120"/>
              <w:jc w:val="center"/>
              <w:rPr>
                <w:b/>
                <w:color w:val="000000"/>
                <w:sz w:val="20"/>
              </w:rPr>
            </w:pPr>
            <w:r w:rsidRPr="00DF66FD">
              <w:rPr>
                <w:b/>
                <w:color w:val="000000"/>
                <w:sz w:val="20"/>
              </w:rPr>
              <w:t>County Rural Population Rate</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4"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sz w:val="20"/>
              </w:rPr>
              <w:t>Fourth Quartile (Lowest Rural Population Rate)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67.</w:t>
            </w:r>
            <w:r w:rsidRPr="00DF66FD">
              <w:rPr>
                <w:sz w:val="20"/>
              </w:rPr>
              <w:t>3</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57.</w:t>
            </w:r>
            <w:r w:rsidRPr="00DF66FD">
              <w:rPr>
                <w:sz w:val="20"/>
              </w:rPr>
              <w:t>7</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51.</w:t>
            </w:r>
            <w:r w:rsidRPr="00DF66FD">
              <w:rPr>
                <w:sz w:val="20"/>
              </w:rPr>
              <w:t>7</w:t>
            </w:r>
            <w:r w:rsidRPr="00D61250">
              <w:rPr>
                <w:sz w:val="20"/>
              </w:rPr>
              <w:t>%</w:t>
            </w:r>
          </w:p>
        </w:tc>
        <w:tc>
          <w:tcPr>
            <w:tcW w:w="108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25.</w:t>
            </w:r>
            <w:r w:rsidRPr="00DF66FD">
              <w:rPr>
                <w:sz w:val="20"/>
              </w:rPr>
              <w:t>3</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5.</w:t>
            </w:r>
            <w:r w:rsidRPr="00DF66FD">
              <w:rPr>
                <w:sz w:val="20"/>
              </w:rPr>
              <w:t>4</w:t>
            </w:r>
            <w:r w:rsidRPr="00D61250">
              <w:rPr>
                <w:sz w:val="20"/>
              </w:rPr>
              <w:t>%</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4"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sz w:val="20"/>
              </w:rPr>
              <w:t>Third Quartile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48.</w:t>
            </w:r>
            <w:r w:rsidRPr="00DF66FD">
              <w:rPr>
                <w:sz w:val="20"/>
              </w:rPr>
              <w:t>3</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F66FD">
              <w:rPr>
                <w:sz w:val="20"/>
              </w:rPr>
              <w:t>39.1</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F66FD">
              <w:rPr>
                <w:sz w:val="20"/>
              </w:rPr>
              <w:t>35.0</w:t>
            </w:r>
            <w:r w:rsidRPr="00D61250">
              <w:rPr>
                <w:sz w:val="20"/>
              </w:rPr>
              <w:t>%</w:t>
            </w:r>
          </w:p>
        </w:tc>
        <w:tc>
          <w:tcPr>
            <w:tcW w:w="108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16.</w:t>
            </w:r>
            <w:r w:rsidRPr="00DF66FD">
              <w:rPr>
                <w:sz w:val="20"/>
              </w:rPr>
              <w:t>4</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F66FD">
              <w:rPr>
                <w:sz w:val="20"/>
              </w:rPr>
              <w:t>3.3</w:t>
            </w:r>
            <w:r w:rsidRPr="00D61250">
              <w:rPr>
                <w:sz w:val="20"/>
              </w:rPr>
              <w:t>%</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single" w:sz="4" w:space="0" w:color="000000"/>
              <w:left w:val="single" w:sz="8" w:space="0" w:color="000000"/>
              <w:bottom w:val="single" w:sz="8"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sz w:val="20"/>
              </w:rPr>
              <w:t>Second Quartile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36.</w:t>
            </w:r>
            <w:r w:rsidRPr="00DF66FD">
              <w:rPr>
                <w:sz w:val="20"/>
              </w:rPr>
              <w:t>7</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F66FD">
              <w:rPr>
                <w:sz w:val="20"/>
              </w:rPr>
              <w:t>35.3</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24.</w:t>
            </w:r>
            <w:r w:rsidRPr="00DF66FD">
              <w:rPr>
                <w:sz w:val="20"/>
              </w:rPr>
              <w:t>8</w:t>
            </w:r>
            <w:r w:rsidRPr="00D61250">
              <w:rPr>
                <w:sz w:val="20"/>
              </w:rPr>
              <w:t>%</w:t>
            </w:r>
          </w:p>
        </w:tc>
        <w:tc>
          <w:tcPr>
            <w:tcW w:w="108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17.</w:t>
            </w:r>
            <w:r w:rsidRPr="00DF66FD">
              <w:rPr>
                <w:sz w:val="20"/>
              </w:rPr>
              <w:t>8</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2.</w:t>
            </w:r>
            <w:r w:rsidRPr="00DF66FD">
              <w:rPr>
                <w:sz w:val="20"/>
              </w:rPr>
              <w:t>9</w:t>
            </w:r>
            <w:r w:rsidRPr="00D61250">
              <w:rPr>
                <w:sz w:val="20"/>
              </w:rPr>
              <w:t>%</w:t>
            </w:r>
          </w:p>
        </w:tc>
      </w:tr>
      <w:tr w:rsidTr="00525353">
        <w:tblPrEx>
          <w:tblW w:w="0" w:type="auto"/>
          <w:jc w:val="center"/>
          <w:tblLayout w:type="fixed"/>
          <w:tblCellMar>
            <w:left w:w="0" w:type="dxa"/>
            <w:right w:w="0" w:type="dxa"/>
          </w:tblCellMar>
          <w:tblLook w:val="0000"/>
        </w:tblPrEx>
        <w:trPr>
          <w:cantSplit/>
          <w:jc w:val="center"/>
        </w:trPr>
        <w:tc>
          <w:tcPr>
            <w:tcW w:w="4484" w:type="dxa"/>
            <w:tcBorders>
              <w:top w:val="nil"/>
              <w:left w:val="single" w:sz="8" w:space="0" w:color="000000"/>
              <w:bottom w:val="single" w:sz="4" w:space="0" w:color="000000"/>
              <w:right w:val="nil"/>
            </w:tcBorders>
            <w:shd w:val="clear" w:color="auto" w:fill="90B0D9"/>
            <w:tcMar>
              <w:left w:w="40" w:type="dxa"/>
              <w:right w:w="40" w:type="dxa"/>
            </w:tcMar>
          </w:tcPr>
          <w:p w:rsidR="00C6287D" w:rsidRPr="005B36BB" w:rsidP="00525353">
            <w:pPr>
              <w:autoSpaceDE w:val="0"/>
              <w:autoSpaceDN w:val="0"/>
              <w:adjustRightInd w:val="0"/>
              <w:spacing w:before="40" w:after="120"/>
              <w:rPr>
                <w:b/>
                <w:color w:val="000000"/>
                <w:sz w:val="20"/>
              </w:rPr>
            </w:pPr>
            <w:r w:rsidRPr="005B36BB">
              <w:rPr>
                <w:b/>
                <w:sz w:val="20"/>
              </w:rPr>
              <w:t>First Quartile (Highest Rural Population Rate)</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35.</w:t>
            </w:r>
            <w:r w:rsidRPr="00DF66FD">
              <w:rPr>
                <w:sz w:val="20"/>
              </w:rPr>
              <w:t>6</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F66FD">
              <w:rPr>
                <w:sz w:val="20"/>
              </w:rPr>
              <w:t>23.1</w:t>
            </w:r>
            <w:r w:rsidRPr="00D61250">
              <w:rPr>
                <w:sz w:val="20"/>
              </w:rPr>
              <w:t>%</w:t>
            </w:r>
          </w:p>
        </w:tc>
        <w:tc>
          <w:tcPr>
            <w:tcW w:w="90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F66FD">
              <w:rPr>
                <w:sz w:val="20"/>
              </w:rPr>
              <w:t>20.0</w:t>
            </w:r>
            <w:r w:rsidRPr="00D61250">
              <w:rPr>
                <w:sz w:val="20"/>
              </w:rPr>
              <w:t>%</w:t>
            </w:r>
          </w:p>
        </w:tc>
        <w:tc>
          <w:tcPr>
            <w:tcW w:w="1080" w:type="dxa"/>
            <w:tcBorders>
              <w:top w:val="nil"/>
              <w:left w:val="single" w:sz="8" w:space="0" w:color="000000"/>
              <w:bottom w:val="single" w:sz="8" w:space="0" w:color="000000"/>
              <w:right w:val="nil"/>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9.</w:t>
            </w:r>
            <w:r w:rsidRPr="00DF66FD">
              <w:rPr>
                <w:sz w:val="20"/>
              </w:rPr>
              <w:t>9</w:t>
            </w:r>
            <w:r w:rsidRPr="00D61250">
              <w:rPr>
                <w:sz w:val="20"/>
              </w:rPr>
              <w:t>%</w:t>
            </w:r>
          </w:p>
        </w:tc>
        <w:tc>
          <w:tcPr>
            <w:tcW w:w="106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C6287D" w:rsidRPr="00DF66FD" w:rsidP="00525353">
            <w:pPr>
              <w:autoSpaceDE w:val="0"/>
              <w:autoSpaceDN w:val="0"/>
              <w:adjustRightInd w:val="0"/>
              <w:spacing w:before="40" w:after="120"/>
              <w:jc w:val="center"/>
              <w:rPr>
                <w:color w:val="000000"/>
                <w:sz w:val="20"/>
              </w:rPr>
            </w:pPr>
            <w:r w:rsidRPr="00D61250">
              <w:rPr>
                <w:sz w:val="20"/>
              </w:rPr>
              <w:t>3.</w:t>
            </w:r>
            <w:r w:rsidRPr="00DF66FD">
              <w:rPr>
                <w:sz w:val="20"/>
              </w:rPr>
              <w:t>6</w:t>
            </w:r>
            <w:r w:rsidRPr="00D61250">
              <w:rPr>
                <w:sz w:val="20"/>
              </w:rPr>
              <w:t>%</w:t>
            </w:r>
          </w:p>
        </w:tc>
      </w:tr>
    </w:tbl>
    <w:p w:rsidR="00C6287D" w:rsidRPr="003E0698" w:rsidP="00A94DE8">
      <w:pPr>
        <w:pStyle w:val="Heading2"/>
      </w:pPr>
      <w:bookmarkStart w:id="332" w:name="_Toc780520"/>
      <w:bookmarkStart w:id="333" w:name="_Toc970741"/>
      <w:bookmarkStart w:id="334" w:name="_Toc525898132"/>
      <w:bookmarkStart w:id="335" w:name="_Toc525898264"/>
      <w:bookmarkStart w:id="336" w:name="_Toc525898650"/>
      <w:bookmarkStart w:id="337" w:name="_Toc526341631"/>
      <w:bookmarkStart w:id="338" w:name="_Toc526341952"/>
      <w:bookmarkStart w:id="339" w:name="_Toc527100583"/>
      <w:bookmarkStart w:id="340" w:name="_Toc527723160"/>
      <w:bookmarkStart w:id="341" w:name="_Toc529180609"/>
      <w:bookmarkStart w:id="342" w:name="_Toc530069132"/>
      <w:bookmarkStart w:id="343" w:name="_Toc530147035"/>
      <w:bookmarkStart w:id="344" w:name="_Toc530148247"/>
      <w:bookmarkStart w:id="345" w:name="_Toc780521"/>
      <w:bookmarkStart w:id="346" w:name="_Toc970742"/>
      <w:bookmarkStart w:id="347" w:name="_Toc1469954"/>
      <w:bookmarkStart w:id="348" w:name="_Toc2676108"/>
      <w:bookmarkEnd w:id="332"/>
      <w:bookmarkEnd w:id="333"/>
      <w:r w:rsidRPr="003E0698">
        <w:t>Schools and Classrooms Data</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C6287D" w:rsidRPr="003E0698" w:rsidP="00C6287D">
      <w:pPr>
        <w:pStyle w:val="ParaNum"/>
      </w:pPr>
      <w:r w:rsidRPr="003E0698">
        <w:t>We continue to measure availability of advanced telecommunications capability in “elementary and secondary schools and classrooms”</w:t>
      </w:r>
      <w:r>
        <w:rPr>
          <w:rStyle w:val="FootnoteReference"/>
        </w:rPr>
        <w:footnoteReference w:id="139"/>
      </w:r>
      <w:r w:rsidRPr="003E0698">
        <w:t xml:space="preserve"> using a short-term and long-term goal for broadband connectivity to schools of 100 Mbps per 1,000 students and staff and 1 Gbps per 1,000 students and staff, respectively.</w:t>
      </w:r>
      <w:r>
        <w:rPr>
          <w:rStyle w:val="FootnoteReference"/>
        </w:rPr>
        <w:footnoteReference w:id="140"/>
      </w:r>
      <w:r w:rsidRPr="003E0698">
        <w:t xml:space="preserve">  According to the </w:t>
      </w:r>
      <w:r w:rsidRPr="005945A7">
        <w:rPr>
          <w:i/>
        </w:rPr>
        <w:t>2018 State of the States Repor</w:t>
      </w:r>
      <w:r w:rsidRPr="003A4EB5">
        <w:rPr>
          <w:i/>
        </w:rPr>
        <w:t>t</w:t>
      </w:r>
      <w:r w:rsidRPr="003E0698">
        <w:t>, 98% of school districts or 44.7 million students, now meet the Commission’s short-term connectivity goal of 100 Mbps per 1,000 users, up from 39.2 million students in 2017.</w:t>
      </w:r>
      <w:r>
        <w:rPr>
          <w:rStyle w:val="FootnoteReference"/>
        </w:rPr>
        <w:footnoteReference w:id="141"/>
      </w:r>
      <w:r w:rsidRPr="003E0698">
        <w:t xml:space="preserve">  However, this means that 2.3 million students are not receiving broadband service that meets the short-term connectivity goal.</w:t>
      </w:r>
      <w:r>
        <w:rPr>
          <w:rStyle w:val="FootnoteReference"/>
        </w:rPr>
        <w:footnoteReference w:id="142"/>
      </w:r>
      <w:r w:rsidRPr="003E0698">
        <w:t xml:space="preserve">  </w:t>
      </w:r>
    </w:p>
    <w:p w:rsidR="00C6287D" w:rsidRPr="003E0698" w:rsidP="00C6287D">
      <w:pPr>
        <w:pStyle w:val="ParaNum"/>
      </w:pPr>
      <w:r w:rsidRPr="003E0698">
        <w:t xml:space="preserve">Regarding the long-term connectivity goal for schools of 1 Gbps per 1,000 users, the </w:t>
      </w:r>
      <w:r w:rsidRPr="005945A7">
        <w:rPr>
          <w:i/>
        </w:rPr>
        <w:t>2018 State of the States Report</w:t>
      </w:r>
      <w:r w:rsidRPr="003E0698">
        <w:t xml:space="preserve"> estimates that, based on the most recent data, 28% of school districts currently meet the goal, which is up from 22% in 2017 and just 9% in 2015.</w:t>
      </w:r>
      <w:r>
        <w:rPr>
          <w:rStyle w:val="FootnoteReference"/>
        </w:rPr>
        <w:footnoteReference w:id="143"/>
      </w:r>
      <w:r>
        <w:t xml:space="preserve">  </w:t>
      </w:r>
      <w:r w:rsidRPr="005945A7">
        <w:t>Similarly, CoSN’s report notes that 36% of school districts were meeting the long-term connectivity goal, more than double the number of districts reporting progress toward that goal in 2017.</w:t>
      </w:r>
      <w:r>
        <w:rPr>
          <w:rStyle w:val="FootnoteReference"/>
        </w:rPr>
        <w:footnoteReference w:id="144"/>
      </w:r>
      <w:r w:rsidRPr="005945A7">
        <w:t xml:space="preserve">  </w:t>
      </w:r>
      <w:r w:rsidRPr="003E0698">
        <w:t xml:space="preserve">The </w:t>
      </w:r>
      <w:r w:rsidRPr="005945A7">
        <w:rPr>
          <w:i/>
        </w:rPr>
        <w:t xml:space="preserve">2018 State of the States Report </w:t>
      </w:r>
      <w:r w:rsidRPr="003E0698">
        <w:t>also finds that nearly half of the smallest school districts in the United States, averaging just 200 students and in rural areas, are already meeting the long-term goal.</w:t>
      </w:r>
      <w:r>
        <w:rPr>
          <w:rStyle w:val="FootnoteReference"/>
        </w:rPr>
        <w:footnoteReference w:id="145"/>
      </w:r>
      <w:r w:rsidRPr="003E0698">
        <w:t xml:space="preserve">  EducationSuperHighway estimates that 1,356 schools still need access to fiber in order to meet the short- and long-term connectivity goals, down 34% from the 2,049 schools without access to fiber in 2017, and 86% from</w:t>
      </w:r>
      <w:r>
        <w:t xml:space="preserve"> the</w:t>
      </w:r>
      <w:r w:rsidRPr="003E0698">
        <w:t xml:space="preserve"> 9,500 schools in 2015.</w:t>
      </w:r>
      <w:r>
        <w:rPr>
          <w:rStyle w:val="FootnoteReference"/>
        </w:rPr>
        <w:footnoteReference w:id="146"/>
      </w:r>
    </w:p>
    <w:p w:rsidR="00C6287D" w:rsidRPr="003E0698" w:rsidP="00C6287D">
      <w:pPr>
        <w:pStyle w:val="Heading1"/>
        <w:numPr>
          <w:ilvl w:val="0"/>
          <w:numId w:val="9"/>
        </w:numPr>
        <w:tabs>
          <w:tab w:val="left" w:pos="720"/>
        </w:tabs>
        <w:rPr>
          <w:rFonts w:ascii="Times New Roman" w:hAnsi="Times New Roman"/>
        </w:rPr>
      </w:pPr>
      <w:bookmarkStart w:id="349" w:name="_Toc525898133"/>
      <w:bookmarkStart w:id="350" w:name="_Toc525898265"/>
      <w:bookmarkStart w:id="351" w:name="_Toc525898651"/>
      <w:bookmarkStart w:id="352" w:name="_Toc526341632"/>
      <w:bookmarkStart w:id="353" w:name="_Toc526341953"/>
      <w:bookmarkStart w:id="354" w:name="_Toc527100584"/>
      <w:bookmarkStart w:id="355" w:name="_Toc527723161"/>
      <w:bookmarkStart w:id="356" w:name="_Toc529180610"/>
      <w:bookmarkStart w:id="357" w:name="_Toc530069133"/>
      <w:bookmarkStart w:id="358" w:name="_Toc530147036"/>
      <w:bookmarkStart w:id="359" w:name="_Toc530148248"/>
      <w:bookmarkStart w:id="360" w:name="_Toc780522"/>
      <w:bookmarkStart w:id="361" w:name="_Toc970743"/>
      <w:bookmarkStart w:id="362" w:name="_Toc1469955"/>
      <w:bookmarkStart w:id="363" w:name="_Toc2676109"/>
      <w:r w:rsidRPr="003E0698">
        <w:rPr>
          <w:rFonts w:ascii="Times New Roman" w:hAnsi="Times New Roman"/>
        </w:rPr>
        <w:t>Commission Efforts to Close the Digital Divide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3E0698">
        <w:rPr>
          <w:rFonts w:ascii="Times New Roman" w:hAnsi="Times New Roman"/>
        </w:rPr>
        <w:t xml:space="preserve"> </w:t>
      </w:r>
    </w:p>
    <w:p w:rsidR="00C6287D" w:rsidRPr="003E0698" w:rsidP="00C6287D">
      <w:pPr>
        <w:pStyle w:val="ParaNum"/>
      </w:pPr>
      <w:r w:rsidRPr="003E0698">
        <w:t xml:space="preserve">The </w:t>
      </w:r>
      <w:r w:rsidRPr="005945A7">
        <w:rPr>
          <w:i/>
        </w:rPr>
        <w:t xml:space="preserve">2018 </w:t>
      </w:r>
      <w:r w:rsidRPr="003A4EB5">
        <w:rPr>
          <w:i/>
        </w:rPr>
        <w:t>Report</w:t>
      </w:r>
      <w:r w:rsidRPr="003E0698">
        <w:t xml:space="preserve"> described the many actions the Commission has taken to encourage deployment of advanced telecommunications capability and close the digital divide.</w:t>
      </w:r>
      <w:r>
        <w:rPr>
          <w:rStyle w:val="FootnoteReference"/>
        </w:rPr>
        <w:footnoteReference w:id="147"/>
      </w:r>
      <w:r w:rsidRPr="003E0698">
        <w:t xml:space="preserve">  Here, we discuss the Commission’s actions to spur broadband deployment and close the digital divide since issuing the </w:t>
      </w:r>
      <w:r w:rsidRPr="005945A7">
        <w:rPr>
          <w:i/>
        </w:rPr>
        <w:t>2018 Report</w:t>
      </w:r>
      <w:r w:rsidRPr="003E0698">
        <w:t xml:space="preserve">.  </w:t>
      </w:r>
    </w:p>
    <w:p w:rsidR="00C6287D" w:rsidRPr="003E0698" w:rsidP="00A94DE8">
      <w:pPr>
        <w:pStyle w:val="Heading2"/>
      </w:pPr>
      <w:bookmarkStart w:id="364" w:name="_Toc970746"/>
      <w:bookmarkStart w:id="365" w:name="_Toc970747"/>
      <w:bookmarkStart w:id="366" w:name="_Toc525898135"/>
      <w:bookmarkStart w:id="367" w:name="_Toc525898267"/>
      <w:bookmarkStart w:id="368" w:name="_Toc525898653"/>
      <w:bookmarkStart w:id="369" w:name="_Toc526341634"/>
      <w:bookmarkStart w:id="370" w:name="_Toc526341955"/>
      <w:bookmarkStart w:id="371" w:name="_Toc527100586"/>
      <w:bookmarkStart w:id="372" w:name="_Toc527723163"/>
      <w:bookmarkStart w:id="373" w:name="_Toc529180612"/>
      <w:bookmarkStart w:id="374" w:name="_Toc530069135"/>
      <w:bookmarkStart w:id="375" w:name="_Toc530147038"/>
      <w:bookmarkStart w:id="376" w:name="_Toc530148250"/>
      <w:bookmarkStart w:id="377" w:name="_Toc780524"/>
      <w:bookmarkStart w:id="378" w:name="_Toc970748"/>
      <w:bookmarkStart w:id="379" w:name="_Toc1469956"/>
      <w:bookmarkStart w:id="380" w:name="_Toc2676110"/>
      <w:bookmarkEnd w:id="364"/>
      <w:bookmarkEnd w:id="365"/>
      <w:r w:rsidRPr="003E0698">
        <w:t>Reducing Barriers to Investment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C6287D" w:rsidRPr="003E0698" w:rsidP="00C6287D">
      <w:pPr>
        <w:pStyle w:val="ParaNum"/>
      </w:pPr>
      <w:r w:rsidRPr="003E0698">
        <w:t xml:space="preserve">To close the digital divide, it is essential to remove regulatory barriers to investment.  Regulatory barriers unnecessarily delay broadband buildouts, slow transitions from legacy networks and services to next-generation networks, and impede wireless infrastructure projects to deploy advanced networks.  </w:t>
      </w:r>
    </w:p>
    <w:p w:rsidR="00C6287D" w:rsidP="00C6287D">
      <w:pPr>
        <w:pStyle w:val="ParaNum"/>
      </w:pPr>
      <w:r w:rsidRPr="005945A7">
        <w:rPr>
          <w:i/>
        </w:rPr>
        <w:t>Wireless Infrastructure</w:t>
      </w:r>
      <w:r w:rsidRPr="003E0698">
        <w:t xml:space="preserve">.  </w:t>
      </w:r>
      <w:r>
        <w:t xml:space="preserve">In March 2018, the Commission adopted the </w:t>
      </w:r>
      <w:r w:rsidRPr="4A3C1A00">
        <w:rPr>
          <w:i/>
          <w:iCs/>
        </w:rPr>
        <w:t>Wireless Infrastructure Second Report and Order,</w:t>
      </w:r>
      <w:r>
        <w:t xml:space="preserve"> which:  (1) excluded from National Historic Preservation Act (NHPA) and the National Environmental Policy Act (NEPA) review certain small wireless facilities;</w:t>
      </w:r>
      <w:r>
        <w:rPr>
          <w:rStyle w:val="FootnoteReference"/>
        </w:rPr>
        <w:footnoteReference w:id="148"/>
      </w:r>
      <w:r>
        <w:t xml:space="preserve">  (2) clarified procedures for engaging Tribal Nations and Native Hawaiian Organizations (NHOs) in historic preservation review;</w:t>
      </w:r>
      <w:r>
        <w:rPr>
          <w:rStyle w:val="FootnoteReference"/>
        </w:rPr>
        <w:footnoteReference w:id="149"/>
      </w:r>
      <w:r>
        <w:t xml:space="preserve"> and (3) exempted from NEPA review requirements certain structures placed on flood plains.</w:t>
      </w:r>
      <w:r>
        <w:rPr>
          <w:rStyle w:val="FootnoteReference"/>
        </w:rPr>
        <w:footnoteReference w:id="150"/>
      </w:r>
      <w:r>
        <w:t xml:space="preserve">  The decisions in that Order are intended to expedite </w:t>
      </w:r>
      <w:r w:rsidRPr="004874CD">
        <w:t xml:space="preserve">the deployment of wireless infrastructure.  </w:t>
      </w:r>
      <w:r>
        <w:t xml:space="preserve">And according to an </w:t>
      </w:r>
      <w:r w:rsidRPr="00454022">
        <w:t>Accenture analysis</w:t>
      </w:r>
      <w:r>
        <w:t xml:space="preserve">, the Order </w:t>
      </w:r>
      <w:r w:rsidRPr="00454022">
        <w:t xml:space="preserve">will reduce small cell deployment costs by </w:t>
      </w:r>
      <w:r>
        <w:t xml:space="preserve">about </w:t>
      </w:r>
      <w:r w:rsidRPr="00454022">
        <w:t>$1.6 billion over the next 8 years.</w:t>
      </w:r>
      <w:r>
        <w:rPr>
          <w:rStyle w:val="FootnoteReference"/>
        </w:rPr>
        <w:footnoteReference w:id="151"/>
      </w:r>
      <w:r>
        <w:t xml:space="preserve">  </w:t>
      </w:r>
    </w:p>
    <w:p w:rsidR="00C6287D" w:rsidRPr="00D0357F" w:rsidP="00C6287D">
      <w:pPr>
        <w:pStyle w:val="ParaNum"/>
      </w:pPr>
      <w:r>
        <w:t xml:space="preserve">In September 2018, the Commission adopted the </w:t>
      </w:r>
      <w:r w:rsidRPr="4A3C1A00">
        <w:rPr>
          <w:i/>
          <w:iCs/>
        </w:rPr>
        <w:t>Wireless Infrastructure Declaratory Ruling</w:t>
      </w:r>
      <w:r w:rsidRPr="4A3C1A00">
        <w:t xml:space="preserve"> </w:t>
      </w:r>
      <w:r w:rsidRPr="4A3C1A00">
        <w:rPr>
          <w:i/>
          <w:iCs/>
        </w:rPr>
        <w:t>and Third Report and Order</w:t>
      </w:r>
      <w:r w:rsidRPr="00D0357F">
        <w:t>, addressing state and local</w:t>
      </w:r>
      <w:r>
        <w:t xml:space="preserve"> barriers to deployment.</w:t>
      </w:r>
      <w:r>
        <w:rPr>
          <w:rStyle w:val="FootnoteReference"/>
        </w:rPr>
        <w:footnoteReference w:id="152"/>
      </w:r>
      <w:r w:rsidRPr="4A3C1A00">
        <w:t xml:space="preserve">  </w:t>
      </w:r>
      <w:r w:rsidRPr="00E85235">
        <w:t xml:space="preserve">State and local zoning rules for erecting towers </w:t>
      </w:r>
      <w:r>
        <w:t xml:space="preserve">and other structures </w:t>
      </w:r>
      <w:r w:rsidRPr="00E85235">
        <w:t>or attaching equipment to pre-existing towers and structures (</w:t>
      </w:r>
      <w:r w:rsidRPr="4A3C1A00">
        <w:rPr>
          <w:i/>
          <w:iCs/>
        </w:rPr>
        <w:t>e.g.</w:t>
      </w:r>
      <w:r w:rsidRPr="00E85235">
        <w:t xml:space="preserve">, rooftops, water tanks, power lines, and utility poles) can affect the </w:t>
      </w:r>
      <w:r>
        <w:t xml:space="preserve">timing and cost of </w:t>
      </w:r>
      <w:r w:rsidRPr="00E85235">
        <w:t>deploy</w:t>
      </w:r>
      <w:r>
        <w:t>ing</w:t>
      </w:r>
      <w:r w:rsidRPr="00E85235">
        <w:t xml:space="preserve"> mobile wireless networks.  </w:t>
      </w:r>
      <w:r>
        <w:t>Regulatory delay can slow entry, and local regulatory fees can represent sunk costs that can deter or diminish entry.  Thus, regulatory fees and regulatory delays can be a significant barrier to entry.</w:t>
      </w:r>
      <w:r>
        <w:rPr>
          <w:rStyle w:val="FootnoteReference"/>
        </w:rPr>
        <w:footnoteReference w:id="153"/>
      </w:r>
      <w:r w:rsidRPr="4A3C1A00">
        <w:t xml:space="preserve">  </w:t>
      </w:r>
      <w:r w:rsidRPr="00E85235">
        <w:t xml:space="preserve">Siting fees such as excessive one-time application fees, annual recurring </w:t>
      </w:r>
      <w:r w:rsidRPr="00E85235">
        <w:t xml:space="preserve">fees, unreasonable or discriminatory gross revenue fees, </w:t>
      </w:r>
      <w:r>
        <w:t xml:space="preserve">and </w:t>
      </w:r>
      <w:r w:rsidRPr="00E85235">
        <w:t>franchise or use fees may be especially burdensome to smaller providers and may prevent or discourage investment.</w:t>
      </w:r>
      <w:r w:rsidRPr="4A3C1A00">
        <w:t xml:space="preserve">  </w:t>
      </w:r>
      <w:r w:rsidRPr="00E85235">
        <w:t>In addition, review processes designed for large macro</w:t>
      </w:r>
      <w:r w:rsidRPr="4A3C1A00">
        <w:t xml:space="preserve"> </w:t>
      </w:r>
      <w:r w:rsidRPr="00E85235">
        <w:t xml:space="preserve">cells </w:t>
      </w:r>
      <w:r>
        <w:t>may be</w:t>
      </w:r>
      <w:r w:rsidRPr="00E85235">
        <w:t xml:space="preserve"> applied to small cell deployments in some localities.</w:t>
      </w:r>
      <w:r>
        <w:rPr>
          <w:rStyle w:val="FootnoteReference"/>
        </w:rPr>
        <w:footnoteReference w:id="154"/>
      </w:r>
      <w:r w:rsidRPr="00E85235">
        <w:t xml:space="preserve">  These </w:t>
      </w:r>
      <w:r>
        <w:t xml:space="preserve">review </w:t>
      </w:r>
      <w:r w:rsidRPr="00E85235">
        <w:t>proce</w:t>
      </w:r>
      <w:r>
        <w:t xml:space="preserve">sses </w:t>
      </w:r>
      <w:r w:rsidRPr="00E85235">
        <w:t xml:space="preserve">could </w:t>
      </w:r>
      <w:r>
        <w:t xml:space="preserve">pose </w:t>
      </w:r>
      <w:r w:rsidRPr="00E85235">
        <w:t xml:space="preserve">significant barriers to entry or expansion because of the large number of small cells that need </w:t>
      </w:r>
      <w:r>
        <w:t xml:space="preserve">to be </w:t>
      </w:r>
      <w:r w:rsidRPr="00E85235">
        <w:t>deploy</w:t>
      </w:r>
      <w:r>
        <w:t>ed relative to large towers.</w:t>
      </w:r>
      <w:r>
        <w:rPr>
          <w:rStyle w:val="FootnoteReference"/>
        </w:rPr>
        <w:footnoteReference w:id="155"/>
      </w:r>
      <w:r w:rsidRPr="4A3C1A00">
        <w:t xml:space="preserve">  </w:t>
      </w:r>
      <w:r w:rsidRPr="00E85235">
        <w:t>The review processes may be less important for small cells because their deployment causes less disruption to an area than the deployment of large towers.</w:t>
      </w:r>
      <w:r>
        <w:rPr>
          <w:rStyle w:val="FootnoteReference"/>
        </w:rPr>
        <w:footnoteReference w:id="156"/>
      </w:r>
      <w:r>
        <w:t xml:space="preserve">  In addition, state and local zoning r</w:t>
      </w:r>
      <w:r w:rsidRPr="00E85235">
        <w:t>equirements</w:t>
      </w:r>
      <w:r>
        <w:t xml:space="preserve"> may prevent or delay entry and expansion by requiring</w:t>
      </w:r>
      <w:r w:rsidRPr="00E85235">
        <w:t xml:space="preserve"> that all facilities along rights-of-way be underground, or</w:t>
      </w:r>
      <w:r>
        <w:t xml:space="preserve"> by imposing</w:t>
      </w:r>
      <w:r w:rsidRPr="00E85235">
        <w:t xml:space="preserve"> burdensome and/or unpublished aesthetic restrictions.</w:t>
      </w:r>
      <w:r>
        <w:rPr>
          <w:rStyle w:val="FootnoteReference"/>
        </w:rPr>
        <w:footnoteReference w:id="157"/>
      </w:r>
      <w:r w:rsidRPr="4A3C1A00">
        <w:t xml:space="preserve">  </w:t>
      </w:r>
    </w:p>
    <w:p w:rsidR="00C6287D" w:rsidRPr="003E0698" w:rsidP="00C6287D">
      <w:pPr>
        <w:pStyle w:val="ParaNum"/>
      </w:pPr>
      <w:r>
        <w:t xml:space="preserve">In the </w:t>
      </w:r>
      <w:r w:rsidRPr="00F9318D">
        <w:rPr>
          <w:i/>
          <w:iCs/>
        </w:rPr>
        <w:t>Declaratory Ruling</w:t>
      </w:r>
      <w:r w:rsidRPr="4A3C1A00">
        <w:t>,</w:t>
      </w:r>
      <w:r w:rsidRPr="00F9318D">
        <w:rPr>
          <w:i/>
          <w:iCs/>
        </w:rPr>
        <w:t xml:space="preserve"> </w:t>
      </w:r>
      <w:r>
        <w:t>the Commission reaffirmed that</w:t>
      </w:r>
      <w:r w:rsidRPr="000918D3">
        <w:t xml:space="preserve"> a state or local legal requirement constitutes an effective prohibition if it “materially limits or inhibits the ability of any competitor or potential competitor to compete in a fair and balanced legal and regulatory environment</w:t>
      </w:r>
      <w:r w:rsidRPr="4A3C1A00">
        <w:t>.”</w:t>
      </w:r>
      <w:r>
        <w:rPr>
          <w:rStyle w:val="FootnoteReference"/>
        </w:rPr>
        <w:footnoteReference w:id="158"/>
      </w:r>
      <w:r>
        <w:t xml:space="preserve"> The </w:t>
      </w:r>
      <w:r w:rsidRPr="00F9318D">
        <w:rPr>
          <w:i/>
          <w:iCs/>
        </w:rPr>
        <w:t xml:space="preserve">Declaratory Ruling </w:t>
      </w:r>
      <w:r w:rsidRPr="00D0357F">
        <w:t>also</w:t>
      </w:r>
      <w:r w:rsidRPr="00F9318D">
        <w:rPr>
          <w:i/>
          <w:iCs/>
        </w:rPr>
        <w:t xml:space="preserve"> </w:t>
      </w:r>
      <w:r>
        <w:rPr>
          <w:iCs/>
        </w:rPr>
        <w:t xml:space="preserve">applied </w:t>
      </w:r>
      <w:r w:rsidRPr="00B320E0">
        <w:t xml:space="preserve">that </w:t>
      </w:r>
      <w:r>
        <w:t>standard in the context of certain fees charged in connection with the deployment of small wireless facilities, noting, for instance, that such fees may not exceed a reasonable approximation of the local government’s costs.</w:t>
      </w:r>
      <w:r>
        <w:rPr>
          <w:rStyle w:val="FootnoteReference"/>
        </w:rPr>
        <w:footnoteReference w:id="159"/>
      </w:r>
      <w:r w:rsidRPr="4A3C1A00">
        <w:t xml:space="preserve">  </w:t>
      </w:r>
      <w:r>
        <w:t xml:space="preserve">The </w:t>
      </w:r>
      <w:r w:rsidRPr="00F9318D">
        <w:rPr>
          <w:i/>
          <w:iCs/>
        </w:rPr>
        <w:t>Third Report and Order</w:t>
      </w:r>
      <w:r>
        <w:t xml:space="preserve"> established two new “shot clocks” for small wireless facilities, codified existing shot clocks for other wireless facilities, and clarified that failure to act within the shot clock period presumptively has the effect of prohibiting personal wireless services, in violation of section 332(c) of the Communications Act.</w:t>
      </w:r>
      <w:r>
        <w:rPr>
          <w:rStyle w:val="FootnoteReference"/>
        </w:rPr>
        <w:footnoteReference w:id="160"/>
      </w:r>
    </w:p>
    <w:p w:rsidR="00C6287D" w:rsidRPr="003E0698" w:rsidP="00C6287D">
      <w:pPr>
        <w:pStyle w:val="ParaNum"/>
        <w:widowControl/>
      </w:pPr>
      <w:r w:rsidRPr="005945A7">
        <w:rPr>
          <w:i/>
        </w:rPr>
        <w:t>Wireline</w:t>
      </w:r>
      <w:r w:rsidRPr="003A4EB5">
        <w:rPr>
          <w:i/>
        </w:rPr>
        <w:t xml:space="preserve"> Infrastructure.  </w:t>
      </w:r>
      <w:r w:rsidRPr="003E0698">
        <w:t xml:space="preserve">To further expand next-generation networks and services, in June 2018, the Commission adopted a </w:t>
      </w:r>
      <w:r w:rsidRPr="005945A7">
        <w:rPr>
          <w:i/>
        </w:rPr>
        <w:t>Second Report and Order</w:t>
      </w:r>
      <w:r w:rsidRPr="003E0698">
        <w:t xml:space="preserve"> eliminating unnecessary impediments and costs to timely network upgrades, while maintaining protections for consumers and enabling providers to invest in next-generation networks.</w:t>
      </w:r>
      <w:r>
        <w:rPr>
          <w:rStyle w:val="FootnoteReference"/>
        </w:rPr>
        <w:footnoteReference w:id="161"/>
      </w:r>
      <w:r w:rsidRPr="003E0698">
        <w:t xml:space="preserve">  Through these reforms, the Commission continued to build on the work begun in 2017 to reform our copper retirement, network change disclosure, and discontinuance processes and remove regulatory barriers causing unnecessary costs or delay to deployment of next-generation networks.</w:t>
      </w:r>
      <w:r>
        <w:rPr>
          <w:rStyle w:val="FootnoteReference"/>
        </w:rPr>
        <w:footnoteReference w:id="162"/>
      </w:r>
      <w:r w:rsidRPr="003E0698">
        <w:t xml:space="preserve">  </w:t>
      </w:r>
    </w:p>
    <w:p w:rsidR="00C6287D" w:rsidP="00C6287D">
      <w:pPr>
        <w:pStyle w:val="ParaNum"/>
      </w:pPr>
      <w:r>
        <w:t>Also in</w:t>
      </w:r>
      <w:r w:rsidRPr="003E0698">
        <w:t xml:space="preserve"> June 2018, the Commission set aside enforcement of rules that were unfairly driving up the cost of broadband service for the customers of some rural providers.</w:t>
      </w:r>
      <w:r>
        <w:rPr>
          <w:rStyle w:val="FootnoteReference"/>
        </w:rPr>
        <w:footnoteReference w:id="163"/>
      </w:r>
      <w:r w:rsidRPr="003E0698">
        <w:t xml:space="preserve">  Unlike all other </w:t>
      </w:r>
      <w:r w:rsidRPr="003E0698">
        <w:t>ISPs, our rules require certain small, rural providers to pay into the USF fees on the revenues they earn from broadband Internet access transmission service.</w:t>
      </w:r>
      <w:r>
        <w:rPr>
          <w:rStyle w:val="FootnoteReference"/>
        </w:rPr>
        <w:footnoteReference w:id="164"/>
      </w:r>
      <w:r w:rsidRPr="003E0698">
        <w:t xml:space="preserve">  These fees ultimately get passed on to their customers.  To level the playing field and reduce the cost of broadband in many rural areas, the Commission granted a petition for forbearance, declining to apply that requirement for these rural carriers.</w:t>
      </w:r>
      <w:r>
        <w:rPr>
          <w:rStyle w:val="FootnoteReference"/>
        </w:rPr>
        <w:footnoteReference w:id="165"/>
      </w:r>
    </w:p>
    <w:p w:rsidR="00C6287D" w:rsidRPr="003E0698" w:rsidP="00C6287D">
      <w:pPr>
        <w:pStyle w:val="ParaNum"/>
        <w:widowControl/>
      </w:pPr>
      <w:r w:rsidRPr="003E0698">
        <w:t xml:space="preserve">In August 2018, the Commission adopted the </w:t>
      </w:r>
      <w:r w:rsidRPr="005945A7">
        <w:rPr>
          <w:i/>
        </w:rPr>
        <w:t>Third Report and Order and Declaratory Ruling</w:t>
      </w:r>
      <w:r w:rsidRPr="003E0698">
        <w:t xml:space="preserve"> designed to speed the process and reduce the costs of attaching new network facilities to utility poles.</w:t>
      </w:r>
      <w:r>
        <w:rPr>
          <w:rStyle w:val="FootnoteReference"/>
        </w:rPr>
        <w:footnoteReference w:id="166"/>
      </w:r>
      <w:r w:rsidRPr="003E0698">
        <w:t xml:space="preserve">  Consistent with the recommendations of the B</w:t>
      </w:r>
      <w:r>
        <w:t xml:space="preserve">roadband </w:t>
      </w:r>
      <w:r w:rsidRPr="003E0698">
        <w:t>D</w:t>
      </w:r>
      <w:r>
        <w:t xml:space="preserve">eployment </w:t>
      </w:r>
      <w:r w:rsidRPr="003E0698">
        <w:t>A</w:t>
      </w:r>
      <w:r>
        <w:t xml:space="preserve">dvisory </w:t>
      </w:r>
      <w:r w:rsidRPr="003E0698">
        <w:t>C</w:t>
      </w:r>
      <w:r>
        <w:t>ommittee (BDAC)</w:t>
      </w:r>
      <w:r w:rsidRPr="003E0698">
        <w:t>,</w:t>
      </w:r>
      <w:r>
        <w:rPr>
          <w:rStyle w:val="FootnoteReference"/>
        </w:rPr>
        <w:footnoteReference w:id="167"/>
      </w:r>
      <w:r w:rsidRPr="003E0698">
        <w:t xml:space="preserve"> the </w:t>
      </w:r>
      <w:r w:rsidRPr="003A4EB5">
        <w:rPr>
          <w:i/>
        </w:rPr>
        <w:t>Order</w:t>
      </w:r>
      <w:r w:rsidRPr="003E0698">
        <w:t xml:space="preserve"> establishes a new pole attachment process that includes OTMR, in which the new attacher performs all make-ready work.</w:t>
      </w:r>
      <w:r>
        <w:rPr>
          <w:rStyle w:val="FootnoteReference"/>
        </w:rPr>
        <w:footnoteReference w:id="168"/>
      </w:r>
      <w:r w:rsidRPr="003E0698">
        <w:t xml:space="preserve">  Under OTMR, the new attacher moves existing attachments and performs all other work required to make the pole ready for a new attachment.</w:t>
      </w:r>
      <w:r>
        <w:rPr>
          <w:rStyle w:val="FootnoteReference"/>
        </w:rPr>
        <w:footnoteReference w:id="169"/>
      </w:r>
      <w:r w:rsidRPr="003E0698">
        <w:t xml:space="preserve">  This process allows the party with the strongest incentive—the new attacher—to prepare the pole quickly, rather than spreading the work across multiple parties.</w:t>
      </w:r>
      <w:r>
        <w:rPr>
          <w:rStyle w:val="FootnoteReference"/>
        </w:rPr>
        <w:footnoteReference w:id="170"/>
      </w:r>
      <w:r w:rsidRPr="003E0698">
        <w:t xml:space="preserve">  The process will not apply to more complicated attachments, or those attachments above the “communications space” of a pole, where safety and reliability risks are greater, but the Order improves current processes for attachments in these spaces.</w:t>
      </w:r>
      <w:r>
        <w:rPr>
          <w:rStyle w:val="FootnoteReference"/>
        </w:rPr>
        <w:footnoteReference w:id="171"/>
      </w:r>
      <w:r w:rsidRPr="003E0698">
        <w:t xml:space="preserve">  The Commission also codified and refined existing precedent requiring utilities to allow “overlashing,” which helps maximize the usable space on the pole, and clarified that new attachers are not responsible for the costs of repairing preexisting violations of safety codes or construction standards discovered during the pole attachment process.</w:t>
      </w:r>
      <w:r>
        <w:rPr>
          <w:rStyle w:val="FootnoteReference"/>
        </w:rPr>
        <w:footnoteReference w:id="172"/>
      </w:r>
      <w:r w:rsidRPr="003E0698">
        <w:t xml:space="preserve">  Finally, the Commission addressed two forms of state and local regulatory barriers to deployment, clarifying that (1) it will preempt, on a case-by-case basis, state and local laws that inhibit the rebuilding or restoration of broadband infrastructure after a disaster; and (2) state and local moratoria on the deployment of telecommunications services and facilities are barred by section 253(a) by the Communications Act because they “prohibit or have the effect of prohibiting the ability of any entity to provide any interstate or intrastate telecommunications service.”</w:t>
      </w:r>
      <w:r>
        <w:rPr>
          <w:rStyle w:val="FootnoteReference"/>
        </w:rPr>
        <w:footnoteReference w:id="173"/>
      </w:r>
      <w:r w:rsidRPr="003E0698">
        <w:t xml:space="preserve">  </w:t>
      </w:r>
    </w:p>
    <w:p w:rsidR="00C6287D" w:rsidRPr="003E0698" w:rsidP="00A94DE8">
      <w:pPr>
        <w:pStyle w:val="Heading2"/>
      </w:pPr>
      <w:bookmarkStart w:id="381" w:name="_Toc525898136"/>
      <w:bookmarkStart w:id="382" w:name="_Toc525898268"/>
      <w:bookmarkStart w:id="383" w:name="_Toc525898654"/>
      <w:bookmarkStart w:id="384" w:name="_Toc526341635"/>
      <w:bookmarkStart w:id="385" w:name="_Toc526341956"/>
      <w:bookmarkStart w:id="386" w:name="_Toc527100587"/>
      <w:bookmarkStart w:id="387" w:name="_Toc527723164"/>
      <w:bookmarkStart w:id="388" w:name="_Toc529180613"/>
      <w:bookmarkStart w:id="389" w:name="_Toc530069136"/>
      <w:bookmarkStart w:id="390" w:name="_Toc530147039"/>
      <w:bookmarkStart w:id="391" w:name="_Toc530148251"/>
      <w:bookmarkStart w:id="392" w:name="_Toc780525"/>
      <w:bookmarkStart w:id="393" w:name="_Toc970749"/>
      <w:bookmarkStart w:id="394" w:name="_Toc1469957"/>
      <w:bookmarkStart w:id="395" w:name="_Toc2676111"/>
      <w:r w:rsidRPr="003E0698">
        <w:t>Universal Service Funding</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C6287D" w:rsidRPr="00C02D21" w:rsidP="00C6287D">
      <w:pPr>
        <w:pStyle w:val="ParaNum"/>
      </w:pPr>
      <w:r>
        <w:t>Universal service also played an essential role in deployment of broadband networks and encouraging competition.  The Commission’s Universal Service Fund (USF) provides funding to increase the availability of fixed and mobile broadband services in unserved and rural areas.</w:t>
      </w:r>
      <w:r>
        <w:rPr>
          <w:rStyle w:val="FootnoteReference"/>
        </w:rPr>
        <w:footnoteReference w:id="174"/>
      </w:r>
      <w:r>
        <w:t xml:space="preserve">  The Fund targets </w:t>
      </w:r>
      <w:r>
        <w:t>support to these areas and, as part of its oversight responsibilities, the Commission routinely considers ways to maximize the impact of available USF funding to support broadband deployment.</w:t>
      </w:r>
      <w:r>
        <w:rPr>
          <w:rStyle w:val="FootnoteReference"/>
        </w:rPr>
        <w:footnoteReference w:id="175"/>
      </w:r>
      <w:r>
        <w:t xml:space="preserve">  </w:t>
      </w:r>
    </w:p>
    <w:p w:rsidR="00C6287D" w:rsidP="00C6287D">
      <w:pPr>
        <w:pStyle w:val="ParaNum"/>
        <w:widowControl/>
      </w:pPr>
      <w:r>
        <w:rPr>
          <w:i/>
        </w:rPr>
        <w:t>High-Cost Reforms.</w:t>
      </w:r>
      <w:r>
        <w:t xml:space="preserve">  Over the past two years, for example, t</w:t>
      </w:r>
      <w:r w:rsidRPr="00205829">
        <w:t xml:space="preserve">he Commission has </w:t>
      </w:r>
      <w:r>
        <w:t>successfully conducted</w:t>
      </w:r>
      <w:r w:rsidRPr="00205829">
        <w:t xml:space="preserve"> the Connect America Fund Phase II</w:t>
      </w:r>
      <w:r>
        <w:t xml:space="preserve"> auction to </w:t>
      </w:r>
      <w:r w:rsidRPr="00205829">
        <w:t xml:space="preserve">award </w:t>
      </w:r>
      <w:r>
        <w:t xml:space="preserve">funding </w:t>
      </w:r>
      <w:r w:rsidRPr="00205829">
        <w:t>to service providers that commit to offer voice and broadband services to fixed locations in unserved high-cost areas.</w:t>
      </w:r>
      <w:r>
        <w:t xml:space="preserve"> </w:t>
      </w:r>
      <w:r w:rsidRPr="00205829">
        <w:t xml:space="preserve"> In February 2017, the Commission adopted a </w:t>
      </w:r>
      <w:r w:rsidRPr="00205829">
        <w:rPr>
          <w:i/>
        </w:rPr>
        <w:t xml:space="preserve">Report and Order and Order on Reconsideration </w:t>
      </w:r>
      <w:r w:rsidRPr="00205829">
        <w:t>finalizing bidding rules and establishing weights to compare bids in the auction.</w:t>
      </w:r>
      <w:r>
        <w:rPr>
          <w:rStyle w:val="FootnoteReference"/>
          <w:sz w:val="22"/>
        </w:rPr>
        <w:footnoteReference w:id="176"/>
      </w:r>
      <w:r w:rsidRPr="00205829">
        <w:t xml:space="preserve">  In August 2017, the Commission released a </w:t>
      </w:r>
      <w:r w:rsidRPr="00205829">
        <w:rPr>
          <w:i/>
        </w:rPr>
        <w:t xml:space="preserve">Public Notice </w:t>
      </w:r>
      <w:r w:rsidRPr="00205829">
        <w:t xml:space="preserve">proposing procedures to implement the Phase II auction.  The </w:t>
      </w:r>
      <w:r w:rsidRPr="006E1965">
        <w:t xml:space="preserve">Phase II auction, which </w:t>
      </w:r>
      <w:r>
        <w:t>offered</w:t>
      </w:r>
      <w:r w:rsidRPr="006E1965">
        <w:t xml:space="preserve"> up to nearly $2 billion over the next decade to expand fixed, high-speed Internet service to unserved rural</w:t>
      </w:r>
      <w:r w:rsidRPr="00820DFD">
        <w:t xml:space="preserve"> </w:t>
      </w:r>
      <w:r w:rsidRPr="006E1965">
        <w:t xml:space="preserve">areas, </w:t>
      </w:r>
      <w:r w:rsidRPr="006E1965">
        <w:rPr>
          <w:shd w:val="clear" w:color="auto" w:fill="FFFFFF"/>
        </w:rPr>
        <w:t>ran from July 24, 2018 to August 21, 2018.</w:t>
      </w:r>
      <w:r>
        <w:rPr>
          <w:rStyle w:val="FootnoteReference"/>
        </w:rPr>
        <w:footnoteReference w:id="177"/>
      </w:r>
      <w:r w:rsidRPr="006E1965">
        <w:rPr>
          <w:shd w:val="clear" w:color="auto" w:fill="FFFFFF"/>
        </w:rPr>
        <w:t xml:space="preserve">  At its conclusion, 103 bidders won $1.49 billion over 10 years to provide fixed broadband and voice services to over 700,000 locations in 45 states.</w:t>
      </w:r>
      <w:r>
        <w:rPr>
          <w:rStyle w:val="FootnoteReference"/>
          <w:shd w:val="clear" w:color="auto" w:fill="FFFFFF"/>
        </w:rPr>
        <w:footnoteReference w:id="178"/>
      </w:r>
      <w:r w:rsidRPr="006E1965">
        <w:t xml:space="preserve">  </w:t>
      </w:r>
      <w:r>
        <w:t>Separately, t</w:t>
      </w:r>
      <w:r w:rsidRPr="006E1965">
        <w:t xml:space="preserve">he Commission provided </w:t>
      </w:r>
      <w:r>
        <w:t>small, rural</w:t>
      </w:r>
      <w:r w:rsidRPr="006E1965">
        <w:t xml:space="preserve"> carriers with </w:t>
      </w:r>
      <w:r>
        <w:t xml:space="preserve">an infusion of </w:t>
      </w:r>
      <w:r w:rsidRPr="006E1965">
        <w:t>over $500 million to promote more high-speed broadband deployment in rural areas</w:t>
      </w:r>
      <w:r>
        <w:t xml:space="preserve"> in March 2018</w:t>
      </w:r>
      <w:r w:rsidRPr="006E1965">
        <w:t>.</w:t>
      </w:r>
      <w:r>
        <w:rPr>
          <w:rStyle w:val="FootnoteReference"/>
        </w:rPr>
        <w:footnoteReference w:id="179"/>
      </w:r>
      <w:r w:rsidRPr="006E1965">
        <w:t xml:space="preserve"> </w:t>
      </w:r>
      <w:r>
        <w:t xml:space="preserve"> </w:t>
      </w:r>
    </w:p>
    <w:p w:rsidR="00C6287D" w:rsidP="007365B4">
      <w:pPr>
        <w:pStyle w:val="ParaNum"/>
        <w:widowControl/>
      </w:pPr>
      <w:r>
        <w:t xml:space="preserve">In December 2018, the Commission adopted revised model offers for rate-of-return carriers receiving model-based support and new model offers for rate-of-return carriers currently receiving legacy support; adopted a new budget for carriers remaining on legacy support based on uncapped 2018 claims (that will be increased by inflation annually); and adopted other measures to </w:t>
      </w:r>
      <w:r w:rsidRPr="00EC5267">
        <w:t>mitigate the regulatory burden on providers and encourage the efficient use of universal service support</w:t>
      </w:r>
      <w:r>
        <w:t>.</w:t>
      </w:r>
      <w:r>
        <w:rPr>
          <w:rStyle w:val="FootnoteReference"/>
        </w:rPr>
        <w:footnoteReference w:id="180"/>
      </w:r>
      <w:r>
        <w:t xml:space="preserve">  </w:t>
      </w:r>
      <w:r w:rsidRPr="3838696A">
        <w:t xml:space="preserve"> </w:t>
      </w:r>
    </w:p>
    <w:p w:rsidR="00C6287D" w:rsidP="00C6287D">
      <w:pPr>
        <w:pStyle w:val="ParaNum"/>
      </w:pPr>
      <w:r>
        <w:rPr>
          <w:i/>
        </w:rPr>
        <w:t xml:space="preserve">Rural Health Care </w:t>
      </w:r>
      <w:r w:rsidRPr="00FF6222">
        <w:rPr>
          <w:i/>
        </w:rPr>
        <w:t>Reforms</w:t>
      </w:r>
      <w:r>
        <w:t>.</w:t>
      </w:r>
      <w:r w:rsidRPr="00CC2685">
        <w:t xml:space="preserve"> </w:t>
      </w:r>
      <w:r>
        <w:t xml:space="preserve"> </w:t>
      </w:r>
      <w:r w:rsidRPr="00525475">
        <w:t>In</w:t>
      </w:r>
      <w:r w:rsidRPr="003B1309">
        <w:t xml:space="preserve"> December 2017, the Commission issued a </w:t>
      </w:r>
      <w:r w:rsidRPr="003B1309">
        <w:rPr>
          <w:i/>
        </w:rPr>
        <w:t xml:space="preserve">Notice of Proposed Rulemaking </w:t>
      </w:r>
      <w:r w:rsidRPr="003B1309">
        <w:t>to review the Rural Health Care program and sought comment on ways to improve connectivity for health care providers in rural areas including whether to lift the program’s funding cap to make additional money available for broadband to rural health care providers.</w:t>
      </w:r>
      <w:r>
        <w:rPr>
          <w:rStyle w:val="FootnoteReference"/>
        </w:rPr>
        <w:footnoteReference w:id="181"/>
      </w:r>
      <w:r w:rsidRPr="003B1309">
        <w:t xml:space="preserve">  In an accompanying </w:t>
      </w:r>
      <w:r w:rsidRPr="003B1309">
        <w:rPr>
          <w:i/>
        </w:rPr>
        <w:t>Order</w:t>
      </w:r>
      <w:r w:rsidRPr="003B1309">
        <w:t>, the Commission gran</w:t>
      </w:r>
      <w:r w:rsidRPr="0003307A">
        <w:t>ted relief to</w:t>
      </w:r>
      <w:r>
        <w:t xml:space="preserve"> individual</w:t>
      </w:r>
      <w:r w:rsidRPr="0003307A">
        <w:t xml:space="preserve"> rural health care providers facing potential funding </w:t>
      </w:r>
      <w:r w:rsidRPr="0003307A">
        <w:t>cuts in funding year 2017.</w:t>
      </w:r>
      <w:r>
        <w:rPr>
          <w:rStyle w:val="FootnoteReference"/>
          <w:sz w:val="22"/>
        </w:rPr>
        <w:footnoteReference w:id="182"/>
      </w:r>
      <w:r w:rsidRPr="003B1309">
        <w:t xml:space="preserve">  </w:t>
      </w:r>
      <w:r w:rsidRPr="006E1965">
        <w:t xml:space="preserve">In </w:t>
      </w:r>
      <w:r>
        <w:t>June 2018</w:t>
      </w:r>
      <w:r w:rsidRPr="006E1965">
        <w:t>, the Commission</w:t>
      </w:r>
      <w:r>
        <w:t xml:space="preserve"> adopted rules</w:t>
      </w:r>
      <w:r w:rsidRPr="006E1965">
        <w:t xml:space="preserve"> </w:t>
      </w:r>
      <w:r>
        <w:t xml:space="preserve">to </w:t>
      </w:r>
      <w:r w:rsidRPr="006E1965">
        <w:t>increase the funding cap for the Rural Health</w:t>
      </w:r>
      <w:r>
        <w:t xml:space="preserve"> C</w:t>
      </w:r>
      <w:r w:rsidRPr="006E1965">
        <w:t>are program</w:t>
      </w:r>
      <w:r>
        <w:t xml:space="preserve"> from $400 million</w:t>
      </w:r>
      <w:r w:rsidRPr="006E1965">
        <w:t xml:space="preserve"> to $571 million</w:t>
      </w:r>
      <w:r>
        <w:t xml:space="preserve"> for funding year 2017</w:t>
      </w:r>
      <w:r w:rsidRPr="006E1965">
        <w:t xml:space="preserve"> to prevent pro-rata funding reductions that could have disproportionally impacted rural health care providers, especially those in Alaska.</w:t>
      </w:r>
      <w:r>
        <w:rPr>
          <w:rStyle w:val="FootnoteReference"/>
        </w:rPr>
        <w:footnoteReference w:id="183"/>
      </w:r>
      <w:r>
        <w:t xml:space="preserve">  </w:t>
      </w:r>
      <w:r w:rsidRPr="00956C44">
        <w:t>The Commission also adopted rules to annually adjust the Rural Health Care program funding cap for inflation, beginning with funding year 2018, and to establish a process to carry-forward unused funds from past funding years for use in future funding years.</w:t>
      </w:r>
      <w:r>
        <w:rPr>
          <w:vertAlign w:val="superscript"/>
        </w:rPr>
        <w:footnoteReference w:id="184"/>
      </w:r>
      <w:r w:rsidRPr="003E0698">
        <w:t xml:space="preserve">  </w:t>
      </w:r>
    </w:p>
    <w:p w:rsidR="00C6287D" w:rsidRPr="00820DFD" w:rsidP="00C6287D">
      <w:pPr>
        <w:pStyle w:val="ParaNum"/>
      </w:pPr>
      <w:r>
        <w:rPr>
          <w:i/>
        </w:rPr>
        <w:t>E-Rate</w:t>
      </w:r>
      <w:r>
        <w:t>.  To promote the deployment of high-speed networks to unserved and underserved schools and libraries, in January 2019, the Commission proposed to permanently eliminate the requirement that E-Rate applicants amortize over three years upfront, non-recurring category one charges of $500,000 or more, including charges for</w:t>
      </w:r>
      <w:r w:rsidRPr="0061293B">
        <w:t xml:space="preserve"> special construction projects</w:t>
      </w:r>
      <w:r>
        <w:t>.</w:t>
      </w:r>
      <w:r>
        <w:rPr>
          <w:rStyle w:val="FootnoteReference"/>
        </w:rPr>
        <w:footnoteReference w:id="185"/>
      </w:r>
      <w:r>
        <w:t xml:space="preserve">  The Commission also waived the amortization requirement while it considers its proposal.</w:t>
      </w:r>
      <w:r>
        <w:rPr>
          <w:rStyle w:val="FootnoteReference"/>
        </w:rPr>
        <w:footnoteReference w:id="186"/>
      </w:r>
      <w:r>
        <w:t xml:space="preserve">  The amortization requirement previously had been suspended from funding years 2015 through 2018.</w:t>
      </w:r>
      <w:r>
        <w:rPr>
          <w:rStyle w:val="FootnoteReference"/>
        </w:rPr>
        <w:footnoteReference w:id="187"/>
      </w:r>
      <w:r>
        <w:t xml:space="preserve">  The Commission found that suspending the requirement </w:t>
      </w:r>
      <w:r w:rsidRPr="00BF2D15">
        <w:t xml:space="preserve">decreased administrative burdens associated with applying for E-Rate support; allowed applicants and service providers to receive disbursements for the full E-Rate supported portion of </w:t>
      </w:r>
      <w:r>
        <w:t xml:space="preserve">special construction </w:t>
      </w:r>
      <w:r w:rsidRPr="00BF2D15">
        <w:t>projects sooner; and reduced uncertainty regarding the availability of funding</w:t>
      </w:r>
      <w:r>
        <w:t>.</w:t>
      </w:r>
      <w:r>
        <w:rPr>
          <w:rStyle w:val="FootnoteReference"/>
        </w:rPr>
        <w:footnoteReference w:id="188"/>
      </w:r>
    </w:p>
    <w:p w:rsidR="00C6287D" w:rsidRPr="00820DFD" w:rsidP="00C6287D">
      <w:pPr>
        <w:pStyle w:val="ParaNum"/>
      </w:pPr>
      <w:r>
        <w:rPr>
          <w:i/>
        </w:rPr>
        <w:t>Connected Care Pilot Program.</w:t>
      </w:r>
      <w:r>
        <w:t xml:space="preserve">  In August 2018, the Commission adopted a Notice of Inquiry exploring the creation of a pilot program to support the delivery of advanced telehealth services to low-income Americans.</w:t>
      </w:r>
      <w:r>
        <w:rPr>
          <w:rStyle w:val="FootnoteReference"/>
        </w:rPr>
        <w:footnoteReference w:id="189"/>
      </w:r>
      <w:r>
        <w:t xml:space="preserve">  In that Notice of Inquiry, the Commission recognized that low-income consumers, especially those living in rural areas, lack access to affordable broadband and cannot benefit from connected care medical services.</w:t>
      </w:r>
      <w:r>
        <w:rPr>
          <w:rStyle w:val="FootnoteReference"/>
        </w:rPr>
        <w:footnoteReference w:id="190"/>
      </w:r>
      <w:r>
        <w:t xml:space="preserve">  The Commission sought comment on the goals for a Connected Care pilot program, including increasing the deployment of broadband in unserved and underserved areas and how best to direct funds to efficiently encourage deployment.</w:t>
      </w:r>
      <w:r>
        <w:rPr>
          <w:rStyle w:val="FootnoteReference"/>
        </w:rPr>
        <w:footnoteReference w:id="191"/>
      </w:r>
      <w:r>
        <w:t xml:space="preserve">  That proceeding remains open as the Commission deliberates on how best to proceed.</w:t>
      </w:r>
    </w:p>
    <w:p w:rsidR="00C6287D" w:rsidRPr="003E0698" w:rsidP="00C6287D">
      <w:pPr>
        <w:pStyle w:val="ParaNum"/>
      </w:pPr>
      <w:r w:rsidRPr="003A4EB5">
        <w:rPr>
          <w:i/>
        </w:rPr>
        <w:t>Disaster Recovery</w:t>
      </w:r>
      <w:r w:rsidRPr="003E0698">
        <w:t xml:space="preserve">.  </w:t>
      </w:r>
      <w:r>
        <w:t xml:space="preserve">The Commission has also been at the forefront of supporting areas affected by natural disasters, in part through the use of USF funding.  In October 2017, the Commission pledged to repair communications networks in Puerto Rico and the U.S. Virgin Islands damaged by </w:t>
      </w:r>
      <w:r>
        <w:t>Hurricane Maria</w:t>
      </w:r>
      <w:r>
        <w:rPr>
          <w:rStyle w:val="FootnoteReference"/>
        </w:rPr>
        <w:footnoteReference w:id="192"/>
      </w:r>
      <w:r>
        <w:t xml:space="preserve"> and in</w:t>
      </w:r>
      <w:r w:rsidRPr="003E0698">
        <w:t xml:space="preserve"> May 2018, the Commission approved additional funding to accelerate the restoration of communications networks in Puerto Rico and the U.S. Virgin Islands that were damaged and destroyed during the 2017 hurricane season.</w:t>
      </w:r>
      <w:r>
        <w:rPr>
          <w:rStyle w:val="FootnoteReference"/>
        </w:rPr>
        <w:footnoteReference w:id="193"/>
      </w:r>
      <w:r w:rsidRPr="003E0698">
        <w:t xml:space="preserve">  It also sought comment on </w:t>
      </w:r>
      <w:r>
        <w:t>providing</w:t>
      </w:r>
      <w:r w:rsidRPr="003E0698">
        <w:t xml:space="preserve"> almost $900 million in medium- and long-term funding </w:t>
      </w:r>
      <w:r>
        <w:t xml:space="preserve">for the purpose of </w:t>
      </w:r>
      <w:r w:rsidRPr="003E0698">
        <w:t>expanding and improving broadband access on the islands.</w:t>
      </w:r>
      <w:r>
        <w:rPr>
          <w:rStyle w:val="FootnoteReference"/>
        </w:rPr>
        <w:footnoteReference w:id="194"/>
      </w:r>
      <w:r w:rsidRPr="003E0698">
        <w:t xml:space="preserve">  The Order and Notice of Proposed Rulemaking includes an immediate infusion of approximately $64 million in additional funding for short-term restoration efforts, and sought public comment on a proposal to allocate approximately $444.5 million in funding for Puerto Rico and $186.5 million for the U.S. Virgin Islands over the next decade for the expansion of fixed broadband connectivity.</w:t>
      </w:r>
      <w:r>
        <w:rPr>
          <w:rStyle w:val="FootnoteReference"/>
        </w:rPr>
        <w:footnoteReference w:id="195"/>
      </w:r>
    </w:p>
    <w:p w:rsidR="00C6287D" w:rsidRPr="003E0698" w:rsidP="00A94DE8">
      <w:pPr>
        <w:pStyle w:val="Heading2"/>
      </w:pPr>
      <w:bookmarkStart w:id="396" w:name="_Toc525898137"/>
      <w:bookmarkStart w:id="397" w:name="_Toc525898269"/>
      <w:bookmarkStart w:id="398" w:name="_Toc525898655"/>
      <w:bookmarkStart w:id="399" w:name="_Toc526341636"/>
      <w:bookmarkStart w:id="400" w:name="_Toc526341957"/>
      <w:bookmarkStart w:id="401" w:name="_Toc527100588"/>
      <w:bookmarkStart w:id="402" w:name="_Toc527723165"/>
      <w:bookmarkStart w:id="403" w:name="_Toc529180614"/>
      <w:bookmarkStart w:id="404" w:name="_Toc530069137"/>
      <w:bookmarkStart w:id="405" w:name="_Toc530147040"/>
      <w:bookmarkStart w:id="406" w:name="_Toc530148252"/>
      <w:bookmarkStart w:id="407" w:name="_Toc780526"/>
      <w:bookmarkStart w:id="408" w:name="_Toc970750"/>
      <w:bookmarkStart w:id="409" w:name="_Toc1469958"/>
      <w:bookmarkStart w:id="410" w:name="_Toc2676112"/>
      <w:r w:rsidRPr="003E0698">
        <w:t>Access to Spectrum</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C6287D" w:rsidP="00C6287D">
      <w:pPr>
        <w:pStyle w:val="ParaNum"/>
      </w:pPr>
      <w:r w:rsidRPr="003E0698">
        <w:t xml:space="preserve">Since the release of the </w:t>
      </w:r>
      <w:r w:rsidRPr="003A4EB5">
        <w:rPr>
          <w:i/>
        </w:rPr>
        <w:t>2018 Report</w:t>
      </w:r>
      <w:r w:rsidRPr="003E0698">
        <w:t xml:space="preserve">, the Commission has continued its efforts to expand access to spectrum to support or supplement wireless and satellite broadband services.  On August 3, 2018, the Commission announced the application and bidding procedures for the </w:t>
      </w:r>
      <w:r w:rsidRPr="003A4EB5">
        <w:rPr>
          <w:i/>
        </w:rPr>
        <w:t>Spectrum Frontiers</w:t>
      </w:r>
      <w:r w:rsidRPr="003E0698">
        <w:t xml:space="preserve"> auctions of licenses in the 24 GHz and 28 GHz bands to speed the deployment of 5G services in these bands.</w:t>
      </w:r>
      <w:r>
        <w:rPr>
          <w:rStyle w:val="FootnoteReference"/>
        </w:rPr>
        <w:footnoteReference w:id="196"/>
      </w:r>
      <w:r w:rsidRPr="003E0698">
        <w:t xml:space="preserve">  The two auctions have separate application and bidding processes and concurrent application windows, and the first round of bidding commenced November 14, 2018.</w:t>
      </w:r>
      <w:r>
        <w:rPr>
          <w:rStyle w:val="FootnoteReference"/>
        </w:rPr>
        <w:footnoteReference w:id="197"/>
      </w:r>
      <w:r w:rsidRPr="003E0698">
        <w:t xml:space="preserve">  On September 2</w:t>
      </w:r>
      <w:r>
        <w:t>6</w:t>
      </w:r>
      <w:r w:rsidRPr="003E0698">
        <w:t>, 2018, the Commission streamlined, consolidated, and harmonized the rules governing earth stations used to provide satellite-based FSS services on ships, airplanes and vehicles.</w:t>
      </w:r>
      <w:r>
        <w:rPr>
          <w:rStyle w:val="FootnoteReference"/>
        </w:rPr>
        <w:footnoteReference w:id="198"/>
      </w:r>
      <w:r w:rsidRPr="003E0698">
        <w:t xml:space="preserve">  These actions simplify the regulatory approval process for this rapidly growing segment of the satellite communications market and expand the FSS frequency bands where these operations can be conducted.</w:t>
      </w:r>
      <w:r>
        <w:rPr>
          <w:rStyle w:val="FootnoteReference"/>
        </w:rPr>
        <w:footnoteReference w:id="199"/>
      </w:r>
      <w:r w:rsidRPr="003E0698">
        <w:t xml:space="preserve">  On November 15, 2018, the Commission adopted a Notice of Proposed Rulemaking proposing to further streamline the Commission’s Part 25 rules governing satellite services, including through consolidated licensing and reporting proposals.</w:t>
      </w:r>
      <w:r>
        <w:rPr>
          <w:rStyle w:val="FootnoteReference"/>
        </w:rPr>
        <w:footnoteReference w:id="200"/>
      </w:r>
    </w:p>
    <w:p w:rsidR="00C6287D" w:rsidP="00C6287D">
      <w:pPr>
        <w:pStyle w:val="ParaNum"/>
      </w:pPr>
      <w:r>
        <w:t>In addition</w:t>
      </w:r>
      <w:r w:rsidRPr="003E0698">
        <w:t xml:space="preserve">, the Commission has initiated several proceedings aimed at facilitating the efficient and effective use of spectrum, such as the </w:t>
      </w:r>
      <w:r w:rsidRPr="00184D32">
        <w:t>2.5 GHz</w:t>
      </w:r>
      <w:r w:rsidRPr="003A4EB5">
        <w:rPr>
          <w:i/>
        </w:rPr>
        <w:t xml:space="preserve"> </w:t>
      </w:r>
      <w:r w:rsidRPr="003E0698">
        <w:t xml:space="preserve">rulemaking proceeding, or increasing the amount of spectrum that may be used to enhance bandwidth and capacity, such as the </w:t>
      </w:r>
      <w:r w:rsidRPr="003A4EB5">
        <w:rPr>
          <w:i/>
        </w:rPr>
        <w:t>Spectrum Frontiers</w:t>
      </w:r>
      <w:r w:rsidRPr="003E0698">
        <w:t xml:space="preserve"> proceeding.</w:t>
      </w:r>
      <w:r>
        <w:rPr>
          <w:rStyle w:val="FootnoteReference"/>
        </w:rPr>
        <w:footnoteReference w:id="201"/>
      </w:r>
      <w:r w:rsidRPr="003E0698">
        <w:t xml:space="preserve">  In another proceeding, the Commission is pursuing the joint goals of making more mid-</w:t>
      </w:r>
      <w:r w:rsidRPr="003E0698">
        <w:t>band spectrum available between 3.7-4.2 GHz for new terrestrial wireless uses while balancing desired speed to the market, efficiency of use, and effectively accommodating incumbent Fixed Satellite Service (FSS) and Fixed Service (FS) operations in the band.</w:t>
      </w:r>
      <w:r>
        <w:rPr>
          <w:rStyle w:val="FootnoteReference"/>
        </w:rPr>
        <w:footnoteReference w:id="202"/>
      </w:r>
      <w:r w:rsidRPr="003E0698">
        <w:t xml:space="preserve">  </w:t>
      </w:r>
    </w:p>
    <w:p w:rsidR="00C6287D" w:rsidRPr="003E0698" w:rsidP="00C6287D">
      <w:pPr>
        <w:pStyle w:val="ParaNum"/>
      </w:pPr>
      <w:r w:rsidRPr="003E0698">
        <w:t xml:space="preserve">With respect to satellite, the Commission approved the first U.S.-licensed satellite constellation to provide broadband services using a new generation of low-Earth orbit </w:t>
      </w:r>
      <w:r>
        <w:t xml:space="preserve">(LEO) </w:t>
      </w:r>
      <w:r w:rsidRPr="003E0698">
        <w:t xml:space="preserve">satellite technologies in the </w:t>
      </w:r>
      <w:r w:rsidRPr="006D605C">
        <w:rPr>
          <w:i/>
        </w:rPr>
        <w:t>SpaceX Authorization Order</w:t>
      </w:r>
      <w:r w:rsidRPr="003E0698">
        <w:t>.</w:t>
      </w:r>
      <w:r>
        <w:rPr>
          <w:rStyle w:val="FootnoteReference"/>
        </w:rPr>
        <w:footnoteReference w:id="203"/>
      </w:r>
      <w:r w:rsidRPr="003E0698">
        <w:t xml:space="preserve">  The Commission also granted O3b Limited’s request to expand its grant of U.S. market access for its NGSO constellation in order to allow O3b to pursue its goal of expanding broadband </w:t>
      </w:r>
      <w:r>
        <w:t>I</w:t>
      </w:r>
      <w:r w:rsidRPr="003E0698">
        <w:t>nternet access to communities across the United States.</w:t>
      </w:r>
      <w:r>
        <w:rPr>
          <w:rStyle w:val="FootnoteReference"/>
        </w:rPr>
        <w:footnoteReference w:id="204"/>
      </w:r>
      <w:r w:rsidRPr="003E0698">
        <w:t xml:space="preserve">  These actions promise to expand broadband to communities across the United States.  </w:t>
      </w:r>
    </w:p>
    <w:p w:rsidR="00C6287D" w:rsidRPr="003E0698" w:rsidP="00C6287D">
      <w:pPr>
        <w:pStyle w:val="ParaNum"/>
      </w:pPr>
      <w:r w:rsidRPr="003E0698">
        <w:t xml:space="preserve">  On November 15, 2018, the Commission adopted a number of Orders granting the applications of non-geostationary (NGSO) FSS LEO systems for authorization or market access to provide broadband services in the United States.  Specifically, the Commission (1)</w:t>
      </w:r>
      <w:r>
        <w:t> </w:t>
      </w:r>
      <w:r w:rsidRPr="003E0698">
        <w:t>granted Telesat Canada’s request to access the U.S. market to provide broadband services using a proposed constellation of 117 NGSO LEO satellites,</w:t>
      </w:r>
      <w:r>
        <w:rPr>
          <w:rStyle w:val="FootnoteReference"/>
        </w:rPr>
        <w:footnoteReference w:id="205"/>
      </w:r>
      <w:r w:rsidRPr="003E0698">
        <w:t xml:space="preserve"> and (2)</w:t>
      </w:r>
      <w:r>
        <w:t> </w:t>
      </w:r>
      <w:r w:rsidRPr="003E0698">
        <w:t>granted LeoSat’s request for U.S. market access to provide satellite broadband services in the United States using a proposed constellation of 78 NGSO LEO satellites, including high-speed connectivity for enterprises.</w:t>
      </w:r>
      <w:r>
        <w:rPr>
          <w:rStyle w:val="FootnoteReference"/>
        </w:rPr>
        <w:footnoteReference w:id="206"/>
      </w:r>
      <w:r w:rsidRPr="003E0698">
        <w:t xml:space="preserve">  The Commission also granted SpaceX’s </w:t>
      </w:r>
      <w:r w:rsidRPr="003E0698">
        <w:t>application to construct, deploy and operate a proposed NGSO satellite system using frequencies in the V-band, which will provide SpaceX with additional flexibility to provide both diverse geographic coverage and the capacity to support a wide range of proposed broadband and communications services in the United States and globally.</w:t>
      </w:r>
      <w:r>
        <w:rPr>
          <w:rStyle w:val="FootnoteReference"/>
        </w:rPr>
        <w:footnoteReference w:id="207"/>
      </w:r>
    </w:p>
    <w:p w:rsidR="00C6287D" w:rsidP="00C6287D">
      <w:pPr>
        <w:pStyle w:val="ParaNum"/>
      </w:pPr>
      <w:r w:rsidRPr="003E0698">
        <w:t xml:space="preserve"> By assessing our ongoing efforts toward closing the digital divide, as we do in this Report, we gain valuable insight from stakeholders and other interested parties as to whether our policies and actions are effective and what more we could consider doing as we continue our work to ensure that all Americans have access to advanced telecommunications capability.  </w:t>
      </w:r>
      <w:r>
        <w:t>W</w:t>
      </w:r>
      <w:r w:rsidRPr="003E0698">
        <w:t>e agree with R Street that the work of the Commission’s new Office of Economics and Analytics should further enhance the precision of our section 706 analysis and bolster our data-driven policies going forward.</w:t>
      </w:r>
      <w:r>
        <w:rPr>
          <w:rStyle w:val="FootnoteReference"/>
        </w:rPr>
        <w:footnoteReference w:id="208"/>
      </w:r>
      <w:r w:rsidRPr="003E0698">
        <w:t xml:space="preserve"> </w:t>
      </w:r>
    </w:p>
    <w:p w:rsidR="00C6287D" w:rsidRPr="003E0698" w:rsidP="00A94DE8">
      <w:pPr>
        <w:pStyle w:val="Heading2"/>
      </w:pPr>
      <w:bookmarkStart w:id="412" w:name="_Toc970751"/>
      <w:bookmarkStart w:id="413" w:name="_Toc1469959"/>
      <w:bookmarkStart w:id="414" w:name="_Toc2676113"/>
      <w:r w:rsidRPr="003E0698">
        <w:t>Broadband Deployment Advisory Committee</w:t>
      </w:r>
      <w:bookmarkEnd w:id="412"/>
      <w:bookmarkEnd w:id="413"/>
      <w:bookmarkEnd w:id="414"/>
    </w:p>
    <w:p w:rsidR="00C6287D" w:rsidRPr="003E0698" w:rsidP="007365B4">
      <w:pPr>
        <w:pStyle w:val="ParaNum"/>
        <w:widowControl/>
      </w:pPr>
      <w:r w:rsidRPr="003E0698">
        <w:t>The BDAC, a federal advisory committee chartered in March 2017, make</w:t>
      </w:r>
      <w:r>
        <w:t>s</w:t>
      </w:r>
      <w:r w:rsidRPr="003E0698">
        <w:t xml:space="preserve"> recommendations to the Commission on how to accelerate broadband deployment by reducing and/or removing regulatory barriers to infrastructure investment.</w:t>
      </w:r>
      <w:r>
        <w:rPr>
          <w:rStyle w:val="FootnoteReference"/>
        </w:rPr>
        <w:footnoteReference w:id="209"/>
      </w:r>
      <w:r w:rsidRPr="003E0698">
        <w:t xml:space="preserve">  The BDAC provides a means for stakeholders to exchange ideas and develop recommendations to the Commission on broadband deployment, thereby enhancing the Commission’s ability to carry out its statutory responsibility to encourage broadband deployment to all Americans.</w:t>
      </w:r>
      <w:r>
        <w:rPr>
          <w:rStyle w:val="FootnoteReference"/>
        </w:rPr>
        <w:footnoteReference w:id="210"/>
      </w:r>
      <w:r w:rsidRPr="003E0698">
        <w:t xml:space="preserve">  Since the Commission released the </w:t>
      </w:r>
      <w:r w:rsidRPr="005945A7">
        <w:rPr>
          <w:i/>
        </w:rPr>
        <w:t>2018 Report</w:t>
      </w:r>
      <w:r w:rsidRPr="003E0698">
        <w:t>, the BDAC has met three times, first on April 25, 2018</w:t>
      </w:r>
      <w:r>
        <w:rPr>
          <w:rStyle w:val="FootnoteReference"/>
        </w:rPr>
        <w:footnoteReference w:id="211"/>
      </w:r>
      <w:r w:rsidRPr="003E0698">
        <w:t xml:space="preserve"> then on July 26-27, 2018,</w:t>
      </w:r>
      <w:r>
        <w:rPr>
          <w:rStyle w:val="FootnoteReference"/>
        </w:rPr>
        <w:footnoteReference w:id="212"/>
      </w:r>
      <w:r w:rsidRPr="003E0698">
        <w:t xml:space="preserve"> and again on December 6-7, 2018.</w:t>
      </w:r>
      <w:r>
        <w:rPr>
          <w:rStyle w:val="FootnoteReference"/>
        </w:rPr>
        <w:footnoteReference w:id="213"/>
      </w:r>
      <w:r w:rsidRPr="003E0698">
        <w:t xml:space="preserve">     </w:t>
      </w:r>
    </w:p>
    <w:p w:rsidR="00C6287D" w:rsidP="00C6287D">
      <w:pPr>
        <w:pStyle w:val="ParaNum"/>
      </w:pPr>
      <w:r>
        <w:t>In 2018, the BDAC considered reports and recommendations from its various working groups, including draft model codes for states and municipalities to encourage the development and deployment of broadband infrastructure.</w:t>
      </w:r>
      <w:r>
        <w:rPr>
          <w:rStyle w:val="FootnoteReference"/>
        </w:rPr>
        <w:footnoteReference w:id="214"/>
      </w:r>
      <w:r>
        <w:t xml:space="preserve">  The BDAC adopted the model code for municipalities at the </w:t>
      </w:r>
      <w:r>
        <w:t xml:space="preserve">July 2018 meeting and finalized the model code for states at the December 2018 meeting.  </w:t>
      </w:r>
    </w:p>
    <w:p w:rsidR="00C6287D" w:rsidRPr="003E0698" w:rsidP="00C6287D">
      <w:pPr>
        <w:pStyle w:val="ParaNum"/>
        <w:widowControl/>
      </w:pPr>
      <w:r>
        <w:t>In August, the BDAC solicited nominations for membership on a new Disaster Response and Recovery Working Group, and o</w:t>
      </w:r>
      <w:r w:rsidRPr="003E0698">
        <w:t>n November 1, 2018, Chairman Pai appointed the members who will serve on the Disaster Response and Recovery Working Group of the BDAC.</w:t>
      </w:r>
      <w:r>
        <w:rPr>
          <w:rStyle w:val="FootnoteReference"/>
        </w:rPr>
        <w:footnoteReference w:id="215"/>
      </w:r>
      <w:r w:rsidRPr="003E0698">
        <w:t xml:space="preserve">  The BDAC’s Disaster Response and Recovery Working Group </w:t>
      </w:r>
      <w:r>
        <w:t>will be charged with making recommendations on additional measures that can be taken before a disaster to improve resiliency of broadband infrastructure, strategies that can be used during the response to a disaster to minimize the downtime of broadband networks, and actions that can be taken to restore broadband infrastructure during disaster recovery.</w:t>
      </w:r>
      <w:r>
        <w:rPr>
          <w:rStyle w:val="FootnoteReference"/>
        </w:rPr>
        <w:footnoteReference w:id="216"/>
      </w:r>
      <w:r>
        <w:t xml:space="preserve">  On December 10, the Commission announced its intent to re-charter the BDAC for an additional two years, starting on or about March 1, 2019, and solicited nominations for the re-chartered BDAC.</w:t>
      </w:r>
      <w:r>
        <w:rPr>
          <w:rStyle w:val="FootnoteReference"/>
        </w:rPr>
        <w:footnoteReference w:id="217"/>
      </w:r>
      <w:r>
        <w:t xml:space="preserve">  </w:t>
      </w:r>
    </w:p>
    <w:p w:rsidR="00C6287D" w:rsidRPr="003E0698" w:rsidP="00C6287D">
      <w:pPr>
        <w:pStyle w:val="ParaNum"/>
        <w:widowControl/>
      </w:pPr>
      <w:r w:rsidRPr="003E0698">
        <w:t>The BDAC’s efforts have been particularly influential in the Commission’s infrastructure proceedings.  A number of the BDAC’s recommendations</w:t>
      </w:r>
      <w:r>
        <w:rPr>
          <w:rStyle w:val="FootnoteReference"/>
        </w:rPr>
        <w:footnoteReference w:id="218"/>
      </w:r>
      <w:r w:rsidRPr="003E0698">
        <w:t xml:space="preserve"> provided the framework for many of the Commission’s actions in the August 2018 </w:t>
      </w:r>
      <w:r w:rsidRPr="005945A7">
        <w:rPr>
          <w:i/>
        </w:rPr>
        <w:t>Wireline Infrastructure Third Report and Order and Declaratory Ruling</w:t>
      </w:r>
      <w:r w:rsidRPr="003E0698">
        <w:t>,</w:t>
      </w:r>
      <w:r>
        <w:rPr>
          <w:rStyle w:val="FootnoteReference"/>
        </w:rPr>
        <w:footnoteReference w:id="219"/>
      </w:r>
      <w:r w:rsidRPr="003E0698">
        <w:t xml:space="preserve"> including the BDAC’s January 2018 proposal to streamline pole attachment make-ready workflows under a “one-touch make-ready” (OTMR) model.</w:t>
      </w:r>
      <w:r w:rsidRPr="003A4EB5">
        <w:rPr>
          <w:rStyle w:val="FootnoteReference"/>
        </w:rPr>
        <w:t xml:space="preserve"> </w:t>
      </w:r>
      <w:r>
        <w:rPr>
          <w:rStyle w:val="FootnoteReference"/>
        </w:rPr>
        <w:footnoteReference w:id="220"/>
      </w:r>
      <w:r w:rsidRPr="003E0698">
        <w:t xml:space="preserve">  Similarly, the BDAC’s findings, reports, and recommendations</w:t>
      </w:r>
      <w:r>
        <w:rPr>
          <w:rStyle w:val="FootnoteReference"/>
        </w:rPr>
        <w:footnoteReference w:id="221"/>
      </w:r>
      <w:r w:rsidRPr="003E0698">
        <w:t xml:space="preserve"> informed the conclusions in the Commission’s September 2018 </w:t>
      </w:r>
      <w:r w:rsidRPr="005945A7">
        <w:rPr>
          <w:i/>
        </w:rPr>
        <w:t>Wireless Infrastructure Declaratory Ruling and Third Report and Order</w:t>
      </w:r>
      <w:r w:rsidRPr="003E0698">
        <w:t>.</w:t>
      </w:r>
      <w:r w:rsidRPr="00BC2D26">
        <w:rPr>
          <w:rStyle w:val="FootnoteReference"/>
        </w:rPr>
        <w:t xml:space="preserve"> </w:t>
      </w:r>
      <w:r>
        <w:rPr>
          <w:rStyle w:val="FootnoteReference"/>
        </w:rPr>
        <w:footnoteReference w:id="222"/>
      </w:r>
    </w:p>
    <w:p w:rsidR="00C6287D" w:rsidRPr="003E0698" w:rsidP="00C6287D">
      <w:pPr>
        <w:pStyle w:val="Heading1"/>
        <w:tabs>
          <w:tab w:val="num" w:pos="720"/>
        </w:tabs>
        <w:snapToGrid w:val="0"/>
        <w:rPr>
          <w:rFonts w:ascii="Times New Roman" w:hAnsi="Times New Roman"/>
        </w:rPr>
      </w:pPr>
      <w:bookmarkStart w:id="415" w:name="_Toc525898271"/>
      <w:bookmarkStart w:id="416" w:name="_Toc525898657"/>
      <w:bookmarkStart w:id="417" w:name="_Toc526341638"/>
      <w:bookmarkStart w:id="418" w:name="_Toc526341959"/>
      <w:bookmarkStart w:id="419" w:name="_Toc527100590"/>
      <w:bookmarkStart w:id="420" w:name="_Toc527723167"/>
      <w:bookmarkStart w:id="421" w:name="_Toc529180616"/>
      <w:bookmarkStart w:id="422" w:name="_Toc530069139"/>
      <w:bookmarkStart w:id="423" w:name="_Toc530147042"/>
      <w:bookmarkStart w:id="424" w:name="_Toc530148254"/>
      <w:bookmarkStart w:id="425" w:name="_Toc780528"/>
      <w:bookmarkStart w:id="426" w:name="_Toc970752"/>
      <w:bookmarkStart w:id="427" w:name="_Toc1469960"/>
      <w:bookmarkStart w:id="428" w:name="_Toc2676114"/>
      <w:bookmarkStart w:id="429" w:name="_Toc525898140"/>
      <w:r w:rsidRPr="003E0698">
        <w:rPr>
          <w:rFonts w:ascii="Times New Roman" w:hAnsi="Times New Roman"/>
        </w:rPr>
        <w:t>Section 706 Finding</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3E0698">
        <w:rPr>
          <w:rFonts w:ascii="Times New Roman" w:hAnsi="Times New Roman"/>
        </w:rPr>
        <w:t xml:space="preserve"> </w:t>
      </w:r>
    </w:p>
    <w:p w:rsidR="00C6287D" w:rsidRPr="003E0698" w:rsidP="00C6287D">
      <w:pPr>
        <w:pStyle w:val="ParaNum"/>
        <w:widowControl/>
        <w:snapToGrid w:val="0"/>
      </w:pPr>
      <w:r w:rsidRPr="003E0698">
        <w:t>We conclude that advanced telecommunications capability is being deployed to all Americans in a reasonable and timely fashion.  As discussed in detail above,</w:t>
      </w:r>
      <w:r>
        <w:rPr>
          <w:rStyle w:val="FootnoteReference"/>
        </w:rPr>
        <w:footnoteReference w:id="223"/>
      </w:r>
      <w:r w:rsidRPr="3838696A">
        <w:t xml:space="preserve"> </w:t>
      </w:r>
      <w:r>
        <w:t>the Commission has</w:t>
      </w:r>
      <w:r w:rsidRPr="003E0698">
        <w:t xml:space="preserve"> </w:t>
      </w:r>
      <w:r>
        <w:t>taken</w:t>
      </w:r>
      <w:r w:rsidRPr="003E0698">
        <w:t xml:space="preserve"> </w:t>
      </w:r>
      <w:r w:rsidRPr="003E0698">
        <w:t xml:space="preserve">significant </w:t>
      </w:r>
      <w:r>
        <w:t>steps</w:t>
      </w:r>
      <w:r w:rsidRPr="003E0698">
        <w:t xml:space="preserve"> since the last </w:t>
      </w:r>
      <w:r w:rsidRPr="4322E018">
        <w:rPr>
          <w:i/>
          <w:iCs/>
        </w:rPr>
        <w:t>Report</w:t>
      </w:r>
      <w:r w:rsidRPr="003E0698">
        <w:t xml:space="preserve"> to “encourage the deployment on a reasonable and timely basis of advanced telecommunications capability to all Americans.”</w:t>
      </w:r>
      <w:r>
        <w:rPr>
          <w:rStyle w:val="FootnoteReference"/>
          <w:sz w:val="22"/>
        </w:rPr>
        <w:footnoteReference w:id="224"/>
      </w:r>
      <w:r w:rsidRPr="003E0698">
        <w:t xml:space="preserve">  Public reports of industry efforts and plans for broadband expansion support our belief that the Commission’s actions to date to encourage and stimulate broadband deployment and innovation are in fact working as intended.</w:t>
      </w:r>
      <w:r>
        <w:t xml:space="preserve">  Capital expenditures by broadband providers increased by approximately $1.5 billion in 2017, reversing declines that occurred in both 2015 and 2016.</w:t>
      </w:r>
      <w:r>
        <w:rPr>
          <w:rStyle w:val="FootnoteReference"/>
        </w:rPr>
        <w:footnoteReference w:id="225"/>
      </w:r>
      <w:r w:rsidRPr="00E0697B">
        <w:t xml:space="preserve"> </w:t>
      </w:r>
      <w:r>
        <w:t xml:space="preserve"> Broadband providers, both small and large, built and upgraded networks across the country, deploying fiber to 5.9 million additional homes in 2018, the most ever recorded in a single year.</w:t>
      </w:r>
      <w:r>
        <w:rPr>
          <w:rStyle w:val="FootnoteReference"/>
        </w:rPr>
        <w:footnoteReference w:id="226"/>
      </w:r>
      <w:r w:rsidRPr="003E0698">
        <w:t xml:space="preserve">  AT&amp;T, Sprint, and Verizon have each announced planned launches of 5G networks in multiple cities to begin in late 2018 and continue through 2019.</w:t>
      </w:r>
      <w:r>
        <w:rPr>
          <w:rStyle w:val="FootnoteReference"/>
        </w:rPr>
        <w:footnoteReference w:id="227"/>
      </w:r>
      <w:r w:rsidRPr="003E0698">
        <w:t xml:space="preserve">  In addition, several states have announced state and local programs and public-private partnerships that are expected to further stimulate broadband deployment and access.</w:t>
      </w:r>
      <w:r>
        <w:rPr>
          <w:rStyle w:val="FootnoteReference"/>
        </w:rPr>
        <w:footnoteReference w:id="228"/>
      </w:r>
      <w:r w:rsidRPr="3838696A">
        <w:t xml:space="preserve">  </w:t>
      </w:r>
      <w:r>
        <w:t xml:space="preserve">  </w:t>
      </w:r>
    </w:p>
    <w:p w:rsidR="00C6287D" w:rsidRPr="003E0698" w:rsidP="00C6287D">
      <w:pPr>
        <w:pStyle w:val="ParaNum"/>
        <w:snapToGrid w:val="0"/>
      </w:pPr>
      <w:r w:rsidRPr="003E0698">
        <w:t>Because the data used in our analysis here only provide the extent of U.S. broadband deployment through December 2017, some of the actions that the Commission has more recently undertaken to speed broadband deployment likely are not yet fully reflected by that data.  We agree with Free State, however, that the “data available thus far for 2017 supports an affirmative determination that broadband is being reasonably and timely deployed” and that the 2017 Form 477 data “shows further progress in broadband deployment that exceeds 2016 and 2015 . . .”</w:t>
      </w:r>
      <w:r>
        <w:rPr>
          <w:rStyle w:val="FootnoteReference"/>
        </w:rPr>
        <w:footnoteReference w:id="229"/>
      </w:r>
      <w:r w:rsidRPr="003E0698">
        <w:t xml:space="preserve">  The available data demonstrate progress in the deployment of “advanced telecommunications capability” from 2016 to 2017.  The percentage of Americans with access to fixed terrestrial broadband deployment increased from 9</w:t>
      </w:r>
      <w:r>
        <w:t>1.9</w:t>
      </w:r>
      <w:r w:rsidRPr="003E0698">
        <w:t xml:space="preserve">% in </w:t>
      </w:r>
      <w:r w:rsidRPr="003E0698">
        <w:t>2016 to 9</w:t>
      </w:r>
      <w:r>
        <w:t>3.5</w:t>
      </w:r>
      <w:r w:rsidRPr="003E0698">
        <w:t>% in 2017, for example, with increases in urban, rural, and tribal areas.</w:t>
      </w:r>
      <w:r>
        <w:rPr>
          <w:rStyle w:val="FootnoteReference"/>
        </w:rPr>
        <w:footnoteReference w:id="230"/>
      </w:r>
      <w:r w:rsidRPr="003E0698">
        <w:t xml:space="preserve">  More Americans—89%—have access to mobile LTE with median speeds of 10 Mbps/3 Mbps, up from 87.3% in 2016.</w:t>
      </w:r>
      <w:r>
        <w:rPr>
          <w:rStyle w:val="FootnoteReference"/>
        </w:rPr>
        <w:footnoteReference w:id="231"/>
      </w:r>
      <w:r w:rsidRPr="003E0698">
        <w:t xml:space="preserve">  Indeed, there were deployment increases in both fixed and mobile services, both apart and when combined.</w:t>
      </w:r>
      <w:r>
        <w:rPr>
          <w:rStyle w:val="FootnoteReference"/>
        </w:rPr>
        <w:footnoteReference w:id="232"/>
      </w:r>
      <w:r w:rsidRPr="003E0698">
        <w:t xml:space="preserve">  We also are encouraged by the year over year increases in fixed terrestrial services at every speed examined in this report—10 Mbps/1 Mbps, 25 Mbps/3 Mbps, 50 Mbps/5 Mbps, 100 Mbps/10 Mbps, and 250 Mbps/25 Mbps.</w:t>
      </w:r>
      <w:r>
        <w:rPr>
          <w:rStyle w:val="FootnoteReference"/>
        </w:rPr>
        <w:footnoteReference w:id="233"/>
      </w:r>
      <w:r w:rsidRPr="003E0698">
        <w:t xml:space="preserve">  In addition, we believe that the planned 5G deployments and launches, as well as the state and local and private-public partnership efforts noted above,</w:t>
      </w:r>
      <w:r>
        <w:rPr>
          <w:rStyle w:val="FootnoteReference"/>
        </w:rPr>
        <w:footnoteReference w:id="234"/>
      </w:r>
      <w:r w:rsidRPr="003E0698">
        <w:t xml:space="preserve"> are signs that the industry is responding favorably to our efforts to spur broadband deployment and expansion with increased investment.  </w:t>
      </w:r>
    </w:p>
    <w:p w:rsidR="00C6287D" w:rsidRPr="003E0698" w:rsidP="00C6287D">
      <w:pPr>
        <w:pStyle w:val="ParaNum"/>
      </w:pPr>
      <w:r w:rsidRPr="003E0698">
        <w:t>We disagree with commenters who contend that the section 706 requirements have not been met.</w:t>
      </w:r>
      <w:r>
        <w:rPr>
          <w:rStyle w:val="FootnoteReference"/>
        </w:rPr>
        <w:footnoteReference w:id="235"/>
      </w:r>
      <w:r w:rsidRPr="003E0698">
        <w:t xml:space="preserve">  Specifically, the Commission’s spectrum policy and its actions in the infrastructure dockets have complemented, not undermined, its efforts to promote broadband deployment.</w:t>
      </w:r>
      <w:r>
        <w:rPr>
          <w:rStyle w:val="FootnoteReference"/>
        </w:rPr>
        <w:footnoteReference w:id="236"/>
      </w:r>
      <w:r w:rsidRPr="003E0698">
        <w:t xml:space="preserve">  Moreover, as the </w:t>
      </w:r>
      <w:r w:rsidRPr="003E0698">
        <w:t>Commission has previously explained, the statute requires that we determine whether advanced telecommunications capability “</w:t>
      </w:r>
      <w:r w:rsidRPr="003A4EB5">
        <w:rPr>
          <w:i/>
        </w:rPr>
        <w:t>is being</w:t>
      </w:r>
      <w:r w:rsidRPr="003E0698">
        <w:t xml:space="preserve"> </w:t>
      </w:r>
      <w:r w:rsidRPr="003A4EB5">
        <w:rPr>
          <w:i/>
        </w:rPr>
        <w:t>deployed</w:t>
      </w:r>
      <w:r w:rsidRPr="003E0698">
        <w:t xml:space="preserve"> to all Americans”—not whether it has already been deployed to all Americans.</w:t>
      </w:r>
      <w:r>
        <w:rPr>
          <w:rStyle w:val="FootnoteReference"/>
        </w:rPr>
        <w:footnoteReference w:id="237"/>
      </w:r>
      <w:r w:rsidRPr="003E0698">
        <w:t xml:space="preserve">  The statute does not require perfection; reading section 706(b) to require universal availability as a prerequisite for a positive finding would disregard the statute’s “reasonable and timely” language.</w:t>
      </w:r>
      <w:r>
        <w:rPr>
          <w:rStyle w:val="FootnoteReference"/>
        </w:rPr>
        <w:footnoteReference w:id="238"/>
      </w:r>
      <w:r w:rsidRPr="003E0698">
        <w:t xml:space="preserve">  Our policymaking efforts over the last two years are promoting broadband deployment,</w:t>
      </w:r>
      <w:r>
        <w:rPr>
          <w:rStyle w:val="FootnoteReference"/>
        </w:rPr>
        <w:footnoteReference w:id="239"/>
      </w:r>
      <w:r w:rsidRPr="003E0698">
        <w:t xml:space="preserve"> and the data show that ISPs are making strong progress in deploying advanced telecommunications capability to more and more Americans.</w:t>
      </w:r>
      <w:r>
        <w:rPr>
          <w:rStyle w:val="FootnoteReference"/>
        </w:rPr>
        <w:footnoteReference w:id="240"/>
      </w:r>
      <w:r w:rsidRPr="003E0698">
        <w:t xml:space="preserve">  These circumstances warrant a positive finding.</w:t>
      </w:r>
    </w:p>
    <w:p w:rsidR="00C6287D" w:rsidRPr="003E0698" w:rsidP="00C6287D">
      <w:pPr>
        <w:pStyle w:val="ParaNum"/>
      </w:pPr>
      <w:r w:rsidRPr="003E0698">
        <w:t>We recognize that despite our positive finding today, our work to close the digital divide is not complete.</w:t>
      </w:r>
      <w:r>
        <w:t xml:space="preserve">  For instance, the data demonstrates that six percent of Americans, over 19 million households, lack access to fixed terrestrial advanced telecommunications capability and we recognize that the situation is especially problematic in rural areas, where over 24% lack access, and Tribal Lands, where 32% lack access.</w:t>
      </w:r>
      <w:r>
        <w:rPr>
          <w:rStyle w:val="FootnoteReference"/>
        </w:rPr>
        <w:footnoteReference w:id="241"/>
      </w:r>
      <w:r w:rsidRPr="003E0698">
        <w:t xml:space="preserve">  Several Commission proceedings remain open </w:t>
      </w:r>
      <w:r>
        <w:t xml:space="preserve">as we actively work </w:t>
      </w:r>
      <w:r w:rsidRPr="003E0698">
        <w:t>to close the digital divide.</w:t>
      </w:r>
      <w:r>
        <w:t xml:space="preserve">  In addition, as detailed in the December 2018 </w:t>
      </w:r>
      <w:r>
        <w:rPr>
          <w:i/>
        </w:rPr>
        <w:t>Communications Marketplace Report</w:t>
      </w:r>
      <w:r>
        <w:t>, over the next two years, we plan on taking a number of additional actions to promote further broadband deployment.</w:t>
      </w:r>
      <w:r>
        <w:rPr>
          <w:rStyle w:val="FootnoteReference"/>
        </w:rPr>
        <w:footnoteReference w:id="242"/>
      </w:r>
      <w:r w:rsidRPr="003E0698">
        <w:t xml:space="preserve">  The further deployment of advanced telecommunications capability will remain a top priority as we continue our efforts to help deliver the benefits of broadband to all Americans.</w:t>
      </w:r>
    </w:p>
    <w:p w:rsidR="00C6287D" w:rsidRPr="003E0698" w:rsidP="00C6287D">
      <w:pPr>
        <w:pStyle w:val="Heading1"/>
        <w:numPr>
          <w:ilvl w:val="0"/>
          <w:numId w:val="9"/>
        </w:numPr>
        <w:tabs>
          <w:tab w:val="left" w:pos="720"/>
        </w:tabs>
        <w:rPr>
          <w:rFonts w:ascii="Times New Roman" w:hAnsi="Times New Roman"/>
        </w:rPr>
      </w:pPr>
      <w:bookmarkStart w:id="430" w:name="_Toc525898272"/>
      <w:bookmarkStart w:id="431" w:name="_Toc525898658"/>
      <w:bookmarkStart w:id="432" w:name="_Toc526341639"/>
      <w:bookmarkStart w:id="433" w:name="_Toc526341960"/>
      <w:bookmarkStart w:id="434" w:name="_Toc527100591"/>
      <w:bookmarkStart w:id="435" w:name="_Toc527723168"/>
      <w:bookmarkStart w:id="436" w:name="_Toc529180617"/>
      <w:bookmarkStart w:id="437" w:name="_Toc530069140"/>
      <w:bookmarkStart w:id="438" w:name="_Toc530147043"/>
      <w:bookmarkStart w:id="439" w:name="_Toc530148255"/>
      <w:bookmarkStart w:id="440" w:name="_Toc780529"/>
      <w:bookmarkStart w:id="441" w:name="_Toc970753"/>
      <w:bookmarkStart w:id="442" w:name="_Toc1469961"/>
      <w:bookmarkStart w:id="443" w:name="_Toc2676115"/>
      <w:r w:rsidRPr="003E0698">
        <w:rPr>
          <w:rFonts w:ascii="Times New Roman" w:hAnsi="Times New Roman"/>
        </w:rPr>
        <w:t>Ordering Clause</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C6287D" w:rsidRPr="003E0698" w:rsidP="00C6287D">
      <w:pPr>
        <w:pStyle w:val="ParaNum"/>
        <w:widowControl/>
      </w:pPr>
      <w:r w:rsidRPr="003E0698">
        <w:t>Accordingly, IT IS ORDERED that, pursuant to section 706 of the Telecommunications Act of 1996, as amended, 47 U.S.C. §</w:t>
      </w:r>
      <w:r>
        <w:t> </w:t>
      </w:r>
      <w:r w:rsidRPr="003E0698">
        <w:t>1302, this Report IS ADOPTED.</w:t>
      </w:r>
    </w:p>
    <w:p w:rsidR="00C6287D" w:rsidRPr="003E0698" w:rsidP="00C6287D">
      <w:pPr>
        <w:pStyle w:val="ParaNum"/>
        <w:numPr>
          <w:ilvl w:val="0"/>
          <w:numId w:val="0"/>
        </w:numPr>
        <w:ind w:left="720"/>
      </w:pPr>
    </w:p>
    <w:p w:rsidR="00C6287D" w:rsidRPr="003E0698" w:rsidP="00C6287D">
      <w:r w:rsidRPr="003E0698">
        <w:tab/>
      </w:r>
      <w:r w:rsidRPr="003E0698">
        <w:tab/>
      </w:r>
      <w:r w:rsidRPr="003E0698">
        <w:tab/>
      </w:r>
      <w:r w:rsidRPr="003E0698">
        <w:tab/>
      </w:r>
      <w:r w:rsidRPr="003E0698">
        <w:tab/>
        <w:t>FEDERAL COMMUNICATIONS COMMISSION</w:t>
      </w:r>
    </w:p>
    <w:p w:rsidR="00C6287D" w:rsidRPr="003E0698" w:rsidP="00C6287D"/>
    <w:p w:rsidR="00C6287D" w:rsidRPr="003E0698" w:rsidP="00C6287D"/>
    <w:p w:rsidR="00C6287D" w:rsidRPr="003E0698" w:rsidP="00C6287D"/>
    <w:p w:rsidR="00C6287D" w:rsidRPr="003E0698" w:rsidP="00C6287D"/>
    <w:p w:rsidR="00C6287D" w:rsidRPr="003E0698" w:rsidP="00C6287D">
      <w:r w:rsidRPr="003E0698">
        <w:tab/>
      </w:r>
      <w:r w:rsidRPr="003E0698">
        <w:tab/>
      </w:r>
      <w:r w:rsidRPr="003E0698">
        <w:tab/>
      </w:r>
      <w:r w:rsidRPr="003E0698">
        <w:tab/>
      </w:r>
      <w:r w:rsidRPr="003E0698">
        <w:tab/>
        <w:t>Marlene H. Dortch</w:t>
      </w:r>
    </w:p>
    <w:p w:rsidR="00C6287D" w:rsidRPr="003E0698" w:rsidP="00C6287D">
      <w:r w:rsidRPr="003E0698">
        <w:tab/>
      </w:r>
      <w:r w:rsidRPr="003E0698">
        <w:tab/>
      </w:r>
      <w:r w:rsidRPr="003E0698">
        <w:tab/>
      </w:r>
      <w:r w:rsidRPr="003E0698">
        <w:tab/>
      </w:r>
      <w:r w:rsidRPr="003E0698">
        <w:tab/>
        <w:t>Secretary</w:t>
      </w:r>
    </w:p>
    <w:p w:rsidR="00BA0D64" w:rsidP="00C6287D">
      <w:pPr>
        <w:pStyle w:val="ParaNum"/>
        <w:numPr>
          <w:ilvl w:val="0"/>
          <w:numId w:val="0"/>
        </w:numPr>
        <w:tabs>
          <w:tab w:val="left" w:pos="720"/>
        </w:tabs>
        <w:ind w:left="720"/>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BA0D64" w:rsidRPr="00830A20" w:rsidP="00BA0D64">
      <w:pPr>
        <w:adjustRightInd w:val="0"/>
        <w:spacing w:before="10" w:after="10"/>
        <w:jc w:val="center"/>
        <w:rPr>
          <w:rFonts w:ascii="Times" w:hAnsi="Times" w:cs="Times"/>
          <w:b/>
          <w:bCs/>
          <w:color w:val="000000"/>
          <w:szCs w:val="22"/>
        </w:rPr>
      </w:pPr>
      <w:r w:rsidRPr="00830A20">
        <w:rPr>
          <w:rFonts w:ascii="Times" w:hAnsi="Times" w:cs="Times"/>
          <w:b/>
          <w:bCs/>
          <w:color w:val="000000"/>
          <w:szCs w:val="22"/>
        </w:rPr>
        <w:t>APPENDIX 1</w:t>
      </w:r>
    </w:p>
    <w:p w:rsidR="00BA0D64" w:rsidRPr="00830A20" w:rsidP="00BA0D64">
      <w:pPr>
        <w:adjustRightInd w:val="0"/>
        <w:spacing w:before="10" w:after="10"/>
        <w:jc w:val="center"/>
        <w:rPr>
          <w:rFonts w:ascii="Courier New" w:hAnsi="Courier New" w:cs="Courier New"/>
          <w:color w:val="000000"/>
          <w:szCs w:val="22"/>
        </w:rPr>
      </w:pPr>
    </w:p>
    <w:p w:rsidR="00BA0D64" w:rsidRPr="00830A20" w:rsidP="00BA0D64">
      <w:pPr>
        <w:adjustRightInd w:val="0"/>
        <w:spacing w:before="10" w:after="10"/>
        <w:jc w:val="center"/>
        <w:rPr>
          <w:rFonts w:ascii="Times" w:hAnsi="Times" w:cs="Times"/>
          <w:b/>
          <w:bCs/>
          <w:color w:val="000000"/>
          <w:szCs w:val="22"/>
        </w:rPr>
      </w:pPr>
      <w:r w:rsidRPr="00830A20">
        <w:rPr>
          <w:rFonts w:ascii="Times" w:hAnsi="Times" w:cs="Times"/>
          <w:b/>
          <w:bCs/>
          <w:color w:val="000000"/>
          <w:szCs w:val="22"/>
        </w:rPr>
        <w:t>Deployment (Millions) of Fixed 25 Mbps/3 Mbps; Mobile LTE with a Minimum Advertised Speed of 5 Mbps/1 Mbps; and Mobile LTE with a Median Speed of 10 Mbps/3 Mbps by State and District of Columbia</w:t>
      </w:r>
    </w:p>
    <w:p w:rsidR="00BA0D64" w:rsidP="00BA0D64">
      <w:pPr>
        <w:adjustRightInd w:val="0"/>
        <w:rPr>
          <w:rFonts w:ascii="Times" w:hAnsi="Times" w:cs="Times"/>
          <w:b/>
          <w:bCs/>
          <w:color w:val="000000"/>
        </w:rPr>
      </w:pPr>
    </w:p>
    <w:tbl>
      <w:tblPr>
        <w:tblW w:w="10746" w:type="dxa"/>
        <w:jc w:val="center"/>
        <w:tblLayout w:type="fixed"/>
        <w:tblCellMar>
          <w:left w:w="0" w:type="dxa"/>
          <w:right w:w="0" w:type="dxa"/>
        </w:tblCellMar>
        <w:tblLook w:val="0000"/>
      </w:tblPr>
      <w:tblGrid>
        <w:gridCol w:w="2050"/>
        <w:gridCol w:w="1087"/>
        <w:gridCol w:w="1087"/>
        <w:gridCol w:w="1087"/>
        <w:gridCol w:w="1087"/>
        <w:gridCol w:w="1087"/>
        <w:gridCol w:w="1087"/>
        <w:gridCol w:w="1087"/>
        <w:gridCol w:w="1087"/>
      </w:tblGrid>
      <w:tr w:rsidTr="001616B7">
        <w:tblPrEx>
          <w:tblW w:w="10746" w:type="dxa"/>
          <w:jc w:val="center"/>
          <w:tblLayout w:type="fixed"/>
          <w:tblCellMar>
            <w:left w:w="0" w:type="dxa"/>
            <w:right w:w="0" w:type="dxa"/>
          </w:tblCellMar>
          <w:tblLook w:val="0000"/>
        </w:tblPrEx>
        <w:trPr>
          <w:cantSplit/>
          <w:tblHeader/>
          <w:jc w:val="center"/>
        </w:trPr>
        <w:tc>
          <w:tcPr>
            <w:tcW w:w="2050" w:type="dxa"/>
            <w:vMerge w:val="restart"/>
            <w:tcBorders>
              <w:top w:val="single" w:sz="4" w:space="0" w:color="auto"/>
              <w:left w:val="single" w:sz="8" w:space="0" w:color="000000"/>
              <w:right w:val="nil"/>
            </w:tcBorders>
            <w:shd w:val="clear" w:color="auto" w:fill="90B0D9"/>
            <w:tcMar>
              <w:left w:w="40" w:type="dxa"/>
              <w:right w:w="40" w:type="dxa"/>
            </w:tcMar>
            <w:vAlign w:val="bottom"/>
          </w:tcPr>
          <w:p w:rsidR="00BA0D64" w:rsidRPr="00A167E6" w:rsidP="001616B7">
            <w:pPr>
              <w:adjustRightInd w:val="0"/>
              <w:spacing w:before="40" w:after="40"/>
              <w:jc w:val="center"/>
              <w:rPr>
                <w:b/>
                <w:bCs/>
                <w:color w:val="000000"/>
              </w:rPr>
            </w:pPr>
          </w:p>
        </w:tc>
        <w:tc>
          <w:tcPr>
            <w:tcW w:w="1087" w:type="dxa"/>
            <w:vMerge w:val="restart"/>
            <w:tcBorders>
              <w:top w:val="single" w:sz="4" w:space="0" w:color="auto"/>
              <w:left w:val="single" w:sz="8" w:space="0" w:color="000000"/>
              <w:right w:val="nil"/>
            </w:tcBorders>
            <w:shd w:val="clear" w:color="auto" w:fill="90B0D9"/>
            <w:tcMar>
              <w:left w:w="40" w:type="dxa"/>
              <w:right w:w="40" w:type="dxa"/>
            </w:tcMar>
            <w:vAlign w:val="bottom"/>
          </w:tcPr>
          <w:p w:rsidR="00BA0D64" w:rsidRPr="00A167E6" w:rsidP="001616B7">
            <w:pPr>
              <w:adjustRightInd w:val="0"/>
              <w:spacing w:before="40" w:after="40"/>
              <w:jc w:val="center"/>
              <w:rPr>
                <w:b/>
                <w:bCs/>
                <w:color w:val="000000"/>
              </w:rPr>
            </w:pPr>
            <w:r w:rsidRPr="00A167E6">
              <w:rPr>
                <w:b/>
                <w:bCs/>
                <w:color w:val="000000"/>
              </w:rPr>
              <w:t>Pop. Evaluated</w:t>
            </w:r>
          </w:p>
        </w:tc>
        <w:tc>
          <w:tcPr>
            <w:tcW w:w="2174" w:type="dxa"/>
            <w:gridSpan w:val="2"/>
            <w:tcBorders>
              <w:top w:val="single" w:sz="4" w:space="0" w:color="auto"/>
              <w:left w:val="single" w:sz="8" w:space="0" w:color="000000"/>
              <w:bottom w:val="single" w:sz="8" w:space="0" w:color="000000"/>
              <w:right w:val="nil"/>
            </w:tcBorders>
            <w:shd w:val="clear" w:color="auto" w:fill="90B0D9"/>
            <w:tcMar>
              <w:left w:w="40" w:type="dxa"/>
              <w:right w:w="40" w:type="dxa"/>
            </w:tcMar>
            <w:vAlign w:val="bottom"/>
          </w:tcPr>
          <w:p w:rsidR="00BA0D64" w:rsidRPr="00A167E6" w:rsidP="001616B7">
            <w:pPr>
              <w:adjustRightInd w:val="0"/>
              <w:spacing w:before="40" w:after="40"/>
              <w:jc w:val="center"/>
              <w:rPr>
                <w:b/>
                <w:bCs/>
                <w:color w:val="000000"/>
              </w:rPr>
            </w:pPr>
            <w:r w:rsidRPr="00A167E6">
              <w:rPr>
                <w:b/>
                <w:bCs/>
                <w:color w:val="000000"/>
              </w:rPr>
              <w:t>Fixed 25 Mbps/</w:t>
            </w:r>
            <w:r w:rsidRPr="00A167E6">
              <w:rPr>
                <w:b/>
                <w:bCs/>
                <w:color w:val="000000"/>
              </w:rPr>
              <w:br/>
              <w:t>3 Mbps</w:t>
            </w:r>
          </w:p>
        </w:tc>
        <w:tc>
          <w:tcPr>
            <w:tcW w:w="2174" w:type="dxa"/>
            <w:gridSpan w:val="2"/>
            <w:tcBorders>
              <w:top w:val="single" w:sz="4" w:space="0" w:color="auto"/>
              <w:left w:val="single" w:sz="8" w:space="0" w:color="000000"/>
              <w:bottom w:val="single" w:sz="8" w:space="0" w:color="000000"/>
              <w:right w:val="double" w:sz="6" w:space="0" w:color="auto"/>
            </w:tcBorders>
            <w:shd w:val="clear" w:color="auto" w:fill="90B0D9"/>
            <w:tcMar>
              <w:left w:w="40" w:type="dxa"/>
              <w:right w:w="40" w:type="dxa"/>
            </w:tcMar>
            <w:vAlign w:val="bottom"/>
          </w:tcPr>
          <w:p w:rsidR="00BA0D64" w:rsidRPr="00A167E6" w:rsidP="001616B7">
            <w:pPr>
              <w:adjustRightInd w:val="0"/>
              <w:spacing w:before="40" w:after="40"/>
              <w:jc w:val="center"/>
              <w:rPr>
                <w:b/>
                <w:bCs/>
                <w:color w:val="000000"/>
              </w:rPr>
            </w:pPr>
            <w:r w:rsidRPr="00A167E6">
              <w:rPr>
                <w:b/>
                <w:bCs/>
                <w:color w:val="000000"/>
              </w:rPr>
              <w:t>Mobile LTE 5 Mbps/</w:t>
            </w:r>
            <w:r w:rsidRPr="00A167E6">
              <w:rPr>
                <w:b/>
                <w:bCs/>
                <w:color w:val="000000"/>
              </w:rPr>
              <w:br/>
              <w:t>1 Mbps</w:t>
            </w:r>
          </w:p>
        </w:tc>
        <w:tc>
          <w:tcPr>
            <w:tcW w:w="1087" w:type="dxa"/>
            <w:vMerge w:val="restart"/>
            <w:tcBorders>
              <w:top w:val="single" w:sz="4" w:space="0" w:color="auto"/>
              <w:left w:val="double" w:sz="6" w:space="0" w:color="auto"/>
              <w:right w:val="nil"/>
            </w:tcBorders>
            <w:shd w:val="clear" w:color="auto" w:fill="90B0D9"/>
            <w:tcMar>
              <w:left w:w="40" w:type="dxa"/>
              <w:right w:w="40" w:type="dxa"/>
            </w:tcMar>
            <w:vAlign w:val="bottom"/>
          </w:tcPr>
          <w:p w:rsidR="00BA0D64" w:rsidRPr="00A167E6" w:rsidP="001616B7">
            <w:pPr>
              <w:adjustRightInd w:val="0"/>
              <w:spacing w:before="40" w:after="40"/>
              <w:jc w:val="center"/>
              <w:rPr>
                <w:b/>
                <w:bCs/>
                <w:color w:val="000000"/>
              </w:rPr>
            </w:pPr>
            <w:r w:rsidRPr="00A167E6">
              <w:rPr>
                <w:b/>
                <w:bCs/>
                <w:color w:val="000000"/>
              </w:rPr>
              <w:t>Pop. Evaluated</w:t>
            </w:r>
          </w:p>
        </w:tc>
        <w:tc>
          <w:tcPr>
            <w:tcW w:w="2174" w:type="dxa"/>
            <w:gridSpan w:val="2"/>
            <w:tcBorders>
              <w:top w:val="single" w:sz="4" w:space="0" w:color="auto"/>
              <w:left w:val="single" w:sz="8" w:space="0" w:color="000000"/>
              <w:bottom w:val="single" w:sz="8" w:space="0" w:color="000000"/>
              <w:right w:val="single" w:sz="8" w:space="0" w:color="000000"/>
            </w:tcBorders>
            <w:shd w:val="clear" w:color="auto" w:fill="90B0D9"/>
            <w:tcMar>
              <w:left w:w="40" w:type="dxa"/>
              <w:right w:w="40" w:type="dxa"/>
            </w:tcMar>
            <w:vAlign w:val="bottom"/>
          </w:tcPr>
          <w:p w:rsidR="00BA0D64" w:rsidRPr="00A167E6" w:rsidP="001616B7">
            <w:pPr>
              <w:adjustRightInd w:val="0"/>
              <w:spacing w:before="40" w:after="40"/>
              <w:jc w:val="center"/>
              <w:rPr>
                <w:b/>
                <w:bCs/>
                <w:color w:val="000000"/>
              </w:rPr>
            </w:pPr>
            <w:r w:rsidRPr="00A167E6">
              <w:rPr>
                <w:b/>
                <w:bCs/>
                <w:color w:val="000000"/>
              </w:rPr>
              <w:t>Mobile LTE 10 Mbps/</w:t>
            </w:r>
          </w:p>
          <w:p w:rsidR="00BA0D64" w:rsidRPr="00A167E6" w:rsidP="001616B7">
            <w:pPr>
              <w:adjustRightInd w:val="0"/>
              <w:spacing w:before="40" w:after="40"/>
              <w:jc w:val="center"/>
              <w:rPr>
                <w:b/>
                <w:bCs/>
                <w:color w:val="000000"/>
              </w:rPr>
            </w:pPr>
            <w:r w:rsidRPr="00A167E6">
              <w:rPr>
                <w:b/>
                <w:bCs/>
                <w:color w:val="000000"/>
              </w:rPr>
              <w:t>3 Mbps</w:t>
            </w:r>
          </w:p>
        </w:tc>
      </w:tr>
      <w:tr w:rsidTr="001616B7">
        <w:tblPrEx>
          <w:tblW w:w="10746" w:type="dxa"/>
          <w:jc w:val="center"/>
          <w:tblLayout w:type="fixed"/>
          <w:tblCellMar>
            <w:left w:w="0" w:type="dxa"/>
            <w:right w:w="0" w:type="dxa"/>
          </w:tblCellMar>
          <w:tblLook w:val="0000"/>
        </w:tblPrEx>
        <w:trPr>
          <w:cantSplit/>
          <w:tblHeader/>
          <w:jc w:val="center"/>
        </w:trPr>
        <w:tc>
          <w:tcPr>
            <w:tcW w:w="2050" w:type="dxa"/>
            <w:vMerge/>
            <w:tcBorders>
              <w:left w:val="single" w:sz="8" w:space="0" w:color="000000"/>
              <w:bottom w:val="single" w:sz="8" w:space="0" w:color="000000"/>
              <w:right w:val="nil"/>
            </w:tcBorders>
            <w:shd w:val="clear" w:color="auto" w:fill="90B0D9"/>
            <w:tcMar>
              <w:left w:w="40" w:type="dxa"/>
              <w:right w:w="40" w:type="dxa"/>
            </w:tcMar>
            <w:vAlign w:val="bottom"/>
          </w:tcPr>
          <w:p w:rsidR="00BA0D64" w:rsidRPr="00A167E6" w:rsidP="001616B7">
            <w:pPr>
              <w:adjustRightInd w:val="0"/>
              <w:spacing w:before="40" w:after="40"/>
              <w:jc w:val="center"/>
              <w:rPr>
                <w:b/>
                <w:bCs/>
                <w:color w:val="000000"/>
              </w:rPr>
            </w:pPr>
          </w:p>
        </w:tc>
        <w:tc>
          <w:tcPr>
            <w:tcW w:w="1087" w:type="dxa"/>
            <w:vMerge/>
            <w:tcBorders>
              <w:left w:val="single" w:sz="8" w:space="0" w:color="000000"/>
              <w:bottom w:val="single" w:sz="8" w:space="0" w:color="000000"/>
              <w:right w:val="nil"/>
            </w:tcBorders>
            <w:shd w:val="clear" w:color="auto" w:fill="90B0D9"/>
            <w:tcMar>
              <w:left w:w="40" w:type="dxa"/>
              <w:right w:w="40" w:type="dxa"/>
            </w:tcMar>
            <w:vAlign w:val="bottom"/>
          </w:tcPr>
          <w:p w:rsidR="00BA0D64" w:rsidRPr="00A167E6" w:rsidP="001616B7">
            <w:pPr>
              <w:adjustRightInd w:val="0"/>
              <w:spacing w:before="40" w:after="40"/>
              <w:jc w:val="center"/>
              <w:rPr>
                <w:b/>
                <w:bCs/>
                <w:color w:val="000000"/>
              </w:rPr>
            </w:pPr>
          </w:p>
        </w:tc>
        <w:tc>
          <w:tcPr>
            <w:tcW w:w="1087" w:type="dxa"/>
            <w:tcBorders>
              <w:top w:val="nil"/>
              <w:left w:val="single" w:sz="8" w:space="0" w:color="000000"/>
              <w:bottom w:val="single" w:sz="8" w:space="0" w:color="000000"/>
              <w:right w:val="nil"/>
            </w:tcBorders>
            <w:shd w:val="clear" w:color="auto" w:fill="90B0D9"/>
            <w:tcMar>
              <w:left w:w="40" w:type="dxa"/>
              <w:right w:w="40" w:type="dxa"/>
            </w:tcMar>
            <w:vAlign w:val="bottom"/>
          </w:tcPr>
          <w:p w:rsidR="00BA0D64" w:rsidRPr="00A167E6" w:rsidP="001616B7">
            <w:pPr>
              <w:adjustRightInd w:val="0"/>
              <w:spacing w:before="40" w:after="40"/>
              <w:jc w:val="center"/>
              <w:rPr>
                <w:b/>
                <w:bCs/>
                <w:color w:val="000000"/>
              </w:rPr>
            </w:pPr>
            <w:r w:rsidRPr="00A167E6">
              <w:rPr>
                <w:b/>
                <w:bCs/>
                <w:color w:val="000000"/>
              </w:rPr>
              <w:t>Pop.</w:t>
            </w:r>
          </w:p>
        </w:tc>
        <w:tc>
          <w:tcPr>
            <w:tcW w:w="1087" w:type="dxa"/>
            <w:tcBorders>
              <w:top w:val="nil"/>
              <w:left w:val="single" w:sz="8" w:space="0" w:color="000000"/>
              <w:bottom w:val="single" w:sz="8" w:space="0" w:color="000000"/>
              <w:right w:val="nil"/>
            </w:tcBorders>
            <w:shd w:val="clear" w:color="auto" w:fill="90B0D9"/>
            <w:tcMar>
              <w:left w:w="40" w:type="dxa"/>
              <w:right w:w="40" w:type="dxa"/>
            </w:tcMar>
            <w:vAlign w:val="bottom"/>
          </w:tcPr>
          <w:p w:rsidR="00BA0D64" w:rsidRPr="00A167E6" w:rsidP="001616B7">
            <w:pPr>
              <w:adjustRightInd w:val="0"/>
              <w:spacing w:before="40" w:after="40"/>
              <w:jc w:val="center"/>
              <w:rPr>
                <w:b/>
                <w:bCs/>
                <w:color w:val="000000"/>
              </w:rPr>
            </w:pPr>
            <w:r w:rsidRPr="00A167E6">
              <w:rPr>
                <w:b/>
                <w:bCs/>
                <w:color w:val="000000"/>
              </w:rPr>
              <w:t>% of Pop.</w:t>
            </w:r>
          </w:p>
        </w:tc>
        <w:tc>
          <w:tcPr>
            <w:tcW w:w="1087" w:type="dxa"/>
            <w:tcBorders>
              <w:top w:val="nil"/>
              <w:left w:val="single" w:sz="8" w:space="0" w:color="000000"/>
              <w:bottom w:val="single" w:sz="8" w:space="0" w:color="000000"/>
              <w:right w:val="nil"/>
            </w:tcBorders>
            <w:shd w:val="clear" w:color="auto" w:fill="90B0D9"/>
            <w:tcMar>
              <w:left w:w="40" w:type="dxa"/>
              <w:right w:w="40" w:type="dxa"/>
            </w:tcMar>
            <w:vAlign w:val="bottom"/>
          </w:tcPr>
          <w:p w:rsidR="00BA0D64" w:rsidRPr="00A167E6" w:rsidP="001616B7">
            <w:pPr>
              <w:adjustRightInd w:val="0"/>
              <w:spacing w:before="40" w:after="40"/>
              <w:jc w:val="center"/>
              <w:rPr>
                <w:b/>
                <w:bCs/>
                <w:color w:val="000000"/>
              </w:rPr>
            </w:pPr>
            <w:r w:rsidRPr="00A167E6">
              <w:rPr>
                <w:b/>
                <w:bCs/>
                <w:color w:val="000000"/>
              </w:rPr>
              <w:t>Pop.</w:t>
            </w:r>
          </w:p>
        </w:tc>
        <w:tc>
          <w:tcPr>
            <w:tcW w:w="1087" w:type="dxa"/>
            <w:tcBorders>
              <w:top w:val="nil"/>
              <w:left w:val="single" w:sz="8" w:space="0" w:color="000000"/>
              <w:bottom w:val="single" w:sz="8" w:space="0" w:color="000000"/>
              <w:right w:val="double" w:sz="6" w:space="0" w:color="auto"/>
            </w:tcBorders>
            <w:shd w:val="clear" w:color="auto" w:fill="90B0D9"/>
            <w:tcMar>
              <w:left w:w="40" w:type="dxa"/>
              <w:right w:w="40" w:type="dxa"/>
            </w:tcMar>
            <w:vAlign w:val="bottom"/>
          </w:tcPr>
          <w:p w:rsidR="00BA0D64" w:rsidRPr="00A167E6" w:rsidP="001616B7">
            <w:pPr>
              <w:adjustRightInd w:val="0"/>
              <w:spacing w:before="40" w:after="40"/>
              <w:jc w:val="center"/>
              <w:rPr>
                <w:b/>
                <w:bCs/>
                <w:color w:val="000000"/>
              </w:rPr>
            </w:pPr>
            <w:r w:rsidRPr="00A167E6">
              <w:rPr>
                <w:b/>
                <w:bCs/>
                <w:color w:val="000000"/>
              </w:rPr>
              <w:t>% of Pop.</w:t>
            </w:r>
          </w:p>
        </w:tc>
        <w:tc>
          <w:tcPr>
            <w:tcW w:w="1087" w:type="dxa"/>
            <w:vMerge/>
            <w:tcBorders>
              <w:left w:val="double" w:sz="6" w:space="0" w:color="auto"/>
              <w:bottom w:val="single" w:sz="8" w:space="0" w:color="000000"/>
              <w:right w:val="nil"/>
            </w:tcBorders>
            <w:shd w:val="clear" w:color="auto" w:fill="90B0D9"/>
            <w:tcMar>
              <w:left w:w="40" w:type="dxa"/>
              <w:right w:w="40" w:type="dxa"/>
            </w:tcMar>
            <w:vAlign w:val="bottom"/>
          </w:tcPr>
          <w:p w:rsidR="00BA0D64" w:rsidRPr="00A167E6" w:rsidP="001616B7">
            <w:pPr>
              <w:adjustRightInd w:val="0"/>
              <w:spacing w:before="40" w:after="40"/>
              <w:jc w:val="center"/>
              <w:rPr>
                <w:b/>
                <w:bCs/>
                <w:color w:val="000000"/>
              </w:rPr>
            </w:pPr>
          </w:p>
        </w:tc>
        <w:tc>
          <w:tcPr>
            <w:tcW w:w="1087" w:type="dxa"/>
            <w:tcBorders>
              <w:top w:val="nil"/>
              <w:left w:val="single" w:sz="8" w:space="0" w:color="000000"/>
              <w:bottom w:val="single" w:sz="8" w:space="0" w:color="000000"/>
              <w:right w:val="nil"/>
            </w:tcBorders>
            <w:shd w:val="clear" w:color="auto" w:fill="90B0D9"/>
            <w:tcMar>
              <w:left w:w="40" w:type="dxa"/>
              <w:right w:w="40" w:type="dxa"/>
            </w:tcMar>
            <w:vAlign w:val="bottom"/>
          </w:tcPr>
          <w:p w:rsidR="00BA0D64" w:rsidRPr="00A167E6" w:rsidP="001616B7">
            <w:pPr>
              <w:adjustRightInd w:val="0"/>
              <w:spacing w:before="40" w:after="40"/>
              <w:jc w:val="center"/>
              <w:rPr>
                <w:b/>
                <w:bCs/>
                <w:color w:val="000000"/>
              </w:rPr>
            </w:pPr>
            <w:r w:rsidRPr="00A167E6">
              <w:rPr>
                <w:b/>
                <w:bCs/>
                <w:color w:val="000000"/>
              </w:rPr>
              <w:t>Pop.</w:t>
            </w:r>
          </w:p>
        </w:tc>
        <w:tc>
          <w:tcPr>
            <w:tcW w:w="1087"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BA0D64" w:rsidRPr="00A167E6" w:rsidP="001616B7">
            <w:pPr>
              <w:adjustRightInd w:val="0"/>
              <w:spacing w:before="40" w:after="40"/>
              <w:jc w:val="center"/>
              <w:rPr>
                <w:b/>
                <w:bCs/>
                <w:color w:val="000000"/>
              </w:rPr>
            </w:pPr>
            <w:r w:rsidRPr="00A167E6">
              <w:rPr>
                <w:b/>
                <w:bCs/>
                <w:color w:val="000000"/>
              </w:rPr>
              <w:t>% of Pop.</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United States</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325.716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304.405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93.5%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325.117</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99.8%</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302.940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269.494</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89.0%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63.783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46.960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73.6%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63.204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99.1%</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47.555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32.966</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69.3%</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261.933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257.446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261.912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255.385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236.528</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92.6%</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Alabama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4.875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4.199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86.1%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4.871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99.9%</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4.192</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3.438</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82.0%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2.010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1.401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69.7%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2.006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99.8%</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1.468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1.082</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73.7%</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2.865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2.799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2.865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2.724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2.356</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86.5%</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Alaska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0.740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0.595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80.5%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0.661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89.4%</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0.666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0.431</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64.8%</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0.263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0.135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51.6%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0.196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74.5%</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0.219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0.076</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34.7%</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0.477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0.460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96.4%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0.465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97.6%</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0.447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0.355</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79.5%</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Arizona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7.016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6.098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86.9%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6.991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99.6%</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6.898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5.772</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83.7%</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0.832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0.331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39.8%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0.808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97.1%</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0.769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0.420</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54.6%</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6.184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5.767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93.3%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6.183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6.129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5.352</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87.3%</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Arkansas</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3.004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2.324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77.4%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2.998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99.8%</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2.262</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1.508</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66.7%</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1.331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0.745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55.9%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1.325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99.5%</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0.799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0.464</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58.1%</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1.673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1.580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94.4%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1.673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1.463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1.044</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71.3%</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California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39.536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38.365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97.0%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39.510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99.9%</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39.434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37.422</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94.9%</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2.347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1.579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67.3%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2.320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98.9%</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2.280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1.731</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75.9%</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37.190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36.785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37.190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37.154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35.692</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96.1%</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Colorado</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5.606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5.211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92.9%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5.597</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99.8%</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5.153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4.810</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93.3%</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0.869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0.549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63.2%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0.859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98.9%</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0.584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0.460</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78.8%</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4.738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4.662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4.738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4.569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4.350</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95.2%</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Connecticut</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3.588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3.556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3.588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3.588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3.588</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0.433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0.431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0.433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0.433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0.433</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3.155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3.126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3.155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3.155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3.155</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Delaware</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0.962</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0.939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97.6%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0.962</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0.962</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0.737</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76.6%</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0.170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0.160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93.8%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0.170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0.170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0.076</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44.8%</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0.792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0.780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0.792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0.792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0.660</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83.4%</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District of Columbia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0.694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0.680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98.1%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0.694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0.694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0.694</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Florida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20.984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20.187</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96.2%</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20.980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20.662</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19.893</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96.3%</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2.032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1.583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77.9%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2.028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99.8%</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1.797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1.422</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79.1%</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18.952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18.604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18.952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18.865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18.471</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97.9%</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Georgia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10.429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9.643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92.5%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10.425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8.990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8.621</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95.9%</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2.558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1.986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77.6%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2.554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99.8%</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1.533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1.329</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86.7%</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7.871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7.658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7.871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7.457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7.292</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97.8%</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Hawaii</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1.428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1.372</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96.1%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1.426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99.9%</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1.427</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1.426</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99.9%</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0.132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0.094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71.5%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0.131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99.2%</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0.132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0.131</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99.2%</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1.296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1.278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1.296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1.296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1.296</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Idaho</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1.717</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1.465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85.3%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1.704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99.3%</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1.389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0.818</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58.9%</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0.531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0.311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58.6%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0.518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97.6%</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0.322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0.140</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43.5%</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1.186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1.154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1.186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1.067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0.678</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63.6%</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Illinois</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12.802</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12.119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94.7%</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12.801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12.019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11.589</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96.4%</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1.473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0.900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61.1%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1.472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99.9%</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0.972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0.817</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84.1%</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11.329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11.219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11.329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11.048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10.772</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97.5%</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Indiana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6.666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5.993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89.9%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6.666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5.962</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5.453</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91.5%</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1.841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1.242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67.4%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1.841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1.338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1.058</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79.1%</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4.826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4.752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4.826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4.624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4.395</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95.0%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Iowa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3.145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2.851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90.7%</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3.141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99.9%</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2.124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1.692</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79.7%</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1.136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0.880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77.5%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1.132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99.6%</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0.444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0.329</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74.3%</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2.009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1.971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2.009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1.681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1.363</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81.1%</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Kansas</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2.913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2.655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91.1%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2.913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2.292</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2.241</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97.8%</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0.756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0.543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71.8%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0.756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0.344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0.328</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95.3%</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2.157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2.112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2.157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1.948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1.913</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98.2%</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Kentucky</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4.454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4.050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90.9%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4.399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98.8%</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3.423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3.003</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87.7%</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1.830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1.458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79.7%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1.775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0.964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0.691</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71.7%</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2.624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2.591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2.624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2.459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2.312</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94.0%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Louisiana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4.684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4.104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87.6%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4.684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4.247</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3.471</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81.7%</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1.256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0.795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63.3%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1.255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0.942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0.649</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68.9%</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3.428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3.309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96.5%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3.428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3.304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2.821</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85.4%</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Maine</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1.336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1.247</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93.3%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1.316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98.5%</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1.236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0.122</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0.829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0.743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89.6%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0.809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97.6%</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0.736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0.077</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10.5%</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0.507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0.504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0.507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0.500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0.045</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8.9%</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Maryland</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6.052</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5.907</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97.6%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6.052</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5.912</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5.331</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90.2%</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0.802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0.760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94.8%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0.802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0.707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0.485</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68.6%</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5.250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5.147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5.250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5.205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4.846</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93.1%</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Massachusetts</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6.860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6.718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97.9%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6.859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6.849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6.831</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99.7%</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0.551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0.508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92.3%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0.550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99.9%</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0.548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0.541</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98.6%</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6.309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6.210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6.309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6.300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6.290</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99.8%</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Michigan</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9.962</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9.169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92.0%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9.956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99.9%</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9.478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8.515</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89.8%</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2.556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1.868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73.1%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2.550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99.8%</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2.221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1.523</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68.6%</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7.406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7.300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7.406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7.257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6.991</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96.3%</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Minnesota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5.576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5.288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94.8%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5.573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99.9%</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4.905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4.803</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97.9%</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1.485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1.242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83.7%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1.482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99.8%</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1.016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0.959</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94.4%</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4.092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4.046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4.092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3.889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3.843</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98.8%</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Mississippi</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2.984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2.374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79.6%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2.981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99.9%</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1.980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1.009</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51.0%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1.515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0.948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62.6%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1.511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99.8%</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0.751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0.305</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40.6%</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1.469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1.426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1.469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1.229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0.705</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57.3%</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Missouri</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6.113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5.423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88.7%</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6.103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99.8%</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5.118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4.322</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84.4%</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1.828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1.189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65.1%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1.818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99.5%</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1.088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0.719</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66.1%</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4.286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4.233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4.286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4.030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3.603</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89.4%</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Montana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1.050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0.906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86.3%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1.025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97.5%</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0.698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0.563</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80.7%</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0.480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0.350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73.0%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0.457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95.1%</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0.248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0.168</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67.9%</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0.570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0.556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0.568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99.6%</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0.450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0.395</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87.8%</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Nebraska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1.920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1.675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87.3%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1.918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99.9%</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1.301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1.083</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83.3%</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0.514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0.298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58.0%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0.512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99.6%</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0.143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0.081</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56.4%</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1.406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1.378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1.406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1.158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1.002</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86.6%</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Nevada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2.998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2.778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92.7%</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2.990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99.7%</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2.923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2.769</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94.7%</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0.208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0.097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46.5%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0.200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96.3%</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0.170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0.128</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75.4%</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2.790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2.682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96.1%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2.790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2.754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2.641</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95.9%</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New Hampshire</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1.343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1.271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94.7%</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1.341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99.9%</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1.269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0.716</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56.4%</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0.533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0.475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89.1%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0.532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99.8%</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0.485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0.164</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33.9%</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0.810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0.796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0.810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0.784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0.552</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70.4%</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New Jersey</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9.005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8.920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9.005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9.005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9.005</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0.466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0.457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0.466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0.466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0.466</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8.539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8.464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8.539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8.539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8.539</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New Mexico</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2.088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1.741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83.4%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2.078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99.5%</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1.856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0.895</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48.2%</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0.502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0.237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47.3%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0.492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0.376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0.075</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19.8%</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1.586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1.504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94.8%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1.586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1.480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0.821</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55.4%</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New York</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19.849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19.530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98.4%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19.836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99.9%</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19.385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17.958</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92.6%</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2.354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2.051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87.1%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2.341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99.4%</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2.017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1.209</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60.0%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17.495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17.479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17.495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17.368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16.749</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96.4%</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North Carolina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10.273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9.736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94.8%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10.243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99.7%</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9.569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7.376</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77.1%</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3.416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2.896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84.8%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3.389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99.2%</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2.828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1.592</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56.3%</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6.857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6.841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6.854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6.741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5.783</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85.8%</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North Dakota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0.755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0.703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93.1%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0.753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99.7%</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0.460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0.458</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99.6%</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0.335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0.293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87.3%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0.333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99.4%</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0.121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0.120</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98.4%</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0.420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0.410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0.420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0.338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0.338</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Ohio</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11.658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11.036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94.7%</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11.648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99.9%</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11.150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10.725</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96.2%</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2.579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2.021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78.4%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2.569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99.6%</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2.207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1.971</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89.3%</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9.079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9.015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9.079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8.943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8.754</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97.9%</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Oklahoma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3.931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3.104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79.0%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3.925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99.9%</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3.535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2.329</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65.9%</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1.348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0.651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48.3%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1.343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99.6%</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1.053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0.439</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41.7%</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2.582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2.453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95.0%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2.582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2.482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1.890</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76.2%</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Oregon</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4.143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3.826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92.4%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4.126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99.6%</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3.958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3.558</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89.9%</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0.836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0.575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68.9%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0.818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97.9%</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0.734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0.577</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78.6%</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3.307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3.251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3.307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3.224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2.981</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92.5%</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Pennsylvania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12.805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12.198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95.3%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12.795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99.9%</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12.204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11.622</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95.2%</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2.731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2.299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84.2%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2.721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99.6%</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2.307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1.965</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85.2%</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10.074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9.899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10.074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9.898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9.657</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97.6%</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Rhode Island</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1.060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1.041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98.3%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1.060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1.060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1.060</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0.098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0.096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0.098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0.098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0.098</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0.962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0.945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0.962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0.962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0.962</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South Carolina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5.024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4.516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89.9%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5.024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4.527</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4.363</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96.4%</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1.707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1.257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73.7%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1.706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1.334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1.264</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94.8%</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3.318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3.259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3.318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3.193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3.098</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South Dakota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0.869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0.773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88.9%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0.867</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99.8%</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0.391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0.389</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99.5%</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0.388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0.295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76.1%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0.386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99.5%</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0.092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0.090</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97.7%</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0.481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0.477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0.481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0.299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0.299</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Tennessee</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6.716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6.130</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91.3%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6.698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99.7%</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5.766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5.520</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95.7%</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2.263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1.743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77.0%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2.245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99.2%</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1.496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1.347</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90.0%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4.452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4.387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4.452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4.270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4.173</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97.7%</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Texas</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28.304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26.233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92.7%</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28.298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27.198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21.161</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77.8%</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4.659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3.209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68.9%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4.653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99.9%</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3.966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2.214</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55.8%</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23.645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23.024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23.645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23.231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18.947</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81.6%</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Utah</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3.102</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2.923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94.2%</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3.093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99.7%</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2.938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2.594</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88.3%</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0.383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0.245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64.0%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0.374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97.8%</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0.279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0.170</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61.1%</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2.719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2.678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2.719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2.659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2.423</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91.1%</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Vermont</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0.624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0.557</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89.3%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0.615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98.6%</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0.383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0.162</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42.3%</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0.383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0.320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83.4%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0.375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97.8%</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0.188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0.043</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23.0%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0.241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0.237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0.241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0.195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0.119</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60.9%</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Virginia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8.475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7.772</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91.7%</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8.456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99.8%</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7.529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5.863</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77.9%</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2.078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1.541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74.1%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2.060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99.1%</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1.380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0.498</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36.1%</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6.397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6.231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6.397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6.149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5.366</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87.3%</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Washington</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7.406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7.205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97.3%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7.389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99.8%</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7.289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6.580</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90.3%</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1.269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1.128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88.9%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1.252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98.7%</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1.193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0.909</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76.2%</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6.137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6.076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6.137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6.096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5.670</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93.0%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West Virginia</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1.816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1.536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84.6%</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1.728</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95.1%</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1.113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0.445</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40.0%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0.926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0.671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72.5%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0.839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90.6%</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0.423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0.130</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30.6%</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0.890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0.865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97.2%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0.889</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99.9%</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0.690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0.315</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45.7%</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Wisconsin</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5.795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5.291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91.3%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5.781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99.7%</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5.234</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4.760</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90.9%</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1.744</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1.258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72.1%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1.730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99.2%</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1.287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1.001</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77.8%</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4.051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4.032</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99.5%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4.051</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3.947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3.759</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95.2%</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rPr>
                <w:b/>
                <w:bCs/>
                <w:color w:val="000000"/>
              </w:rPr>
            </w:pPr>
            <w:r w:rsidRPr="00A167E6">
              <w:rPr>
                <w:b/>
                <w:bCs/>
                <w:color w:val="000000"/>
              </w:rPr>
              <w:t>Wyoming</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0.579</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0.471</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81.3%</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0.572</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98.8%</w:t>
            </w:r>
          </w:p>
        </w:tc>
        <w:tc>
          <w:tcPr>
            <w:tcW w:w="1087" w:type="dxa"/>
            <w:tcBorders>
              <w:top w:val="nil"/>
              <w:left w:val="doub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0.335</w:t>
            </w:r>
          </w:p>
        </w:tc>
        <w:tc>
          <w:tcPr>
            <w:tcW w:w="1087" w:type="dxa"/>
            <w:tcBorders>
              <w:top w:val="nil"/>
              <w:left w:val="single" w:sz="8" w:space="0" w:color="000000"/>
              <w:bottom w:val="single" w:sz="8" w:space="0" w:color="000000"/>
              <w:right w:val="nil"/>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0.000</w:t>
            </w:r>
          </w:p>
        </w:tc>
        <w:tc>
          <w:tcPr>
            <w:tcW w:w="108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BA0D64" w:rsidRPr="00A167E6" w:rsidP="001616B7">
            <w:pPr>
              <w:adjustRightInd w:val="0"/>
              <w:spacing w:before="40" w:after="40"/>
              <w:jc w:val="right"/>
              <w:rPr>
                <w:color w:val="000000"/>
              </w:rPr>
            </w:pPr>
            <w:r w:rsidRPr="00A167E6">
              <w:rPr>
                <w:color w:val="000000"/>
              </w:rPr>
              <w:t>0.0%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Rural</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0.220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0.116</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52.8%</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0.213</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96.8%</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0.085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0.000</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w:t>
            </w:r>
          </w:p>
        </w:tc>
      </w:tr>
      <w:tr w:rsidTr="001616B7">
        <w:tblPrEx>
          <w:tblW w:w="10746" w:type="dxa"/>
          <w:jc w:val="center"/>
          <w:tblLayout w:type="fixed"/>
          <w:tblCellMar>
            <w:left w:w="0" w:type="dxa"/>
            <w:right w:w="0" w:type="dxa"/>
          </w:tblCellMar>
          <w:tblLook w:val="0000"/>
        </w:tblPrEx>
        <w:trPr>
          <w:cantSplit/>
          <w:jc w:val="center"/>
        </w:trPr>
        <w:tc>
          <w:tcPr>
            <w:tcW w:w="2050" w:type="dxa"/>
            <w:tcBorders>
              <w:top w:val="nil"/>
              <w:left w:val="single" w:sz="8" w:space="0" w:color="000000"/>
              <w:bottom w:val="single" w:sz="8" w:space="0" w:color="000000"/>
              <w:right w:val="nil"/>
            </w:tcBorders>
            <w:shd w:val="clear" w:color="auto" w:fill="90B0D9"/>
            <w:tcMar>
              <w:left w:w="40" w:type="dxa"/>
              <w:right w:w="40" w:type="dxa"/>
            </w:tcMar>
          </w:tcPr>
          <w:p w:rsidR="00BA0D64" w:rsidRPr="00A167E6" w:rsidP="001616B7">
            <w:pPr>
              <w:adjustRightInd w:val="0"/>
              <w:spacing w:before="40" w:after="40"/>
              <w:ind w:firstLine="19"/>
              <w:rPr>
                <w:b/>
                <w:bCs/>
                <w:color w:val="000000"/>
              </w:rPr>
            </w:pPr>
            <w:r>
              <w:rPr>
                <w:b/>
                <w:bCs/>
                <w:color w:val="000000"/>
              </w:rPr>
              <w:t xml:space="preserve"> Urban</w:t>
            </w:r>
            <w:r w:rsidRPr="00A167E6">
              <w:rPr>
                <w:b/>
                <w:bCs/>
                <w:color w:val="000000"/>
              </w:rPr>
              <w:t xml:space="preserve"> Areas</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0.360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0.355</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98.7%</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0.360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100%</w:t>
            </w:r>
          </w:p>
        </w:tc>
        <w:tc>
          <w:tcPr>
            <w:tcW w:w="1087" w:type="dxa"/>
            <w:tcBorders>
              <w:top w:val="nil"/>
              <w:left w:val="doub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0.250</w:t>
            </w:r>
          </w:p>
        </w:tc>
        <w:tc>
          <w:tcPr>
            <w:tcW w:w="1087" w:type="dxa"/>
            <w:tcBorders>
              <w:top w:val="nil"/>
              <w:left w:val="single" w:sz="8" w:space="0" w:color="000000"/>
              <w:bottom w:val="single" w:sz="8" w:space="0" w:color="000000"/>
              <w:right w:val="nil"/>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0.000</w:t>
            </w:r>
          </w:p>
        </w:tc>
        <w:tc>
          <w:tcPr>
            <w:tcW w:w="108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BA0D64" w:rsidRPr="00A167E6" w:rsidP="001616B7">
            <w:pPr>
              <w:adjustRightInd w:val="0"/>
              <w:spacing w:before="40" w:after="40"/>
              <w:jc w:val="right"/>
              <w:rPr>
                <w:color w:val="000000"/>
              </w:rPr>
            </w:pPr>
            <w:r w:rsidRPr="00A167E6">
              <w:rPr>
                <w:color w:val="000000"/>
              </w:rPr>
              <w:t>0.0%</w:t>
            </w:r>
          </w:p>
        </w:tc>
      </w:tr>
    </w:tbl>
    <w:p w:rsidR="00BA0D64" w:rsidP="00BA0D64">
      <w:pPr>
        <w:adjustRightInd w:val="0"/>
        <w:rPr>
          <w:rFonts w:ascii="Times" w:hAnsi="Times" w:cs="Times"/>
          <w:color w:val="000000"/>
        </w:rPr>
      </w:pPr>
    </w:p>
    <w:p w:rsidR="00BA0D64" w:rsidP="00BA0D64">
      <w:pPr>
        <w:adjustRightInd w:val="0"/>
        <w:jc w:val="center"/>
        <w:rPr>
          <w:sz w:val="24"/>
          <w:szCs w:val="24"/>
        </w:rPr>
      </w:pPr>
    </w:p>
    <w:p w:rsidR="00BA0D64" w:rsidRPr="005577AD" w:rsidP="00BA0D64">
      <w:pPr>
        <w:spacing w:after="120"/>
        <w:ind w:firstLine="720"/>
        <w:rPr>
          <w:szCs w:val="22"/>
        </w:rPr>
      </w:pPr>
    </w:p>
    <w:p w:rsidR="00BA0D64" w:rsidRPr="005577AD" w:rsidP="00BA0D64">
      <w:pPr>
        <w:widowControl/>
        <w:ind w:firstLine="720"/>
        <w:rPr>
          <w:szCs w:val="22"/>
        </w:rPr>
      </w:pPr>
    </w:p>
    <w:p w:rsidR="00BA0D64" w:rsidRPr="00DE72D3" w:rsidP="00BA0D64"/>
    <w:p w:rsidR="00BA0D64" w:rsidRPr="00934012" w:rsidP="00BA0D64"/>
    <w:p w:rsidR="00C6287D" w:rsidRPr="003E0698" w:rsidP="00C6287D">
      <w:pPr>
        <w:pStyle w:val="ParaNum"/>
        <w:numPr>
          <w:ilvl w:val="0"/>
          <w:numId w:val="0"/>
        </w:numPr>
        <w:tabs>
          <w:tab w:val="left" w:pos="720"/>
        </w:tabs>
        <w:ind w:left="720"/>
      </w:pPr>
    </w:p>
    <w:p w:rsidR="00C6287D" w:rsidRPr="003E0698" w:rsidP="00C6287D"/>
    <w:p w:rsidR="002D12B2" w:rsidP="00C6287D">
      <w:pPr>
        <w:sectPr w:rsidSect="00BA0D64">
          <w:footerReference w:type="first" r:id="rId10"/>
          <w:endnotePr>
            <w:numFmt w:val="decimal"/>
          </w:endnotePr>
          <w:pgSz w:w="12240" w:h="15840"/>
          <w:pgMar w:top="1440" w:right="1440" w:bottom="720" w:left="1440" w:header="720" w:footer="720" w:gutter="0"/>
          <w:cols w:space="720"/>
          <w:noEndnote/>
          <w:titlePg/>
        </w:sectPr>
      </w:pPr>
    </w:p>
    <w:p w:rsidR="002D12B2" w:rsidRPr="00AD04ED" w:rsidP="002D12B2">
      <w:pPr>
        <w:adjustRightInd w:val="0"/>
        <w:spacing w:before="10" w:after="10"/>
        <w:jc w:val="center"/>
        <w:rPr>
          <w:b/>
          <w:bCs/>
          <w:color w:val="000000"/>
          <w:szCs w:val="22"/>
        </w:rPr>
      </w:pPr>
      <w:r w:rsidRPr="00AD04ED">
        <w:rPr>
          <w:b/>
          <w:bCs/>
          <w:color w:val="000000"/>
          <w:szCs w:val="22"/>
        </w:rPr>
        <w:t>APPENDIX 2</w:t>
      </w:r>
    </w:p>
    <w:p w:rsidR="002D12B2" w:rsidRPr="00AD04ED" w:rsidP="002D12B2">
      <w:pPr>
        <w:adjustRightInd w:val="0"/>
        <w:spacing w:before="10" w:after="10"/>
        <w:jc w:val="center"/>
        <w:rPr>
          <w:color w:val="000000"/>
          <w:szCs w:val="22"/>
        </w:rPr>
      </w:pPr>
    </w:p>
    <w:p w:rsidR="002D12B2" w:rsidRPr="00AD04ED" w:rsidP="002D12B2">
      <w:pPr>
        <w:adjustRightInd w:val="0"/>
        <w:spacing w:before="10" w:after="10"/>
        <w:jc w:val="center"/>
        <w:rPr>
          <w:b/>
          <w:bCs/>
          <w:color w:val="000000"/>
          <w:szCs w:val="22"/>
        </w:rPr>
      </w:pPr>
      <w:r w:rsidRPr="00AD04ED">
        <w:rPr>
          <w:b/>
          <w:bCs/>
          <w:color w:val="000000"/>
          <w:szCs w:val="22"/>
        </w:rPr>
        <w:t>Deployment (Millions) of Fixed 25 Mbps/3 Mbps and Mobile LTE</w:t>
      </w:r>
      <w:r>
        <w:rPr>
          <w:b/>
          <w:bCs/>
          <w:color w:val="000000"/>
          <w:szCs w:val="22"/>
        </w:rPr>
        <w:t xml:space="preserve"> </w:t>
      </w:r>
      <w:r w:rsidRPr="00AD04ED">
        <w:rPr>
          <w:b/>
          <w:bCs/>
          <w:color w:val="000000"/>
          <w:szCs w:val="22"/>
        </w:rPr>
        <w:t>with a Minimum Advertised Speed of 5 Mbps/1 Mbps; and Fixed 25 Mbps/3 Mbps and Mobile LTE</w:t>
      </w:r>
      <w:r>
        <w:rPr>
          <w:b/>
          <w:bCs/>
          <w:color w:val="000000"/>
          <w:szCs w:val="22"/>
        </w:rPr>
        <w:t xml:space="preserve"> </w:t>
      </w:r>
      <w:r w:rsidRPr="00AD04ED">
        <w:rPr>
          <w:b/>
          <w:bCs/>
          <w:color w:val="000000"/>
          <w:szCs w:val="22"/>
        </w:rPr>
        <w:t>with a Median Speed of 10 Mbps/3 Mbps by State and District of Columbia</w:t>
      </w:r>
    </w:p>
    <w:p w:rsidR="002D12B2" w:rsidRPr="00AD04ED" w:rsidP="002D12B2">
      <w:pPr>
        <w:adjustRightInd w:val="0"/>
        <w:rPr>
          <w:b/>
          <w:bCs/>
          <w:color w:val="000000"/>
        </w:rPr>
      </w:pPr>
    </w:p>
    <w:tbl>
      <w:tblPr>
        <w:tblW w:w="0" w:type="auto"/>
        <w:jc w:val="center"/>
        <w:tblLayout w:type="fixed"/>
        <w:tblCellMar>
          <w:left w:w="0" w:type="dxa"/>
          <w:right w:w="0" w:type="dxa"/>
        </w:tblCellMar>
        <w:tblLook w:val="0000"/>
      </w:tblPr>
      <w:tblGrid>
        <w:gridCol w:w="2550"/>
        <w:gridCol w:w="1126"/>
        <w:gridCol w:w="1126"/>
        <w:gridCol w:w="1126"/>
        <w:gridCol w:w="1126"/>
        <w:gridCol w:w="1126"/>
        <w:gridCol w:w="1126"/>
      </w:tblGrid>
      <w:tr w:rsidTr="001616B7">
        <w:tblPrEx>
          <w:tblW w:w="0" w:type="auto"/>
          <w:jc w:val="center"/>
          <w:tblLayout w:type="fixed"/>
          <w:tblCellMar>
            <w:left w:w="0" w:type="dxa"/>
            <w:right w:w="0" w:type="dxa"/>
          </w:tblCellMar>
          <w:tblLook w:val="0000"/>
        </w:tblPrEx>
        <w:trPr>
          <w:cantSplit/>
          <w:tblHeader/>
          <w:jc w:val="center"/>
        </w:trPr>
        <w:tc>
          <w:tcPr>
            <w:tcW w:w="2550" w:type="dxa"/>
            <w:vMerge w:val="restart"/>
            <w:tcBorders>
              <w:top w:val="single" w:sz="4" w:space="0" w:color="auto"/>
              <w:left w:val="single" w:sz="8" w:space="0" w:color="000000"/>
              <w:right w:val="nil"/>
            </w:tcBorders>
            <w:shd w:val="clear" w:color="auto" w:fill="90B0D9"/>
            <w:tcMar>
              <w:left w:w="40" w:type="dxa"/>
              <w:right w:w="40" w:type="dxa"/>
            </w:tcMar>
            <w:vAlign w:val="bottom"/>
          </w:tcPr>
          <w:p w:rsidR="002D12B2" w:rsidRPr="00AD04ED" w:rsidP="001616B7">
            <w:pPr>
              <w:adjustRightInd w:val="0"/>
              <w:spacing w:before="40" w:after="40"/>
              <w:jc w:val="center"/>
              <w:rPr>
                <w:b/>
                <w:bCs/>
                <w:color w:val="000000"/>
              </w:rPr>
            </w:pPr>
          </w:p>
        </w:tc>
        <w:tc>
          <w:tcPr>
            <w:tcW w:w="1126" w:type="dxa"/>
            <w:vMerge w:val="restart"/>
            <w:tcBorders>
              <w:top w:val="single" w:sz="4" w:space="0" w:color="auto"/>
              <w:left w:val="single" w:sz="8" w:space="0" w:color="000000"/>
              <w:right w:val="nil"/>
            </w:tcBorders>
            <w:shd w:val="clear" w:color="auto" w:fill="90B0D9"/>
            <w:tcMar>
              <w:left w:w="40" w:type="dxa"/>
              <w:right w:w="40" w:type="dxa"/>
            </w:tcMar>
            <w:vAlign w:val="bottom"/>
          </w:tcPr>
          <w:p w:rsidR="002D12B2" w:rsidRPr="00AD04ED" w:rsidP="001616B7">
            <w:pPr>
              <w:adjustRightInd w:val="0"/>
              <w:spacing w:before="40" w:after="40"/>
              <w:jc w:val="center"/>
              <w:rPr>
                <w:b/>
                <w:bCs/>
                <w:color w:val="000000"/>
              </w:rPr>
            </w:pPr>
            <w:r w:rsidRPr="00AD04ED">
              <w:rPr>
                <w:b/>
                <w:bCs/>
                <w:color w:val="000000"/>
              </w:rPr>
              <w:t>Pop. Evaluated</w:t>
            </w:r>
          </w:p>
        </w:tc>
        <w:tc>
          <w:tcPr>
            <w:tcW w:w="2252" w:type="dxa"/>
            <w:gridSpan w:val="2"/>
            <w:tcBorders>
              <w:top w:val="single" w:sz="4" w:space="0" w:color="auto"/>
              <w:left w:val="single" w:sz="8" w:space="0" w:color="000000"/>
              <w:bottom w:val="single" w:sz="8" w:space="0" w:color="000000"/>
              <w:right w:val="double" w:sz="6" w:space="0" w:color="auto"/>
            </w:tcBorders>
            <w:shd w:val="clear" w:color="auto" w:fill="90B0D9"/>
            <w:tcMar>
              <w:left w:w="40" w:type="dxa"/>
              <w:right w:w="40" w:type="dxa"/>
            </w:tcMar>
            <w:vAlign w:val="bottom"/>
          </w:tcPr>
          <w:p w:rsidR="002D12B2" w:rsidRPr="00AD04ED" w:rsidP="001616B7">
            <w:pPr>
              <w:adjustRightInd w:val="0"/>
              <w:spacing w:before="40" w:after="40"/>
              <w:jc w:val="center"/>
              <w:rPr>
                <w:b/>
                <w:bCs/>
                <w:color w:val="000000"/>
              </w:rPr>
            </w:pPr>
            <w:r w:rsidRPr="00AD04ED">
              <w:rPr>
                <w:b/>
                <w:bCs/>
                <w:color w:val="000000"/>
              </w:rPr>
              <w:t>Fixed 25 Mbps</w:t>
            </w:r>
            <w:r>
              <w:rPr>
                <w:b/>
                <w:bCs/>
                <w:color w:val="000000"/>
              </w:rPr>
              <w:t>/</w:t>
            </w:r>
            <w:r w:rsidRPr="00AD04ED">
              <w:rPr>
                <w:b/>
                <w:bCs/>
                <w:color w:val="000000"/>
              </w:rPr>
              <w:br/>
              <w:t>3 Mbps and Mobile LTE 5 Mbps</w:t>
            </w:r>
            <w:r>
              <w:rPr>
                <w:b/>
                <w:bCs/>
                <w:color w:val="000000"/>
              </w:rPr>
              <w:t>/</w:t>
            </w:r>
            <w:r w:rsidRPr="00AD04ED">
              <w:rPr>
                <w:b/>
                <w:bCs/>
                <w:color w:val="000000"/>
              </w:rPr>
              <w:br/>
              <w:t>1 Mbps</w:t>
            </w:r>
          </w:p>
        </w:tc>
        <w:tc>
          <w:tcPr>
            <w:tcW w:w="1126" w:type="dxa"/>
            <w:vMerge w:val="restart"/>
            <w:tcBorders>
              <w:top w:val="single" w:sz="4" w:space="0" w:color="auto"/>
              <w:left w:val="double" w:sz="6" w:space="0" w:color="auto"/>
              <w:right w:val="nil"/>
            </w:tcBorders>
            <w:shd w:val="clear" w:color="auto" w:fill="90B0D9"/>
            <w:tcMar>
              <w:left w:w="40" w:type="dxa"/>
              <w:right w:w="40" w:type="dxa"/>
            </w:tcMar>
            <w:vAlign w:val="bottom"/>
          </w:tcPr>
          <w:p w:rsidR="002D12B2" w:rsidRPr="00AD04ED" w:rsidP="001616B7">
            <w:pPr>
              <w:adjustRightInd w:val="0"/>
              <w:spacing w:before="40" w:after="40"/>
              <w:jc w:val="center"/>
              <w:rPr>
                <w:b/>
                <w:bCs/>
                <w:color w:val="000000"/>
              </w:rPr>
            </w:pPr>
            <w:r w:rsidRPr="00AD04ED">
              <w:rPr>
                <w:b/>
                <w:bCs/>
                <w:color w:val="000000"/>
              </w:rPr>
              <w:t>Pop. Evaluated</w:t>
            </w:r>
          </w:p>
        </w:tc>
        <w:tc>
          <w:tcPr>
            <w:tcW w:w="2252" w:type="dxa"/>
            <w:gridSpan w:val="2"/>
            <w:tcBorders>
              <w:top w:val="single" w:sz="4" w:space="0" w:color="auto"/>
              <w:left w:val="single" w:sz="8" w:space="0" w:color="000000"/>
              <w:bottom w:val="single" w:sz="8" w:space="0" w:color="000000"/>
              <w:right w:val="single" w:sz="8" w:space="0" w:color="000000"/>
            </w:tcBorders>
            <w:shd w:val="clear" w:color="auto" w:fill="90B0D9"/>
            <w:tcMar>
              <w:left w:w="40" w:type="dxa"/>
              <w:right w:w="40" w:type="dxa"/>
            </w:tcMar>
            <w:vAlign w:val="bottom"/>
          </w:tcPr>
          <w:p w:rsidR="002D12B2" w:rsidRPr="00AD04ED" w:rsidP="001616B7">
            <w:pPr>
              <w:adjustRightInd w:val="0"/>
              <w:spacing w:before="40" w:after="40"/>
              <w:jc w:val="center"/>
              <w:rPr>
                <w:b/>
                <w:bCs/>
                <w:color w:val="000000"/>
              </w:rPr>
            </w:pPr>
            <w:r w:rsidRPr="00AD04ED">
              <w:rPr>
                <w:b/>
                <w:bCs/>
                <w:color w:val="000000"/>
              </w:rPr>
              <w:t>Fixed 25 Mbps</w:t>
            </w:r>
            <w:r>
              <w:rPr>
                <w:b/>
                <w:bCs/>
                <w:color w:val="000000"/>
              </w:rPr>
              <w:t>/</w:t>
            </w:r>
            <w:r w:rsidRPr="00AD04ED">
              <w:rPr>
                <w:b/>
                <w:bCs/>
                <w:color w:val="000000"/>
              </w:rPr>
              <w:br/>
              <w:t>3 Mbps and Mobile LTE 10 Mbps</w:t>
            </w:r>
            <w:r>
              <w:rPr>
                <w:b/>
                <w:bCs/>
                <w:color w:val="000000"/>
              </w:rPr>
              <w:t>/</w:t>
            </w:r>
            <w:r w:rsidRPr="00AD04ED">
              <w:rPr>
                <w:b/>
                <w:bCs/>
                <w:color w:val="000000"/>
              </w:rPr>
              <w:br/>
              <w:t>3 Mbps</w:t>
            </w:r>
          </w:p>
        </w:tc>
      </w:tr>
      <w:tr w:rsidTr="001616B7">
        <w:tblPrEx>
          <w:tblW w:w="0" w:type="auto"/>
          <w:jc w:val="center"/>
          <w:tblLayout w:type="fixed"/>
          <w:tblCellMar>
            <w:left w:w="0" w:type="dxa"/>
            <w:right w:w="0" w:type="dxa"/>
          </w:tblCellMar>
          <w:tblLook w:val="0000"/>
        </w:tblPrEx>
        <w:trPr>
          <w:cantSplit/>
          <w:tblHeader/>
          <w:jc w:val="center"/>
        </w:trPr>
        <w:tc>
          <w:tcPr>
            <w:tcW w:w="2550" w:type="dxa"/>
            <w:vMerge/>
            <w:tcBorders>
              <w:left w:val="single" w:sz="8" w:space="0" w:color="000000"/>
              <w:bottom w:val="single" w:sz="8" w:space="0" w:color="000000"/>
              <w:right w:val="nil"/>
            </w:tcBorders>
            <w:shd w:val="clear" w:color="auto" w:fill="90B0D9"/>
            <w:tcMar>
              <w:left w:w="40" w:type="dxa"/>
              <w:right w:w="40" w:type="dxa"/>
            </w:tcMar>
            <w:vAlign w:val="bottom"/>
          </w:tcPr>
          <w:p w:rsidR="002D12B2" w:rsidRPr="00AD04ED" w:rsidP="001616B7">
            <w:pPr>
              <w:adjustRightInd w:val="0"/>
              <w:spacing w:before="40" w:after="40"/>
              <w:jc w:val="center"/>
              <w:rPr>
                <w:b/>
                <w:bCs/>
                <w:color w:val="000000"/>
              </w:rPr>
            </w:pPr>
          </w:p>
        </w:tc>
        <w:tc>
          <w:tcPr>
            <w:tcW w:w="1126" w:type="dxa"/>
            <w:vMerge/>
            <w:tcBorders>
              <w:left w:val="single" w:sz="8" w:space="0" w:color="000000"/>
              <w:bottom w:val="single" w:sz="8" w:space="0" w:color="000000"/>
              <w:right w:val="nil"/>
            </w:tcBorders>
            <w:shd w:val="clear" w:color="auto" w:fill="90B0D9"/>
            <w:tcMar>
              <w:left w:w="40" w:type="dxa"/>
              <w:right w:w="40" w:type="dxa"/>
            </w:tcMar>
            <w:vAlign w:val="bottom"/>
          </w:tcPr>
          <w:p w:rsidR="002D12B2" w:rsidRPr="00AD04ED" w:rsidP="001616B7">
            <w:pPr>
              <w:adjustRightInd w:val="0"/>
              <w:spacing w:before="40" w:after="40"/>
              <w:jc w:val="center"/>
              <w:rPr>
                <w:b/>
                <w:bCs/>
                <w:color w:val="000000"/>
              </w:rPr>
            </w:pPr>
          </w:p>
        </w:tc>
        <w:tc>
          <w:tcPr>
            <w:tcW w:w="1126" w:type="dxa"/>
            <w:tcBorders>
              <w:top w:val="nil"/>
              <w:left w:val="single" w:sz="8" w:space="0" w:color="000000"/>
              <w:bottom w:val="single" w:sz="8" w:space="0" w:color="000000"/>
              <w:right w:val="nil"/>
            </w:tcBorders>
            <w:shd w:val="clear" w:color="auto" w:fill="90B0D9"/>
            <w:tcMar>
              <w:left w:w="40" w:type="dxa"/>
              <w:right w:w="40" w:type="dxa"/>
            </w:tcMar>
            <w:vAlign w:val="bottom"/>
          </w:tcPr>
          <w:p w:rsidR="002D12B2" w:rsidRPr="00AD04ED" w:rsidP="001616B7">
            <w:pPr>
              <w:adjustRightInd w:val="0"/>
              <w:spacing w:before="40" w:after="40"/>
              <w:jc w:val="center"/>
              <w:rPr>
                <w:b/>
                <w:bCs/>
                <w:color w:val="000000"/>
              </w:rPr>
            </w:pPr>
            <w:r w:rsidRPr="00AD04ED">
              <w:rPr>
                <w:b/>
                <w:bCs/>
                <w:color w:val="000000"/>
              </w:rPr>
              <w:t>Pop.</w:t>
            </w:r>
          </w:p>
        </w:tc>
        <w:tc>
          <w:tcPr>
            <w:tcW w:w="1126" w:type="dxa"/>
            <w:tcBorders>
              <w:top w:val="nil"/>
              <w:left w:val="single" w:sz="8" w:space="0" w:color="000000"/>
              <w:bottom w:val="single" w:sz="8" w:space="0" w:color="000000"/>
              <w:right w:val="double" w:sz="6" w:space="0" w:color="auto"/>
            </w:tcBorders>
            <w:shd w:val="clear" w:color="auto" w:fill="90B0D9"/>
            <w:tcMar>
              <w:left w:w="40" w:type="dxa"/>
              <w:right w:w="40" w:type="dxa"/>
            </w:tcMar>
            <w:vAlign w:val="bottom"/>
          </w:tcPr>
          <w:p w:rsidR="002D12B2" w:rsidRPr="00AD04ED" w:rsidP="001616B7">
            <w:pPr>
              <w:adjustRightInd w:val="0"/>
              <w:spacing w:before="40" w:after="40"/>
              <w:jc w:val="center"/>
              <w:rPr>
                <w:b/>
                <w:bCs/>
                <w:color w:val="000000"/>
              </w:rPr>
            </w:pPr>
            <w:r w:rsidRPr="00AD04ED">
              <w:rPr>
                <w:b/>
                <w:bCs/>
                <w:color w:val="000000"/>
              </w:rPr>
              <w:t>% of Pop.</w:t>
            </w:r>
          </w:p>
        </w:tc>
        <w:tc>
          <w:tcPr>
            <w:tcW w:w="1126" w:type="dxa"/>
            <w:vMerge/>
            <w:tcBorders>
              <w:left w:val="double" w:sz="6" w:space="0" w:color="auto"/>
              <w:bottom w:val="single" w:sz="8" w:space="0" w:color="000000"/>
              <w:right w:val="nil"/>
            </w:tcBorders>
            <w:shd w:val="clear" w:color="auto" w:fill="90B0D9"/>
            <w:tcMar>
              <w:left w:w="40" w:type="dxa"/>
              <w:right w:w="40" w:type="dxa"/>
            </w:tcMar>
            <w:vAlign w:val="bottom"/>
          </w:tcPr>
          <w:p w:rsidR="002D12B2" w:rsidRPr="00AD04ED" w:rsidP="001616B7">
            <w:pPr>
              <w:adjustRightInd w:val="0"/>
              <w:spacing w:before="40" w:after="40"/>
              <w:jc w:val="center"/>
              <w:rPr>
                <w:b/>
                <w:bCs/>
                <w:color w:val="000000"/>
              </w:rPr>
            </w:pPr>
          </w:p>
        </w:tc>
        <w:tc>
          <w:tcPr>
            <w:tcW w:w="1126" w:type="dxa"/>
            <w:tcBorders>
              <w:top w:val="nil"/>
              <w:left w:val="single" w:sz="8" w:space="0" w:color="000000"/>
              <w:bottom w:val="single" w:sz="8" w:space="0" w:color="000000"/>
              <w:right w:val="nil"/>
            </w:tcBorders>
            <w:shd w:val="clear" w:color="auto" w:fill="90B0D9"/>
            <w:tcMar>
              <w:left w:w="40" w:type="dxa"/>
              <w:right w:w="40" w:type="dxa"/>
            </w:tcMar>
            <w:vAlign w:val="bottom"/>
          </w:tcPr>
          <w:p w:rsidR="002D12B2" w:rsidRPr="00AD04ED" w:rsidP="001616B7">
            <w:pPr>
              <w:adjustRightInd w:val="0"/>
              <w:spacing w:before="40" w:after="40"/>
              <w:jc w:val="center"/>
              <w:rPr>
                <w:b/>
                <w:bCs/>
                <w:color w:val="000000"/>
              </w:rPr>
            </w:pPr>
            <w:r w:rsidRPr="00AD04ED">
              <w:rPr>
                <w:b/>
                <w:bCs/>
                <w:color w:val="000000"/>
              </w:rPr>
              <w:t>Pop.</w:t>
            </w:r>
          </w:p>
        </w:tc>
        <w:tc>
          <w:tcPr>
            <w:tcW w:w="1126"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2D12B2" w:rsidRPr="00AD04ED" w:rsidP="001616B7">
            <w:pPr>
              <w:adjustRightInd w:val="0"/>
              <w:spacing w:before="40" w:after="40"/>
              <w:jc w:val="center"/>
              <w:rPr>
                <w:b/>
                <w:bCs/>
                <w:color w:val="000000"/>
              </w:rPr>
            </w:pPr>
            <w:r w:rsidRPr="00AD04ED">
              <w:rPr>
                <w:b/>
                <w:bCs/>
                <w:color w:val="000000"/>
              </w:rPr>
              <w:t>% of Pop.</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United States</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325.716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304.149</w:t>
            </w:r>
          </w:p>
        </w:tc>
        <w:tc>
          <w:tcPr>
            <w:tcW w:w="1126" w:type="dxa"/>
            <w:tcBorders>
              <w:top w:val="nil"/>
              <w:left w:val="single" w:sz="8" w:space="0" w:color="000000"/>
              <w:bottom w:val="single" w:sz="8" w:space="0" w:color="000000"/>
              <w:right w:val="double" w:sz="6" w:space="0" w:color="auto"/>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93.4%</w:t>
            </w:r>
          </w:p>
        </w:tc>
        <w:tc>
          <w:tcPr>
            <w:tcW w:w="1126" w:type="dxa"/>
            <w:tcBorders>
              <w:top w:val="nil"/>
              <w:left w:val="double" w:sz="6" w:space="0" w:color="auto"/>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302.940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259.926</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85.8%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63.783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46.709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73.2%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47.555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26.728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56.2%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261.933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257.440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255.385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233.198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91.3%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Alabama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4.875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4.199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86.1%</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4.192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3.193</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76.2%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2.010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1.400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69.7%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1.468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0.872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59.4%</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2.865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2.799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97.7%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2.724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2.321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85.2%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Alaska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0.740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0.590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79.8%</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0.666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0.416</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62.5%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0.263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0.130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49.7%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0.219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0.062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28.1%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0.477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0.459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96.3%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0.447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0.355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79.4%</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Arizona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7.016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6.098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86.9%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6.898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5.240</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76.0%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0.832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0.331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39.8%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0.769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0.196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25.5%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6.184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5.767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93.3%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6.129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5.044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82.3%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Arkansas</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3.004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2.323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77.3%</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2.262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1.372</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60.6%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1.331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0.744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55.9%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0.799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0.354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44.3%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1.673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1.580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94.4%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1.463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1.018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69.6%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California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39.536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38.359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97.0%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39.434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36.491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92.5%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2.347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1.574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67.1%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2.280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1.166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51.1%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37.190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36.785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37.154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35.326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95.1%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Colorado</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5.606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5.209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92.9%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5.153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4.575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88.8%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0.869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0.547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62.9%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0.584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0.284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48.6%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4.738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4.662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4.569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4.291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93.9%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Connecticut</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3.588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3.556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99.1%</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3.588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3.556</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99.1%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0.433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0.431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99.4%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0.433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0.431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99.4%</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3.155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3.126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99.1%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3.155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3.126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99.1%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Delaware</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0.962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0.939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97.6%</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0.962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0.721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74.9%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0.170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0.160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93.8%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0.170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0.071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41.8%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0.792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0.780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0.792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0.650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82.0%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District of Columbia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0.694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0.680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98.1%</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0.694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0.680</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98.1%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Florida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20.984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20.186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96.2%</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20.662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19.358</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93.7%</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2.032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1.582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77.9%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1.797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1.200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66.8%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18.952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18.604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18.865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18.158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96.3%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Georgia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10.429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9.640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92.4%</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8.990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8.315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92.5%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2.558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1.983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77.5%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1.533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1.181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77.0%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7.871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7.658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97.3%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7.457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7.134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95.7%</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Hawaii</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1.428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1.372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96.1%</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1.427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1.372</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96.1%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0.132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0.094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71.2%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0.132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0.094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71.2%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1.296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1.278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1.296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1.278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Idaho</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1.717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1.461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85.1%</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1.389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0.747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53.8%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0.531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0.307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57.9%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0.322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0.076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23.6%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1.186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1.154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97.3%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1.067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0.671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62.9%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Illinois</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12.802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12.119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94.7%</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12.019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11.249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93.6%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1.473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0.900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61.1%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0.972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0.568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58.5%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11.329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11.219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99.0%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11.048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10.681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96.7%</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Indiana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6.666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5.993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5.962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5.075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85.1%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1.841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1.242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67.4%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1.338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0.750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56.0%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4.826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4.752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4.624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4.326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93.5%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Iowa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3.145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2.849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90.6%</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2.124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1.600</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75.3%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1.136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0.878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77.3%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0.444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0.264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59.6%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2.009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1.971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1.681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1.336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79.5%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Kansas</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2.913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2.655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91.1%</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2.292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2.138</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93.3%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0.756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0.543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71.8%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0.344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0.252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73.1%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2.157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2.112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97.9%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1.948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1.886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96.8%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Kentucky</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4.454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4.006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3.423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2.869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83.8%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1.830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1.415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77.4%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0.964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0.574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59.6%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2.624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2.591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2.459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2.294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93.3%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Louisiana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4.684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4.104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87.6%</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4.247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3.259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76.7%</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1.256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0.795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63.3%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0.942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0.524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55.6%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3.428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3.309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96.5%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3.304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2.736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82.8%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Maine</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1.336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1.230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92.1%</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1.236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0.121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0.829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0.726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87.6%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0.736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0.077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10.4%</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0.504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99.4%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0.500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0.044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Maryland</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6.052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5.907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97.6%</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5.912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5.225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88.4%</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0.802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0.760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94.8%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0.707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0.471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66.6%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5.250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5.147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5.205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4.754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91.3%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Massachusetts</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6.860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6.718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97.9%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6.849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6.691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97.7%</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0.551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0.508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92.3%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0.548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0.499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91.0%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6.309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6.210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6.300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6.192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Michigan</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9.962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9.167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92.0%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9.478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8.106</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85.5%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2.556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1.867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73.0%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2.221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1.209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54.5%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7.406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7.300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7.257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6.897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95.0%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Minnesota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5.576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5.286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94.8%</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4.905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4.603</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93.8%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1.485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1.241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83.6%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1.016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0.804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79.1%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4.092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4.046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3.889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3.799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97.7%</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Mississippi</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2.984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2.374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79.6%</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1.980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0.919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46.4%</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1.515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0.948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62.6%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0.751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0.234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31.2%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1.469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1.426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97.0%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1.229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0.685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55.7%</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Missouri</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6.113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5.419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88.6%</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5.118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4.145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81.0%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1.828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1.186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64.9%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1.088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0.558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51.3%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4.286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4.233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4.030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3.587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89.0%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Montana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1.050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0.894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85.1%</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0.698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0.539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77.1%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0.480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0.340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70.7%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0.248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0.144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57.9%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0.554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97.2%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0.450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0.395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87.8%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Nebraska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1.920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1.675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87.2%</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1.301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1.039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79.8%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0.514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0.297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57.9%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0.143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0.053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36.9%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1.406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1.378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97.9%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1.158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0.986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85.1%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Nevada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2.998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2.775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92.6%</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2.923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2.598</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88.9%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0.208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0.093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44.9%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0.170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0.051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2.790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2.682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96.1%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2.754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2.547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92.5%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New Hampshire</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1.343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1.270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94.6%</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1.269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0.703</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55.4%</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0.533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0.474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89.0%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0.485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0.158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32.6%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0.810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0.796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0.784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0.545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69.5%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New Jersey</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9.005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8.920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99.1%</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9.005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8.920</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99.1%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0.457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97.9%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0.457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97.9%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8.539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8.464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99.1%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8.539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8.464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99.1%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New Mexico</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2.088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1.740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83.3%</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1.856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0.860</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46.3%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0.502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0.236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47.1%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0.376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0.049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13.1%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1.586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1.504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94.8%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1.480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0.811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54.8%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New York</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19.849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19.523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98.4%</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19.385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17.837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92.0%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2.354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2.044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86.8%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2.017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1.103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54.7%</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17.495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17.479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99.9%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17.368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16.734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96.3%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North Carolina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10.273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9.711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94.5%</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9.569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7.246</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75.7%</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3.416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2.872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84.1%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2.828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1.466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51.8%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6.857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6.839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99.7%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6.741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5.780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85.7%</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North Dakota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0.755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0.701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92.8%</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0.460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0.428</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93.2%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0.335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0.291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86.8%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0.121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0.099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81.1%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0.420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0.410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97.6%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0.338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0.330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97.5%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Ohio</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11.658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11.034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94.6%</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11.150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10.326</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92.6%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2.579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2.019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78.3%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2.207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1.635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74.0%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9.079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9.015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99.3%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8.943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8.691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97.2%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Oklahoma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3.931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3.104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79.0%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3.535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2.059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58.3%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1.348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0.651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48.3%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1.053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0.236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22.5%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2.582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2.453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95.0%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2.482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1.823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73.5%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Oregon</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4.143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3.824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92.3%</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3.958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3.365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85.0%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0.836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0.573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68.6%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0.734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0.432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58.8%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3.307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3.251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3.224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2.934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91.0%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Pennsylvania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12.805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12.193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95.2%</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12.204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11.226</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92.0%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2.731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2.294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84.0%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2.307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1.725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74.8%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10.074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9.899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9.898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9.501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96.0%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Rhode Island</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1.060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1.041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98.3%</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1.060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1.041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98.3%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0.098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0.096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97.8%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0.098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0.096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97.8%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0.962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0.945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0.962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0.945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South Carolina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5.024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4.516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4.527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4.039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89.2%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1.707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1.257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73.6%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1.334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0.981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73.6%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3.318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3.259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3.193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3.057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95.8%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South Dakota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0.869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0.771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88.7%</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0.391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0.367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93.9%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0.388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0.294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75.8%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0.092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0.070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76.2%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0.481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0.477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99.2%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0.299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0.297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99.3%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Tennessee</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6.716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6.119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91.1%</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5.766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5.225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90.6%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2.263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1.732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76.5%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1.496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1.110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74.2%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4.452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4.387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4.270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4.115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96.4%</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Texas</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28.304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26.230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92.7%</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27.198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20.392</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75.0%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4.659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3.207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68.8%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3.966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1.809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45.6%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23.645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23.023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97.4%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23.231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18.583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Utah</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3.102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2.922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94.2%</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2.938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2.487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84.6%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0.383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0.244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63.7%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0.100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35.8%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2.719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2.678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2.659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2.387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89.8%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Vermont</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0.624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0.553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88.6%</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0.383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0.159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41.4%</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0.383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0.315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82.2%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0.188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0.042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22.5%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0.237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0.195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0.116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59.7%</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Virginia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8.475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7.759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91.5%</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7.529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5.634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74.8%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2.078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1.528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73.5%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1.380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0.416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30.1%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6.397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6.231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97.4%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6.149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5.219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84.9%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Washington</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7.406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7.193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97.1%</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7.289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6.460</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88.6%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1.269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1.117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88.0%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1.193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0.840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70.4%</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6.137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6.076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99.0%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6.096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5.620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92.2%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West Virginia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1.816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1.486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81.9%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1.113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0.421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37.8%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0.926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0.622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67.2%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0.423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0.113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26.6%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0.890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0.864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97.1%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0.690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0.308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44.7%</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Wisconsin</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5.795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5.286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91.2%</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5.234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4.519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86.3%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1.744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1.254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71.9%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1.287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0.775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60.2%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4.051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4.032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99.5%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3.947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3.744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94.8%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sidRPr="00AD04ED">
              <w:rPr>
                <w:b/>
                <w:bCs/>
                <w:color w:val="000000"/>
              </w:rPr>
              <w:t>Wyoming</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0.579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0.467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80.7%</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0.335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0.000</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2D12B2" w:rsidRPr="00AD04ED" w:rsidP="001616B7">
            <w:pPr>
              <w:adjustRightInd w:val="0"/>
              <w:spacing w:before="40" w:after="40"/>
              <w:jc w:val="right"/>
              <w:rPr>
                <w:color w:val="000000"/>
              </w:rPr>
            </w:pPr>
            <w:r w:rsidRPr="00AD04ED">
              <w:rPr>
                <w:color w:val="000000"/>
              </w:rPr>
              <w:t>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Rural</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0.220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0.112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51.2%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0.085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0.000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2D12B2" w:rsidRPr="00AD04ED" w:rsidP="001616B7">
            <w:pPr>
              <w:adjustRightInd w:val="0"/>
              <w:spacing w:before="40" w:after="40"/>
              <w:rPr>
                <w:b/>
                <w:bCs/>
                <w:color w:val="000000"/>
              </w:rPr>
            </w:pPr>
            <w:r>
              <w:rPr>
                <w:b/>
                <w:bCs/>
                <w:color w:val="000000"/>
              </w:rPr>
              <w:t xml:space="preserve"> Urban</w:t>
            </w:r>
            <w:r w:rsidRPr="00AD04ED">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0.360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0.355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98.7%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0.250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0.000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2D12B2" w:rsidRPr="00AD04ED" w:rsidP="001616B7">
            <w:pPr>
              <w:adjustRightInd w:val="0"/>
              <w:spacing w:before="40" w:after="40"/>
              <w:jc w:val="right"/>
              <w:rPr>
                <w:color w:val="000000"/>
              </w:rPr>
            </w:pPr>
            <w:r w:rsidRPr="00AD04ED">
              <w:rPr>
                <w:color w:val="000000"/>
              </w:rPr>
              <w:t>0.0%</w:t>
            </w:r>
          </w:p>
        </w:tc>
      </w:tr>
    </w:tbl>
    <w:p w:rsidR="002D12B2" w:rsidRPr="00AD04ED" w:rsidP="002D12B2">
      <w:pPr>
        <w:adjustRightInd w:val="0"/>
        <w:rPr>
          <w:color w:val="000000"/>
        </w:rPr>
      </w:pPr>
    </w:p>
    <w:p w:rsidR="002D12B2" w:rsidP="002D12B2">
      <w:pPr>
        <w:adjustRightInd w:val="0"/>
        <w:jc w:val="center"/>
        <w:rPr>
          <w:sz w:val="24"/>
          <w:szCs w:val="24"/>
        </w:rPr>
      </w:pPr>
    </w:p>
    <w:p w:rsidR="001616B7" w:rsidP="00C6287D">
      <w:pPr>
        <w:sectPr w:rsidSect="00D0754E">
          <w:pgSz w:w="12240" w:h="15840"/>
          <w:pgMar w:top="1440" w:right="1440" w:bottom="1440" w:left="1440" w:header="720" w:footer="720" w:gutter="0"/>
          <w:cols w:space="720"/>
          <w:titlePg/>
          <w:docGrid w:linePitch="299"/>
        </w:sectPr>
      </w:pPr>
    </w:p>
    <w:p w:rsidR="001616B7" w:rsidRPr="00A3792B" w:rsidP="001616B7">
      <w:pPr>
        <w:adjustRightInd w:val="0"/>
        <w:spacing w:before="10" w:after="10"/>
        <w:jc w:val="center"/>
        <w:rPr>
          <w:b/>
          <w:bCs/>
          <w:color w:val="000000"/>
          <w:szCs w:val="22"/>
        </w:rPr>
      </w:pPr>
      <w:r w:rsidRPr="00A3792B">
        <w:rPr>
          <w:b/>
          <w:bCs/>
          <w:color w:val="000000"/>
          <w:szCs w:val="22"/>
        </w:rPr>
        <w:t>APPENDIX 3</w:t>
      </w:r>
    </w:p>
    <w:p w:rsidR="001616B7" w:rsidRPr="00A3792B" w:rsidP="001616B7">
      <w:pPr>
        <w:adjustRightInd w:val="0"/>
        <w:spacing w:before="10" w:after="10"/>
        <w:jc w:val="center"/>
        <w:rPr>
          <w:color w:val="000000"/>
          <w:szCs w:val="22"/>
        </w:rPr>
      </w:pPr>
    </w:p>
    <w:p w:rsidR="001616B7" w:rsidRPr="00A3792B" w:rsidP="001616B7">
      <w:pPr>
        <w:adjustRightInd w:val="0"/>
        <w:spacing w:before="10" w:after="10"/>
        <w:jc w:val="center"/>
        <w:rPr>
          <w:b/>
          <w:bCs/>
          <w:color w:val="000000"/>
          <w:szCs w:val="22"/>
        </w:rPr>
      </w:pPr>
      <w:r w:rsidRPr="00A3792B">
        <w:rPr>
          <w:b/>
          <w:bCs/>
          <w:color w:val="000000"/>
          <w:szCs w:val="22"/>
        </w:rPr>
        <w:t>Deployment (Millions) of Fixed 25 Mbps/3 Mbps or Mobile LTE</w:t>
      </w:r>
      <w:r>
        <w:rPr>
          <w:b/>
          <w:bCs/>
          <w:color w:val="000000"/>
          <w:szCs w:val="22"/>
        </w:rPr>
        <w:t xml:space="preserve"> </w:t>
      </w:r>
      <w:r w:rsidRPr="00A3792B">
        <w:rPr>
          <w:b/>
          <w:bCs/>
          <w:color w:val="000000"/>
          <w:szCs w:val="22"/>
        </w:rPr>
        <w:t>with a Minimum Advertised Speed of 5 Mbps/1 Mbps; and Fixed 25 Mbps/3 Mbps or Mobile LTE</w:t>
      </w:r>
      <w:r>
        <w:rPr>
          <w:b/>
          <w:bCs/>
          <w:color w:val="000000"/>
          <w:szCs w:val="22"/>
        </w:rPr>
        <w:t xml:space="preserve"> </w:t>
      </w:r>
      <w:r w:rsidRPr="00A3792B">
        <w:rPr>
          <w:b/>
          <w:bCs/>
          <w:color w:val="000000"/>
          <w:szCs w:val="22"/>
        </w:rPr>
        <w:t>with a Median Speed of 10 Mbps/3 Mbps by State and District of Columbia</w:t>
      </w:r>
    </w:p>
    <w:p w:rsidR="001616B7" w:rsidRPr="00A3792B" w:rsidP="001616B7">
      <w:pPr>
        <w:adjustRightInd w:val="0"/>
        <w:rPr>
          <w:b/>
          <w:bCs/>
          <w:color w:val="000000"/>
          <w:szCs w:val="22"/>
        </w:rPr>
      </w:pPr>
    </w:p>
    <w:tbl>
      <w:tblPr>
        <w:tblW w:w="0" w:type="auto"/>
        <w:jc w:val="center"/>
        <w:tblLayout w:type="fixed"/>
        <w:tblCellMar>
          <w:left w:w="0" w:type="dxa"/>
          <w:right w:w="0" w:type="dxa"/>
        </w:tblCellMar>
        <w:tblLook w:val="0000"/>
      </w:tblPr>
      <w:tblGrid>
        <w:gridCol w:w="2550"/>
        <w:gridCol w:w="1126"/>
        <w:gridCol w:w="1126"/>
        <w:gridCol w:w="1126"/>
        <w:gridCol w:w="1126"/>
        <w:gridCol w:w="1126"/>
        <w:gridCol w:w="1126"/>
      </w:tblGrid>
      <w:tr w:rsidTr="001616B7">
        <w:tblPrEx>
          <w:tblW w:w="0" w:type="auto"/>
          <w:jc w:val="center"/>
          <w:tblLayout w:type="fixed"/>
          <w:tblCellMar>
            <w:left w:w="0" w:type="dxa"/>
            <w:right w:w="0" w:type="dxa"/>
          </w:tblCellMar>
          <w:tblLook w:val="0000"/>
        </w:tblPrEx>
        <w:trPr>
          <w:cantSplit/>
          <w:tblHeader/>
          <w:jc w:val="center"/>
        </w:trPr>
        <w:tc>
          <w:tcPr>
            <w:tcW w:w="2550" w:type="dxa"/>
            <w:vMerge w:val="restart"/>
            <w:tcBorders>
              <w:top w:val="single" w:sz="4" w:space="0" w:color="auto"/>
              <w:left w:val="single" w:sz="8" w:space="0" w:color="000000"/>
              <w:right w:val="nil"/>
            </w:tcBorders>
            <w:shd w:val="clear" w:color="auto" w:fill="90B0D9"/>
            <w:tcMar>
              <w:left w:w="40" w:type="dxa"/>
              <w:right w:w="40" w:type="dxa"/>
            </w:tcMar>
            <w:vAlign w:val="bottom"/>
          </w:tcPr>
          <w:p w:rsidR="001616B7" w:rsidRPr="00A3792B" w:rsidP="001616B7">
            <w:pPr>
              <w:adjustRightInd w:val="0"/>
              <w:spacing w:before="40" w:after="40"/>
              <w:jc w:val="center"/>
              <w:rPr>
                <w:b/>
                <w:bCs/>
                <w:color w:val="000000"/>
              </w:rPr>
            </w:pPr>
          </w:p>
        </w:tc>
        <w:tc>
          <w:tcPr>
            <w:tcW w:w="1126" w:type="dxa"/>
            <w:vMerge w:val="restart"/>
            <w:tcBorders>
              <w:top w:val="single" w:sz="4" w:space="0" w:color="auto"/>
              <w:left w:val="single" w:sz="8" w:space="0" w:color="000000"/>
              <w:right w:val="nil"/>
            </w:tcBorders>
            <w:shd w:val="clear" w:color="auto" w:fill="90B0D9"/>
            <w:tcMar>
              <w:left w:w="40" w:type="dxa"/>
              <w:right w:w="40" w:type="dxa"/>
            </w:tcMar>
            <w:vAlign w:val="bottom"/>
          </w:tcPr>
          <w:p w:rsidR="001616B7" w:rsidRPr="00A3792B" w:rsidP="001616B7">
            <w:pPr>
              <w:adjustRightInd w:val="0"/>
              <w:spacing w:before="40" w:after="40"/>
              <w:jc w:val="center"/>
              <w:rPr>
                <w:b/>
                <w:bCs/>
                <w:color w:val="000000"/>
              </w:rPr>
            </w:pPr>
            <w:r w:rsidRPr="00A3792B">
              <w:rPr>
                <w:b/>
                <w:bCs/>
                <w:color w:val="000000"/>
              </w:rPr>
              <w:t>Pop. Evaluated</w:t>
            </w:r>
          </w:p>
        </w:tc>
        <w:tc>
          <w:tcPr>
            <w:tcW w:w="2252" w:type="dxa"/>
            <w:gridSpan w:val="2"/>
            <w:tcBorders>
              <w:top w:val="single" w:sz="4" w:space="0" w:color="auto"/>
              <w:left w:val="single" w:sz="8" w:space="0" w:color="000000"/>
              <w:bottom w:val="single" w:sz="8" w:space="0" w:color="000000"/>
              <w:right w:val="double" w:sz="4" w:space="0" w:color="auto"/>
            </w:tcBorders>
            <w:shd w:val="clear" w:color="auto" w:fill="90B0D9"/>
            <w:tcMar>
              <w:left w:w="40" w:type="dxa"/>
              <w:right w:w="40" w:type="dxa"/>
            </w:tcMar>
            <w:vAlign w:val="bottom"/>
          </w:tcPr>
          <w:p w:rsidR="001616B7" w:rsidRPr="00A3792B" w:rsidP="001616B7">
            <w:pPr>
              <w:adjustRightInd w:val="0"/>
              <w:spacing w:before="40" w:after="40"/>
              <w:jc w:val="center"/>
              <w:rPr>
                <w:b/>
                <w:bCs/>
                <w:color w:val="000000"/>
              </w:rPr>
            </w:pPr>
            <w:r w:rsidRPr="00A3792B">
              <w:rPr>
                <w:b/>
                <w:bCs/>
                <w:color w:val="000000"/>
              </w:rPr>
              <w:t>Fixed 25 Mbps</w:t>
            </w:r>
            <w:r>
              <w:rPr>
                <w:b/>
                <w:bCs/>
                <w:color w:val="000000"/>
              </w:rPr>
              <w:t>/</w:t>
            </w:r>
            <w:r w:rsidRPr="00A3792B">
              <w:rPr>
                <w:b/>
                <w:bCs/>
                <w:color w:val="000000"/>
              </w:rPr>
              <w:br/>
              <w:t>3 Mbps or Mobile LTE 5 Mbps</w:t>
            </w:r>
            <w:r>
              <w:rPr>
                <w:b/>
                <w:bCs/>
                <w:color w:val="000000"/>
              </w:rPr>
              <w:t>/</w:t>
            </w:r>
            <w:r w:rsidRPr="00A3792B">
              <w:rPr>
                <w:b/>
                <w:bCs/>
                <w:color w:val="000000"/>
              </w:rPr>
              <w:br/>
              <w:t>1 Mbps</w:t>
            </w:r>
          </w:p>
        </w:tc>
        <w:tc>
          <w:tcPr>
            <w:tcW w:w="1126" w:type="dxa"/>
            <w:vMerge w:val="restart"/>
            <w:tcBorders>
              <w:top w:val="single" w:sz="4" w:space="0" w:color="auto"/>
              <w:left w:val="double" w:sz="4" w:space="0" w:color="auto"/>
              <w:right w:val="nil"/>
            </w:tcBorders>
            <w:shd w:val="clear" w:color="auto" w:fill="90B0D9"/>
            <w:tcMar>
              <w:left w:w="40" w:type="dxa"/>
              <w:right w:w="40" w:type="dxa"/>
            </w:tcMar>
            <w:vAlign w:val="bottom"/>
          </w:tcPr>
          <w:p w:rsidR="001616B7" w:rsidRPr="00A3792B" w:rsidP="001616B7">
            <w:pPr>
              <w:adjustRightInd w:val="0"/>
              <w:spacing w:before="40" w:after="40"/>
              <w:jc w:val="center"/>
              <w:rPr>
                <w:b/>
                <w:bCs/>
                <w:color w:val="000000"/>
              </w:rPr>
            </w:pPr>
            <w:r w:rsidRPr="00A3792B">
              <w:rPr>
                <w:b/>
                <w:bCs/>
                <w:color w:val="000000"/>
              </w:rPr>
              <w:t>Pop. Evaluated</w:t>
            </w:r>
          </w:p>
        </w:tc>
        <w:tc>
          <w:tcPr>
            <w:tcW w:w="2252" w:type="dxa"/>
            <w:gridSpan w:val="2"/>
            <w:tcBorders>
              <w:top w:val="single" w:sz="4" w:space="0" w:color="auto"/>
              <w:left w:val="single" w:sz="8" w:space="0" w:color="000000"/>
              <w:bottom w:val="single" w:sz="8" w:space="0" w:color="000000"/>
              <w:right w:val="single" w:sz="8" w:space="0" w:color="000000"/>
            </w:tcBorders>
            <w:shd w:val="clear" w:color="auto" w:fill="90B0D9"/>
            <w:tcMar>
              <w:left w:w="40" w:type="dxa"/>
              <w:right w:w="40" w:type="dxa"/>
            </w:tcMar>
            <w:vAlign w:val="bottom"/>
          </w:tcPr>
          <w:p w:rsidR="001616B7" w:rsidRPr="00A3792B" w:rsidP="001616B7">
            <w:pPr>
              <w:adjustRightInd w:val="0"/>
              <w:spacing w:before="40" w:after="40"/>
              <w:jc w:val="center"/>
              <w:rPr>
                <w:b/>
                <w:bCs/>
                <w:color w:val="000000"/>
              </w:rPr>
            </w:pPr>
            <w:r w:rsidRPr="00A3792B">
              <w:rPr>
                <w:b/>
                <w:bCs/>
                <w:color w:val="000000"/>
              </w:rPr>
              <w:t>Fixed 25 Mbps</w:t>
            </w:r>
            <w:r>
              <w:rPr>
                <w:b/>
                <w:bCs/>
                <w:color w:val="000000"/>
              </w:rPr>
              <w:t>/</w:t>
            </w:r>
            <w:r w:rsidRPr="00A3792B">
              <w:rPr>
                <w:b/>
                <w:bCs/>
                <w:color w:val="000000"/>
              </w:rPr>
              <w:br/>
              <w:t>3 Mbps or Mobile LTE 10 Mbps</w:t>
            </w:r>
            <w:r>
              <w:rPr>
                <w:b/>
                <w:bCs/>
                <w:color w:val="000000"/>
              </w:rPr>
              <w:t>/</w:t>
            </w:r>
            <w:r w:rsidRPr="00A3792B">
              <w:rPr>
                <w:b/>
                <w:bCs/>
                <w:color w:val="000000"/>
              </w:rPr>
              <w:br/>
              <w:t>3 Mbps</w:t>
            </w:r>
          </w:p>
        </w:tc>
      </w:tr>
      <w:tr w:rsidTr="001616B7">
        <w:tblPrEx>
          <w:tblW w:w="0" w:type="auto"/>
          <w:jc w:val="center"/>
          <w:tblLayout w:type="fixed"/>
          <w:tblCellMar>
            <w:left w:w="0" w:type="dxa"/>
            <w:right w:w="0" w:type="dxa"/>
          </w:tblCellMar>
          <w:tblLook w:val="0000"/>
        </w:tblPrEx>
        <w:trPr>
          <w:cantSplit/>
          <w:tblHeader/>
          <w:jc w:val="center"/>
        </w:trPr>
        <w:tc>
          <w:tcPr>
            <w:tcW w:w="2550" w:type="dxa"/>
            <w:vMerge/>
            <w:tcBorders>
              <w:left w:val="single" w:sz="8" w:space="0" w:color="000000"/>
              <w:bottom w:val="single" w:sz="8" w:space="0" w:color="000000"/>
              <w:right w:val="nil"/>
            </w:tcBorders>
            <w:shd w:val="clear" w:color="auto" w:fill="90B0D9"/>
            <w:tcMar>
              <w:left w:w="40" w:type="dxa"/>
              <w:right w:w="40" w:type="dxa"/>
            </w:tcMar>
            <w:vAlign w:val="bottom"/>
          </w:tcPr>
          <w:p w:rsidR="001616B7" w:rsidRPr="00A3792B" w:rsidP="001616B7">
            <w:pPr>
              <w:adjustRightInd w:val="0"/>
              <w:spacing w:before="40" w:after="40"/>
              <w:jc w:val="center"/>
              <w:rPr>
                <w:b/>
                <w:bCs/>
                <w:color w:val="000000"/>
              </w:rPr>
            </w:pPr>
          </w:p>
        </w:tc>
        <w:tc>
          <w:tcPr>
            <w:tcW w:w="1126" w:type="dxa"/>
            <w:vMerge/>
            <w:tcBorders>
              <w:left w:val="single" w:sz="8" w:space="0" w:color="000000"/>
              <w:bottom w:val="single" w:sz="8" w:space="0" w:color="000000"/>
              <w:right w:val="nil"/>
            </w:tcBorders>
            <w:shd w:val="clear" w:color="auto" w:fill="90B0D9"/>
            <w:tcMar>
              <w:left w:w="40" w:type="dxa"/>
              <w:right w:w="40" w:type="dxa"/>
            </w:tcMar>
            <w:vAlign w:val="bottom"/>
          </w:tcPr>
          <w:p w:rsidR="001616B7" w:rsidRPr="00A3792B" w:rsidP="001616B7">
            <w:pPr>
              <w:adjustRightInd w:val="0"/>
              <w:spacing w:before="40" w:after="40"/>
              <w:jc w:val="center"/>
              <w:rPr>
                <w:b/>
                <w:bCs/>
                <w:color w:val="000000"/>
              </w:rPr>
            </w:pPr>
          </w:p>
        </w:tc>
        <w:tc>
          <w:tcPr>
            <w:tcW w:w="1126" w:type="dxa"/>
            <w:tcBorders>
              <w:top w:val="nil"/>
              <w:left w:val="single" w:sz="8" w:space="0" w:color="000000"/>
              <w:bottom w:val="single" w:sz="8" w:space="0" w:color="000000"/>
              <w:right w:val="nil"/>
            </w:tcBorders>
            <w:shd w:val="clear" w:color="auto" w:fill="90B0D9"/>
            <w:tcMar>
              <w:left w:w="40" w:type="dxa"/>
              <w:right w:w="40" w:type="dxa"/>
            </w:tcMar>
            <w:vAlign w:val="bottom"/>
          </w:tcPr>
          <w:p w:rsidR="001616B7" w:rsidRPr="00A3792B" w:rsidP="001616B7">
            <w:pPr>
              <w:adjustRightInd w:val="0"/>
              <w:spacing w:before="40" w:after="40"/>
              <w:jc w:val="center"/>
              <w:rPr>
                <w:b/>
                <w:bCs/>
                <w:color w:val="000000"/>
              </w:rPr>
            </w:pPr>
            <w:r w:rsidRPr="00A3792B">
              <w:rPr>
                <w:b/>
                <w:bCs/>
                <w:color w:val="000000"/>
              </w:rPr>
              <w:t>Pop.</w:t>
            </w:r>
          </w:p>
        </w:tc>
        <w:tc>
          <w:tcPr>
            <w:tcW w:w="1126" w:type="dxa"/>
            <w:tcBorders>
              <w:top w:val="nil"/>
              <w:left w:val="single" w:sz="8" w:space="0" w:color="000000"/>
              <w:bottom w:val="single" w:sz="8" w:space="0" w:color="000000"/>
              <w:right w:val="double" w:sz="4" w:space="0" w:color="auto"/>
            </w:tcBorders>
            <w:shd w:val="clear" w:color="auto" w:fill="90B0D9"/>
            <w:tcMar>
              <w:left w:w="40" w:type="dxa"/>
              <w:right w:w="40" w:type="dxa"/>
            </w:tcMar>
            <w:vAlign w:val="bottom"/>
          </w:tcPr>
          <w:p w:rsidR="001616B7" w:rsidRPr="00A3792B" w:rsidP="001616B7">
            <w:pPr>
              <w:adjustRightInd w:val="0"/>
              <w:spacing w:before="40" w:after="40"/>
              <w:jc w:val="center"/>
              <w:rPr>
                <w:b/>
                <w:bCs/>
                <w:color w:val="000000"/>
              </w:rPr>
            </w:pPr>
            <w:r w:rsidRPr="00A3792B">
              <w:rPr>
                <w:b/>
                <w:bCs/>
                <w:color w:val="000000"/>
              </w:rPr>
              <w:t>% of Pop.</w:t>
            </w:r>
          </w:p>
        </w:tc>
        <w:tc>
          <w:tcPr>
            <w:tcW w:w="1126" w:type="dxa"/>
            <w:vMerge/>
            <w:tcBorders>
              <w:left w:val="double" w:sz="4" w:space="0" w:color="auto"/>
              <w:bottom w:val="single" w:sz="8" w:space="0" w:color="000000"/>
              <w:right w:val="nil"/>
            </w:tcBorders>
            <w:shd w:val="clear" w:color="auto" w:fill="90B0D9"/>
            <w:tcMar>
              <w:left w:w="40" w:type="dxa"/>
              <w:right w:w="40" w:type="dxa"/>
            </w:tcMar>
            <w:vAlign w:val="bottom"/>
          </w:tcPr>
          <w:p w:rsidR="001616B7" w:rsidRPr="00A3792B" w:rsidP="001616B7">
            <w:pPr>
              <w:adjustRightInd w:val="0"/>
              <w:spacing w:before="40" w:after="40"/>
              <w:jc w:val="center"/>
              <w:rPr>
                <w:b/>
                <w:bCs/>
                <w:color w:val="000000"/>
              </w:rPr>
            </w:pPr>
          </w:p>
        </w:tc>
        <w:tc>
          <w:tcPr>
            <w:tcW w:w="1126" w:type="dxa"/>
            <w:tcBorders>
              <w:top w:val="nil"/>
              <w:left w:val="single" w:sz="8" w:space="0" w:color="000000"/>
              <w:bottom w:val="single" w:sz="8" w:space="0" w:color="000000"/>
              <w:right w:val="nil"/>
            </w:tcBorders>
            <w:shd w:val="clear" w:color="auto" w:fill="90B0D9"/>
            <w:tcMar>
              <w:left w:w="40" w:type="dxa"/>
              <w:right w:w="40" w:type="dxa"/>
            </w:tcMar>
            <w:vAlign w:val="bottom"/>
          </w:tcPr>
          <w:p w:rsidR="001616B7" w:rsidRPr="00A3792B" w:rsidP="001616B7">
            <w:pPr>
              <w:adjustRightInd w:val="0"/>
              <w:spacing w:before="40" w:after="40"/>
              <w:jc w:val="center"/>
              <w:rPr>
                <w:b/>
                <w:bCs/>
                <w:color w:val="000000"/>
              </w:rPr>
            </w:pPr>
            <w:r w:rsidRPr="00A3792B">
              <w:rPr>
                <w:b/>
                <w:bCs/>
                <w:color w:val="000000"/>
              </w:rPr>
              <w:t>Pop.</w:t>
            </w:r>
          </w:p>
        </w:tc>
        <w:tc>
          <w:tcPr>
            <w:tcW w:w="1126"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1616B7" w:rsidRPr="00A3792B" w:rsidP="001616B7">
            <w:pPr>
              <w:adjustRightInd w:val="0"/>
              <w:spacing w:before="40" w:after="40"/>
              <w:jc w:val="center"/>
              <w:rPr>
                <w:b/>
                <w:bCs/>
                <w:color w:val="000000"/>
              </w:rPr>
            </w:pPr>
            <w:r w:rsidRPr="00A3792B">
              <w:rPr>
                <w:b/>
                <w:bCs/>
                <w:color w:val="000000"/>
              </w:rPr>
              <w:t>% of Pop.</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United States</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325.716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325.373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302.940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297.955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98.4%</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63.783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63.455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47.555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43.192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90.8%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261.933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261.919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255.385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254.763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Alabama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4.875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4.871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4.192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4.060</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96.9%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2.010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2.007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1.468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1.350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91.9%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2.865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2.865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2.724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2.710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Alaska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0.740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0.666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90.1%</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0.666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0.559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84.0%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0.263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0.201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76.4%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0.219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0.125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57.1%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0.477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97.7%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0.447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0.434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97.2%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Arizona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7.016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6.991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99.6%</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6.898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6.587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95.5%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0.832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0.808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97.1%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0.769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0.548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71.3%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6.184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6.183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6.129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6.038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98.5%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Arkansas</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3.004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2.998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99.8%</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2.262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2.094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92.6%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1.331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1.326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0.799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0.657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82.2%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1.673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1.673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1.463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1.438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98.3%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California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39.536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39.516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39.434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39.238</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2.347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2.326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2.280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2.117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92.8%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37.190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37.190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37.154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37.122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Colorado</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5.606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5.599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5.153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5.103</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0.869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0.861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0.584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0.543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93.0%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4.738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4.738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4.569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4.560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Connecticut</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3.588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3.588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3.588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3.588</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0.433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0.433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0.433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0.433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3.155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3.155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3.155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3.155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Delaware</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0.962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0.962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0.962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0.955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0.170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0.170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0.170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0.165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96.8%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0.792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0.792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0.792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0.790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District of Columbia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0.694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0.694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0.694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0.694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Florida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20.984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20.982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20.662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20.524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2.032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2.029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1.797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1.680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93.5%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18.952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18.952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18.865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18.844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Georgia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10.429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10.427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8.990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8.919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2.558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2.557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1.533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1.475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96.2%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7.871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7.871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7.457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7.444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Hawaii</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1.428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1.427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1.427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1.427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0.132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0.131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0.132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0.131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1.296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1.296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1.296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1.296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Idaho</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1.717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1.708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99.5%</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1.389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1.334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96.1%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0.531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0.522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98.3%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0.322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0.275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85.5%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1.186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1.186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1.067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1.058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Illinois</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12.802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12.801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12.019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11.944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99.4%</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1.473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1.472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0.972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0.902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92.8%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11.329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11.329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11.048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11.042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Indiana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6.666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6.666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5.962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5.873</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98.5%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1.841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1.841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1.338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1.251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93.6%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4.826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4.826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4.624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4.622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Iowa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3.145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3.143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2.124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2.101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98.9%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1.136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1.134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0.444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0.427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96.3%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2.009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2.009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1.681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1.674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Kansas</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2.913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2.913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2.292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2.276</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0.756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0.756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0.344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0.335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97.4%</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2.157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2.157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1.948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1.940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Kentucky</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4.454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4.442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99.7%</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3.423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3.369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98.4%</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1.830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1.818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0.964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0.912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94.6%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2.624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2.624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2.459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2.456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Louisiana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4.684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4.684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4.247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4.092</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96.4%</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1.256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1.255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0.942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0.812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86.2%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3.428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3.428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3.304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3.280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Maine</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1.336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1.332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99.7%</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1.236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1.169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94.6%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0.829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0.825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0.736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0.671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91.2%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0.507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0.507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0.500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0.497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Maryland</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6.052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6.052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5.912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5.883</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0.802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0.802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0.707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0.688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97.4%</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5.250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5.250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5.205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5.195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Massachusetts</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6.860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6.859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6.849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6.847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0.551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0.550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0.548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0.547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6.309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6.309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6.300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6.299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Michigan</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9.962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9.958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9.478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9.253</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97.6%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2.556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2.552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2.221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1.998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7.406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7.406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7.257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7.255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Minnesota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5.576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5.575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4.905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4.889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99.7%</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1.485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1.484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1.016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98.5%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4.092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4.092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3.889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3.889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Mississippi</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2.984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2.981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1.980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1.861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94.0%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1.515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1.511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0.751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0.645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85.9%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1.469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1.469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1.229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1.216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98.9%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Missouri</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6.113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6.107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5.118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5.000</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97.7%</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1.828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1.821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1.088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0.977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89.8%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4.286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4.286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4.030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4.024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Montana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1.050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1.037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98.7%</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0.698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0.683</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97.9%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0.480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0.468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97.4%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0.248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0.235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94.5%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0.570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0.569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0.450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0.449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Nebraska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1.920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1.919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1.301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1.277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98.1%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0.514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0.512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0.143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0.119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83.3%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1.406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1.406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1.158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1.158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Nevada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2.998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2.994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2.923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2.913</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0.208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0.203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97.9%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0.170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0.159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93.9%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2.790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2.790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2.754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2.753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New Hampshire</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1.343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1.342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1.269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1.225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96.5%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0.533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0.533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0.485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0.447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92.2%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0.810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0.810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0.784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0.778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New Jersey</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9.005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9.005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9.005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9.005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0.466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8.539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8.539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8.539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8.539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New Mexico</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2.088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2.079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99.6%</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1.856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1.649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88.8%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0.502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0.492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98.2%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0.376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0.216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57.5%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1.586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1.586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1.480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1.433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96.8%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New York</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19.849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19.843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19.385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19.266</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99.4%</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2.354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2.348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2.017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1.898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94.1%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17.495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17.495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17.368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17.368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North Carolina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10.273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10.269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9.569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9.315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97.3%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3.416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3.412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2.828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2.583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91.3%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6.857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6.856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6.741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6.732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North Dakota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0.755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0.755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0.460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0.459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0.335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0.335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0.121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0.121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99.7%</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0.420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0.420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0.338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0.338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Ohio</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11.658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11.650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11.150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11.071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2.579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2.571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2.207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2.129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96.4%</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9.079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9.079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8.943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8.942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Oklahoma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3.931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3.925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3.535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3.187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90.2%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1.348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1.343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1.053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0.742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70.5%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2.582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2.582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2.482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2.445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98.5%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Oregon</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4.143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4.128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99.6%</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3.958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3.881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98.1%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0.836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0.821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98.3%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0.734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0.662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90.2%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3.307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3.307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3.224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3.219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Pennsylvania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12.805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12.800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12.204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12.107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2.731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2.726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2.307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2.218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96.2%</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10.074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10.074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9.898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9.889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Rhode Island</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1.060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1.060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1.060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1.060</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0.098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0.098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0.098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0.098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0.962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0.962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0.962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0.962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South Carolina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5.024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5.024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4.527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4.515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99.7%</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1.707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1.707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1.334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1.322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3.318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3.318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3.193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3.193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South Dakota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0.869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0.868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0.391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0.390</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99.7%</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0.388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0.387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0.092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0.091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98.9%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0.481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0.481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0.299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0.299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Tennessee</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6.716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6.709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5.766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5.724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2.263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2.256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1.496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1.459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97.5%</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4.452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4.452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4.270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4.265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Texas</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28.304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28.300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27.198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26.324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96.8%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4.659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4.655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3.966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3.249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81.9%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23.645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23.645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23.231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23.075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Utah</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3.102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3.094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99.8%</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2.938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2.907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98.9%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0.383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0.375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98.1%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0.279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0.251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2.719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2.719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2.659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2.655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Vermont</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0.624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0.620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99.4%</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0.383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0.362</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94.4%</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0.383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0.379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0.188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0.167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88.9%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0.241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0.241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0.195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0.194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Virginia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8.475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8.469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7.529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7.281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96.7%</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2.078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2.073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1.380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1.145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82.9%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6.397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6.397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6.149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6.136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Washington</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7.406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7.400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7.289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7.236</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99.3%</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1.269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1.263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1.193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1.146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96.0%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6.137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6.137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6.096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6.090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99.9%</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West Virginia</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1.816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1.778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97.9%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1.113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1.044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93.8%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0.926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0.888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95.9%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0.423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0.361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85.1%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0.890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0.889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0.690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0.684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Wisconsin</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5.795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5.785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99.8%</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5.234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5.131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98.0%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1.744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1.734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1.287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1.186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92.1%</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4.051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4.051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3.947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3.945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sidRPr="00A3792B">
              <w:rPr>
                <w:b/>
                <w:bCs/>
                <w:color w:val="000000"/>
              </w:rPr>
              <w:t>Wyoming</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0.579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0.576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99.4%</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0.335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0.304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616B7" w:rsidRPr="00A3792B" w:rsidP="001616B7">
            <w:pPr>
              <w:adjustRightInd w:val="0"/>
              <w:spacing w:before="40" w:after="40"/>
              <w:jc w:val="right"/>
              <w:rPr>
                <w:color w:val="000000"/>
              </w:rPr>
            </w:pPr>
            <w:r w:rsidRPr="00A3792B">
              <w:rPr>
                <w:color w:val="000000"/>
              </w:rPr>
              <w:t>90.8%</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Rural</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0.220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0.216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98.4%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0.085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0.055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64.6%</w:t>
            </w:r>
          </w:p>
        </w:tc>
      </w:tr>
      <w:tr w:rsidTr="001616B7">
        <w:tblPrEx>
          <w:tblW w:w="0" w:type="auto"/>
          <w:jc w:val="center"/>
          <w:tblLayout w:type="fixed"/>
          <w:tblCellMar>
            <w:left w:w="0" w:type="dxa"/>
            <w:right w:w="0" w:type="dxa"/>
          </w:tblCellMar>
          <w:tblLook w:val="0000"/>
        </w:tblPrEx>
        <w:trPr>
          <w:cantSplit/>
          <w:jc w:val="center"/>
        </w:trPr>
        <w:tc>
          <w:tcPr>
            <w:tcW w:w="2550" w:type="dxa"/>
            <w:tcBorders>
              <w:top w:val="nil"/>
              <w:left w:val="single" w:sz="8" w:space="0" w:color="000000"/>
              <w:bottom w:val="single" w:sz="8" w:space="0" w:color="000000"/>
              <w:right w:val="nil"/>
            </w:tcBorders>
            <w:shd w:val="clear" w:color="auto" w:fill="90B0D9"/>
            <w:tcMar>
              <w:left w:w="40" w:type="dxa"/>
              <w:right w:w="40" w:type="dxa"/>
            </w:tcMar>
          </w:tcPr>
          <w:p w:rsidR="001616B7" w:rsidRPr="00A3792B" w:rsidP="001616B7">
            <w:pPr>
              <w:adjustRightInd w:val="0"/>
              <w:spacing w:before="40" w:after="40"/>
              <w:rPr>
                <w:b/>
                <w:bCs/>
                <w:color w:val="000000"/>
              </w:rPr>
            </w:pPr>
            <w:r>
              <w:rPr>
                <w:b/>
                <w:bCs/>
                <w:color w:val="000000"/>
              </w:rPr>
              <w:t xml:space="preserve"> Urban</w:t>
            </w:r>
            <w:r w:rsidRPr="00A3792B">
              <w:rPr>
                <w:b/>
                <w:bCs/>
                <w:color w:val="000000"/>
              </w:rPr>
              <w:t xml:space="preserve"> Areas</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0.360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0.360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100%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0.250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0.249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616B7" w:rsidRPr="00A3792B" w:rsidP="001616B7">
            <w:pPr>
              <w:adjustRightInd w:val="0"/>
              <w:spacing w:before="40" w:after="40"/>
              <w:jc w:val="right"/>
              <w:rPr>
                <w:color w:val="000000"/>
              </w:rPr>
            </w:pPr>
            <w:r w:rsidRPr="00A3792B">
              <w:rPr>
                <w:color w:val="000000"/>
              </w:rPr>
              <w:t>99.7%</w:t>
            </w:r>
          </w:p>
        </w:tc>
      </w:tr>
    </w:tbl>
    <w:p w:rsidR="001616B7" w:rsidRPr="00A3792B" w:rsidP="001616B7">
      <w:pPr>
        <w:adjustRightInd w:val="0"/>
        <w:rPr>
          <w:color w:val="000000"/>
        </w:rPr>
      </w:pPr>
    </w:p>
    <w:p w:rsidR="001616B7" w:rsidP="001616B7">
      <w:pPr>
        <w:adjustRightInd w:val="0"/>
        <w:jc w:val="center"/>
        <w:rPr>
          <w:sz w:val="24"/>
          <w:szCs w:val="24"/>
        </w:rPr>
      </w:pPr>
    </w:p>
    <w:p w:rsidR="005130A0" w:rsidP="00C6287D">
      <w:pPr>
        <w:sectPr w:rsidSect="00830823">
          <w:pgSz w:w="12240" w:h="15840"/>
          <w:pgMar w:top="1440" w:right="1440" w:bottom="1440" w:left="1440" w:header="720" w:footer="720" w:gutter="0"/>
          <w:cols w:space="720"/>
          <w:docGrid w:linePitch="299"/>
        </w:sectPr>
      </w:pPr>
    </w:p>
    <w:p w:rsidR="005130A0" w:rsidRPr="00F7252E" w:rsidP="005130A0">
      <w:pPr>
        <w:adjustRightInd w:val="0"/>
        <w:spacing w:before="10" w:after="10"/>
        <w:jc w:val="center"/>
        <w:rPr>
          <w:rFonts w:ascii="Times" w:hAnsi="Times" w:cs="Times"/>
          <w:b/>
          <w:bCs/>
          <w:color w:val="000000"/>
          <w:szCs w:val="22"/>
        </w:rPr>
      </w:pPr>
      <w:r w:rsidRPr="00F7252E">
        <w:rPr>
          <w:rFonts w:ascii="Times" w:hAnsi="Times" w:cs="Times"/>
          <w:b/>
          <w:bCs/>
          <w:color w:val="000000"/>
          <w:szCs w:val="22"/>
        </w:rPr>
        <w:t xml:space="preserve">APPENDIX </w:t>
      </w:r>
      <w:r>
        <w:rPr>
          <w:rFonts w:ascii="Times" w:hAnsi="Times" w:cs="Times"/>
          <w:b/>
          <w:bCs/>
          <w:color w:val="000000"/>
          <w:szCs w:val="22"/>
        </w:rPr>
        <w:t>4</w:t>
      </w:r>
    </w:p>
    <w:p w:rsidR="005130A0" w:rsidRPr="00F7252E" w:rsidP="005130A0">
      <w:pPr>
        <w:adjustRightInd w:val="0"/>
        <w:spacing w:before="10" w:after="10"/>
        <w:jc w:val="center"/>
        <w:rPr>
          <w:rFonts w:ascii="Courier New" w:hAnsi="Courier New" w:cs="Courier New"/>
          <w:color w:val="000000"/>
          <w:szCs w:val="22"/>
        </w:rPr>
      </w:pPr>
    </w:p>
    <w:p w:rsidR="005130A0" w:rsidRPr="00F7252E" w:rsidP="005130A0">
      <w:pPr>
        <w:adjustRightInd w:val="0"/>
        <w:spacing w:before="10" w:after="10"/>
        <w:jc w:val="center"/>
        <w:rPr>
          <w:rFonts w:ascii="Times" w:hAnsi="Times" w:cs="Times"/>
          <w:b/>
          <w:bCs/>
          <w:color w:val="000000"/>
          <w:szCs w:val="22"/>
        </w:rPr>
      </w:pPr>
      <w:r w:rsidRPr="00F7252E">
        <w:rPr>
          <w:rFonts w:ascii="Times" w:hAnsi="Times" w:cs="Times"/>
          <w:b/>
          <w:bCs/>
          <w:color w:val="000000"/>
          <w:szCs w:val="22"/>
        </w:rPr>
        <w:t xml:space="preserve">Deployment of Fixed Terrestrial 25 Mbps/3 Mbps and Mobile LTE 5 Mbps/1 Mbps Services </w:t>
      </w:r>
    </w:p>
    <w:p w:rsidR="005130A0" w:rsidP="005130A0">
      <w:pPr>
        <w:adjustRightInd w:val="0"/>
        <w:spacing w:before="10" w:after="10"/>
        <w:jc w:val="center"/>
        <w:rPr>
          <w:rFonts w:ascii="Times" w:hAnsi="Times" w:cs="Times"/>
          <w:b/>
          <w:bCs/>
          <w:color w:val="000000"/>
          <w:szCs w:val="22"/>
        </w:rPr>
      </w:pPr>
      <w:r w:rsidRPr="00F7252E">
        <w:rPr>
          <w:rFonts w:ascii="Times" w:hAnsi="Times" w:cs="Times"/>
          <w:b/>
          <w:bCs/>
          <w:color w:val="000000"/>
          <w:szCs w:val="22"/>
        </w:rPr>
        <w:t>by U.S. Territory</w:t>
      </w:r>
      <w:r>
        <w:rPr>
          <w:rFonts w:ascii="Times" w:hAnsi="Times" w:cs="Times"/>
          <w:b/>
          <w:bCs/>
          <w:color w:val="000000"/>
          <w:szCs w:val="22"/>
        </w:rPr>
        <w:t xml:space="preserve"> (December 31, 2017)</w:t>
      </w:r>
    </w:p>
    <w:p w:rsidR="005130A0" w:rsidRPr="0054298A" w:rsidP="005130A0">
      <w:pPr>
        <w:adjustRightInd w:val="0"/>
        <w:spacing w:before="10" w:after="10"/>
        <w:jc w:val="center"/>
        <w:rPr>
          <w:rFonts w:ascii="Times" w:hAnsi="Times" w:cs="Times"/>
          <w:b/>
          <w:bCs/>
          <w:color w:val="000000"/>
          <w:szCs w:val="22"/>
        </w:rPr>
      </w:pPr>
    </w:p>
    <w:tbl>
      <w:tblPr>
        <w:tblW w:w="5000" w:type="pct"/>
        <w:jc w:val="center"/>
        <w:tblCellMar>
          <w:left w:w="0" w:type="dxa"/>
          <w:right w:w="0" w:type="dxa"/>
        </w:tblCellMar>
        <w:tblLook w:val="0000"/>
      </w:tblPr>
      <w:tblGrid>
        <w:gridCol w:w="1672"/>
        <w:gridCol w:w="1135"/>
        <w:gridCol w:w="881"/>
        <w:gridCol w:w="742"/>
        <w:gridCol w:w="881"/>
        <w:gridCol w:w="742"/>
        <w:gridCol w:w="913"/>
        <w:gridCol w:w="779"/>
        <w:gridCol w:w="901"/>
        <w:gridCol w:w="764"/>
      </w:tblGrid>
      <w:tr w:rsidTr="003009B6">
        <w:tblPrEx>
          <w:tblW w:w="5000" w:type="pct"/>
          <w:jc w:val="center"/>
          <w:tblCellMar>
            <w:left w:w="0" w:type="dxa"/>
            <w:right w:w="0" w:type="dxa"/>
          </w:tblCellMar>
          <w:tblLook w:val="0000"/>
        </w:tblPrEx>
        <w:trPr>
          <w:cantSplit/>
          <w:tblHeader/>
          <w:jc w:val="center"/>
        </w:trPr>
        <w:tc>
          <w:tcPr>
            <w:tcW w:w="888" w:type="pct"/>
            <w:vMerge w:val="restart"/>
            <w:tcBorders>
              <w:top w:val="single" w:sz="4" w:space="0" w:color="auto"/>
              <w:left w:val="single" w:sz="8" w:space="0" w:color="000000"/>
              <w:right w:val="nil"/>
            </w:tcBorders>
            <w:shd w:val="clear" w:color="auto" w:fill="90B0D9"/>
            <w:tcMar>
              <w:left w:w="40" w:type="dxa"/>
              <w:right w:w="40" w:type="dxa"/>
            </w:tcMar>
            <w:vAlign w:val="bottom"/>
          </w:tcPr>
          <w:p w:rsidR="005130A0" w:rsidRPr="009C0856" w:rsidP="003009B6">
            <w:pPr>
              <w:adjustRightInd w:val="0"/>
              <w:spacing w:before="40" w:after="40"/>
              <w:jc w:val="center"/>
              <w:rPr>
                <w:b/>
                <w:bCs/>
                <w:color w:val="000000"/>
                <w:sz w:val="20"/>
              </w:rPr>
            </w:pPr>
          </w:p>
        </w:tc>
        <w:tc>
          <w:tcPr>
            <w:tcW w:w="603" w:type="pct"/>
            <w:vMerge w:val="restart"/>
            <w:tcBorders>
              <w:top w:val="single" w:sz="4" w:space="0" w:color="auto"/>
              <w:left w:val="single" w:sz="8" w:space="0" w:color="000000"/>
              <w:right w:val="nil"/>
            </w:tcBorders>
            <w:shd w:val="clear" w:color="auto" w:fill="90B0D9"/>
            <w:tcMar>
              <w:left w:w="40" w:type="dxa"/>
              <w:right w:w="40" w:type="dxa"/>
            </w:tcMar>
            <w:vAlign w:val="bottom"/>
          </w:tcPr>
          <w:p w:rsidR="005130A0" w:rsidRPr="009C0856" w:rsidP="003009B6">
            <w:pPr>
              <w:adjustRightInd w:val="0"/>
              <w:spacing w:before="40" w:after="40"/>
              <w:jc w:val="center"/>
              <w:rPr>
                <w:b/>
                <w:bCs/>
                <w:color w:val="000000"/>
                <w:sz w:val="20"/>
              </w:rPr>
            </w:pPr>
            <w:r w:rsidRPr="009C0856">
              <w:rPr>
                <w:b/>
                <w:bCs/>
                <w:color w:val="000000"/>
                <w:sz w:val="20"/>
              </w:rPr>
              <w:t>Pop. Evaluated</w:t>
            </w:r>
          </w:p>
        </w:tc>
        <w:tc>
          <w:tcPr>
            <w:tcW w:w="862"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30A0" w:rsidP="003009B6">
            <w:pPr>
              <w:adjustRightInd w:val="0"/>
              <w:spacing w:before="40" w:after="40"/>
              <w:jc w:val="center"/>
              <w:rPr>
                <w:b/>
                <w:bCs/>
                <w:color w:val="000000"/>
                <w:sz w:val="20"/>
              </w:rPr>
            </w:pPr>
            <w:r w:rsidRPr="009C0856">
              <w:rPr>
                <w:b/>
                <w:bCs/>
                <w:color w:val="000000"/>
                <w:sz w:val="20"/>
              </w:rPr>
              <w:t>Fixed 25 Mbps/3 Mbps</w:t>
            </w:r>
          </w:p>
          <w:p w:rsidR="005130A0" w:rsidRPr="009C0856" w:rsidP="003009B6">
            <w:pPr>
              <w:adjustRightInd w:val="0"/>
              <w:spacing w:before="40" w:after="40"/>
              <w:jc w:val="center"/>
              <w:rPr>
                <w:b/>
                <w:bCs/>
                <w:color w:val="000000"/>
                <w:sz w:val="20"/>
              </w:rPr>
            </w:pPr>
          </w:p>
        </w:tc>
        <w:tc>
          <w:tcPr>
            <w:tcW w:w="862"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5130A0" w:rsidP="003009B6">
            <w:pPr>
              <w:adjustRightInd w:val="0"/>
              <w:spacing w:before="40" w:after="40"/>
              <w:jc w:val="center"/>
              <w:rPr>
                <w:b/>
                <w:bCs/>
                <w:color w:val="000000"/>
                <w:sz w:val="20"/>
              </w:rPr>
            </w:pPr>
            <w:r w:rsidRPr="009C0856">
              <w:rPr>
                <w:b/>
                <w:bCs/>
                <w:color w:val="000000"/>
                <w:sz w:val="20"/>
              </w:rPr>
              <w:t>Mobile LTE 5 Mbps/1 Mbps</w:t>
            </w:r>
          </w:p>
          <w:p w:rsidR="005130A0" w:rsidRPr="009C0856" w:rsidP="003009B6">
            <w:pPr>
              <w:adjustRightInd w:val="0"/>
              <w:spacing w:before="40" w:after="40"/>
              <w:jc w:val="center"/>
              <w:rPr>
                <w:b/>
                <w:bCs/>
                <w:color w:val="000000"/>
                <w:sz w:val="20"/>
              </w:rPr>
            </w:pPr>
          </w:p>
        </w:tc>
        <w:tc>
          <w:tcPr>
            <w:tcW w:w="899" w:type="pct"/>
            <w:gridSpan w:val="2"/>
            <w:tcBorders>
              <w:top w:val="single" w:sz="8" w:space="0" w:color="000000"/>
              <w:left w:val="single" w:sz="8" w:space="0" w:color="000000"/>
              <w:bottom w:val="single" w:sz="8" w:space="0" w:color="000000"/>
              <w:right w:val="nil"/>
            </w:tcBorders>
            <w:shd w:val="clear" w:color="auto" w:fill="90B0D9"/>
            <w:vAlign w:val="bottom"/>
          </w:tcPr>
          <w:p w:rsidR="005130A0" w:rsidRPr="009C0856" w:rsidP="003009B6">
            <w:pPr>
              <w:adjustRightInd w:val="0"/>
              <w:spacing w:before="40" w:after="40"/>
              <w:jc w:val="center"/>
              <w:rPr>
                <w:b/>
                <w:bCs/>
                <w:color w:val="000000"/>
                <w:sz w:val="20"/>
              </w:rPr>
            </w:pPr>
            <w:r w:rsidRPr="009C0856">
              <w:rPr>
                <w:b/>
                <w:bCs/>
                <w:color w:val="000000"/>
                <w:sz w:val="20"/>
              </w:rPr>
              <w:t>Fixed 25 Mbps/3 Mbps &amp; Mobile LTE 5 Mbps/1 Mbps</w:t>
            </w:r>
          </w:p>
        </w:tc>
        <w:tc>
          <w:tcPr>
            <w:tcW w:w="885" w:type="pct"/>
            <w:gridSpan w:val="2"/>
            <w:tcBorders>
              <w:top w:val="single" w:sz="8" w:space="0" w:color="000000"/>
              <w:left w:val="single" w:sz="8" w:space="0" w:color="000000"/>
              <w:bottom w:val="single" w:sz="8" w:space="0" w:color="000000"/>
              <w:right w:val="single" w:sz="8" w:space="0" w:color="000000"/>
            </w:tcBorders>
            <w:shd w:val="clear" w:color="auto" w:fill="90B0D9"/>
            <w:vAlign w:val="bottom"/>
          </w:tcPr>
          <w:p w:rsidR="005130A0" w:rsidRPr="009C0856" w:rsidP="003009B6">
            <w:pPr>
              <w:adjustRightInd w:val="0"/>
              <w:spacing w:before="40" w:after="40"/>
              <w:jc w:val="center"/>
              <w:rPr>
                <w:b/>
                <w:bCs/>
                <w:color w:val="000000"/>
                <w:sz w:val="20"/>
              </w:rPr>
            </w:pPr>
            <w:r w:rsidRPr="009C0856">
              <w:rPr>
                <w:b/>
                <w:bCs/>
                <w:color w:val="000000"/>
                <w:sz w:val="20"/>
              </w:rPr>
              <w:t>Fixed 25 Mbps/3 Mb</w:t>
            </w:r>
            <w:r>
              <w:rPr>
                <w:b/>
                <w:bCs/>
                <w:color w:val="000000"/>
                <w:sz w:val="20"/>
              </w:rPr>
              <w:t>p</w:t>
            </w:r>
            <w:r w:rsidRPr="009C0856">
              <w:rPr>
                <w:b/>
                <w:bCs/>
                <w:color w:val="000000"/>
                <w:sz w:val="20"/>
              </w:rPr>
              <w:t>s or Mobile LTE 5 Mbps/1 Mbps</w:t>
            </w:r>
          </w:p>
        </w:tc>
      </w:tr>
      <w:tr w:rsidTr="003009B6">
        <w:tblPrEx>
          <w:tblW w:w="5000" w:type="pct"/>
          <w:jc w:val="center"/>
          <w:tblCellMar>
            <w:left w:w="0" w:type="dxa"/>
            <w:right w:w="0" w:type="dxa"/>
          </w:tblCellMar>
          <w:tblLook w:val="0000"/>
        </w:tblPrEx>
        <w:trPr>
          <w:cantSplit/>
          <w:tblHeader/>
          <w:jc w:val="center"/>
        </w:trPr>
        <w:tc>
          <w:tcPr>
            <w:tcW w:w="888" w:type="pct"/>
            <w:vMerge/>
            <w:tcBorders>
              <w:left w:val="single" w:sz="8" w:space="0" w:color="000000"/>
              <w:bottom w:val="single" w:sz="8" w:space="0" w:color="000000"/>
              <w:right w:val="nil"/>
            </w:tcBorders>
            <w:shd w:val="clear" w:color="auto" w:fill="90B0D9"/>
            <w:tcMar>
              <w:left w:w="40" w:type="dxa"/>
              <w:right w:w="40" w:type="dxa"/>
            </w:tcMar>
            <w:vAlign w:val="bottom"/>
          </w:tcPr>
          <w:p w:rsidR="005130A0" w:rsidRPr="009C0856" w:rsidP="003009B6">
            <w:pPr>
              <w:adjustRightInd w:val="0"/>
              <w:spacing w:before="40" w:after="40"/>
              <w:jc w:val="center"/>
              <w:rPr>
                <w:b/>
                <w:bCs/>
                <w:color w:val="000000"/>
                <w:sz w:val="20"/>
              </w:rPr>
            </w:pPr>
          </w:p>
        </w:tc>
        <w:tc>
          <w:tcPr>
            <w:tcW w:w="603" w:type="pct"/>
            <w:vMerge/>
            <w:tcBorders>
              <w:left w:val="single" w:sz="8" w:space="0" w:color="000000"/>
              <w:bottom w:val="single" w:sz="8" w:space="0" w:color="000000"/>
              <w:right w:val="nil"/>
            </w:tcBorders>
            <w:shd w:val="clear" w:color="auto" w:fill="90B0D9"/>
            <w:tcMar>
              <w:left w:w="40" w:type="dxa"/>
              <w:right w:w="40" w:type="dxa"/>
            </w:tcMar>
            <w:vAlign w:val="bottom"/>
          </w:tcPr>
          <w:p w:rsidR="005130A0" w:rsidRPr="009C0856" w:rsidP="003009B6">
            <w:pPr>
              <w:adjustRightInd w:val="0"/>
              <w:spacing w:before="40" w:after="40"/>
              <w:jc w:val="center"/>
              <w:rPr>
                <w:b/>
                <w:bCs/>
                <w:color w:val="000000"/>
                <w:sz w:val="20"/>
              </w:rPr>
            </w:pPr>
          </w:p>
        </w:tc>
        <w:tc>
          <w:tcPr>
            <w:tcW w:w="468" w:type="pct"/>
            <w:tcBorders>
              <w:top w:val="nil"/>
              <w:left w:val="single" w:sz="8" w:space="0" w:color="000000"/>
              <w:bottom w:val="single" w:sz="8" w:space="0" w:color="000000"/>
              <w:right w:val="nil"/>
            </w:tcBorders>
            <w:shd w:val="clear" w:color="auto" w:fill="90B0D9"/>
            <w:tcMar>
              <w:left w:w="40" w:type="dxa"/>
              <w:right w:w="40" w:type="dxa"/>
            </w:tcMar>
            <w:vAlign w:val="bottom"/>
          </w:tcPr>
          <w:p w:rsidR="005130A0" w:rsidRPr="009C0856" w:rsidP="003009B6">
            <w:pPr>
              <w:adjustRightInd w:val="0"/>
              <w:spacing w:before="40" w:after="40"/>
              <w:jc w:val="center"/>
              <w:rPr>
                <w:b/>
                <w:bCs/>
                <w:color w:val="000000"/>
                <w:sz w:val="20"/>
              </w:rPr>
            </w:pPr>
            <w:r w:rsidRPr="009C0856">
              <w:rPr>
                <w:b/>
                <w:bCs/>
                <w:color w:val="000000"/>
                <w:sz w:val="20"/>
              </w:rPr>
              <w:t>Pop.</w:t>
            </w:r>
          </w:p>
        </w:tc>
        <w:tc>
          <w:tcPr>
            <w:tcW w:w="394" w:type="pct"/>
            <w:tcBorders>
              <w:top w:val="nil"/>
              <w:left w:val="single" w:sz="8" w:space="0" w:color="000000"/>
              <w:bottom w:val="single" w:sz="8" w:space="0" w:color="000000"/>
              <w:right w:val="nil"/>
            </w:tcBorders>
            <w:shd w:val="clear" w:color="auto" w:fill="90B0D9"/>
            <w:tcMar>
              <w:left w:w="40" w:type="dxa"/>
              <w:right w:w="40" w:type="dxa"/>
            </w:tcMar>
            <w:vAlign w:val="bottom"/>
          </w:tcPr>
          <w:p w:rsidR="005130A0" w:rsidRPr="009C0856" w:rsidP="003009B6">
            <w:pPr>
              <w:adjustRightInd w:val="0"/>
              <w:spacing w:before="40" w:after="40"/>
              <w:jc w:val="center"/>
              <w:rPr>
                <w:b/>
                <w:bCs/>
                <w:color w:val="000000"/>
                <w:sz w:val="20"/>
              </w:rPr>
            </w:pPr>
            <w:r w:rsidRPr="009C0856">
              <w:rPr>
                <w:b/>
                <w:bCs/>
                <w:color w:val="000000"/>
                <w:sz w:val="20"/>
              </w:rPr>
              <w:t>% of Pop.</w:t>
            </w:r>
          </w:p>
        </w:tc>
        <w:tc>
          <w:tcPr>
            <w:tcW w:w="468" w:type="pct"/>
            <w:tcBorders>
              <w:top w:val="nil"/>
              <w:left w:val="single" w:sz="8" w:space="0" w:color="000000"/>
              <w:bottom w:val="single" w:sz="8" w:space="0" w:color="000000"/>
              <w:right w:val="nil"/>
            </w:tcBorders>
            <w:shd w:val="clear" w:color="auto" w:fill="90B0D9"/>
            <w:tcMar>
              <w:left w:w="40" w:type="dxa"/>
              <w:right w:w="40" w:type="dxa"/>
            </w:tcMar>
            <w:vAlign w:val="bottom"/>
          </w:tcPr>
          <w:p w:rsidR="005130A0" w:rsidRPr="009C0856" w:rsidP="003009B6">
            <w:pPr>
              <w:adjustRightInd w:val="0"/>
              <w:spacing w:before="40" w:after="40"/>
              <w:jc w:val="center"/>
              <w:rPr>
                <w:b/>
                <w:bCs/>
                <w:color w:val="000000"/>
                <w:sz w:val="20"/>
              </w:rPr>
            </w:pPr>
            <w:r w:rsidRPr="009C0856">
              <w:rPr>
                <w:b/>
                <w:bCs/>
                <w:color w:val="000000"/>
                <w:sz w:val="20"/>
              </w:rPr>
              <w:t>Pop.</w:t>
            </w:r>
          </w:p>
        </w:tc>
        <w:tc>
          <w:tcPr>
            <w:tcW w:w="394" w:type="pct"/>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5130A0" w:rsidRPr="009C0856" w:rsidP="003009B6">
            <w:pPr>
              <w:adjustRightInd w:val="0"/>
              <w:spacing w:before="40" w:after="40"/>
              <w:jc w:val="center"/>
              <w:rPr>
                <w:b/>
                <w:bCs/>
                <w:color w:val="000000"/>
                <w:sz w:val="20"/>
              </w:rPr>
            </w:pPr>
            <w:r w:rsidRPr="009C0856">
              <w:rPr>
                <w:b/>
                <w:bCs/>
                <w:color w:val="000000"/>
                <w:sz w:val="20"/>
              </w:rPr>
              <w:t>% of Pop.</w:t>
            </w:r>
          </w:p>
        </w:tc>
        <w:tc>
          <w:tcPr>
            <w:tcW w:w="485" w:type="pct"/>
            <w:tcBorders>
              <w:top w:val="nil"/>
              <w:left w:val="single" w:sz="8" w:space="0" w:color="000000"/>
              <w:bottom w:val="single" w:sz="8" w:space="0" w:color="000000"/>
              <w:right w:val="nil"/>
            </w:tcBorders>
            <w:shd w:val="clear" w:color="auto" w:fill="90B0D9"/>
            <w:vAlign w:val="bottom"/>
          </w:tcPr>
          <w:p w:rsidR="005130A0" w:rsidRPr="009C0856" w:rsidP="003009B6">
            <w:pPr>
              <w:adjustRightInd w:val="0"/>
              <w:spacing w:before="40" w:after="40"/>
              <w:jc w:val="center"/>
              <w:rPr>
                <w:b/>
                <w:bCs/>
                <w:color w:val="000000"/>
                <w:sz w:val="20"/>
              </w:rPr>
            </w:pPr>
            <w:r w:rsidRPr="009C0856">
              <w:rPr>
                <w:b/>
                <w:bCs/>
                <w:color w:val="000000"/>
                <w:sz w:val="20"/>
              </w:rPr>
              <w:t>Pop.</w:t>
            </w:r>
          </w:p>
        </w:tc>
        <w:tc>
          <w:tcPr>
            <w:tcW w:w="414" w:type="pct"/>
            <w:tcBorders>
              <w:top w:val="nil"/>
              <w:left w:val="single" w:sz="8" w:space="0" w:color="000000"/>
              <w:bottom w:val="single" w:sz="8" w:space="0" w:color="000000"/>
              <w:right w:val="nil"/>
            </w:tcBorders>
            <w:shd w:val="clear" w:color="auto" w:fill="90B0D9"/>
            <w:vAlign w:val="bottom"/>
          </w:tcPr>
          <w:p w:rsidR="005130A0" w:rsidRPr="009C0856" w:rsidP="003009B6">
            <w:pPr>
              <w:adjustRightInd w:val="0"/>
              <w:spacing w:before="40" w:after="40"/>
              <w:jc w:val="center"/>
              <w:rPr>
                <w:b/>
                <w:bCs/>
                <w:color w:val="000000"/>
                <w:sz w:val="20"/>
              </w:rPr>
            </w:pPr>
            <w:r w:rsidRPr="009C0856">
              <w:rPr>
                <w:b/>
                <w:bCs/>
                <w:color w:val="000000"/>
                <w:sz w:val="20"/>
              </w:rPr>
              <w:t>% of Pop.</w:t>
            </w:r>
          </w:p>
        </w:tc>
        <w:tc>
          <w:tcPr>
            <w:tcW w:w="479" w:type="pct"/>
            <w:tcBorders>
              <w:top w:val="nil"/>
              <w:left w:val="single" w:sz="8" w:space="0" w:color="000000"/>
              <w:bottom w:val="single" w:sz="8" w:space="0" w:color="000000"/>
              <w:right w:val="nil"/>
            </w:tcBorders>
            <w:shd w:val="clear" w:color="auto" w:fill="90B0D9"/>
            <w:vAlign w:val="bottom"/>
          </w:tcPr>
          <w:p w:rsidR="005130A0" w:rsidRPr="009C0856" w:rsidP="003009B6">
            <w:pPr>
              <w:adjustRightInd w:val="0"/>
              <w:spacing w:before="40" w:after="40"/>
              <w:jc w:val="center"/>
              <w:rPr>
                <w:b/>
                <w:bCs/>
                <w:color w:val="000000"/>
                <w:sz w:val="20"/>
              </w:rPr>
            </w:pPr>
            <w:r w:rsidRPr="009C0856">
              <w:rPr>
                <w:b/>
                <w:bCs/>
                <w:color w:val="000000"/>
                <w:sz w:val="20"/>
              </w:rPr>
              <w:t>Pop.</w:t>
            </w:r>
          </w:p>
        </w:tc>
        <w:tc>
          <w:tcPr>
            <w:tcW w:w="406" w:type="pct"/>
            <w:tcBorders>
              <w:top w:val="nil"/>
              <w:left w:val="single" w:sz="8" w:space="0" w:color="000000"/>
              <w:bottom w:val="single" w:sz="8" w:space="0" w:color="000000"/>
              <w:right w:val="single" w:sz="8" w:space="0" w:color="000000"/>
            </w:tcBorders>
            <w:shd w:val="clear" w:color="auto" w:fill="90B0D9"/>
            <w:vAlign w:val="bottom"/>
          </w:tcPr>
          <w:p w:rsidR="005130A0" w:rsidRPr="009C0856" w:rsidP="003009B6">
            <w:pPr>
              <w:adjustRightInd w:val="0"/>
              <w:spacing w:before="40" w:after="40"/>
              <w:jc w:val="center"/>
              <w:rPr>
                <w:b/>
                <w:bCs/>
                <w:color w:val="000000"/>
                <w:sz w:val="20"/>
              </w:rPr>
            </w:pPr>
            <w:r w:rsidRPr="009C0856">
              <w:rPr>
                <w:b/>
                <w:bCs/>
                <w:color w:val="000000"/>
                <w:sz w:val="20"/>
              </w:rPr>
              <w:t>% of Pop.</w:t>
            </w:r>
          </w:p>
        </w:tc>
      </w:tr>
      <w:tr w:rsidTr="003009B6">
        <w:tblPrEx>
          <w:tblW w:w="5000" w:type="pct"/>
          <w:jc w:val="center"/>
          <w:tblCellMar>
            <w:left w:w="0" w:type="dxa"/>
            <w:right w:w="0" w:type="dxa"/>
          </w:tblCellMar>
          <w:tblLook w:val="0000"/>
        </w:tblPrEx>
        <w:trPr>
          <w:cantSplit/>
          <w:jc w:val="center"/>
        </w:trPr>
        <w:tc>
          <w:tcPr>
            <w:tcW w:w="888" w:type="pct"/>
            <w:tcBorders>
              <w:top w:val="nil"/>
              <w:left w:val="single" w:sz="8" w:space="0" w:color="000000"/>
              <w:bottom w:val="single" w:sz="8" w:space="0" w:color="000000"/>
              <w:right w:val="nil"/>
            </w:tcBorders>
            <w:shd w:val="clear" w:color="auto" w:fill="90B0D9"/>
            <w:tcMar>
              <w:left w:w="40" w:type="dxa"/>
              <w:right w:w="40" w:type="dxa"/>
            </w:tcMar>
          </w:tcPr>
          <w:p w:rsidR="005130A0" w:rsidRPr="009C0856" w:rsidP="003009B6">
            <w:pPr>
              <w:adjustRightInd w:val="0"/>
              <w:spacing w:before="40" w:after="40"/>
              <w:rPr>
                <w:b/>
                <w:bCs/>
                <w:color w:val="000000"/>
                <w:sz w:val="20"/>
              </w:rPr>
            </w:pPr>
            <w:r w:rsidRPr="009C0856">
              <w:rPr>
                <w:b/>
                <w:bCs/>
                <w:color w:val="000000"/>
                <w:sz w:val="20"/>
              </w:rPr>
              <w:t>U.S. Territories</w:t>
            </w:r>
          </w:p>
        </w:tc>
        <w:tc>
          <w:tcPr>
            <w:tcW w:w="603"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3,715,570</w:t>
            </w:r>
          </w:p>
        </w:tc>
        <w:tc>
          <w:tcPr>
            <w:tcW w:w="468"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3,191,589</w:t>
            </w:r>
          </w:p>
        </w:tc>
        <w:tc>
          <w:tcPr>
            <w:tcW w:w="394"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85.9%</w:t>
            </w:r>
          </w:p>
        </w:tc>
        <w:tc>
          <w:tcPr>
            <w:tcW w:w="468"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3,657,920</w:t>
            </w:r>
          </w:p>
        </w:tc>
        <w:tc>
          <w:tcPr>
            <w:tcW w:w="39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98.4%</w:t>
            </w:r>
          </w:p>
        </w:tc>
        <w:tc>
          <w:tcPr>
            <w:tcW w:w="485" w:type="pct"/>
            <w:tcBorders>
              <w:top w:val="nil"/>
              <w:left w:val="single" w:sz="8" w:space="0" w:color="000000"/>
              <w:bottom w:val="single" w:sz="8" w:space="0" w:color="000000"/>
              <w:right w:val="nil"/>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3,188,149</w:t>
            </w:r>
          </w:p>
        </w:tc>
        <w:tc>
          <w:tcPr>
            <w:tcW w:w="414" w:type="pct"/>
            <w:tcBorders>
              <w:top w:val="nil"/>
              <w:left w:val="single" w:sz="8" w:space="0" w:color="000000"/>
              <w:bottom w:val="single" w:sz="8" w:space="0" w:color="000000"/>
              <w:right w:val="nil"/>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85.8%</w:t>
            </w:r>
          </w:p>
        </w:tc>
        <w:tc>
          <w:tcPr>
            <w:tcW w:w="479" w:type="pct"/>
            <w:tcBorders>
              <w:top w:val="nil"/>
              <w:left w:val="single" w:sz="8" w:space="0" w:color="000000"/>
              <w:bottom w:val="single" w:sz="8" w:space="0" w:color="000000"/>
              <w:right w:val="nil"/>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3,661,360</w:t>
            </w:r>
          </w:p>
        </w:tc>
        <w:tc>
          <w:tcPr>
            <w:tcW w:w="406" w:type="pct"/>
            <w:tcBorders>
              <w:top w:val="nil"/>
              <w:left w:val="single" w:sz="8" w:space="0" w:color="000000"/>
              <w:bottom w:val="single" w:sz="8" w:space="0" w:color="000000"/>
              <w:right w:val="single" w:sz="8" w:space="0" w:color="000000"/>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98.5%</w:t>
            </w:r>
          </w:p>
        </w:tc>
      </w:tr>
      <w:tr w:rsidTr="003009B6">
        <w:tblPrEx>
          <w:tblW w:w="5000" w:type="pct"/>
          <w:jc w:val="center"/>
          <w:tblCellMar>
            <w:left w:w="0" w:type="dxa"/>
            <w:right w:w="0" w:type="dxa"/>
          </w:tblCellMar>
          <w:tblLook w:val="0000"/>
        </w:tblPrEx>
        <w:trPr>
          <w:cantSplit/>
          <w:jc w:val="center"/>
        </w:trPr>
        <w:tc>
          <w:tcPr>
            <w:tcW w:w="888" w:type="pct"/>
            <w:tcBorders>
              <w:top w:val="nil"/>
              <w:left w:val="single" w:sz="8" w:space="0" w:color="000000"/>
              <w:bottom w:val="single" w:sz="8" w:space="0" w:color="000000"/>
              <w:right w:val="nil"/>
            </w:tcBorders>
            <w:shd w:val="clear" w:color="auto" w:fill="90B0D9"/>
            <w:tcMar>
              <w:left w:w="40" w:type="dxa"/>
              <w:right w:w="40" w:type="dxa"/>
            </w:tcMar>
          </w:tcPr>
          <w:p w:rsidR="005130A0" w:rsidRPr="009C0856" w:rsidP="003009B6">
            <w:pPr>
              <w:adjustRightInd w:val="0"/>
              <w:spacing w:before="40" w:after="40"/>
              <w:ind w:firstLine="19"/>
              <w:rPr>
                <w:b/>
                <w:bCs/>
                <w:color w:val="000000"/>
                <w:sz w:val="20"/>
              </w:rPr>
            </w:pPr>
            <w:r w:rsidRPr="009C0856">
              <w:rPr>
                <w:b/>
                <w:bCs/>
                <w:color w:val="000000"/>
                <w:sz w:val="20"/>
              </w:rPr>
              <w:t xml:space="preserve"> Rural Areas</w:t>
            </w:r>
          </w:p>
        </w:tc>
        <w:tc>
          <w:tcPr>
            <w:tcW w:w="603"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245,734</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151,456</w:t>
            </w:r>
          </w:p>
        </w:tc>
        <w:tc>
          <w:tcPr>
            <w:tcW w:w="394"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61.6%</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233,019</w:t>
            </w:r>
          </w:p>
        </w:tc>
        <w:tc>
          <w:tcPr>
            <w:tcW w:w="39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94.8%</w:t>
            </w:r>
          </w:p>
        </w:tc>
        <w:tc>
          <w:tcPr>
            <w:tcW w:w="485"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148,153</w:t>
            </w:r>
          </w:p>
        </w:tc>
        <w:tc>
          <w:tcPr>
            <w:tcW w:w="414"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60.3%</w:t>
            </w:r>
          </w:p>
        </w:tc>
        <w:tc>
          <w:tcPr>
            <w:tcW w:w="479"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236,322</w:t>
            </w:r>
          </w:p>
        </w:tc>
        <w:tc>
          <w:tcPr>
            <w:tcW w:w="406" w:type="pct"/>
            <w:tcBorders>
              <w:top w:val="nil"/>
              <w:left w:val="single" w:sz="8" w:space="0" w:color="000000"/>
              <w:bottom w:val="single" w:sz="8" w:space="0" w:color="000000"/>
              <w:right w:val="single" w:sz="8" w:space="0" w:color="000000"/>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96.2%</w:t>
            </w:r>
          </w:p>
        </w:tc>
      </w:tr>
      <w:tr w:rsidTr="003009B6">
        <w:tblPrEx>
          <w:tblW w:w="5000" w:type="pct"/>
          <w:jc w:val="center"/>
          <w:tblCellMar>
            <w:left w:w="0" w:type="dxa"/>
            <w:right w:w="0" w:type="dxa"/>
          </w:tblCellMar>
          <w:tblLook w:val="0000"/>
        </w:tblPrEx>
        <w:trPr>
          <w:cantSplit/>
          <w:jc w:val="center"/>
        </w:trPr>
        <w:tc>
          <w:tcPr>
            <w:tcW w:w="888" w:type="pct"/>
            <w:tcBorders>
              <w:top w:val="nil"/>
              <w:left w:val="single" w:sz="8" w:space="0" w:color="000000"/>
              <w:bottom w:val="single" w:sz="8" w:space="0" w:color="000000"/>
              <w:right w:val="nil"/>
            </w:tcBorders>
            <w:shd w:val="clear" w:color="auto" w:fill="90B0D9"/>
            <w:tcMar>
              <w:left w:w="40" w:type="dxa"/>
              <w:right w:w="40" w:type="dxa"/>
            </w:tcMar>
          </w:tcPr>
          <w:p w:rsidR="005130A0" w:rsidRPr="009C0856" w:rsidP="003009B6">
            <w:pPr>
              <w:adjustRightInd w:val="0"/>
              <w:spacing w:before="40" w:after="40"/>
              <w:ind w:firstLine="19"/>
              <w:rPr>
                <w:b/>
                <w:bCs/>
                <w:color w:val="000000"/>
                <w:sz w:val="20"/>
              </w:rPr>
            </w:pPr>
            <w:r w:rsidRPr="009C0856">
              <w:rPr>
                <w:b/>
                <w:bCs/>
                <w:color w:val="000000"/>
                <w:sz w:val="20"/>
              </w:rPr>
              <w:t xml:space="preserve"> Urban Areas</w:t>
            </w:r>
          </w:p>
        </w:tc>
        <w:tc>
          <w:tcPr>
            <w:tcW w:w="603"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3,469,836</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3,040,133</w:t>
            </w:r>
          </w:p>
        </w:tc>
        <w:tc>
          <w:tcPr>
            <w:tcW w:w="394"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87.6%</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3,424,901</w:t>
            </w:r>
          </w:p>
        </w:tc>
        <w:tc>
          <w:tcPr>
            <w:tcW w:w="39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98.7%</w:t>
            </w:r>
          </w:p>
        </w:tc>
        <w:tc>
          <w:tcPr>
            <w:tcW w:w="485"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3,039,996</w:t>
            </w:r>
          </w:p>
        </w:tc>
        <w:tc>
          <w:tcPr>
            <w:tcW w:w="414"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87.6%</w:t>
            </w:r>
          </w:p>
        </w:tc>
        <w:tc>
          <w:tcPr>
            <w:tcW w:w="479"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3,425,038</w:t>
            </w:r>
          </w:p>
        </w:tc>
        <w:tc>
          <w:tcPr>
            <w:tcW w:w="406" w:type="pct"/>
            <w:tcBorders>
              <w:top w:val="nil"/>
              <w:left w:val="single" w:sz="8" w:space="0" w:color="000000"/>
              <w:bottom w:val="single" w:sz="8" w:space="0" w:color="000000"/>
              <w:right w:val="single" w:sz="8" w:space="0" w:color="000000"/>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98.7%</w:t>
            </w:r>
          </w:p>
        </w:tc>
      </w:tr>
      <w:tr w:rsidTr="003009B6">
        <w:tblPrEx>
          <w:tblW w:w="5000" w:type="pct"/>
          <w:jc w:val="center"/>
          <w:tblCellMar>
            <w:left w:w="0" w:type="dxa"/>
            <w:right w:w="0" w:type="dxa"/>
          </w:tblCellMar>
          <w:tblLook w:val="0000"/>
        </w:tblPrEx>
        <w:trPr>
          <w:cantSplit/>
          <w:jc w:val="center"/>
        </w:trPr>
        <w:tc>
          <w:tcPr>
            <w:tcW w:w="888" w:type="pct"/>
            <w:tcBorders>
              <w:top w:val="nil"/>
              <w:left w:val="single" w:sz="8" w:space="0" w:color="000000"/>
              <w:bottom w:val="single" w:sz="8" w:space="0" w:color="000000"/>
              <w:right w:val="nil"/>
            </w:tcBorders>
            <w:shd w:val="clear" w:color="auto" w:fill="90B0D9"/>
            <w:tcMar>
              <w:left w:w="40" w:type="dxa"/>
              <w:right w:w="40" w:type="dxa"/>
            </w:tcMar>
          </w:tcPr>
          <w:p w:rsidR="005130A0" w:rsidRPr="009C0856" w:rsidP="003009B6">
            <w:pPr>
              <w:adjustRightInd w:val="0"/>
              <w:spacing w:before="40" w:after="40"/>
              <w:rPr>
                <w:b/>
                <w:bCs/>
                <w:color w:val="000000"/>
                <w:sz w:val="20"/>
              </w:rPr>
            </w:pPr>
            <w:r w:rsidRPr="009C0856">
              <w:rPr>
                <w:b/>
                <w:bCs/>
                <w:color w:val="000000"/>
                <w:sz w:val="20"/>
              </w:rPr>
              <w:t>American Samoa</w:t>
            </w:r>
          </w:p>
        </w:tc>
        <w:tc>
          <w:tcPr>
            <w:tcW w:w="603"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51,504</w:t>
            </w:r>
          </w:p>
        </w:tc>
        <w:tc>
          <w:tcPr>
            <w:tcW w:w="468"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0</w:t>
            </w:r>
          </w:p>
        </w:tc>
        <w:tc>
          <w:tcPr>
            <w:tcW w:w="394"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0.0%</w:t>
            </w:r>
          </w:p>
        </w:tc>
        <w:tc>
          <w:tcPr>
            <w:tcW w:w="468"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0</w:t>
            </w:r>
          </w:p>
        </w:tc>
        <w:tc>
          <w:tcPr>
            <w:tcW w:w="39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0.0%</w:t>
            </w:r>
          </w:p>
        </w:tc>
        <w:tc>
          <w:tcPr>
            <w:tcW w:w="485" w:type="pct"/>
            <w:tcBorders>
              <w:top w:val="nil"/>
              <w:left w:val="single" w:sz="8" w:space="0" w:color="000000"/>
              <w:bottom w:val="single" w:sz="8" w:space="0" w:color="000000"/>
              <w:right w:val="nil"/>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0</w:t>
            </w:r>
          </w:p>
        </w:tc>
        <w:tc>
          <w:tcPr>
            <w:tcW w:w="414" w:type="pct"/>
            <w:tcBorders>
              <w:top w:val="nil"/>
              <w:left w:val="single" w:sz="8" w:space="0" w:color="000000"/>
              <w:bottom w:val="single" w:sz="8" w:space="0" w:color="000000"/>
              <w:right w:val="nil"/>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0.0%</w:t>
            </w:r>
          </w:p>
        </w:tc>
        <w:tc>
          <w:tcPr>
            <w:tcW w:w="479" w:type="pct"/>
            <w:tcBorders>
              <w:top w:val="nil"/>
              <w:left w:val="single" w:sz="8" w:space="0" w:color="000000"/>
              <w:bottom w:val="single" w:sz="8" w:space="0" w:color="000000"/>
              <w:right w:val="nil"/>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0</w:t>
            </w:r>
          </w:p>
        </w:tc>
        <w:tc>
          <w:tcPr>
            <w:tcW w:w="406" w:type="pct"/>
            <w:tcBorders>
              <w:top w:val="nil"/>
              <w:left w:val="single" w:sz="8" w:space="0" w:color="000000"/>
              <w:bottom w:val="single" w:sz="8" w:space="0" w:color="000000"/>
              <w:right w:val="single" w:sz="8" w:space="0" w:color="000000"/>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0.0%</w:t>
            </w:r>
          </w:p>
        </w:tc>
      </w:tr>
      <w:tr w:rsidTr="003009B6">
        <w:tblPrEx>
          <w:tblW w:w="5000" w:type="pct"/>
          <w:jc w:val="center"/>
          <w:tblCellMar>
            <w:left w:w="0" w:type="dxa"/>
            <w:right w:w="0" w:type="dxa"/>
          </w:tblCellMar>
          <w:tblLook w:val="0000"/>
        </w:tblPrEx>
        <w:trPr>
          <w:cantSplit/>
          <w:jc w:val="center"/>
        </w:trPr>
        <w:tc>
          <w:tcPr>
            <w:tcW w:w="888" w:type="pct"/>
            <w:tcBorders>
              <w:top w:val="nil"/>
              <w:left w:val="single" w:sz="8" w:space="0" w:color="000000"/>
              <w:bottom w:val="single" w:sz="8" w:space="0" w:color="000000"/>
              <w:right w:val="nil"/>
            </w:tcBorders>
            <w:shd w:val="clear" w:color="auto" w:fill="90B0D9"/>
            <w:tcMar>
              <w:left w:w="40" w:type="dxa"/>
              <w:right w:w="40" w:type="dxa"/>
            </w:tcMar>
          </w:tcPr>
          <w:p w:rsidR="005130A0" w:rsidRPr="009C0856" w:rsidP="003009B6">
            <w:pPr>
              <w:adjustRightInd w:val="0"/>
              <w:spacing w:before="40" w:after="40"/>
              <w:ind w:firstLine="19"/>
              <w:rPr>
                <w:b/>
                <w:bCs/>
                <w:color w:val="000000"/>
                <w:sz w:val="20"/>
              </w:rPr>
            </w:pPr>
            <w:r w:rsidRPr="009C0856">
              <w:rPr>
                <w:b/>
                <w:bCs/>
                <w:color w:val="000000"/>
                <w:sz w:val="20"/>
              </w:rPr>
              <w:t xml:space="preserve"> Rural Areas</w:t>
            </w:r>
          </w:p>
        </w:tc>
        <w:tc>
          <w:tcPr>
            <w:tcW w:w="603"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7,741</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0</w:t>
            </w:r>
          </w:p>
        </w:tc>
        <w:tc>
          <w:tcPr>
            <w:tcW w:w="394"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0.0%</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0</w:t>
            </w:r>
          </w:p>
        </w:tc>
        <w:tc>
          <w:tcPr>
            <w:tcW w:w="39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0.0%</w:t>
            </w:r>
          </w:p>
        </w:tc>
        <w:tc>
          <w:tcPr>
            <w:tcW w:w="485"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0</w:t>
            </w:r>
          </w:p>
        </w:tc>
        <w:tc>
          <w:tcPr>
            <w:tcW w:w="414"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0.0%</w:t>
            </w:r>
          </w:p>
        </w:tc>
        <w:tc>
          <w:tcPr>
            <w:tcW w:w="479"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0</w:t>
            </w:r>
          </w:p>
        </w:tc>
        <w:tc>
          <w:tcPr>
            <w:tcW w:w="406" w:type="pct"/>
            <w:tcBorders>
              <w:top w:val="nil"/>
              <w:left w:val="single" w:sz="8" w:space="0" w:color="000000"/>
              <w:bottom w:val="single" w:sz="8" w:space="0" w:color="000000"/>
              <w:right w:val="single" w:sz="8" w:space="0" w:color="000000"/>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0.0%</w:t>
            </w:r>
          </w:p>
        </w:tc>
      </w:tr>
      <w:tr w:rsidTr="003009B6">
        <w:tblPrEx>
          <w:tblW w:w="5000" w:type="pct"/>
          <w:jc w:val="center"/>
          <w:tblCellMar>
            <w:left w:w="0" w:type="dxa"/>
            <w:right w:w="0" w:type="dxa"/>
          </w:tblCellMar>
          <w:tblLook w:val="0000"/>
        </w:tblPrEx>
        <w:trPr>
          <w:cantSplit/>
          <w:jc w:val="center"/>
        </w:trPr>
        <w:tc>
          <w:tcPr>
            <w:tcW w:w="888" w:type="pct"/>
            <w:tcBorders>
              <w:top w:val="nil"/>
              <w:left w:val="single" w:sz="8" w:space="0" w:color="000000"/>
              <w:bottom w:val="single" w:sz="8" w:space="0" w:color="000000"/>
              <w:right w:val="nil"/>
            </w:tcBorders>
            <w:shd w:val="clear" w:color="auto" w:fill="90B0D9"/>
            <w:tcMar>
              <w:left w:w="40" w:type="dxa"/>
              <w:right w:w="40" w:type="dxa"/>
            </w:tcMar>
          </w:tcPr>
          <w:p w:rsidR="005130A0" w:rsidRPr="009C0856" w:rsidP="003009B6">
            <w:pPr>
              <w:adjustRightInd w:val="0"/>
              <w:spacing w:before="40" w:after="40"/>
              <w:ind w:firstLine="19"/>
              <w:rPr>
                <w:b/>
                <w:bCs/>
                <w:color w:val="000000"/>
                <w:sz w:val="20"/>
              </w:rPr>
            </w:pPr>
            <w:r w:rsidRPr="009C0856">
              <w:rPr>
                <w:b/>
                <w:bCs/>
                <w:color w:val="000000"/>
                <w:sz w:val="20"/>
              </w:rPr>
              <w:t xml:space="preserve"> Urban Areas</w:t>
            </w:r>
          </w:p>
        </w:tc>
        <w:tc>
          <w:tcPr>
            <w:tcW w:w="603"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43,763</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0</w:t>
            </w:r>
          </w:p>
        </w:tc>
        <w:tc>
          <w:tcPr>
            <w:tcW w:w="394"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0.0%</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0</w:t>
            </w:r>
          </w:p>
        </w:tc>
        <w:tc>
          <w:tcPr>
            <w:tcW w:w="39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0.0%</w:t>
            </w:r>
          </w:p>
        </w:tc>
        <w:tc>
          <w:tcPr>
            <w:tcW w:w="485"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0</w:t>
            </w:r>
          </w:p>
        </w:tc>
        <w:tc>
          <w:tcPr>
            <w:tcW w:w="414"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0.0%</w:t>
            </w:r>
          </w:p>
        </w:tc>
        <w:tc>
          <w:tcPr>
            <w:tcW w:w="479"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0</w:t>
            </w:r>
          </w:p>
        </w:tc>
        <w:tc>
          <w:tcPr>
            <w:tcW w:w="406" w:type="pct"/>
            <w:tcBorders>
              <w:top w:val="nil"/>
              <w:left w:val="single" w:sz="8" w:space="0" w:color="000000"/>
              <w:bottom w:val="single" w:sz="8" w:space="0" w:color="000000"/>
              <w:right w:val="single" w:sz="8" w:space="0" w:color="000000"/>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0.0%</w:t>
            </w:r>
          </w:p>
        </w:tc>
      </w:tr>
      <w:tr w:rsidTr="003009B6">
        <w:tblPrEx>
          <w:tblW w:w="5000" w:type="pct"/>
          <w:jc w:val="center"/>
          <w:tblCellMar>
            <w:left w:w="0" w:type="dxa"/>
            <w:right w:w="0" w:type="dxa"/>
          </w:tblCellMar>
          <w:tblLook w:val="0000"/>
        </w:tblPrEx>
        <w:trPr>
          <w:cantSplit/>
          <w:jc w:val="center"/>
        </w:trPr>
        <w:tc>
          <w:tcPr>
            <w:tcW w:w="888" w:type="pct"/>
            <w:tcBorders>
              <w:top w:val="nil"/>
              <w:left w:val="single" w:sz="8" w:space="0" w:color="000000"/>
              <w:bottom w:val="single" w:sz="8" w:space="0" w:color="000000"/>
              <w:right w:val="nil"/>
            </w:tcBorders>
            <w:shd w:val="clear" w:color="auto" w:fill="90B0D9"/>
            <w:tcMar>
              <w:left w:w="40" w:type="dxa"/>
              <w:right w:w="40" w:type="dxa"/>
            </w:tcMar>
          </w:tcPr>
          <w:p w:rsidR="005130A0" w:rsidRPr="009C0856" w:rsidP="003009B6">
            <w:pPr>
              <w:adjustRightInd w:val="0"/>
              <w:spacing w:before="40" w:after="40"/>
              <w:rPr>
                <w:b/>
                <w:bCs/>
                <w:color w:val="000000"/>
                <w:sz w:val="20"/>
              </w:rPr>
            </w:pPr>
            <w:r w:rsidRPr="009C0856">
              <w:rPr>
                <w:b/>
                <w:bCs/>
                <w:color w:val="000000"/>
                <w:sz w:val="20"/>
              </w:rPr>
              <w:t>Guam</w:t>
            </w:r>
          </w:p>
        </w:tc>
        <w:tc>
          <w:tcPr>
            <w:tcW w:w="603"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167,358</w:t>
            </w:r>
          </w:p>
        </w:tc>
        <w:tc>
          <w:tcPr>
            <w:tcW w:w="468"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2,610</w:t>
            </w:r>
          </w:p>
        </w:tc>
        <w:tc>
          <w:tcPr>
            <w:tcW w:w="394"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1.6%</w:t>
            </w:r>
          </w:p>
        </w:tc>
        <w:tc>
          <w:tcPr>
            <w:tcW w:w="468"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166,684</w:t>
            </w:r>
          </w:p>
        </w:tc>
        <w:tc>
          <w:tcPr>
            <w:tcW w:w="39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99.6%</w:t>
            </w:r>
          </w:p>
        </w:tc>
        <w:tc>
          <w:tcPr>
            <w:tcW w:w="485" w:type="pct"/>
            <w:tcBorders>
              <w:top w:val="nil"/>
              <w:left w:val="single" w:sz="8" w:space="0" w:color="000000"/>
              <w:bottom w:val="single" w:sz="8" w:space="0" w:color="000000"/>
              <w:right w:val="nil"/>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2,610</w:t>
            </w:r>
          </w:p>
        </w:tc>
        <w:tc>
          <w:tcPr>
            <w:tcW w:w="414" w:type="pct"/>
            <w:tcBorders>
              <w:top w:val="nil"/>
              <w:left w:val="single" w:sz="8" w:space="0" w:color="000000"/>
              <w:bottom w:val="single" w:sz="8" w:space="0" w:color="000000"/>
              <w:right w:val="nil"/>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1.6%</w:t>
            </w:r>
          </w:p>
        </w:tc>
        <w:tc>
          <w:tcPr>
            <w:tcW w:w="479" w:type="pct"/>
            <w:tcBorders>
              <w:top w:val="nil"/>
              <w:left w:val="single" w:sz="8" w:space="0" w:color="000000"/>
              <w:bottom w:val="single" w:sz="8" w:space="0" w:color="000000"/>
              <w:right w:val="nil"/>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166,684</w:t>
            </w:r>
          </w:p>
        </w:tc>
        <w:tc>
          <w:tcPr>
            <w:tcW w:w="406" w:type="pct"/>
            <w:tcBorders>
              <w:top w:val="nil"/>
              <w:left w:val="single" w:sz="8" w:space="0" w:color="000000"/>
              <w:bottom w:val="single" w:sz="8" w:space="0" w:color="000000"/>
              <w:right w:val="single" w:sz="8" w:space="0" w:color="000000"/>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99.6%</w:t>
            </w:r>
          </w:p>
        </w:tc>
      </w:tr>
      <w:tr w:rsidTr="003009B6">
        <w:tblPrEx>
          <w:tblW w:w="5000" w:type="pct"/>
          <w:jc w:val="center"/>
          <w:tblCellMar>
            <w:left w:w="0" w:type="dxa"/>
            <w:right w:w="0" w:type="dxa"/>
          </w:tblCellMar>
          <w:tblLook w:val="0000"/>
        </w:tblPrEx>
        <w:trPr>
          <w:cantSplit/>
          <w:jc w:val="center"/>
        </w:trPr>
        <w:tc>
          <w:tcPr>
            <w:tcW w:w="888" w:type="pct"/>
            <w:tcBorders>
              <w:top w:val="nil"/>
              <w:left w:val="single" w:sz="8" w:space="0" w:color="000000"/>
              <w:bottom w:val="single" w:sz="8" w:space="0" w:color="000000"/>
              <w:right w:val="nil"/>
            </w:tcBorders>
            <w:shd w:val="clear" w:color="auto" w:fill="90B0D9"/>
            <w:tcMar>
              <w:left w:w="40" w:type="dxa"/>
              <w:right w:w="40" w:type="dxa"/>
            </w:tcMar>
          </w:tcPr>
          <w:p w:rsidR="005130A0" w:rsidRPr="009C0856" w:rsidP="003009B6">
            <w:pPr>
              <w:adjustRightInd w:val="0"/>
              <w:spacing w:before="40" w:after="40"/>
              <w:ind w:firstLine="19"/>
              <w:rPr>
                <w:b/>
                <w:bCs/>
                <w:color w:val="000000"/>
                <w:sz w:val="20"/>
              </w:rPr>
            </w:pPr>
            <w:r w:rsidRPr="009C0856">
              <w:rPr>
                <w:b/>
                <w:bCs/>
                <w:color w:val="000000"/>
                <w:sz w:val="20"/>
              </w:rPr>
              <w:t xml:space="preserve"> Rural Areas</w:t>
            </w:r>
          </w:p>
        </w:tc>
        <w:tc>
          <w:tcPr>
            <w:tcW w:w="603"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11,166</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142</w:t>
            </w:r>
          </w:p>
        </w:tc>
        <w:tc>
          <w:tcPr>
            <w:tcW w:w="394"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1.3%</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11,058</w:t>
            </w:r>
          </w:p>
        </w:tc>
        <w:tc>
          <w:tcPr>
            <w:tcW w:w="39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99.0%</w:t>
            </w:r>
          </w:p>
        </w:tc>
        <w:tc>
          <w:tcPr>
            <w:tcW w:w="485"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142</w:t>
            </w:r>
          </w:p>
        </w:tc>
        <w:tc>
          <w:tcPr>
            <w:tcW w:w="414"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1.3%</w:t>
            </w:r>
          </w:p>
        </w:tc>
        <w:tc>
          <w:tcPr>
            <w:tcW w:w="479"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11,058</w:t>
            </w:r>
          </w:p>
        </w:tc>
        <w:tc>
          <w:tcPr>
            <w:tcW w:w="406" w:type="pct"/>
            <w:tcBorders>
              <w:top w:val="nil"/>
              <w:left w:val="single" w:sz="8" w:space="0" w:color="000000"/>
              <w:bottom w:val="single" w:sz="8" w:space="0" w:color="000000"/>
              <w:right w:val="single" w:sz="8" w:space="0" w:color="000000"/>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99.0%</w:t>
            </w:r>
          </w:p>
        </w:tc>
      </w:tr>
      <w:tr w:rsidTr="003009B6">
        <w:tblPrEx>
          <w:tblW w:w="5000" w:type="pct"/>
          <w:jc w:val="center"/>
          <w:tblCellMar>
            <w:left w:w="0" w:type="dxa"/>
            <w:right w:w="0" w:type="dxa"/>
          </w:tblCellMar>
          <w:tblLook w:val="0000"/>
        </w:tblPrEx>
        <w:trPr>
          <w:cantSplit/>
          <w:jc w:val="center"/>
        </w:trPr>
        <w:tc>
          <w:tcPr>
            <w:tcW w:w="888" w:type="pct"/>
            <w:tcBorders>
              <w:top w:val="nil"/>
              <w:left w:val="single" w:sz="8" w:space="0" w:color="000000"/>
              <w:bottom w:val="single" w:sz="8" w:space="0" w:color="000000"/>
              <w:right w:val="nil"/>
            </w:tcBorders>
            <w:shd w:val="clear" w:color="auto" w:fill="90B0D9"/>
            <w:tcMar>
              <w:left w:w="40" w:type="dxa"/>
              <w:right w:w="40" w:type="dxa"/>
            </w:tcMar>
          </w:tcPr>
          <w:p w:rsidR="005130A0" w:rsidRPr="009C0856" w:rsidP="003009B6">
            <w:pPr>
              <w:adjustRightInd w:val="0"/>
              <w:spacing w:before="40" w:after="40"/>
              <w:ind w:firstLine="19"/>
              <w:rPr>
                <w:b/>
                <w:bCs/>
                <w:color w:val="000000"/>
                <w:sz w:val="20"/>
              </w:rPr>
            </w:pPr>
            <w:r w:rsidRPr="009C0856">
              <w:rPr>
                <w:b/>
                <w:bCs/>
                <w:color w:val="000000"/>
                <w:sz w:val="20"/>
              </w:rPr>
              <w:t xml:space="preserve"> Urban Areas</w:t>
            </w:r>
          </w:p>
        </w:tc>
        <w:tc>
          <w:tcPr>
            <w:tcW w:w="603"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156,192</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2,468</w:t>
            </w:r>
          </w:p>
        </w:tc>
        <w:tc>
          <w:tcPr>
            <w:tcW w:w="394"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1.6%</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155,626</w:t>
            </w:r>
          </w:p>
        </w:tc>
        <w:tc>
          <w:tcPr>
            <w:tcW w:w="39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99.6%</w:t>
            </w:r>
          </w:p>
        </w:tc>
        <w:tc>
          <w:tcPr>
            <w:tcW w:w="485"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2,468</w:t>
            </w:r>
          </w:p>
        </w:tc>
        <w:tc>
          <w:tcPr>
            <w:tcW w:w="414"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1.6%</w:t>
            </w:r>
          </w:p>
        </w:tc>
        <w:tc>
          <w:tcPr>
            <w:tcW w:w="479"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155,626</w:t>
            </w:r>
          </w:p>
        </w:tc>
        <w:tc>
          <w:tcPr>
            <w:tcW w:w="406" w:type="pct"/>
            <w:tcBorders>
              <w:top w:val="nil"/>
              <w:left w:val="single" w:sz="8" w:space="0" w:color="000000"/>
              <w:bottom w:val="single" w:sz="8" w:space="0" w:color="000000"/>
              <w:right w:val="single" w:sz="8" w:space="0" w:color="000000"/>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99.6%</w:t>
            </w:r>
          </w:p>
        </w:tc>
      </w:tr>
      <w:tr w:rsidTr="003009B6">
        <w:tblPrEx>
          <w:tblW w:w="5000" w:type="pct"/>
          <w:jc w:val="center"/>
          <w:tblCellMar>
            <w:left w:w="0" w:type="dxa"/>
            <w:right w:w="0" w:type="dxa"/>
          </w:tblCellMar>
          <w:tblLook w:val="0000"/>
        </w:tblPrEx>
        <w:trPr>
          <w:cantSplit/>
          <w:jc w:val="center"/>
        </w:trPr>
        <w:tc>
          <w:tcPr>
            <w:tcW w:w="888" w:type="pct"/>
            <w:tcBorders>
              <w:top w:val="nil"/>
              <w:left w:val="single" w:sz="8" w:space="0" w:color="000000"/>
              <w:bottom w:val="single" w:sz="8" w:space="0" w:color="000000"/>
              <w:right w:val="nil"/>
            </w:tcBorders>
            <w:shd w:val="clear" w:color="auto" w:fill="90B0D9"/>
            <w:tcMar>
              <w:left w:w="40" w:type="dxa"/>
              <w:right w:w="40" w:type="dxa"/>
            </w:tcMar>
          </w:tcPr>
          <w:p w:rsidR="005130A0" w:rsidRPr="009C0856" w:rsidP="003009B6">
            <w:pPr>
              <w:adjustRightInd w:val="0"/>
              <w:spacing w:before="40" w:after="40"/>
              <w:rPr>
                <w:b/>
                <w:bCs/>
                <w:color w:val="000000"/>
                <w:sz w:val="20"/>
              </w:rPr>
            </w:pPr>
            <w:r w:rsidRPr="009C0856">
              <w:rPr>
                <w:b/>
                <w:bCs/>
                <w:color w:val="000000"/>
                <w:sz w:val="20"/>
              </w:rPr>
              <w:t>Northern Mariana Isl.</w:t>
            </w:r>
          </w:p>
        </w:tc>
        <w:tc>
          <w:tcPr>
            <w:tcW w:w="603"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52,263</w:t>
            </w:r>
          </w:p>
        </w:tc>
        <w:tc>
          <w:tcPr>
            <w:tcW w:w="468"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792</w:t>
            </w:r>
          </w:p>
        </w:tc>
        <w:tc>
          <w:tcPr>
            <w:tcW w:w="394"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1.5%</w:t>
            </w:r>
          </w:p>
        </w:tc>
        <w:tc>
          <w:tcPr>
            <w:tcW w:w="468"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52,075</w:t>
            </w:r>
          </w:p>
        </w:tc>
        <w:tc>
          <w:tcPr>
            <w:tcW w:w="39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99.6%</w:t>
            </w:r>
          </w:p>
        </w:tc>
        <w:tc>
          <w:tcPr>
            <w:tcW w:w="485" w:type="pct"/>
            <w:tcBorders>
              <w:top w:val="nil"/>
              <w:left w:val="single" w:sz="8" w:space="0" w:color="000000"/>
              <w:bottom w:val="single" w:sz="8" w:space="0" w:color="000000"/>
              <w:right w:val="nil"/>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792</w:t>
            </w:r>
          </w:p>
        </w:tc>
        <w:tc>
          <w:tcPr>
            <w:tcW w:w="414" w:type="pct"/>
            <w:tcBorders>
              <w:top w:val="nil"/>
              <w:left w:val="single" w:sz="8" w:space="0" w:color="000000"/>
              <w:bottom w:val="single" w:sz="8" w:space="0" w:color="000000"/>
              <w:right w:val="nil"/>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1.5%</w:t>
            </w:r>
          </w:p>
        </w:tc>
        <w:tc>
          <w:tcPr>
            <w:tcW w:w="479" w:type="pct"/>
            <w:tcBorders>
              <w:top w:val="nil"/>
              <w:left w:val="single" w:sz="8" w:space="0" w:color="000000"/>
              <w:bottom w:val="single" w:sz="8" w:space="0" w:color="000000"/>
              <w:right w:val="nil"/>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52,075</w:t>
            </w:r>
          </w:p>
        </w:tc>
        <w:tc>
          <w:tcPr>
            <w:tcW w:w="406" w:type="pct"/>
            <w:tcBorders>
              <w:top w:val="nil"/>
              <w:left w:val="single" w:sz="8" w:space="0" w:color="000000"/>
              <w:bottom w:val="single" w:sz="8" w:space="0" w:color="000000"/>
              <w:right w:val="single" w:sz="8" w:space="0" w:color="000000"/>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99.6%</w:t>
            </w:r>
          </w:p>
        </w:tc>
      </w:tr>
      <w:tr w:rsidTr="003009B6">
        <w:tblPrEx>
          <w:tblW w:w="5000" w:type="pct"/>
          <w:jc w:val="center"/>
          <w:tblCellMar>
            <w:left w:w="0" w:type="dxa"/>
            <w:right w:w="0" w:type="dxa"/>
          </w:tblCellMar>
          <w:tblLook w:val="0000"/>
        </w:tblPrEx>
        <w:trPr>
          <w:cantSplit/>
          <w:jc w:val="center"/>
        </w:trPr>
        <w:tc>
          <w:tcPr>
            <w:tcW w:w="888" w:type="pct"/>
            <w:tcBorders>
              <w:top w:val="nil"/>
              <w:left w:val="single" w:sz="8" w:space="0" w:color="000000"/>
              <w:bottom w:val="single" w:sz="8" w:space="0" w:color="000000"/>
              <w:right w:val="nil"/>
            </w:tcBorders>
            <w:shd w:val="clear" w:color="auto" w:fill="90B0D9"/>
            <w:tcMar>
              <w:left w:w="40" w:type="dxa"/>
              <w:right w:w="40" w:type="dxa"/>
            </w:tcMar>
          </w:tcPr>
          <w:p w:rsidR="005130A0" w:rsidRPr="009C0856" w:rsidP="003009B6">
            <w:pPr>
              <w:adjustRightInd w:val="0"/>
              <w:spacing w:before="40" w:after="40"/>
              <w:ind w:firstLine="19"/>
              <w:rPr>
                <w:b/>
                <w:bCs/>
                <w:color w:val="000000"/>
                <w:sz w:val="20"/>
              </w:rPr>
            </w:pPr>
            <w:r w:rsidRPr="009C0856">
              <w:rPr>
                <w:b/>
                <w:bCs/>
                <w:color w:val="000000"/>
                <w:sz w:val="20"/>
              </w:rPr>
              <w:t xml:space="preserve"> Rural Areas</w:t>
            </w:r>
          </w:p>
        </w:tc>
        <w:tc>
          <w:tcPr>
            <w:tcW w:w="603"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5,784</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4</w:t>
            </w:r>
          </w:p>
        </w:tc>
        <w:tc>
          <w:tcPr>
            <w:tcW w:w="394"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0.1%</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5,596</w:t>
            </w:r>
          </w:p>
        </w:tc>
        <w:tc>
          <w:tcPr>
            <w:tcW w:w="39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96.7%</w:t>
            </w:r>
          </w:p>
        </w:tc>
        <w:tc>
          <w:tcPr>
            <w:tcW w:w="485"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4</w:t>
            </w:r>
          </w:p>
        </w:tc>
        <w:tc>
          <w:tcPr>
            <w:tcW w:w="414"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0.1%</w:t>
            </w:r>
          </w:p>
        </w:tc>
        <w:tc>
          <w:tcPr>
            <w:tcW w:w="479"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5,596</w:t>
            </w:r>
          </w:p>
        </w:tc>
        <w:tc>
          <w:tcPr>
            <w:tcW w:w="406" w:type="pct"/>
            <w:tcBorders>
              <w:top w:val="nil"/>
              <w:left w:val="single" w:sz="8" w:space="0" w:color="000000"/>
              <w:bottom w:val="single" w:sz="8" w:space="0" w:color="000000"/>
              <w:right w:val="single" w:sz="8" w:space="0" w:color="000000"/>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96.7%</w:t>
            </w:r>
          </w:p>
        </w:tc>
      </w:tr>
      <w:tr w:rsidTr="003009B6">
        <w:tblPrEx>
          <w:tblW w:w="5000" w:type="pct"/>
          <w:jc w:val="center"/>
          <w:tblCellMar>
            <w:left w:w="0" w:type="dxa"/>
            <w:right w:w="0" w:type="dxa"/>
          </w:tblCellMar>
          <w:tblLook w:val="0000"/>
        </w:tblPrEx>
        <w:trPr>
          <w:cantSplit/>
          <w:jc w:val="center"/>
        </w:trPr>
        <w:tc>
          <w:tcPr>
            <w:tcW w:w="888" w:type="pct"/>
            <w:tcBorders>
              <w:top w:val="nil"/>
              <w:left w:val="single" w:sz="8" w:space="0" w:color="000000"/>
              <w:bottom w:val="single" w:sz="8" w:space="0" w:color="000000"/>
              <w:right w:val="nil"/>
            </w:tcBorders>
            <w:shd w:val="clear" w:color="auto" w:fill="90B0D9"/>
            <w:tcMar>
              <w:left w:w="40" w:type="dxa"/>
              <w:right w:w="40" w:type="dxa"/>
            </w:tcMar>
          </w:tcPr>
          <w:p w:rsidR="005130A0" w:rsidRPr="009C0856" w:rsidP="003009B6">
            <w:pPr>
              <w:adjustRightInd w:val="0"/>
              <w:spacing w:before="40" w:after="40"/>
              <w:ind w:firstLine="19"/>
              <w:rPr>
                <w:b/>
                <w:bCs/>
                <w:color w:val="000000"/>
                <w:sz w:val="20"/>
              </w:rPr>
            </w:pPr>
            <w:r w:rsidRPr="009C0856">
              <w:rPr>
                <w:b/>
                <w:bCs/>
                <w:color w:val="000000"/>
                <w:sz w:val="20"/>
              </w:rPr>
              <w:t xml:space="preserve"> Urban Areas</w:t>
            </w:r>
          </w:p>
        </w:tc>
        <w:tc>
          <w:tcPr>
            <w:tcW w:w="603"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46,479</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788</w:t>
            </w:r>
          </w:p>
        </w:tc>
        <w:tc>
          <w:tcPr>
            <w:tcW w:w="394"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1.7%</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46,479</w:t>
            </w:r>
          </w:p>
        </w:tc>
        <w:tc>
          <w:tcPr>
            <w:tcW w:w="39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100%</w:t>
            </w:r>
          </w:p>
        </w:tc>
        <w:tc>
          <w:tcPr>
            <w:tcW w:w="485"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788</w:t>
            </w:r>
          </w:p>
        </w:tc>
        <w:tc>
          <w:tcPr>
            <w:tcW w:w="414"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1.7%</w:t>
            </w:r>
          </w:p>
        </w:tc>
        <w:tc>
          <w:tcPr>
            <w:tcW w:w="479"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46,479</w:t>
            </w:r>
          </w:p>
        </w:tc>
        <w:tc>
          <w:tcPr>
            <w:tcW w:w="406" w:type="pct"/>
            <w:tcBorders>
              <w:top w:val="nil"/>
              <w:left w:val="single" w:sz="8" w:space="0" w:color="000000"/>
              <w:bottom w:val="single" w:sz="8" w:space="0" w:color="000000"/>
              <w:right w:val="single" w:sz="8" w:space="0" w:color="000000"/>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100%</w:t>
            </w:r>
          </w:p>
        </w:tc>
      </w:tr>
      <w:tr w:rsidTr="003009B6">
        <w:tblPrEx>
          <w:tblW w:w="5000" w:type="pct"/>
          <w:jc w:val="center"/>
          <w:tblCellMar>
            <w:left w:w="0" w:type="dxa"/>
            <w:right w:w="0" w:type="dxa"/>
          </w:tblCellMar>
          <w:tblLook w:val="0000"/>
        </w:tblPrEx>
        <w:trPr>
          <w:cantSplit/>
          <w:jc w:val="center"/>
        </w:trPr>
        <w:tc>
          <w:tcPr>
            <w:tcW w:w="888" w:type="pct"/>
            <w:tcBorders>
              <w:top w:val="nil"/>
              <w:left w:val="single" w:sz="8" w:space="0" w:color="000000"/>
              <w:bottom w:val="single" w:sz="8" w:space="0" w:color="000000"/>
              <w:right w:val="nil"/>
            </w:tcBorders>
            <w:shd w:val="clear" w:color="auto" w:fill="90B0D9"/>
            <w:tcMar>
              <w:left w:w="40" w:type="dxa"/>
              <w:right w:w="40" w:type="dxa"/>
            </w:tcMar>
          </w:tcPr>
          <w:p w:rsidR="005130A0" w:rsidRPr="009C0856" w:rsidP="003009B6">
            <w:pPr>
              <w:adjustRightInd w:val="0"/>
              <w:spacing w:before="40" w:after="40"/>
              <w:rPr>
                <w:b/>
                <w:bCs/>
                <w:color w:val="000000"/>
                <w:sz w:val="20"/>
              </w:rPr>
            </w:pPr>
            <w:r w:rsidRPr="009C0856">
              <w:rPr>
                <w:b/>
                <w:bCs/>
                <w:color w:val="000000"/>
                <w:sz w:val="20"/>
              </w:rPr>
              <w:t>Puerto Rico</w:t>
            </w:r>
          </w:p>
        </w:tc>
        <w:tc>
          <w:tcPr>
            <w:tcW w:w="603"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3,337,177</w:t>
            </w:r>
          </w:p>
        </w:tc>
        <w:tc>
          <w:tcPr>
            <w:tcW w:w="468"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3,080,928</w:t>
            </w:r>
          </w:p>
        </w:tc>
        <w:tc>
          <w:tcPr>
            <w:tcW w:w="394"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92.3%</w:t>
            </w:r>
          </w:p>
        </w:tc>
        <w:tc>
          <w:tcPr>
            <w:tcW w:w="468"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3,332,516</w:t>
            </w:r>
          </w:p>
        </w:tc>
        <w:tc>
          <w:tcPr>
            <w:tcW w:w="39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99.9%</w:t>
            </w:r>
          </w:p>
        </w:tc>
        <w:tc>
          <w:tcPr>
            <w:tcW w:w="485" w:type="pct"/>
            <w:tcBorders>
              <w:top w:val="nil"/>
              <w:left w:val="single" w:sz="8" w:space="0" w:color="000000"/>
              <w:bottom w:val="single" w:sz="8" w:space="0" w:color="000000"/>
              <w:right w:val="nil"/>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3,078,111</w:t>
            </w:r>
          </w:p>
        </w:tc>
        <w:tc>
          <w:tcPr>
            <w:tcW w:w="414" w:type="pct"/>
            <w:tcBorders>
              <w:top w:val="nil"/>
              <w:left w:val="single" w:sz="8" w:space="0" w:color="000000"/>
              <w:bottom w:val="single" w:sz="8" w:space="0" w:color="000000"/>
              <w:right w:val="nil"/>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92.2%</w:t>
            </w:r>
          </w:p>
        </w:tc>
        <w:tc>
          <w:tcPr>
            <w:tcW w:w="479" w:type="pct"/>
            <w:tcBorders>
              <w:top w:val="nil"/>
              <w:left w:val="single" w:sz="8" w:space="0" w:color="000000"/>
              <w:bottom w:val="single" w:sz="8" w:space="0" w:color="000000"/>
              <w:right w:val="nil"/>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3,335,333</w:t>
            </w:r>
          </w:p>
        </w:tc>
        <w:tc>
          <w:tcPr>
            <w:tcW w:w="406" w:type="pct"/>
            <w:tcBorders>
              <w:top w:val="nil"/>
              <w:left w:val="single" w:sz="8" w:space="0" w:color="000000"/>
              <w:bottom w:val="single" w:sz="8" w:space="0" w:color="000000"/>
              <w:right w:val="single" w:sz="8" w:space="0" w:color="000000"/>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99.9%</w:t>
            </w:r>
          </w:p>
        </w:tc>
      </w:tr>
      <w:tr w:rsidTr="003009B6">
        <w:tblPrEx>
          <w:tblW w:w="5000" w:type="pct"/>
          <w:jc w:val="center"/>
          <w:tblCellMar>
            <w:left w:w="0" w:type="dxa"/>
            <w:right w:w="0" w:type="dxa"/>
          </w:tblCellMar>
          <w:tblLook w:val="0000"/>
        </w:tblPrEx>
        <w:trPr>
          <w:cantSplit/>
          <w:jc w:val="center"/>
        </w:trPr>
        <w:tc>
          <w:tcPr>
            <w:tcW w:w="888" w:type="pct"/>
            <w:tcBorders>
              <w:top w:val="nil"/>
              <w:left w:val="single" w:sz="8" w:space="0" w:color="000000"/>
              <w:bottom w:val="single" w:sz="8" w:space="0" w:color="000000"/>
              <w:right w:val="nil"/>
            </w:tcBorders>
            <w:shd w:val="clear" w:color="auto" w:fill="90B0D9"/>
            <w:tcMar>
              <w:left w:w="40" w:type="dxa"/>
              <w:right w:w="40" w:type="dxa"/>
            </w:tcMar>
          </w:tcPr>
          <w:p w:rsidR="005130A0" w:rsidRPr="009C0856" w:rsidP="003009B6">
            <w:pPr>
              <w:adjustRightInd w:val="0"/>
              <w:spacing w:before="40" w:after="40"/>
              <w:ind w:firstLine="19"/>
              <w:rPr>
                <w:b/>
                <w:bCs/>
                <w:color w:val="000000"/>
                <w:sz w:val="20"/>
              </w:rPr>
            </w:pPr>
            <w:r w:rsidRPr="009C0856">
              <w:rPr>
                <w:b/>
                <w:bCs/>
                <w:color w:val="000000"/>
                <w:sz w:val="20"/>
              </w:rPr>
              <w:t xml:space="preserve"> Rural Areas</w:t>
            </w:r>
          </w:p>
        </w:tc>
        <w:tc>
          <w:tcPr>
            <w:tcW w:w="603"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214,478</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144,754</w:t>
            </w:r>
          </w:p>
        </w:tc>
        <w:tc>
          <w:tcPr>
            <w:tcW w:w="394"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67.5%</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210,385</w:t>
            </w:r>
          </w:p>
        </w:tc>
        <w:tc>
          <w:tcPr>
            <w:tcW w:w="39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98.1%</w:t>
            </w:r>
          </w:p>
        </w:tc>
        <w:tc>
          <w:tcPr>
            <w:tcW w:w="485"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142,036</w:t>
            </w:r>
          </w:p>
        </w:tc>
        <w:tc>
          <w:tcPr>
            <w:tcW w:w="414"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66.2%</w:t>
            </w:r>
          </w:p>
        </w:tc>
        <w:tc>
          <w:tcPr>
            <w:tcW w:w="479"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213,103</w:t>
            </w:r>
          </w:p>
        </w:tc>
        <w:tc>
          <w:tcPr>
            <w:tcW w:w="406" w:type="pct"/>
            <w:tcBorders>
              <w:top w:val="nil"/>
              <w:left w:val="single" w:sz="8" w:space="0" w:color="000000"/>
              <w:bottom w:val="single" w:sz="8" w:space="0" w:color="000000"/>
              <w:right w:val="single" w:sz="8" w:space="0" w:color="000000"/>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99.4%</w:t>
            </w:r>
          </w:p>
        </w:tc>
      </w:tr>
      <w:tr w:rsidTr="003009B6">
        <w:tblPrEx>
          <w:tblW w:w="5000" w:type="pct"/>
          <w:jc w:val="center"/>
          <w:tblCellMar>
            <w:left w:w="0" w:type="dxa"/>
            <w:right w:w="0" w:type="dxa"/>
          </w:tblCellMar>
          <w:tblLook w:val="0000"/>
        </w:tblPrEx>
        <w:trPr>
          <w:cantSplit/>
          <w:jc w:val="center"/>
        </w:trPr>
        <w:tc>
          <w:tcPr>
            <w:tcW w:w="888" w:type="pct"/>
            <w:tcBorders>
              <w:top w:val="nil"/>
              <w:left w:val="single" w:sz="8" w:space="0" w:color="000000"/>
              <w:bottom w:val="single" w:sz="8" w:space="0" w:color="000000"/>
              <w:right w:val="nil"/>
            </w:tcBorders>
            <w:shd w:val="clear" w:color="auto" w:fill="90B0D9"/>
            <w:tcMar>
              <w:left w:w="40" w:type="dxa"/>
              <w:right w:w="40" w:type="dxa"/>
            </w:tcMar>
          </w:tcPr>
          <w:p w:rsidR="005130A0" w:rsidRPr="009C0856" w:rsidP="003009B6">
            <w:pPr>
              <w:adjustRightInd w:val="0"/>
              <w:spacing w:before="40" w:after="40"/>
              <w:ind w:firstLine="19"/>
              <w:rPr>
                <w:b/>
                <w:bCs/>
                <w:color w:val="000000"/>
                <w:sz w:val="20"/>
              </w:rPr>
            </w:pPr>
            <w:r w:rsidRPr="009C0856">
              <w:rPr>
                <w:b/>
                <w:bCs/>
                <w:color w:val="000000"/>
                <w:sz w:val="20"/>
              </w:rPr>
              <w:t xml:space="preserve"> Urban Areas</w:t>
            </w:r>
          </w:p>
        </w:tc>
        <w:tc>
          <w:tcPr>
            <w:tcW w:w="603"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3,122,699</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2,936,174</w:t>
            </w:r>
          </w:p>
        </w:tc>
        <w:tc>
          <w:tcPr>
            <w:tcW w:w="394"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94.0%</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3,122,131</w:t>
            </w:r>
          </w:p>
        </w:tc>
        <w:tc>
          <w:tcPr>
            <w:tcW w:w="39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100%</w:t>
            </w:r>
          </w:p>
        </w:tc>
        <w:tc>
          <w:tcPr>
            <w:tcW w:w="485"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2,936,075</w:t>
            </w:r>
          </w:p>
        </w:tc>
        <w:tc>
          <w:tcPr>
            <w:tcW w:w="414"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94.0%</w:t>
            </w:r>
          </w:p>
        </w:tc>
        <w:tc>
          <w:tcPr>
            <w:tcW w:w="479"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3,122,230</w:t>
            </w:r>
          </w:p>
        </w:tc>
        <w:tc>
          <w:tcPr>
            <w:tcW w:w="406" w:type="pct"/>
            <w:tcBorders>
              <w:top w:val="nil"/>
              <w:left w:val="single" w:sz="8" w:space="0" w:color="000000"/>
              <w:bottom w:val="single" w:sz="8" w:space="0" w:color="000000"/>
              <w:right w:val="single" w:sz="8" w:space="0" w:color="000000"/>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100%</w:t>
            </w:r>
          </w:p>
        </w:tc>
      </w:tr>
      <w:tr w:rsidTr="003009B6">
        <w:tblPrEx>
          <w:tblW w:w="5000" w:type="pct"/>
          <w:jc w:val="center"/>
          <w:tblCellMar>
            <w:left w:w="0" w:type="dxa"/>
            <w:right w:w="0" w:type="dxa"/>
          </w:tblCellMar>
          <w:tblLook w:val="0000"/>
        </w:tblPrEx>
        <w:trPr>
          <w:cantSplit/>
          <w:jc w:val="center"/>
        </w:trPr>
        <w:tc>
          <w:tcPr>
            <w:tcW w:w="888" w:type="pct"/>
            <w:tcBorders>
              <w:top w:val="nil"/>
              <w:left w:val="single" w:sz="8" w:space="0" w:color="000000"/>
              <w:bottom w:val="single" w:sz="8" w:space="0" w:color="000000"/>
              <w:right w:val="nil"/>
            </w:tcBorders>
            <w:shd w:val="clear" w:color="auto" w:fill="90B0D9"/>
            <w:tcMar>
              <w:left w:w="40" w:type="dxa"/>
              <w:right w:w="40" w:type="dxa"/>
            </w:tcMar>
          </w:tcPr>
          <w:p w:rsidR="005130A0" w:rsidRPr="009C0856" w:rsidP="003009B6">
            <w:pPr>
              <w:adjustRightInd w:val="0"/>
              <w:spacing w:before="40" w:after="40"/>
              <w:rPr>
                <w:b/>
                <w:bCs/>
                <w:color w:val="000000"/>
                <w:sz w:val="20"/>
              </w:rPr>
            </w:pPr>
            <w:r w:rsidRPr="009C0856">
              <w:rPr>
                <w:b/>
                <w:bCs/>
                <w:color w:val="000000"/>
                <w:sz w:val="20"/>
              </w:rPr>
              <w:t>U.S. Virgin Isl.</w:t>
            </w:r>
          </w:p>
        </w:tc>
        <w:tc>
          <w:tcPr>
            <w:tcW w:w="603"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107,268</w:t>
            </w:r>
          </w:p>
        </w:tc>
        <w:tc>
          <w:tcPr>
            <w:tcW w:w="468"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107,259</w:t>
            </w:r>
          </w:p>
        </w:tc>
        <w:tc>
          <w:tcPr>
            <w:tcW w:w="394"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100%</w:t>
            </w:r>
          </w:p>
        </w:tc>
        <w:tc>
          <w:tcPr>
            <w:tcW w:w="468" w:type="pct"/>
            <w:tcBorders>
              <w:top w:val="nil"/>
              <w:left w:val="single" w:sz="8" w:space="0" w:color="000000"/>
              <w:bottom w:val="single" w:sz="8" w:space="0" w:color="000000"/>
              <w:right w:val="nil"/>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106,645</w:t>
            </w:r>
          </w:p>
        </w:tc>
        <w:tc>
          <w:tcPr>
            <w:tcW w:w="39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99.4%</w:t>
            </w:r>
          </w:p>
        </w:tc>
        <w:tc>
          <w:tcPr>
            <w:tcW w:w="485" w:type="pct"/>
            <w:tcBorders>
              <w:top w:val="nil"/>
              <w:left w:val="single" w:sz="8" w:space="0" w:color="000000"/>
              <w:bottom w:val="single" w:sz="8" w:space="0" w:color="000000"/>
              <w:right w:val="nil"/>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106,636</w:t>
            </w:r>
          </w:p>
        </w:tc>
        <w:tc>
          <w:tcPr>
            <w:tcW w:w="414" w:type="pct"/>
            <w:tcBorders>
              <w:top w:val="nil"/>
              <w:left w:val="single" w:sz="8" w:space="0" w:color="000000"/>
              <w:bottom w:val="single" w:sz="8" w:space="0" w:color="000000"/>
              <w:right w:val="nil"/>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99.4%</w:t>
            </w:r>
          </w:p>
        </w:tc>
        <w:tc>
          <w:tcPr>
            <w:tcW w:w="479" w:type="pct"/>
            <w:tcBorders>
              <w:top w:val="nil"/>
              <w:left w:val="single" w:sz="8" w:space="0" w:color="000000"/>
              <w:bottom w:val="single" w:sz="8" w:space="0" w:color="000000"/>
              <w:right w:val="nil"/>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107,268</w:t>
            </w:r>
          </w:p>
        </w:tc>
        <w:tc>
          <w:tcPr>
            <w:tcW w:w="406" w:type="pct"/>
            <w:tcBorders>
              <w:top w:val="nil"/>
              <w:left w:val="single" w:sz="8" w:space="0" w:color="000000"/>
              <w:bottom w:val="single" w:sz="8" w:space="0" w:color="000000"/>
              <w:right w:val="single" w:sz="8" w:space="0" w:color="000000"/>
            </w:tcBorders>
            <w:shd w:val="clear" w:color="auto" w:fill="F5F5F5"/>
          </w:tcPr>
          <w:p w:rsidR="005130A0" w:rsidRPr="009C0856" w:rsidP="003009B6">
            <w:pPr>
              <w:adjustRightInd w:val="0"/>
              <w:spacing w:before="40" w:after="40"/>
              <w:jc w:val="right"/>
              <w:rPr>
                <w:color w:val="000000"/>
                <w:sz w:val="20"/>
              </w:rPr>
            </w:pPr>
            <w:r w:rsidRPr="009C0856">
              <w:rPr>
                <w:color w:val="000000"/>
                <w:sz w:val="20"/>
              </w:rPr>
              <w:t>100%</w:t>
            </w:r>
          </w:p>
        </w:tc>
      </w:tr>
      <w:tr w:rsidTr="003009B6">
        <w:tblPrEx>
          <w:tblW w:w="5000" w:type="pct"/>
          <w:jc w:val="center"/>
          <w:tblCellMar>
            <w:left w:w="0" w:type="dxa"/>
            <w:right w:w="0" w:type="dxa"/>
          </w:tblCellMar>
          <w:tblLook w:val="0000"/>
        </w:tblPrEx>
        <w:trPr>
          <w:cantSplit/>
          <w:jc w:val="center"/>
        </w:trPr>
        <w:tc>
          <w:tcPr>
            <w:tcW w:w="888" w:type="pct"/>
            <w:tcBorders>
              <w:top w:val="nil"/>
              <w:left w:val="single" w:sz="8" w:space="0" w:color="000000"/>
              <w:bottom w:val="single" w:sz="8" w:space="0" w:color="000000"/>
              <w:right w:val="nil"/>
            </w:tcBorders>
            <w:shd w:val="clear" w:color="auto" w:fill="90B0D9"/>
            <w:tcMar>
              <w:left w:w="40" w:type="dxa"/>
              <w:right w:w="40" w:type="dxa"/>
            </w:tcMar>
          </w:tcPr>
          <w:p w:rsidR="005130A0" w:rsidRPr="009C0856" w:rsidP="003009B6">
            <w:pPr>
              <w:adjustRightInd w:val="0"/>
              <w:spacing w:before="40" w:after="40"/>
              <w:ind w:firstLine="19"/>
              <w:rPr>
                <w:b/>
                <w:bCs/>
                <w:color w:val="000000"/>
                <w:sz w:val="20"/>
              </w:rPr>
            </w:pPr>
            <w:r w:rsidRPr="009C0856">
              <w:rPr>
                <w:b/>
                <w:bCs/>
                <w:color w:val="000000"/>
                <w:sz w:val="20"/>
              </w:rPr>
              <w:t xml:space="preserve"> Rural Areas</w:t>
            </w:r>
          </w:p>
        </w:tc>
        <w:tc>
          <w:tcPr>
            <w:tcW w:w="603"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6,565</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6,556</w:t>
            </w:r>
          </w:p>
        </w:tc>
        <w:tc>
          <w:tcPr>
            <w:tcW w:w="394"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99.9%</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5,980</w:t>
            </w:r>
          </w:p>
        </w:tc>
        <w:tc>
          <w:tcPr>
            <w:tcW w:w="39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91.1%</w:t>
            </w:r>
          </w:p>
        </w:tc>
        <w:tc>
          <w:tcPr>
            <w:tcW w:w="485"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5,971</w:t>
            </w:r>
          </w:p>
        </w:tc>
        <w:tc>
          <w:tcPr>
            <w:tcW w:w="414"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91.0%</w:t>
            </w:r>
          </w:p>
        </w:tc>
        <w:tc>
          <w:tcPr>
            <w:tcW w:w="479"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6,565</w:t>
            </w:r>
          </w:p>
        </w:tc>
        <w:tc>
          <w:tcPr>
            <w:tcW w:w="406" w:type="pct"/>
            <w:tcBorders>
              <w:top w:val="nil"/>
              <w:left w:val="single" w:sz="8" w:space="0" w:color="000000"/>
              <w:bottom w:val="single" w:sz="8" w:space="0" w:color="000000"/>
              <w:right w:val="single" w:sz="8" w:space="0" w:color="000000"/>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100%</w:t>
            </w:r>
          </w:p>
        </w:tc>
      </w:tr>
      <w:tr w:rsidTr="003009B6">
        <w:tblPrEx>
          <w:tblW w:w="5000" w:type="pct"/>
          <w:jc w:val="center"/>
          <w:tblCellMar>
            <w:left w:w="0" w:type="dxa"/>
            <w:right w:w="0" w:type="dxa"/>
          </w:tblCellMar>
          <w:tblLook w:val="0000"/>
        </w:tblPrEx>
        <w:trPr>
          <w:cantSplit/>
          <w:jc w:val="center"/>
        </w:trPr>
        <w:tc>
          <w:tcPr>
            <w:tcW w:w="888" w:type="pct"/>
            <w:tcBorders>
              <w:top w:val="nil"/>
              <w:left w:val="single" w:sz="8" w:space="0" w:color="000000"/>
              <w:bottom w:val="single" w:sz="8" w:space="0" w:color="000000"/>
              <w:right w:val="nil"/>
            </w:tcBorders>
            <w:shd w:val="clear" w:color="auto" w:fill="90B0D9"/>
            <w:tcMar>
              <w:left w:w="40" w:type="dxa"/>
              <w:right w:w="40" w:type="dxa"/>
            </w:tcMar>
          </w:tcPr>
          <w:p w:rsidR="005130A0" w:rsidRPr="009C0856" w:rsidP="003009B6">
            <w:pPr>
              <w:adjustRightInd w:val="0"/>
              <w:spacing w:before="40" w:after="40"/>
              <w:ind w:firstLine="19"/>
              <w:rPr>
                <w:b/>
                <w:bCs/>
                <w:color w:val="000000"/>
                <w:sz w:val="20"/>
              </w:rPr>
            </w:pPr>
            <w:r w:rsidRPr="009C0856">
              <w:rPr>
                <w:b/>
                <w:bCs/>
                <w:color w:val="000000"/>
                <w:sz w:val="20"/>
              </w:rPr>
              <w:t xml:space="preserve"> Urban Areas</w:t>
            </w:r>
          </w:p>
        </w:tc>
        <w:tc>
          <w:tcPr>
            <w:tcW w:w="603"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100,703</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100,703</w:t>
            </w:r>
          </w:p>
        </w:tc>
        <w:tc>
          <w:tcPr>
            <w:tcW w:w="394"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100%</w:t>
            </w:r>
          </w:p>
        </w:tc>
        <w:tc>
          <w:tcPr>
            <w:tcW w:w="468" w:type="pct"/>
            <w:tcBorders>
              <w:top w:val="nil"/>
              <w:left w:val="single" w:sz="8" w:space="0" w:color="000000"/>
              <w:bottom w:val="single" w:sz="8" w:space="0" w:color="000000"/>
              <w:right w:val="nil"/>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100,665</w:t>
            </w:r>
          </w:p>
        </w:tc>
        <w:tc>
          <w:tcPr>
            <w:tcW w:w="39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30A0" w:rsidRPr="009C0856" w:rsidP="003009B6">
            <w:pPr>
              <w:adjustRightInd w:val="0"/>
              <w:spacing w:before="40" w:after="40"/>
              <w:jc w:val="right"/>
              <w:rPr>
                <w:color w:val="000000"/>
                <w:sz w:val="20"/>
              </w:rPr>
            </w:pPr>
            <w:r w:rsidRPr="009C0856">
              <w:rPr>
                <w:color w:val="000000"/>
                <w:sz w:val="20"/>
              </w:rPr>
              <w:t>100%</w:t>
            </w:r>
          </w:p>
        </w:tc>
        <w:tc>
          <w:tcPr>
            <w:tcW w:w="485"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100,665</w:t>
            </w:r>
          </w:p>
        </w:tc>
        <w:tc>
          <w:tcPr>
            <w:tcW w:w="414"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100%</w:t>
            </w:r>
          </w:p>
        </w:tc>
        <w:tc>
          <w:tcPr>
            <w:tcW w:w="479" w:type="pct"/>
            <w:tcBorders>
              <w:top w:val="nil"/>
              <w:left w:val="single" w:sz="8" w:space="0" w:color="000000"/>
              <w:bottom w:val="single" w:sz="8" w:space="0" w:color="000000"/>
              <w:right w:val="nil"/>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100,703</w:t>
            </w:r>
          </w:p>
        </w:tc>
        <w:tc>
          <w:tcPr>
            <w:tcW w:w="406" w:type="pct"/>
            <w:tcBorders>
              <w:top w:val="nil"/>
              <w:left w:val="single" w:sz="8" w:space="0" w:color="000000"/>
              <w:bottom w:val="single" w:sz="8" w:space="0" w:color="000000"/>
              <w:right w:val="single" w:sz="8" w:space="0" w:color="000000"/>
            </w:tcBorders>
            <w:shd w:val="clear" w:color="auto" w:fill="FFFFFF"/>
          </w:tcPr>
          <w:p w:rsidR="005130A0" w:rsidRPr="009C0856" w:rsidP="003009B6">
            <w:pPr>
              <w:adjustRightInd w:val="0"/>
              <w:spacing w:before="40" w:after="40"/>
              <w:jc w:val="right"/>
              <w:rPr>
                <w:color w:val="000000"/>
                <w:sz w:val="20"/>
              </w:rPr>
            </w:pPr>
            <w:r w:rsidRPr="009C0856">
              <w:rPr>
                <w:color w:val="000000"/>
                <w:sz w:val="20"/>
              </w:rPr>
              <w:t>100%</w:t>
            </w:r>
          </w:p>
        </w:tc>
      </w:tr>
    </w:tbl>
    <w:p w:rsidR="005130A0" w:rsidP="005130A0"/>
    <w:p w:rsidR="00242F2A" w:rsidP="00C6287D">
      <w:pPr>
        <w:sectPr>
          <w:pgSz w:w="12240" w:h="15840"/>
          <w:pgMar w:top="1440" w:right="1440" w:bottom="1440" w:left="1440" w:header="720" w:footer="720" w:gutter="0"/>
          <w:cols w:space="720"/>
          <w:docGrid w:linePitch="360"/>
        </w:sectPr>
      </w:pPr>
    </w:p>
    <w:p w:rsidR="00155C27" w:rsidRPr="00427582" w:rsidP="00155C27">
      <w:pPr>
        <w:adjustRightInd w:val="0"/>
        <w:spacing w:before="10" w:after="10"/>
        <w:jc w:val="center"/>
        <w:rPr>
          <w:b/>
          <w:bCs/>
          <w:color w:val="000000"/>
          <w:szCs w:val="22"/>
        </w:rPr>
      </w:pPr>
      <w:r w:rsidRPr="00427582">
        <w:rPr>
          <w:b/>
          <w:bCs/>
          <w:color w:val="000000"/>
          <w:szCs w:val="22"/>
        </w:rPr>
        <w:t>A</w:t>
      </w:r>
      <w:r>
        <w:rPr>
          <w:b/>
          <w:bCs/>
          <w:color w:val="000000"/>
          <w:szCs w:val="22"/>
        </w:rPr>
        <w:t>PPENDIX</w:t>
      </w:r>
      <w:r w:rsidRPr="00427582">
        <w:rPr>
          <w:b/>
          <w:bCs/>
          <w:color w:val="000000"/>
          <w:szCs w:val="22"/>
        </w:rPr>
        <w:t xml:space="preserve"> 5</w:t>
      </w:r>
    </w:p>
    <w:p w:rsidR="00155C27" w:rsidRPr="00427582" w:rsidP="00155C27">
      <w:pPr>
        <w:adjustRightInd w:val="0"/>
        <w:spacing w:before="10" w:after="10"/>
        <w:jc w:val="center"/>
        <w:rPr>
          <w:color w:val="000000"/>
          <w:szCs w:val="22"/>
        </w:rPr>
      </w:pPr>
    </w:p>
    <w:p w:rsidR="00155C27" w:rsidRPr="00427582" w:rsidP="00155C27">
      <w:pPr>
        <w:adjustRightInd w:val="0"/>
        <w:spacing w:before="10" w:after="10"/>
        <w:jc w:val="center"/>
        <w:rPr>
          <w:b/>
          <w:bCs/>
          <w:color w:val="000000"/>
          <w:szCs w:val="22"/>
        </w:rPr>
      </w:pPr>
      <w:r w:rsidRPr="00427582">
        <w:rPr>
          <w:b/>
          <w:bCs/>
          <w:color w:val="000000"/>
          <w:szCs w:val="22"/>
        </w:rPr>
        <w:t>Deployment of Fixed 25 Mbps/3 Mbps and Mobile LTE 5 Mbps/1 Mbps Services By State and County (Data as of December 31, 2017)</w:t>
      </w:r>
    </w:p>
    <w:p w:rsidR="00155C27" w:rsidP="00155C27">
      <w:pPr>
        <w:adjustRightInd w:val="0"/>
        <w:rPr>
          <w:rFonts w:ascii="Times" w:hAnsi="Times" w:cs="Times"/>
          <w:b/>
          <w:bCs/>
          <w:color w:val="000000"/>
          <w:sz w:val="16"/>
          <w:szCs w:val="16"/>
        </w:rPr>
      </w:pPr>
    </w:p>
    <w:tbl>
      <w:tblPr>
        <w:tblW w:w="0" w:type="auto"/>
        <w:jc w:val="center"/>
        <w:tblLayout w:type="fixed"/>
        <w:tblCellMar>
          <w:left w:w="0" w:type="dxa"/>
          <w:right w:w="0" w:type="dxa"/>
        </w:tblCellMar>
        <w:tblLook w:val="0000"/>
      </w:tblPr>
      <w:tblGrid>
        <w:gridCol w:w="2003"/>
        <w:gridCol w:w="1223"/>
        <w:gridCol w:w="1223"/>
        <w:gridCol w:w="1223"/>
        <w:gridCol w:w="1223"/>
        <w:gridCol w:w="1223"/>
        <w:gridCol w:w="1201"/>
      </w:tblGrid>
      <w:tr w:rsidTr="003009B6">
        <w:tblPrEx>
          <w:tblW w:w="0" w:type="auto"/>
          <w:jc w:val="center"/>
          <w:tblLayout w:type="fixed"/>
          <w:tblCellMar>
            <w:left w:w="0" w:type="dxa"/>
            <w:right w:w="0" w:type="dxa"/>
          </w:tblCellMar>
          <w:tblLook w:val="0000"/>
        </w:tblPrEx>
        <w:trPr>
          <w:cantSplit/>
          <w:tblHeader/>
          <w:jc w:val="center"/>
        </w:trPr>
        <w:tc>
          <w:tcPr>
            <w:tcW w:w="2003"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155C27" w:rsidP="003009B6">
            <w:pPr>
              <w:adjustRightInd w:val="0"/>
              <w:spacing w:before="40" w:after="40"/>
              <w:jc w:val="center"/>
              <w:rPr>
                <w:rFonts w:ascii="Times" w:hAnsi="Times" w:cs="Times"/>
                <w:b/>
                <w:bCs/>
                <w:color w:val="000000"/>
              </w:rPr>
            </w:pPr>
          </w:p>
        </w:tc>
        <w:tc>
          <w:tcPr>
            <w:tcW w:w="1223"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155C27" w:rsidP="003009B6">
            <w:pPr>
              <w:adjustRightInd w:val="0"/>
              <w:spacing w:before="40" w:after="40"/>
              <w:jc w:val="center"/>
              <w:rPr>
                <w:rFonts w:ascii="Times" w:hAnsi="Times" w:cs="Times"/>
                <w:b/>
                <w:bCs/>
                <w:color w:val="000000"/>
              </w:rPr>
            </w:pPr>
            <w:r>
              <w:rPr>
                <w:rFonts w:ascii="Times" w:hAnsi="Times" w:cs="Times"/>
                <w:b/>
                <w:bCs/>
                <w:color w:val="000000"/>
              </w:rPr>
              <w:t>Population Evaluated</w:t>
            </w:r>
          </w:p>
        </w:tc>
        <w:tc>
          <w:tcPr>
            <w:tcW w:w="1223"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155C27" w:rsidP="003009B6">
            <w:pPr>
              <w:adjustRightInd w:val="0"/>
              <w:spacing w:before="40" w:after="40"/>
              <w:jc w:val="center"/>
              <w:rPr>
                <w:rFonts w:ascii="Times" w:hAnsi="Times" w:cs="Times"/>
                <w:b/>
                <w:bCs/>
                <w:color w:val="000000"/>
              </w:rPr>
            </w:pPr>
            <w:r>
              <w:rPr>
                <w:rFonts w:ascii="Times" w:hAnsi="Times" w:cs="Times"/>
                <w:b/>
                <w:bCs/>
                <w:color w:val="000000"/>
              </w:rPr>
              <w:t>% of Pop. with Fixed 25 Mbps/</w:t>
            </w:r>
            <w:r>
              <w:rPr>
                <w:rFonts w:ascii="Times" w:hAnsi="Times" w:cs="Times"/>
                <w:b/>
                <w:bCs/>
                <w:color w:val="000000"/>
              </w:rPr>
              <w:br/>
              <w:t>3 Mbps</w:t>
            </w:r>
          </w:p>
        </w:tc>
        <w:tc>
          <w:tcPr>
            <w:tcW w:w="1223"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155C27" w:rsidP="003009B6">
            <w:pPr>
              <w:adjustRightInd w:val="0"/>
              <w:spacing w:before="40" w:after="40"/>
              <w:jc w:val="center"/>
              <w:rPr>
                <w:rFonts w:ascii="Times" w:hAnsi="Times" w:cs="Times"/>
                <w:b/>
                <w:bCs/>
                <w:color w:val="000000"/>
              </w:rPr>
            </w:pPr>
            <w:r>
              <w:rPr>
                <w:rFonts w:ascii="Times" w:hAnsi="Times" w:cs="Times"/>
                <w:b/>
                <w:bCs/>
                <w:color w:val="000000"/>
              </w:rPr>
              <w:t>% of Pop. with Mobile 5 Mbps/</w:t>
            </w:r>
            <w:r>
              <w:rPr>
                <w:rFonts w:ascii="Times" w:hAnsi="Times" w:cs="Times"/>
                <w:b/>
                <w:bCs/>
                <w:color w:val="000000"/>
              </w:rPr>
              <w:br/>
              <w:t>1 Mbps</w:t>
            </w:r>
          </w:p>
        </w:tc>
        <w:tc>
          <w:tcPr>
            <w:tcW w:w="1223"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155C27" w:rsidP="003009B6">
            <w:pPr>
              <w:adjustRightInd w:val="0"/>
              <w:spacing w:before="40" w:after="40"/>
              <w:jc w:val="center"/>
              <w:rPr>
                <w:rFonts w:ascii="Times" w:hAnsi="Times" w:cs="Times"/>
                <w:b/>
                <w:bCs/>
                <w:color w:val="000000"/>
              </w:rPr>
            </w:pPr>
            <w:r>
              <w:rPr>
                <w:rFonts w:ascii="Times" w:hAnsi="Times" w:cs="Times"/>
                <w:b/>
                <w:bCs/>
                <w:color w:val="000000"/>
              </w:rPr>
              <w:t>% of Pop. with Fixed &amp; Mobile</w:t>
            </w:r>
          </w:p>
        </w:tc>
        <w:tc>
          <w:tcPr>
            <w:tcW w:w="1223"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155C27" w:rsidP="003009B6">
            <w:pPr>
              <w:adjustRightInd w:val="0"/>
              <w:spacing w:before="40" w:after="40"/>
              <w:jc w:val="center"/>
              <w:rPr>
                <w:rFonts w:ascii="Times" w:hAnsi="Times" w:cs="Times"/>
                <w:b/>
                <w:bCs/>
                <w:color w:val="000000"/>
              </w:rPr>
            </w:pPr>
            <w:r>
              <w:rPr>
                <w:rFonts w:ascii="Times" w:hAnsi="Times" w:cs="Times"/>
                <w:b/>
                <w:bCs/>
                <w:color w:val="000000"/>
              </w:rPr>
              <w:t>Population Density</w:t>
            </w:r>
          </w:p>
        </w:tc>
        <w:tc>
          <w:tcPr>
            <w:tcW w:w="1201" w:type="dxa"/>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155C27" w:rsidP="003009B6">
            <w:pPr>
              <w:adjustRightInd w:val="0"/>
              <w:spacing w:before="40" w:after="40"/>
              <w:jc w:val="center"/>
              <w:rPr>
                <w:rFonts w:ascii="Times" w:hAnsi="Times" w:cs="Times"/>
                <w:b/>
                <w:bCs/>
                <w:color w:val="000000"/>
              </w:rPr>
            </w:pPr>
            <w:r>
              <w:rPr>
                <w:rFonts w:ascii="Times" w:hAnsi="Times" w:cs="Times"/>
                <w:b/>
                <w:bCs/>
                <w:color w:val="000000"/>
              </w:rPr>
              <w:t>Per Capita Income ($2017)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Alabama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4,874,678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86.1%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86.1%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96.251</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Autauga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55,504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$27,824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Baldwin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212,628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133.746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$29,364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Barbour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28.558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$17,561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Bibb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36.410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$20,911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Blount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$22,021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Bullock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16.553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Butler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25.520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$19,004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114,728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189.361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$23,638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Chambers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56.515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$22,002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Cherokee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46.699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$23,010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Chilton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63.602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$23,368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Choctaw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19.446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$20,765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22.132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$21,330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Cleburne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26.602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$20,873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Coffee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51,871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76.396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$26,216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Colbert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91.965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$23,675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Conecuh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14.666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$16,337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Coosa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16.521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$20,342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Covington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37,092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35.996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$22,431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Crenshaw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22.783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$21,580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Cullman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112.616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87.723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$23,194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Dallas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40.069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$18,248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DeKalb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71,617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92.160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Elmore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132.060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$26,251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Escambia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39.623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$18,164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Etowah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102,755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192.069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$22,278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26.237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$21,191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49.691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$19,314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Geneva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45.997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$21,084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12.873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$14,197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23.002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$20,269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30.524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Houston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104,346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179.961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$24,781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48.159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$20,946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659,197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593.189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$29,456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Lamar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23.057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$21,152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Lauderdale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138.590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$25,803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47.850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161,602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265.996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$26,170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Limestone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168.542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$26,685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Lowndes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$18,976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Macon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$19,564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361,024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450.383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$34,232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Marengo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19.834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$22,996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$21,835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168.860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$22,710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Mobile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413,955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336.703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$24,347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20.793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$17,264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226,646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288.998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$26,712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118,818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205.093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$25,013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12.977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$13,449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Pickens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22.891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$20,089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49.498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$20,808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Randolph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39.049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Russell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$21,279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Shelby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213,599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272.125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$35,330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Clair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139.571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$24,686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Sumter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14.036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$14,739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Talladega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108.669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$21,382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Tallapoosa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56.776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$22,430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Tuscaloosa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207,811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157.224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$24,895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Walker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64,058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80.964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15.304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$23,239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Wilcox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12.064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Winston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38.700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$20,580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Alaska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739,515</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80.5%</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89.4%</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79.8%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1.296</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Aleutians East Borough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0.483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$31,254</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Aleutians West Census Area</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Anchorage Municipality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294,356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172.675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$38,977</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Bethel Census Area</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0.446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$18,654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Bristol Bay Borough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$42,002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Denali Borough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0.163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$33,084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Dillingham Census Area</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$24,647</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Fairbanks North Star Borough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13.587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$35,328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Haines Borough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$35,907</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Hoonah-Angoon Census Area</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0.285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$33,704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Juneau City and Borough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$41,904</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Kenai Peninsula Borough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58,617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Ketchikan Gateway Borough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$33,771</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Kodiak Island Borough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$32,625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Kusilvak Census Area</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0.468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$11,693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and Peninsula Borough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0.068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$23,434</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Matanuska-Susitna Borough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106,532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$30,409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Nome Census Area</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0.432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$20,952</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North Slope Borough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0.110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$48,777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Northwest Arctic Borough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0.216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$21,879</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Petersburg Borough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$35,044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Prince of Wales-Hyder Census Area</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$26,695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Sitka City and Borough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Skagway Municipality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$39,376</w:t>
            </w:r>
          </w:p>
        </w:tc>
      </w:tr>
      <w:tr w:rsidTr="003009B6">
        <w:tblPrEx>
          <w:tblW w:w="0" w:type="auto"/>
          <w:jc w:val="center"/>
          <w:tblLayout w:type="fixed"/>
          <w:tblCellMar>
            <w:left w:w="0" w:type="dxa"/>
            <w:right w:w="0" w:type="dxa"/>
          </w:tblCellMar>
          <w:tblLook w:val="0000"/>
        </w:tblPrEx>
        <w:trPr>
          <w:cantSplit/>
          <w:trHeight w:hRule="exact" w:val="753"/>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Southeast Fairbanks Census Area</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0.278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$31,051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Valdez-Cordova Census Area</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0.271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$37,935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Wrangell City and Borough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0.992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$29,943</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Yakutat City and Borough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0.079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$32,393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Yukon-Koyukuk Census Area</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0.037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Arizona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7,016,206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86.9%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86.9%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61.766</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Apache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71,606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$13,865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Cochise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124,756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20.234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$24,896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Coconino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140,776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$25,722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Gila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11.245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$22,433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Graham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$17,874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Greenlee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$24,935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 Paz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$21,707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Maricopa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4,306,978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468.143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$30,186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Mohave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207,198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$23,527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Navajo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10.950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$17,685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Pima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1,022,763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111.327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$27,323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Pinal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430,237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80.184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Santa Cruz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37.361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$19,482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Yavapai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228,167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28.087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$27,504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Yuma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207,534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37.638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$20,600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Arkansas</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3,004,116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77.4%</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77.3%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57.732</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Arkansas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18.171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$23,766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Ashley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21.919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$20,703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Baxter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41,355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74.610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$24,737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266,250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314.212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$30,611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Boone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63.331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$22,288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Bradley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16.734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$22,866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44.348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$21,754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Chicot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16.508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$20,560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25.740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$20,382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23.332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$19,171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Cleburne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45.238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$26,189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Cleveland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13.721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$23,171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Columbia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30.843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$20,296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Conway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$22,365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Craighead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107,096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151.435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106.216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$22,104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Crittenden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79.949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$20,721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Cross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27.358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$22,894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Dallas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11.078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$18,309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Desha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15.315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$18,187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Drew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22.390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$20,300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Faulkner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123,647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190.847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$25,240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29.381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$19,988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Fulton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19.500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$19,674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Garland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145.559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$25,690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28.748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$25,814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77.978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Hempstead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30.049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$18,817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Hot Spring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54.567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$20,868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Howard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22.900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$23,627</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Independence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Izard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23.571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$19,737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27.029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$19,458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79.375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$20,371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40.241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Lafayette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$25,140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28.122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$19,422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15.227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$15,610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$13,142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Little River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23.220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$23,412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Logan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30.675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Lonoke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$25,184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19.585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$23,203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27.517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$19,200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Miller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70.303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$22,227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Mississippi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42,159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$20,378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11.670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$20,486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11.434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$21,480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Nevada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13.478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Ouachita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32.572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$19,780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18.763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$21,781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Phillips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26.697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$17,287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17.858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$20,180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Poinsett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31.849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$18,361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23.456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$18,735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Pope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78.561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$21,650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Prairie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12.729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Pulaski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393,948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518.514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$29,855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Randolph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26.920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$20,932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Saline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119,312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164.886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$28,410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11.695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$18,077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Searcy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11.917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$21,475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Sebastian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128,105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240.839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$23,916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Sevier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30.285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$18,388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Sharp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28.775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$20,078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Francis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40.849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$16,518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Stone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$19,881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39,449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Van Buren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23.309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$20,568</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231,971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246.262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$26,371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76.338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Woodruff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11.198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$19,987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23.143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$20,209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California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39,536,394</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253.798</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Alameda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1,663,187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2,250.538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$41,363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Alpine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$27,448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Amador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64.958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$29,628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229,292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140.114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$26,304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Calaveras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$31,652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Colusa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18.944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$25,676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Contra Costa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1,147,436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1,602.705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$42,898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Del Norte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27.296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$20,809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 Dorado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110.655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$38,156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Fresno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989,250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166.037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$22,234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Glenn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21.381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$21,029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Humboldt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136,754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38.328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Imperial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182,829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43.775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$17,303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Inyo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$30,323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Kern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893,108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109.827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$21,716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Kings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150,101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108.031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$19,835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64,246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51.132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$23,345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Lassen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Los Angeles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10,163,482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2,504.626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$30,798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Madera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156,890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73.414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260,955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501.542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$66,748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Mariposa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$28,241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Mendocino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25.103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$27,093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Merced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272,668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140.916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$20,120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Modoc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$22,052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$30,888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Monterey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437,901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133.482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$27,168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Napa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140,973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188.376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$40,632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Nevada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104.215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$35,581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Orange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3,190,372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4,035.545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$37,603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Placer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386,159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274.454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$39,734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Plumas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7.341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Riverside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2,423,237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336.258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$25,700</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Sacramento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1,530,614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1,586.714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$29,693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Benito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43.428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$30,012</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Bernardino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2,157,390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107.563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$22,867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Diego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3,337,681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793.434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$34,350</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Francisco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884,357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18,867.172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Joaquin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745,409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535.756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$24,694</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Luis Obispo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283,404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85.917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$33,972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Mateo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771,408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1,720.325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$53,516</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Santa Barbara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448,148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163.852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$32,872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Santa Clara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1,938,122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1,502.304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$48,689</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Santa Cruz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275,888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619.736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$36,388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Shasta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179,920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47.656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$26,455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Sierra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$31,750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Siskiyou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$24,605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Solano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445,454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542.070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$31,934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Sonoma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504,217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319.965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$37,767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Stanislaus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547,893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366.526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$24,007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Sutter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160.435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$24,849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Tehama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63,925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21.672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$22,631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Trinity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$23,575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Tulare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464,475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96.280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$18,962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Tuolumne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54,248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24.426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$31,570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Ventura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854,219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463.460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$35,771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Yolo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219,115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215.943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$30,615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Yuba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121.914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$22,814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Colorado</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5,606,368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92.9%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92.9%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54.094</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503,059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430.829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$27,487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Alamosa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22.895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Arapahoe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642,995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805.657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$36,951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Archuleta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Baca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$14,028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Boulder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322,501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444.039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$42,119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Broomfield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2,066.964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Chaffee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$28,907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Cheyenne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Clear Creek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$41,257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Conejos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$19,047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Costilla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$20,737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Crowley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7.377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$14,393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Custer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$26,032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Delta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26.766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$25,546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Denver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704,336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4,603.498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$38,991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Dolores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$23,190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335,284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399.030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$48,725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Eagle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32.514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$40,450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 Paso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699,195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328.754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Elbert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13.849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$42,522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Fremont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47,559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31.022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$20,919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Garfield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20.057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Gilpin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40.114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$45,110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8.298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Gunnison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5.230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$27,669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Hinsdale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0.711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Huerfano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$25,547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0.858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$24,299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574,611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751.904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$40,187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Kiowa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0.778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$23,621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Kit Carson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$26,125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 Plata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55,589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$34,501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20.636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$28,492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Larimer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343,976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132.502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$34,087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Las Animas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$24,268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$14,765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Logan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11.909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$24,595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Mesa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151,616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45.544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$27,612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Mineral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0.801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$33,018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Moffat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$27,331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Montezuma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12.880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$24,440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Montrose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18.648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22.018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$24,077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Otero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14.522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$20,358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Ouray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$35,544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Park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$34,377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Phillips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6.238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$27,790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Pitkin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18.430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$65,800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Prowers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$22,033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Pueblo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166,475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69.769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$23,110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Rio Blanco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$28,185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Rio Grande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12.392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$22,412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Routt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10.677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$38,111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Saguache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$22,267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Juan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$28,889</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Miguel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$42,015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Sedgwick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$24,666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Summit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$37,192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Teller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44.240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$34,974</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$26,279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Weld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304,530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76.376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$29,226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Yuma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$24,789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Connecticut</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3,588,175</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740.998</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Fairfield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949,916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1,520.134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$53,433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Hartford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895,384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1,218.049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Litchfield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182,177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197.898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$40,619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Middlesex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163,410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442.484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$43,695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 Haven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860,435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1,423.369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$35,085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 London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269,033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404.635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$36,881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Tolland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151,461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369.225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$37,830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Windham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116,359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226.861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$29,993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Delaware</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961,901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493.651</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176,823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301.654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 Castle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559,792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1,313.185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$34,541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Sussex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225,286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240.670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District of Columbia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693,881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11,366.076</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$50,832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Florida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20,983,857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96.2%</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96.2%</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391.309</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Alachua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266,935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305.062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$26,431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Baker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48.328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$22,440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183,563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242.021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$26,742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Bradford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91.978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Brevard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589,160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580.074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$29,405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Broward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1,935,869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1,600.176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$30,109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25.528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$15,927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Charlotte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182,027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267.577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$29,243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Citrus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145,647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250.383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$25,034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212,204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351.122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$28,599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Collier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372,870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186.591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$41,239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Columbia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69,612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87.280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$22,855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DeSoto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57.850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$17,892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Dixie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23.648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$19,342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Duval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937,925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1,230.563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$28,593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Escambia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313,512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477.579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$25,666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Flagler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110,507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227.633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$25,741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21.931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$23,524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Gadsden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46,070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89.226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$19,252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Gilchrist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$21,145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Glades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17.064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$20,476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Gulf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28.650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$21,085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Hamilton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27.607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$16,109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42.977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$18,643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Hendry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40,340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$18,426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Hernando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186,534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394.749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Highlands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102,876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101.195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$23,020</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Hillsborough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1,408,519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1,380.612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$29,806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Holmes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40.850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$18,402</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Indian River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154,379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306.995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$33,122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52.661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$18,126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23.648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$22,452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Lafayette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$21,955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346,008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368.729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$25,991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739,207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942.250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$30,233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290,286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435.308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$28,548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Levy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40,354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36.088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$21,043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Liberty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$16,937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26.506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$17,192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Manatee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385,558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518.969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$30,477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354,342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223.624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$23,598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Martin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159,915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294.251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$38,021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Miami-Dade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2,751,790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1,450.054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$25,481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78.322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$39,176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Nassau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127.530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$33,337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Okaloosa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202,963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218.182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Okeechobee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41,603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54.107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$18,611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Orange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1,348,928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1,493.120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Osceola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352,139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265.274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$20,165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Palm Beach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1,471,143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746.863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$36,303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Pasco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525,602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703.724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$26,624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Pinellas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970,626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3,545.032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$32,120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686,437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381.813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$22,579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Putnam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73,461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100.960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$18,950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Santa Rosa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174,257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172.258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$28,908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Sarasota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419,095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753.947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$37,054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Seminole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462,639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1,496.142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Johns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243,799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405.888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$39,563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Lucie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313,506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548.159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$24,940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Sumter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125,165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228.849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$33,168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Suwannee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44,183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64.168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$21,565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Taylor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20.927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$16,979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63.710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Volusia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538,689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489.258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$25,871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Wakulla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52.967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$22,846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68,372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65.893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42.153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$18,718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Georgia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10,428,987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92.5%</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92.4%</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181.331</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Appling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36.525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$19,936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Atkinson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24.580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$19,904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Bacon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$18,856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Baker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$22,270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Baldwin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44,906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174.160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$20,114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Banks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80.262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$19,451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Barrow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493.172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$22,978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Bartow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105,054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228.605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$24,931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 Hill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67.951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$16,635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Berrien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42.454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$18,064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Bibb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152,862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612.032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$23,426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Bleckley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59.434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$20,667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Brantley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42.318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Brooks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31.614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$20,964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Bryan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37,060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85.007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$29,880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Bulloch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76,148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113.179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$20,526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Burke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27.234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Butts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130.460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23.020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$13,865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Camden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86.528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$26,854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Candler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$18,233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117,811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236.058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$23,139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Catoosa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66,550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410.399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$25,643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Charlton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16.437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$19,102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Chatham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290,501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681.229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$28,765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Chattahoochee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41.582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Chattooga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$17,716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Cherokee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247,565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587.101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$33,466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127,052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1,065.869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$21,203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$14,559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285,141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2,014.136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$19,498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Clinch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$17,145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Cobb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755,747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2,225.736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$36,587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Coffee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74.791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$18,945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Colquitt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45,832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84.226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$18,121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Columbia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151,547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522.414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$31,720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Cook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76.056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$17,587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Coweta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143,107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324.585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$31,548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37.844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$22,212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Crisp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83.409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$21,225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Dade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93.602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$23,184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Dawson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115.634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$31,954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DeKalb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753,209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2,814.873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$32,110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Decatur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44.740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$19,650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Dodge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41.800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$18,563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Dooly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35.049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$16,867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Dougherty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272.300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$20,292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143,876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719.139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$25,449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Early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20.086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$17,972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Echols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$20,589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Effingham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125.564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$26,765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Elbert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54.433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$21,138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Emanuel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33.103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$17,944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Evans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58.927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Fannin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65.478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$24,845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112,547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579.118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Floyd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191.424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$23,929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Forsyth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227,952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1,017.549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$39,896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87.255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$19,663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Fulton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1,041,348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1,977.364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$41,041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Gilmer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71.907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$23,688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Glascock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$19,815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Glynn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203.172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$29,209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Gordon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160.449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Grady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54.604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$20,864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44.604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$32,890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Gwinnett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920,251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2,138.213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$27,945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Habersham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161.040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199,326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507.473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$26,283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Hancock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18.144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$15,454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Haralson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103.680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$23,141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73.109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$32,373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110.988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$21,668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Heard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39.624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$20,946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225,797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700.957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$26,924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Houston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153,477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408.683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$26,305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Irwin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26.553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$19,429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67,506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198.744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Jasper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37.929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$19,784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 Davis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45.419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$18,550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29.722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Jenkins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25.245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$15,149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32.299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$19,706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Jones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Lamar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101.357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$20,458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Lanier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56.272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$17,739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Laurens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47,330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58.628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$20,687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$28,061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Liberty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125.328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$20,966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37.456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$24,529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Long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$20,321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Lowndes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115,485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232.802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$21,199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Lumpkin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116.158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$23,364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Macon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33.232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103.786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23.087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$20,154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McDuffie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83.500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McIntosh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33.245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$25,226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Meriwether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41.995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$19,679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Miller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$21,002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Mitchell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43.532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$16,088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$30,359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37.704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$20,114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52.998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$28,830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Murray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115.480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$19,084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Muscogee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194,058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896.817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$24,604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108,075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397.099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$23,611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Oconee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206.333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$38,639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Oglethorpe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$21,858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Paulding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159,438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510.661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Peach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180.319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$22,388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Pickens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136.109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$29,460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Pierce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61.003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$23,754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Pike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84.281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$25,176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135.613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$22,314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Pulaski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44.978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$18,623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Putnam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63.051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$27,498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Quitman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15.591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$18,921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Rabun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44.868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$26,942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Randolph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16.521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$19,781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Richmond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201,799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622.211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$21,464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Rockdale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695.794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$24,254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Schley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31.233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$19,761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Screven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21.629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$20,255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Seminole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35.251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$21,257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Spalding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332.765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Stephens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144.531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$21,657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Stewart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13.045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$14,954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Sumter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61.834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Talbot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15.966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$21,351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Taliaferro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$17,939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Tattnall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52.845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$16,279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Taylor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21.615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$18,482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Telfair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36.563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Terrell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26.023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$17,562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Thomas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82.224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$24,047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Tift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156.801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$20,800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Toombs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74.172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$21,309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Towns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$22,301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Treutlen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33.795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Troup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168.570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$22,091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Turner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27.895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$20,302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Twiggs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22.807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$26,755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Upson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80.804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$19,624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Walker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154.436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$22,564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281.248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$25,184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40.193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$19,246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18.653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$20,712</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29.940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$19,238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46.460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$19,188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Webster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12.457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$22,206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Wheeler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26.912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$11,192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122.363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$23,630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Whitfield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104,658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360.314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$22,262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Wilcox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23.299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Wilkes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$21,957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Wilkinson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20.029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$19,823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Worth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35.979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Hawaii</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1,427,538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96.1%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96.1%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222.267</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Hawaii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200,381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49.742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$26,959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Honolulu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988,650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1,645.712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$33,776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Kalawao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$46,024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Kauai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72,159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116.394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$30,515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Maui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166,260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143.140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$32,379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Idaho</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1,716,792</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85.3%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85.1%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20.774</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456,812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433.994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$31,642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$24,315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Bannock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$23,872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Bear Lake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$24,411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Benewah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11.826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Bingham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21.930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$20,720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Blaine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$32,736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Boise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$29,648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Bonner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25.111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$25,909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Bonneville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114,578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61.400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$25,706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Boundary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$24,606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$26,227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$29,193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Canyon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216,668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368.878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$19,765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Caribou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$25,669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Cassia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$20,007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0.495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$15,283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Clearwater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$22,169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Custer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0.848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$23,290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Elmore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$23,029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20.437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$20,454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Fremont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$21,611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Gem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30.981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$20,041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Gooding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20.747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$20,821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Idaho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$20,741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25.999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Jerome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39.551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$19,329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Kootenai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157,632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126.701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Latah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39,333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36.555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$24,166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Lemhi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$22,489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Lewis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83.418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$15,257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Minidoka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27.362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$21,887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Nez Perce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40,383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47.616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$26,799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Oneida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$21,360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Owyhee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$19,909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Payette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57.051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$23,361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Power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$21,513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Shoshone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$23,834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25.322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$28,004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Twin Falls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85,119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44.305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$22,723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Valley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$28,515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6.966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$20,435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Illinois</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12,801,838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94.7%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94.7%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230.585</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66,234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77.448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$27,256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Alexander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26.814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$18,564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44.562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$24,473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Boone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190.628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$29,029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Brown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21.976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$21,906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Bureau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38.253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$28,332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19.041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$25,660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32.639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$27,605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$25,451</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Champaign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209,389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210.174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Christian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46.663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$25,614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31.445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28.333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$25,700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Clinton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79.340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$30,382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102.262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$26,060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Cook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5,211,243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5,512.640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$33,722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42.741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$25,955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Cumberland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31.521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$24,956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 Witt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$27,866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DeKalb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104,731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165.896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$26,511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47.393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$26,284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DuPage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930,125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2,840.085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$42,050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Edgar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27.797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$26,344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Edwards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29.162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$26,549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Effingham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71.290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$29,300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$26,611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95.476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$22,346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Fulton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40.562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$24,269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Gallatin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15.724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$24,538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24.259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$22,836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Grundy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50,577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120.985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$31,914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Hamilton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18.840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$25,945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Hancock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22.703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$26,118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22.791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$20,025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Henderson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17.935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$27,949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49,328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59.938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$28,443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Iroquois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24.949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$26,480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$23,455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Jasper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19.369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$25,806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66.844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$24,617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Jersey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59.417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$27,528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 Daviess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35.925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$32,401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37.509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$20,726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534,643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1,028.045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$33,486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Kankakee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109,605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162.004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$26,150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Kendall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126,204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393.975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$33,369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Knox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50,638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70.684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$23,676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LaSalle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110,067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96.965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$27,959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703,514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1,585.670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$42,388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43.442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$21,072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47.461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$28,179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Livingston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34.969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$27,318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Logan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47.318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$26,479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Macon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105,801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182.199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$28,280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Macoupin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45,446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$27,255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265,428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370.926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$30,278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66.220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$24,112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30.327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$29,025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25.432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$25,952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Massac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60.468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$23,434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McDonough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$22,527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McHenry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309,090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512.441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McLean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172,290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145.592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$32,943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Menard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38.943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$32,839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Mercer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27.830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34,097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88.561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$37,043</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$23,172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59.421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Moultrie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43.722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$26,166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Ogle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51,063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67.314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$29,239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Peoria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183,011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295.556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48.182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$23,929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Piatt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37.443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$33,672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19.030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$23,218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Pope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11.728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$22,191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Pulaski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27.658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$20,195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Putnam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35.752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$33,697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Randolph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56.339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$24,716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Richland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44.171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$25,262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 Island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144,807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338.622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$27,822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Saline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63.457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$22,725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Sangamon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196,452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226.248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$33,277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Schuyler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16.086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$23,670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19.935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$26,918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Shelby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28.633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$24,808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Clair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262,479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399.050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$28,643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Stark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18.863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$30,009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Stephenson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79.809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$25,792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Tazewell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133,526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205.749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$32,082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41.117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$24,646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Vermilion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86.723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$23,416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Wabash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51.462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$25,105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31.650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$24,840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24.939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$29,687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23.108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$25,046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28.171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$26,522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Whiteside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56,118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82.014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$28,188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692,614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827.587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$33,731</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Williamson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160.248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$26,023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Winnebago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284,778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554.731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$27,297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Woodford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38,726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73.373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Indiana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6,666,478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89.9%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89.9%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186.079</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104.667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$21,534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372,855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567.245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$26,932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Bartholomew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201.608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$29,955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21.192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$23,652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Blackford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72.547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$22,328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Boone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155.741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Brown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$31,365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53.836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$26,589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92.181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$23,592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116,965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313.701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73.273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$24,339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Clinton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79.781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$23,722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$19,424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Daviess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77.099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DeKalb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118.052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Dearborn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49,741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163.067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$30,228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Decatur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71.751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$25,548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Delaware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115,184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293.744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$23,271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Dubois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99.605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$28,302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Elkhart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205,024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442.654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107.942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$22,428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Floyd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520.973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Fountain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41.716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$25,383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58.838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$26,267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Fulton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54.451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$23,557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Gibson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68.876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$27,342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66,491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160.578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$21,024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Hamilton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323,677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820.958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$44,443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Hancock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244.938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$31,428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39,898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82.346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$25,993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Hendricks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163,652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402.181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$33,031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123.702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$23,293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Howard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281.048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Huntington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36,337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94.961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$24,222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86.163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$23,260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Jasper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33,444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59.761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54.558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$20,193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88.980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$25,429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Jennings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$22,901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153,884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480.246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$31,101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Knox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72.686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$23,441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Kosciusko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79,206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149.057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$27,884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LaGrange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39,301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103.526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$22,780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LaPorte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110,029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183.903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$25,004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485,640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973.302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$26,590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101.668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$25,036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129,498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286.554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$23,680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950,029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2,397.257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$26,284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104.813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$24,289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Martin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30.426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$25,138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Miami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95.883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$22,890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372.570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$26,738</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76.336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172.565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$27,402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35.158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$24,315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Noble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115.499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$25,260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Ohio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67.657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$27,715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Orange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48.762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$22,715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Owen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$24,220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Parke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$21,636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49.986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$23,003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$25,648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Porter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168,402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402.728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$31,879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Posey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$30,763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Pulaski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$24,445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Putnam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78.453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$23,842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Randolph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55.091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$23,427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Ripley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63.711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Rush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$23,749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125.354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$24,186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Shelby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44,395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107.978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$27,317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Spencer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51.403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$29,114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Joseph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270,434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590.660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$25,893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Starke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74.055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Steuben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111.598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$26,902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Sullivan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46.397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$22,239</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Switzerland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48.470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$21,511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Tippecanoe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190,565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381.278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$25,481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Tipton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58.064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$28,507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44.658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$22,527</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Vanderburgh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181,615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777.877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Vermillion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60.359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$23,891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Vigo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107,516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266.582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$22,932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Wabash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76.238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$24,700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$29,312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Warrick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62,530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162.493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$33,528</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54.167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$23,223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66,185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164.746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$23,895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Wells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76.017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$25,850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47.871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$26,275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Whitley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100.584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$28,073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Iowa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3,145,498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90.7%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90.6%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56.313</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Adair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12.391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$28,861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$27,022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Allamakee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21.722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$27,377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Appanoose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24.839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$25,543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Audubon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12.593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$31,523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35.800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Black Hawk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132,648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234.456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$27,669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Boone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46.336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$30,190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Bremer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57.197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$32,105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Buchanan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37.118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Buena Vista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34.979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$26,345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Butler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25.177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$28,584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17.085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$27,370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$29,191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23.296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$26,427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Cedar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32.000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$30,362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Cerro Gordo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$31,292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Cherokee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19.615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$30,973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Chickasaw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23.801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$27,973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21.729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$25,879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28.507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$28,514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22.654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Clinton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67.649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$28,091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23.870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$27,270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Dallas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148.204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$42,417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Davis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17.854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$25,747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Decatur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$21,110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Delaware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$30,768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Des Moines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39,417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$27,168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Dickinson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$36,588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Dubuque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159.525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$30,117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Emmet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23.825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$29,396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27.088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Floyd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31.448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$28,323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17.465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$25,248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Fremont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13.593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$29,813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15.768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$27,968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Grundy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24.573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$35,662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Guthrie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18.064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$30,646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Hamilton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26.207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Hancock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18.863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$29,147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29.945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$28,445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20.286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$29,332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45.728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$26,340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Howard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19.499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$27,906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Humboldt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22.012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$29,587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Ida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15.909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$30,192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Iowa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27.458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$29,881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30.448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$27,672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Jasper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50.604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$27,214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$26,630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149,165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242.924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$33,039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Jones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Keokuk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17.530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$26,638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Kossuth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15.420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$29,949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66.268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224,101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312.606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$32,786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Louisa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27.837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$27,234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Lucas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19.819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$27,234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Lyon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20.063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28.533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$31,449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Mahaska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38.950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59.699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$27,815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70.372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$25,693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Mills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34.446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$31,309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Mitchell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22.661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$27,407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Monona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$26,829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$25,929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23.903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$25,005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Muscatine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98.018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$28,028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O'Brien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24.084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$32,051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Osceola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15.162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$26,776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Page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28.459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$25,739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Palo Alto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16.125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$27,902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Plymouth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29.227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$30,686</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Pocahontas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481,778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839.635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$33,524</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Pottawattamie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98.272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$29,085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Poweshiek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31.310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$27,679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Ringgold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$27,621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Sac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$29,502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172,509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376.584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Shelby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19.682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$30,799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Sioux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34,860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$27,339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Story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170.201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$27,392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Tama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23.658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Taylor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11.615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$27,344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Van Buren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14.763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$24,952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Wapello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35,044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81.152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$23,413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50,153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88.014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$33,013</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39.170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$28,397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12.321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$23,367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Webster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51.152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$24,629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Winnebago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26.435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$26,558</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Winneshiek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29.282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$29,052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Woodbury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102,429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117.352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$25,699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Worth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18.667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$26,781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Wright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22.025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$28,200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Kansas</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2,912,953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91.1%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91.1%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35.629</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25.023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$23,011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Anderson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$21,887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Atchison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$25,494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Barber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$28,840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29.569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$26,264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Bourbon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$20,707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Brown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16.888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$24,319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Butler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66,878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46.772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$28,478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Chase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$24,469</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Chautauqua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$23,621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Cherokee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34.234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$21,006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Cheyenne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$27,934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$27,087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12.332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$28,115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Cloud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12.569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$25,579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Coffey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13.118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$31,679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Comanche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$28,388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Cowley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35,361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31.411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$23,130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66.187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$21,207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Decatur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$30,890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Dickinson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22.315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$24,434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Doniphan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19.641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$24,520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120,777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264.937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$29,438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Edwards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$27,966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3.877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$21,156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Ellis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31.880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$29,339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Ellsworth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$24,102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Finney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37,079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28.479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31.301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$25,701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Geary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88.022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$21,583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Gove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$29,352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Graham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$27,165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13.093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$26,138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$27,031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Greeley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Greenwood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$24,837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Hamilton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Harper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$25,698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Harvey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63.999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$26,587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Haskell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$24,141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Hodgeman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35.670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Jewell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$24,361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591,143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1,248.785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$43,061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Kearny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4.548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$24,232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Kingman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$30,927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Kiowa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$24,961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Labette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31.218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$22,841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$29,768</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Leavenworth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175.194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$30,170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$25,667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16.370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$25,796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Logan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$28,549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Lyon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39.402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$24,307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12.693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$25,620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10.826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McPherson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31.959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$29,508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Meade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$25,173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Miami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33,451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58.109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$31,611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Mitchell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50.590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$22,823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Morris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$26,569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$23,038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Nemaha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14.103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$27,438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Neosho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$23,589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Ness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$30,761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$22,935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Osage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22.355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$27,209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Osborne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$26,559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Ottawa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$28,839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Pawnee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$24,404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Phillips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Pottawatomie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$27,978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Pratt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Rawlins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$27,615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Reno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62,510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49.795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$25,267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Republic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$27,121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13.301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$23,355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Riley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121.603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$26,619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Rooks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5.663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$25,415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Rush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4.318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$25,983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Russell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$25,686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Saline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75.996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$27,951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$31,825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Sedgwick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513,671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514.952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$27,583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Seward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34.651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$21,158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Shawnee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178,184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327.534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$28,584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Sheridan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$30,165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Sherman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5.615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Smith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$28,122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Stafford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$25,941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Stanton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$21,062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Stevens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7.716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$24,691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Sumner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19.594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$25,393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Thomas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$26,718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Trego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$33,233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Wabaunsee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$25,790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Wallace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$29,931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$26,927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Wichita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$27,111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15.208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$25,107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6.322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Wyandotte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165,271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1,090.178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$20,192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Kentucky</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4,454,128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90.9%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89.9%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112.802</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Adair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48.075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$18,408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60.792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$21,652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Anderson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111.687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$24,991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Ballard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32.592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Barren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89.841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$20,493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Bath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44.399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$20,059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74.914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$14,754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Boone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130,726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530.632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Bourbon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69.132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$25,994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Boyd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300.124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$26,420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Boyle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166.089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$23,822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Bracken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40.207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$22,433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Breathitt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26.291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$16,875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Breckinridge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35.458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$20,735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Bullitt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270.163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$26,643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Butler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30.114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$21,787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Caldwell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$25,272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Calloway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101.067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Campbell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611.255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$31,065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Carlisle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25.581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$24,015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83.325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$22,296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66.286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$18,477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35.455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$18,319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Christian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70,416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98.140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$21,393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142.777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$26,219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43.401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$15,388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Clinton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52.097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$19,325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Crittenden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25.237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$22,765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Cumberland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$18,669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Daviess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100,373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218.989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$26,501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Edmonson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40.365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$21,851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Elliott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32.106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Estill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56.413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$17,728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321,947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1,135.017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Fleming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41.447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$23,351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Floyd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92.212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$18,366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50,485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243.012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$28,001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Fulton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30.131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$18,111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Gallatin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$22,508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Garrard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76.161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96.851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$20,892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Graves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67.278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$22,112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Grayson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$23,448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Greenup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35,518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103.131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$25,378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Hancock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46.901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$22,438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108,070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173.390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$26,436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Harlan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57.345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61.296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$22,497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45.517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$19,715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Henderson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45,928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105.178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$23,958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55.911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$23,932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Hickman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$19,764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Hopkins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45,547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84.036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$23,288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38.908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$16,827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771,156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2,027.136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$31,039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Jessamine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310.071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$28,195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86.252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$19,925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165,399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1,032.133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$30,195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Knott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43.500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$17,670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Knox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80.837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$15,869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Larue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54.287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$21,879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Laurel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138.665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$20,446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37.823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$18,885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$16,489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Leslie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25.781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$15,112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Letcher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66.109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Lewis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$19,346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73.201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$19,351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Livingston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29.601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$24,464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Logan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49.010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$21,465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Lyon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37.795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$27,098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208.615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$23,733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Magoffin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40.649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$17,279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56.535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$21,823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104.172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$27,391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Martin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49.877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$14,914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71.520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$25,285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McCracken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262.857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$29,881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McCreary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40.921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$11,492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McLean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36.443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$22,884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Meade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92.180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Menifee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31.707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$19,744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Mercer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86.500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$24,981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Metcalfe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34.894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$18,449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32.361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$21,985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141.504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$21,371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34.603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$17,089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Muhlenberg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65.976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$20,376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Nelson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109.314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Nicholas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36.532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$21,519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Ohio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41.177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$21,368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Oldham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66,415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354.746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$38,063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Owen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30.658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$22,802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Owsley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$16,582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Pendleton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52.580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$23,191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$19,890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Pike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74.835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$20,576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Powell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69.136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$19,302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Pulaski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64,449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97.886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Robertson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21.359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$21,764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Rockcastle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52.751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$19,750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Rowan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87.625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$19,032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Russell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70.075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194.743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$30,702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Shelby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124.909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$30,240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Simpson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77.317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$22,663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Spencer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99.134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$30,779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Taylor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95.619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Todd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32.692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$19,555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Trigg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32.721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$26,224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Trimble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56.453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$26,542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42.783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$21,758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128,845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237.897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$25,840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$22,611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45.212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$17,627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Webster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39.218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$21,150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Whitley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Wolfe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32.696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$13,533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Woodford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139.673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Louisiana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4,684,286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87.6%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87.6%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108.423</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Acadia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62,590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95.540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$21,591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Allen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33.630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$20,103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Ascension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122,947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423.983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Assumption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66.515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$25,765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Avoyelles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49.229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$20,199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Beauregard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31.908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$24,551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Bienville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16.811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$22,701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Bossier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127,630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151.930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$27,235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Caddo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246,581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280.672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$25,565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Calcasieu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202,439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190.323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$26,569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Caldwell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18.794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$20,961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Cameron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5.379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$29,681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Catahoula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$20,717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Claiborne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21.154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$16,384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Concordia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28.505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$17,551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 Soto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31.225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$23,471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East Baton Rouge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446,268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980.004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$30,162</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East Carroll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16.938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East Feliciana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$21,138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Evangeline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$18,655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32.438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$18,786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34.736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$18,509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Iberia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72,176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125.718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$23,410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Iberville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$22,252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27.840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$20,109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Davis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48.327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$23,068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439,035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1,485.074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$28,839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LaSalle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$18,836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Lafayette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242,481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902.357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Lafourche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92.133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$26,331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47,744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101.208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$21,934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Livingston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138,228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213.259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$27,280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18.122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$15,134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Morehouse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32.255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$18,776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Natchitoches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31.161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$18,219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Orleans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393,284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2,321.315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Ouachita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155,874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255.361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$22,538</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Plaquemines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29.937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$26,177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Pointe Coupee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39.954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$27,160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Rapides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131,648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$23,486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Red River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21.938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$25,154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Richland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36.511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Sabine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$22,980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Bernard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122.384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$20,431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Charles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189.009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$30,378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Helena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25.374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$21,148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James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88.463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$25,724</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John the Baptist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203.880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$23,380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Landry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90.377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$19,205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Martin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73.436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$23,654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Mary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50,973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91.781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$22,212</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Tammany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256,325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303.146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$33,149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Tangipahoa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132,489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167.437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Tensas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Terrebonne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112,086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90.993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$24,017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25.737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$20,742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Vermilion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51.258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$23,608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Vernon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38.199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69.651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$18,345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Webster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39,378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66.401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West Baton Rouge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136.501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$28,140</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West Carroll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30.533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West Feliciana Parish</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38.144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$23,041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Winn Parish</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15.063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Maine</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1,335,904</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93.3%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98.5%</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92.1%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43.313</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Androscoggin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107,651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230.059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$26,276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Aroostook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10.141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$23,631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Cumberland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292,499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350.197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$36,780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17.675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$24,162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Hancock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34.342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$31,178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Kennebec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121,821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140.424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Knox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108.974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$29,806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75.039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$31,522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Oxford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57,439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$22,862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Penobscot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151,957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44.728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$26,347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Piscataquis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$23,464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Sagadahoc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35,392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139.506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$32,947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Somerset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50,626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12.900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$22,641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Waldo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39,831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54.569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12.328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$24,311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York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204,190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206.104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$33,635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Maryland</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6,052,124</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623.465</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Allegany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71,615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168.840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$22,355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Anne Arundel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573,232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1,381.609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$43,258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Baltimore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832,463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1,391.376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$37,270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Baltimore city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611,648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7,556.461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$28,488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Calvert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429.281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$41,469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Caroline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103.907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$25,355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167,781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374.850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$39,690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Cecil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102,746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296.720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$32,542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Charles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159,700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348.881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$38,890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Dorchester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59.475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$28,911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Frederick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252,019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381.719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$39,566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Garrett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45.175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$26,303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Harford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252,157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576.901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$37,972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Howard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321,112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1,280.652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$51,045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1,058,790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2,155.278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$51,162</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Prince George's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912,755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1,890.972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$34,391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Queen Anne's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49,758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133.791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Somerset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81.064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$18,395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Mary's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112,667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315.435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$37,528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Talbot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138.166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$44,785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150,577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328.929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$28,742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Wicomico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102,923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274.869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$27,755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Worcester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110.380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$34,425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Massachusetts</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6,859,742</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879.448</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Barnstable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213,444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542.117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$40,886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Berkshire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126,313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136.286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$33,245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Bristol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561,468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1,015.137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$32,406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Dukes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167.804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Essex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785,200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1,594.111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$38,604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101.100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$33,010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Hampden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469,816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761.279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$28,072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Hampshire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161,832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306.933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Middlesex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1,602,935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1,960.018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$47,616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Nantucket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249.701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$47,924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Norfolk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700,317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1,768.006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$49,816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Plymouth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515,141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781.612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$39,247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Suffolk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797,907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13,720.520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$38,031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Worcester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826,114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546.816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$34,691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Michigan</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9,961,988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92.0%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92.0%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176.197</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Alcona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15.344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$24,463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Alger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$21,771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Allegan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116,432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141.090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$27,172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Alpena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49.771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$24,030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Antrim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48.963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$29,307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Arenac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41.424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$22,622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Baraga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$18,975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109.508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$27,166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104,239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235.674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$25,462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Benzie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54.967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$26,790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Berrien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154,257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271.700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$27,505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Branch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85.728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$22,977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134,128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189.920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$24,859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104.846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Charlevoix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62.783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$31,730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Cheboygan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35.468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Chippewa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24.197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$21,958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54.305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Clinton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138.480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$32,792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24.998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$22,891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Delta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30.711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$25,582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Dickinson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33.379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Eaton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109,027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189.555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$30,064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Emmet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Genesee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407,385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639.560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$25,180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Gladwin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$23,491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Gogebic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$22,297</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Grand Traverse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197.719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$31,701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Gratiot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72.156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$20,597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Hillsdale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45,879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$23,831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Houghton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36,305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$21,462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Huron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37.429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$26,352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Ingham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290,171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521.778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$27,399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Ionia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64,291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112.534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$22,715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Iosco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45.824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$24,099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Iron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$23,658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Isabella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124.089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$22,009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158,639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226.089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$25,952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Kalamazoo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468.219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$29,258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Kalkaska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$22,822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648,559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765.760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$29,433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Keweenaw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$28,700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$18,199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Lapeer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137.126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$26,650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Leelanau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62.381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$37,061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Lenawee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131.575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$25,649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Livingston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189,632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335.481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$36,845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Luce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$19,442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Mackinac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10.486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$26,967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Macomb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871,339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1,818.231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$29,740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Manistee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45.056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$24,398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Marquette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66,502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36.774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$25,550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58.725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$26,251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Mecosta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78.165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$21,978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Menominee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$26,151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Midland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161.570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$33,013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Missaukee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26.558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$21,805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149,646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272.384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$29,245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Montcalm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90.085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$21,509</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Montmorency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16.921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$23,155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Muskegon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173,693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347.911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$22,829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Newaygo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59.307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$22,735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Oakland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1,250,785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1,441.556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$40,941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Oceana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51.630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$22,185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Ogemaw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37.234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$22,028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Ontonagon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4.485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$22,958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Osceola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41.065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$21,090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Oscoda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14.648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$22,343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Otsego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$26,012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Ottawa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286,345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508.184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$29,121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Presque Isle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19.418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$24,793</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Roscommon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45.978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$22,333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Saginaw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191,934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239.883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$25,348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Sanilac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42.874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$23,924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Schoolcraft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$21,534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Shiawassee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128.981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$25,218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Clair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159,350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220.960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$27,807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Joseph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60,946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121.748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$23,702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Tuscola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$23,573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Van Buren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75,352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124.041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$25,433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Washtenaw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367,603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520.710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$37,455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1,753,616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2,865.011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$24,847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Wexford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58.888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$22,028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Minnesota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5,576,260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94.8%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94.8%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70.030</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Aitkin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$26,883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Anoka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351,342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830.577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$34,321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Becker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34,097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25.925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$28,525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Beltrami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18.565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$23,748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$27,018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Big Stone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10.072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$29,035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Blue Earth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66,964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89.543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$28,283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Brown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41.228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$29,696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Carlton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41.211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$26,900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Carver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102,103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288.162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$44,212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14.521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$28,004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Chippewa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20.615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$29,354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Chisago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55,304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133.307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$32,105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60.806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$28,122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Clearwater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$24,515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Cook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$31,831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Cottonwood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$27,206</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Crow Wing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64,422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64.480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$30,013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Dakota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421,744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750.210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$38,863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Dodge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47.246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58.960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$33,336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Faribault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19.347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$29,116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Fillmore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24.359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$28,441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Freeborn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43.184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$27,603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Goodhue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61.181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$33,477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10.838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$30,359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Hennepin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1,252,001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2,261.600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$41,794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Houston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33.801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$30,150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Hubbard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22.702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$28,073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Isanti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90.814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$30,145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Itasca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16.920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$27,497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14.148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$31,010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Kanabec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30.718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$26,345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Kandiyohi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53.639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Kittson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$30,525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Koochiching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4.036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$26,804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Lac qui Parle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$31,427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of the Woods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$24,964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 Sueur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62.624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$31,135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$28,382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Lyon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36.147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$30,203</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Mahnomen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10.029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$20,720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Martin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27.866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$30,806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McLeod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$30,145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Meeker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38.030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$29,216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Mille Lacs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45.206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$25,732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Morrison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29.384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$28,040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Mower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55.613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$28,613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Murray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11.843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Nicollet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75.725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$29,722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Nobles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30.682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$24,935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Norman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$27,099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Olmsted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154,916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237.111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$37,956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Otter Tail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58,344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29.585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$29,932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Pennington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23.089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$28,562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Pipestone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19.540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$28,706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16.041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$28,260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Pope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16.380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$32,454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Ramsey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547,910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3,599.641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Red Lake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$26,988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Redwood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17.383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$27,543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Renville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14.900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$31,215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133.071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$28,603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$29,000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Roseau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$27,935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145,788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408.970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$38,322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Sherburne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218.430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$33,048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Sibley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25.252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$29,884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Louis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$29,197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Stearns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157,809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117.493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$29,148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Steele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85.855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$29,930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Stevens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17.094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$31,419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Swift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12.676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$29,470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Todd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25.937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$24,988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Traverse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5.783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$30,234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Wabasha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41.313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$32,307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Wadena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$24,200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Waseca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44.376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$27,383</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256,336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667.052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$41,591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Watonwan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24.923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$26,884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Wilkin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Winona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81.240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$27,200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Wright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134,278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203.003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$32,506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Yellow Medicine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$28,182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Mississippi</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2,984,070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79.6%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79.6%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63.595</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$17,721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Alcorn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$20,527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Amite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17.048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$19,665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Attala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25.139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20.442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$18,599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Bolivar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36.443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$16,984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24.706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$17,837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16.139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Chickasaw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$19,609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Choctaw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19.793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$19,816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Claiborne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18.363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$13,095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$20,564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47.893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Coahoma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41.912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$16,699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Copiah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36.689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$18,756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Covington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46.108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$18,749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DeSoto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178,741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375.392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$28,316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Forrest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75,471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161.846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$24,864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George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50.327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$20,973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18.723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$18,002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Grenada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49.957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$20,150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Hancock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99.321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$24,373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205,024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357.188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$23,127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Hinds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239,497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275.366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$22,397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Holmes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23.443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Humphreys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19.934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$15,696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Issaquena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$16,348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Itawamba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44.123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$20,859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142,149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196.677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$24,665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Jasper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24.521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$20,619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13.967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$13,758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Davis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27.700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$17,035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Jones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97.770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$20,958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Kemper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12.899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$15,790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Lafayette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54,374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86.075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Lamar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123.471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$28,342</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Lauderdale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76,155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108.231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$23,339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$21,826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Leake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38.962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$18,825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188.761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$23,968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Leflore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49.318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$15,403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58.601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$20,627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Lowndes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117.082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$23,141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104,618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146.420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$36,627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46.220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$19,610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50.438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$19,775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46.886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$21,643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24.996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$22,666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Neshoba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51.512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$19,243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36.646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$21,177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Noxubee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15.453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$16,591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Oktibbeha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49,799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108.684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$21,322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Panola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49.616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$20,191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Pearl River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68.162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$22,136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39,468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$17,470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Pontotoc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63.574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$20,421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Prentiss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60.873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$19,016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Quitman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17.948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$15,189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Rankin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152,077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196.106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$29,055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46.653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$20,520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Sharkey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$17,192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Simpson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45.738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Smith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$21,864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Stone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40.657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$21,615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Sunflower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37.235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$14,427</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Tallahatchie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Tate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70.254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$21,671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Tippah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47.987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$19,780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Tishomingo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46.062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$19,379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Tunica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22.047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$18,486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68.708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$19,518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Walthall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35.894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$20,155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46,768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$22,542</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63.776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$19,247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25.219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$21,515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Webster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23.198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$20,662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Wilkinson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12.983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$12,722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Winston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30.047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$23,527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Yalobusha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26.753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$20,037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Yazoo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$16,927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Missouri</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6,113,350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88.7%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88.6%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88.932</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Adair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44.731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$21,778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Andrew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40.568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$28,003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Atchison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$28,209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Audrain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37.041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$21,226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45.831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$20,840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20.020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$24,628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Bates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19.522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$25,873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27.086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Bollinger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19.909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$20,687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Boone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178,269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260.090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Buchanan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218.282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$24,271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Butler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61.419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$20,855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Caldwell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21.339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$24,200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Callaway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53.958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Camden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$25,492</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Cape Girardeau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135.102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$25,965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12.663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$24,642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12.159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$21,569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103,721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148.846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$30,618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Cedar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$20,228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Chariton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$23,463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Christian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151.828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$26,628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13.321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242,856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611.269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Clinton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49.060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$27,655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194.814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$27,559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Cooper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31.241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$22,371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$20,799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Dade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15.485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$20,468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Dallas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$19,647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Daviess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14.837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$22,642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DeKalb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29.875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Dent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20.560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$20,908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Dunklin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55.666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$18,878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103,330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111.989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$27,209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Gasconade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28.439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$25,963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Gentry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13.563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$20,903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289,801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429.141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$25,529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Grundy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22.857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$22,014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$20,947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$24,371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Hickory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23.741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$19,711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Holt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$25,306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Howard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21.858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$23,430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Howell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43.249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Iron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18.580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$19,414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698,869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1,156.183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$28,965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Jasper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120,193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188.246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$23,390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223,810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340.847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$27,443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$23,304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Knox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$22,171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Laclede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46.348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$20,534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Lafayette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51.940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$27,260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62.828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$21,022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Lewis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19.735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56,179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89.663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$24,023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19.808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$22,361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Livingston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28.503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$22,248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Macon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19.033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$20,890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24.764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$20,081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16.826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$22,087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65.535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$22,662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McDonald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$19,577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Mercer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$20,374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Miller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42.572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$23,346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Mississippi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33.009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$17,918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Moniteau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38.704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$21,305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13.297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$22,255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21.330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33.708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$20,055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 Madrid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26.054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$20,261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93.299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$25,837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Nodaway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25.625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Oregon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13.368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$18,309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Osage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22.606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Ozark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12.331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$17,857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Pemiscot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34.161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40.529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$24,846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Pettis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62.371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$22,304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Phelps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66.603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$23,691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Pike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27.694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$20,947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Platte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101,157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240.741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$37,443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50.012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Pulaski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95.155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$21,716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Putnam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$20,729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Ralls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21.763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$24,687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Randolph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51.680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$19,984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40.179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$26,781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Reynolds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$21,593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Ripley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21.546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$18,434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Saline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29.993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$21,729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Schuyler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14.670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$19,882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11.361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91.766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$22,939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Shannon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$17,903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Shelby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12.021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$22,349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Charles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395,503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705.707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$35,628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Clair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$20,827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Francois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66,705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147.614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$20,944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Louis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996,726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1,962.833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$38,081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Louis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308,626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4,985.168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$26,739</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 Genevieve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35.747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$26,418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Stoddard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35.676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$21,684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Stone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68.303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$26,052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Sullivan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$21,168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Taney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55,355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87.527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$21,381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Texas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21.860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$17,918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Vernon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24.730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$22,369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80.182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$26,845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32.927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$18,314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17.514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$18,897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Webster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65.247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$20,468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Worth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7.715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$22,961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Wright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26.887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$19,805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Montana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1,050,463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86.3%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97.5%</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85.1%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7.217</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Beaverhead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Big Horn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$17,905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Blaine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$17,059</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Broadwater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4.976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$32,268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Carbon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$31,697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0.366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$30,659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Cascade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30.262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$28,350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Chouteau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$22,014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Custer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$28,501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Daniels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Dawson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$29,130</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Deer Lodge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12.363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$25,107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Fallon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$32,371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Fergus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$27,491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Flathead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19.654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$28,379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Gallatin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107,808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41.422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$33,181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Garfield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0.277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$29,896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Glacier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4.553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$16,737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Golden Valley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0.699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$25,110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Granite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$21,780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7.179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$32,387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Judith Basin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$28,709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20.314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$24,348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Lewis and Clark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67,773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19.594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$31,252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Liberty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$36,525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McCone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0.650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$28,230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Meagher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0.774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Mineral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3.489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$22,894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Missoula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117,432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45.281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$29,681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Musselshell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$23,908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Park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5.834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$29,181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Petroleum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0.316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$31,549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Phillips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0.801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$22,369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Pondera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$22,866</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Powder River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0.531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$31,211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Powell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$23,990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Prairie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0.639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$28,366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Ravalli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17.802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$25,151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Richland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5.297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$33,709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Roosevelt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$18,030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Rosebud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$23,832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Sanders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Sheridan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$32,833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Silver Bow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48.159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$26,248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Stillwater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Sweet Grass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$28,065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$26,884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Toole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$26,354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Treasure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0.695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$22,880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Valley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$29,096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Wheatland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$20,165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Wibaux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$24,662</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Yellowstone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158,980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60.373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$32,296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Nebraska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1,919,905</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87.3%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87.2%</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24.991</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56.239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Antelope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$28,091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Arthur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0.639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$21,799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Banner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0.994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Blaine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$28,503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Boone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$28,861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Box Butte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$28,483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Boyd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$26,413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Brown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$29,664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Buffalo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49,726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51.364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Burt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13.294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$26,421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Butler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13.768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$27,216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46.439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$32,509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Cedar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11.522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Chase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$33,708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Cherry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0.976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$27,891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Cheyenne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$32,995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10.841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Colfax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25.706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$23,393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Cuming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$28,762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Custer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$32,605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Dakota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Dawes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$24,811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Dawson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23.403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$24,912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Deuel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$28,225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Dixon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12.082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Dodge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69.428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$27,162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561,543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1,709.652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$32,023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Dundy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$26,949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Fillmore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$28,635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Frontier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$27,900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Furnas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$24,522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Gage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25.368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$27,424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Garden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$35,602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Garfield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3.538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Gosper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$31,901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0.836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$22,693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Greeley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$25,544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61,518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112.611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Hamilton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16.960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$31,989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Harlan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Hayes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$27,183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Hitchcock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$25,290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Holt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$27,858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Hooker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0.935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$27,714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Howard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11.306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$26,734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$26,859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13.785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$22,398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Kearney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12.649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$31,234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Keith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7.604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$27,890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Keya Paha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$28,981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Kimball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$24,011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Knox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Lancaster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314,328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375.295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$29,901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13.759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$29,687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Logan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$24,624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Loup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$29,248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61.354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$26,093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McPherson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0.581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$27,241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Merrick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16.251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$27,223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Morrill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$25,120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Nance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$26,852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Nemaha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17.058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$28,572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Nuckolls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7.431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$24,426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Otoe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26.033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$28,567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Pawnee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6.127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$27,196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Perkins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$30,923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Phelps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16.784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$30,166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Pierce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12.452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$28,766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Platte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49.212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$28,187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12.139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$32,424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Red Willow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14.963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$25,006</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Richardson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14.441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$28,109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$33,867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Saline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25.144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$22,324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Sarpy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181,430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759.152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$33,103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Saunders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28.066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Scotts Bluff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36,363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49.179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$26,532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Seward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30.032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Sheridan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$25,817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Sherman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Sioux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0.582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$26,852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Stanton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Thayer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$31,129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Thomas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$29,243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Thurston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18.349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$19,380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Valley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$27,271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53.134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$33,136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21.038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$27,292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Webster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$26,136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Wheeler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York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24.115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Nevada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2,998,018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92.7%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92.6%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27.309</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Carson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378.434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Churchill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4.914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$25,211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2,204,066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279.299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68.068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$35,727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Elko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Esmeralda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0.237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$23,755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Eureka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0.470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$35,606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Humboldt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$29,215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Lander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0.491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$27,218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Lyon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27.044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Mineral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$22,791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Nye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$23,740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Pershing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$19,201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Storey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15.237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$36,388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Washoe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460,581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73.081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$31,879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White Pine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$25,350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New Hampshire</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1,342,777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94.7%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94.6%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149.987</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Belknap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151.874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$33,849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51.621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$35,646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Cheshire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107.492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$32,072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Coos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Grafton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52.310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$35,255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Hillsborough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409,694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467.613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$37,622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Merrimack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149,213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159.737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$34,475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Rockingham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306,354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440.975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Strafford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128,613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348.568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$32,540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Sullivan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80.171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$31,301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New Jersey</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9,005,410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1,224.523</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Atlantic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269,918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485.722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$29,941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Bergen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948,395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4,070.210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$46,601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Burlington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448,596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561.745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$39,528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Camden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510,719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2,308.202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$32,931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Cape May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372.091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$36,256</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Cumberland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152,538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315.355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$23,012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Essex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808,261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6,403.982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$35,133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Gloucester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292,205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907.454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$36,205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Hudson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691,606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14,972.741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$35,910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Hunterdon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125,059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292.318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$54,200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Mercer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374,712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1,668.668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$40,064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Middlesex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842,762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2,728.146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$36,558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Monmouth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626,350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1,336.092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$46,736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Morris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499,692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1,085.870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$53,491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Ocean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597,935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950.943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$33,312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Passaic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512,590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2,776.869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$29,393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Salem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189.190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$31,681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Somerset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335,411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1,111.320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$51,923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Sussex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141,682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272.983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$41,272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563,836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5,481.855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106,798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299.223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$37,001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New Mexico</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2,088,060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83.4%</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99.5%</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83.3%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17.214</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Bernalillo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676,773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583.009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$28,340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Catron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0.518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$22,487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Chaves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64,866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$21,177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Cibola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$17,768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Colfax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Curry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49,812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35.459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$22,628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 Baca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0.787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$24,571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Doña Ana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215,578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56.619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$21,050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Eddy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13.650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$28,419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Guadalupe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$18,086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Harding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$30,782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Hidalgo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$18,338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15.659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$24,507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$26,820</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Los Alamos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171.646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$52,125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Luna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8.120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$16,622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McKinley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72,564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13.315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$14,077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$16,019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Otero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$21,876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Quay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Rio Arriba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6.681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$19,602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Roosevelt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$18,954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Juan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126,920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23.022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$22,665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Miguel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$18,012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Sandoval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142,506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$27,406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Santa Fe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148,750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77.903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$35,801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Sierra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$22,749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Socorro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$17,017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Taos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14.886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$23,229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Torrance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$19,129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$23,180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Valencia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71.227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$20,572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New York</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19,849,178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98.4%</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98.4%</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421.190</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Albany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309,612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592.214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$35,278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Allegany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45.559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$22,377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Bronx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1,471,140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34,947.016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$19,721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Broome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193,639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274.367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$26,790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Cattaraugus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59.119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$23,984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Cayuga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112.211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Chautauqua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129,046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121.716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$23,962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Chemung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210.032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$27,209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Chenango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53.565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$25,233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Clinton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78.027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$25,833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Columbia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95.484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$34,737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Cortland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47,786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95.810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$26,271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Delaware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$26,016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Dutchess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295,568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371.489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$36,704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Erie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925,525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887.629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$31,083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Essex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21.154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51,115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31.376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$24,294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Fulton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108.739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Genesee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117.573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$27,499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73.351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$27,402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Hamilton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$24,891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Herkimer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44.096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$24,932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114,185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90.009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$24,717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Kings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2,648,702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37,402.710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$29,928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Lewis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20.830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$25,779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Livingston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63,799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100.986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$25,882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70,965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108.370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$28,010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747,642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1,137.608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$31,291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122.215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$25,307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Nassau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1,369,509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4,810.087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$46,839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 York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1,664,727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72,922.581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$69,529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Niagara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211,328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404.565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Oneida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231,331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190.800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$27,283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Onondaga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465,398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597.898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Ontario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109,897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170.630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Orange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382,224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470.901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$32,616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Orleans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104.746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$23,929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Oswego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118,478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124.497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$25,791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Otsego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60,094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59.992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$26,688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Putnam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431.255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Queens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2,358,477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21,730.679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$28,814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Rensselaer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159,722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244.810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$33,067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Richmond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479,458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8,214.067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$33,922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Rockland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328,868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1,894.944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$36,898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Saratoga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229,869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283.794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Schenectady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155,563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760.640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$29,981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Schoharie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50.529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Schuyler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54.822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Seneca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106.572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$26,541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Lawrence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109,623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$23,554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Steuben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69.239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$27,731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Suffolk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1,492,952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1,636.917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$40,277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Sullivan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75,485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$28,224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Tioga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$30,252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Tompkins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104,800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220.795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$29,759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Ulster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179,417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159.590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74.435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$33,127</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61,620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74.135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$26,064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150.159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$27,318</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Westchester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980,238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2,276.991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$52,049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Wyoming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68.314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$25,635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Yates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73.800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North Carolina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10,273,122</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94.8%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94.5%</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211.303</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Alamance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162,380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383.023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$25,157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Alexander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143.411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$22,655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Alleghany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46.920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47.024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$19,105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Ashe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63.259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$23,650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Avery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70.971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$21,704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Beaufort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56.925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$24,657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Bertie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27.492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Bladen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33,478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$20,839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Brunswick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130,896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154.546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$29,707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Buncombe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257,607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392.292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$29,590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Burke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176.086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$21,885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Cabarrus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206,864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571.844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$29,143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Caldwell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173.848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$21,991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Camden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43.986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$27,468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Carteret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68,881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136.061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$30,903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Caswell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53.295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$21,692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Catawba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396.156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$25,960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Chatham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104.769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$36,933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Cherokee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61.672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$21,152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Chowan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81.781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$23,542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51.567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$25,433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Cleveland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209.657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$21,664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Columbus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59.678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$21,849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Craven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102,578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144.688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$26,830</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Cumberland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332,542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509.788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$23,627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Currituck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100.557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$29,340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Dare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94.150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Davidson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165,463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299.386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$24,231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Davie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160.754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$29,234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Duplin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72.332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$18,529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Durham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311,597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1,089.594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$33,151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Edgecombe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104.380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$18,946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Forsyth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376,310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921.995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$28,640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66,166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134.571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$23,862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Gaston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220,181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618.439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$24,937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Gates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33.909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$24,335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Graham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29.242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Granville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112.040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$24,859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79.025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$18,662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Guilford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526,947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816.082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$28,582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Halifax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70.862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$20,406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Harnett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132,735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223.089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$22,351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Haywood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61,084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110.321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$27,166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Henderson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115,698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310.126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$28,290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Hertford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67.711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138.464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$19,654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Hyde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$19,181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Iredell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175,699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306.185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$30,393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87.561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196,691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248.567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$24,872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Jones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$21,058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60,429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237.014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$23,613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Lenoir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56,883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141.998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276.571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$27,359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Macon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67.368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$27,282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48.368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Martin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49.411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$22,161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McDowell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102.492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$20,439</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Mecklenburg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1,076,818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2,055.614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$35,669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Mitchell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68.068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$22,302</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$20,900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Moore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139.357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$31,554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Nash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173.926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$25,232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 Hanover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227,191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1,186.163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$31,708</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Northampton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37.015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$19,126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Onslow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193,886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254.195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$23,141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Orange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144,931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364.187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$38,348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Pamlico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37.705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$25,461</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Pasquotank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175.172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$23,714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Pender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60,951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70.075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$25,997</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Perquimans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54.527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$25,848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39,370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100.351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$24,477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Pitt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179,042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274.615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$25,462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86.451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$29,728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Randolph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143,282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183.104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$22,349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Richmond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94.546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$19,966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Robeson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132,606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139.700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$17,161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Rockingham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160.815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$22,521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Rowan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140,641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275.026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$23,838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Rutherford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66,550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117.965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$21,092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Sampson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63,430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67.140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$20,872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35,093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110.063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$17,103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Stanly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155.617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Stokes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101.852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$23,500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Surry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135.713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$22,533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Swain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27.072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$20,918</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Transylvania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$26,037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Tyrrell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10.416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$17,736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231,357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366.349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$32,754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Vance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174.390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$21,188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Wake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1,072,182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1,283.714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$37,315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46.406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$21,543</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Watauga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55,120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176.353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$24,545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124,170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224.504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Wilkes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90.916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$21,798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221.827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Yadkin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112.813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$23,038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Yancey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56.763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$21,947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North Dakota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755,345</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93.1%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92.8%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10.947</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$35,933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Barnes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$21,658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Billings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0.818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$44,683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Bottineau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$35,698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Bowman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$36,318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Burke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$35,674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Burleigh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58.200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177,752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100.713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$34,193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Cavalier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$43,144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Dickey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$30,510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Divide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$39,171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Dunn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$42,438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Eddy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Emmons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$29,622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Foster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$32,665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Golden Valley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$28,840</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Grand Forks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49.287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$30,465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$33,537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Griggs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$33,416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Hettinger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$32,544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Kidder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$34,455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LaMoure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Logan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$31,952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McHenry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$36,874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McIntosh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$31,133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McKenzie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$38,324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McLean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Mercer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15.987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$37,335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Mountrail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$40,113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Nelson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$33,599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Oliver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$38,604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Pembina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6.232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$34,824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Pierce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$26,619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Ramsey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$33,884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Ransom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$33,574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Renville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$30,888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11.388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$29,818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Rolette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16.091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Sargent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4.494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$36,207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Sheridan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$34,172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Sioux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4.000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$15,944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Slope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0.635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$35,118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Stark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22.633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$37,978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Steele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$40,479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Stutsman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$31,182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Towner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$36,099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Traill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$31,774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Walsh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$30,693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34.246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$33,414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Wells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$33,580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Williams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16.053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Ohio</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11,658,365</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94.7%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94.6%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285.320</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$20,248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103,198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256.395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$24,551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Ashland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126.795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$24,612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Ashtabula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139.340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Athens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66,597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132.242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$20,062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Auglaize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114.050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$28,340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Belmont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68,029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127.843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$25,326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Brown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88.928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$24,525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Butler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380,570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814.828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$29,745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69.398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Champaign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90.606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$25,528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134,557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338.531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$25,270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Clermont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204,214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451.701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$31,812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Clinton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102.791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$25,238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Columbiana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103,077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193.793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$24,758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Coshocton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64.804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$21,520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103.901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$24,386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Cuyahoga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1,248,514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2,730.837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$30,441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Darke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51,536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$24,768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Defiance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92.733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$26,941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Delaware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200,434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452.347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$45,116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Erie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297.415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$30,223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Fairfield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154,708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306.710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$29,582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70.756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$24,013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1,291,947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2,427.613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$31,199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Fulton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104.303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$27,922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Gallia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64.247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$22,293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Geauga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234.699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$39,513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166,741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403.019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$33,138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Guernsey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74.854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$22,864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Hamilton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813,816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2,004.916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$32,638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Hancock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142.567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$21,099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37.819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$22,965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$27,325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Highland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77.693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$22,079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Hocking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67.573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$23,192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Holmes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104.032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$21,143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Huron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58,494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119.012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$24,193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$21,730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66,359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162.514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$24,028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Knox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61,256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116.568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$24,523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230,116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1,011.531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$32,125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60,249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132.891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Licking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173,443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254.129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$29,093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Logan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98.870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$26,525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Lorain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307,906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626.970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$28,555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Lucas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430,887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1,264.135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$27,111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94.523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$27,798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Mahoning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229,796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558.268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$25,901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160.906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$22,579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Medina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178,348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423.270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Meigs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53.662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$22,396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Mercer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$27,540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Miami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105,118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258.542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$28,051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$23,154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531,539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1,151.631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$27,602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35.322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$22,122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Morrow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86.175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$24,864</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Muskingum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129.629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$22,877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Noble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$23,119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Ottawa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159.491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Paulding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45.253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$24,319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88.300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Pickaway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57,828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115.351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$25,460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Pike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64.204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Portage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162,275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332.953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Preble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41,120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96.954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Putnam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70.210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$28,568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Richland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120,589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243.482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$23,439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Ross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112.176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$22,714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Sandusky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144.925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Scioto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124.430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$22,586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Seneca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100.256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$25,004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Shelby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119.603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$28,410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Stark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372,542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647.594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$27,401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Summit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541,226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1,311.274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$30,803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Trumbull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200,380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324.084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$25,542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Tuscarawas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162.599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$25,054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131.422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$33,066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Van Wert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68.964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$26,130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Vinton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$19,876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228,859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570.274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$37,479</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60,418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116,038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209.104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$25,762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Williams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87.380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$24,160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130,488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211.418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$30,042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Wyandot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54.143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$25,431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Oklahoma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3,930,571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79.0%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79.0%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57.301</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Adair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38.204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$16,576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Alfalfa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$28,007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Atoka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14.236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$19,439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Beaver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$25,935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Beckham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$23,883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Blaine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10.230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$22,823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Bryan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51.210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$22,171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Caddo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22.822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$21,071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Canadian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139,865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155.990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$29,852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58.613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$24,965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Cherokee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65.234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$19,799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Choctaw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19.294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$19,446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Cimarron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$28,461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Cleveland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279,628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519.015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$29,231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Coal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10.920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$24,004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Comanche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121,518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113.644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$25,186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Cotton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$21,887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Craig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18.818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$20,666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Creek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71,697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75.459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$24,056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Custer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$24,621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Delaware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$22,175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Dewey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$25,821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Ellis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$27,272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Garfield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61,581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58.179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$25,787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Garvin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34.794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$22,433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Grady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54,935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49.918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$27,334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$29,002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$20,073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Harmon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Harper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Haskell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22.138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$20,009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Hughes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16.531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$18,004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31.303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$22,988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$19,130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17.202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$21,022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48.432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Kingfisher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17.446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Kiowa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$23,076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Latimer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14.418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$24,233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 Flore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49,731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31.293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$20,264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36.899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$23,911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Logan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46,775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$28,265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Love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19.522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$20,965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Major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8.056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$28,294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44.282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$22,431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Mayes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62.437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$22,575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McClain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39,310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68.880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McCurtain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17.734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$19,040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McIntosh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31.919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$22,241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Murray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33.264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$24,804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Muskogee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85.244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$21,800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Noble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15.408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$28,054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Nowata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18.216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$21,491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Okfuskee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Oklahoma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787,901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1,111.569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$29,127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Okmulgee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55.826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Osage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47,233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21.026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$24,195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Ottawa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66.505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$19,415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Pawnee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29.002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$22,965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Payne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119.131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$22,785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Pittsburg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44,184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33.845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$24,408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Pontotoc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53.057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$23,862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Pottawatomie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91.693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$22,284</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Pushmataha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$22,596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Roger Mills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$27,797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Rogers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135.346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$29,824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Seminole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39.312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$19,605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Sequoyah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61.271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Stephens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49.793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$25,177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Texas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10.239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$23,324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Tillman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8.533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$21,422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Tulsa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646,214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1,133.219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$29,797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Wagoner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140.054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$27,337</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125.001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$28,913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Washita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11.099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$26,409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$28,322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Woodward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16.467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$27,413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Oregon</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4,142,693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92.4%</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92.3%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43.158</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Baker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5.232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134.549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$30,873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Clackamas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412,657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220.634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$37,551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Clatsop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47.258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$28,115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Columbia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$28,460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Coos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40.026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$26,007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Crook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$24,239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Curry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13.929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$26,925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Deschutes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186,867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61.914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$31,575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109,404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21.724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$25,002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Gilliam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$24,178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$25,154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Harney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0.719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$24,398</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Hood River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217,478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78.130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$27,081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13.339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Josephine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52.664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$24,349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Klamath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66,933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11.266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$23,793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0.966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$21,005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374,743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$27,032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48,919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49.929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$25,782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125,045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54.602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$24,448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Malheur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$17,567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341,286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288.656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$24,791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Morrow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5.496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$21,743</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Multnomah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807,538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1,872.348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$34,848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112.983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$25,928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Sherman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$34,226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Tillamook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24.205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$25,458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Umatilla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23.942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12.875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$26,586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Wallowa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Wasco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11.100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$24,727</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588,947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813.204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$35,369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Wheeler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0.791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$21,268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Yamhill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105,720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147.682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$28,540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Pennsylvania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12,805,451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95.3%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95.2%</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286.202</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102,334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197.302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Allegheny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1,223,048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1,675.237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$35,280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Armstrong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100.493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$25,502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Beaver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166,140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382.184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$29,162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Bedford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47.891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$24,219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Berks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417,853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487.857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$29,041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Blair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123,457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234.798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$25,531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Bradford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60,853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53.036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$26,937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Bucks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628,333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1,039.757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$41,924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Butler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187,108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237.265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$35,101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Cambria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133,054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193.294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$24,838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Cameron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$24,933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Carbon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167.391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$25,680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Centre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162,660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146.551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$28,545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Chester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519,288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691.916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$46,256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64.008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Clearfield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69.611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$22,568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Clinton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43.917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Columbia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136.475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$24,908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85.112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$24,716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Cumberland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250,066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458.451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$34,246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Dauphin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275,710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525.115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$31,152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Delaware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564,692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3,071.592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$36,747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36.498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Erie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274,541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343.540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$26,361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131,504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166.389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$24,247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Forest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17.082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$14,989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154,234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199.727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$28,985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Fulton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33.345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$25,273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63.842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Huntingdon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45,491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52.011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$22,908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Indiana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102.721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$25,014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67.140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$23,895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Juniata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62.640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$24,068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Lackawanna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210,761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459.096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$27,258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Lancaster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542,903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575.225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$29,280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243.091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$26,918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Lebanon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139,754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386.239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$27,916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Lehigh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366,490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1,061.779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$30,988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Luzerne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317,343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356.432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$26,809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Lycoming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113,841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92.660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$26,265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McKean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41,330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42.208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$24,868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Mercer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111,750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166.153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$25,499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Mifflin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112.858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$23,568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168,046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276.262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$27,439</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826,038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1,710.083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$45,048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Montour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140.292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$31,818</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Northampton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303,404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820.740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Northumberland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200.776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$24,278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83.647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$28,900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Philadelphia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1,580,843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11,788.412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$24,811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Pike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55,691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102.193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Potter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15.538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$23,213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Schuylkill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142,569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183.102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$25,224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Snyder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124.123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$24,961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Somerset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74,501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69.344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$23,877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Sullivan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13.533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$26,720</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Susquehanna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49.773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$27,823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Tioga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35.979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141.131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$25,089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Venango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$25,190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44.856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$26,558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207,298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241.891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$32,828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70.567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$25,569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Westmoreland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352,627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343.171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$31,827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Wyoming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68.765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$28,046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York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446,076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493.348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$30,178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Rhode Island</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1,059,625</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1,024.967</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Bristol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48,912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2,024.153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$42,360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163,760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971.710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Newport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815.141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$43,603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Providence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637,344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1,556.389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$29,025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126,150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383.161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$39,568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South Carolina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5,024,279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89.9%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89.9%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167.138</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Abbeville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50.403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$19,234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Aiken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168,179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157.025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$26,222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Allendale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22.059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$13,439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Anderson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198,757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277.816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$24,485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Bamberg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36.559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$19,256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Barnwell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38.923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$20,018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Beaufort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186,835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324.209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$34,966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Berkeley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198.316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$27,010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$24,766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Charleston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401,432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438.202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$35,587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Cherokee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145.426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$20,516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Chester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55.628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$20,518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Chesterfield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45,948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57.501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$19,768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Clarendon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34,057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56.113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$20,616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Colleton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35.600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$21,059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Darlington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119.869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$21,225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Dillon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75.742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$15,638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Dorchester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156,433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272.896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Edgefield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53.343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$23,804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Fairfield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32.942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$21,972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Florence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138,566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173.215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$23,797</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Georgetown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61,607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$28,748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Greenville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506,827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645.541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$29,132</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Greenwood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154.720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Hampton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35.010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$17,676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Horry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333,267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293.913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$25,804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Jasper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43.426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$20,067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Kershaw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65,032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89.506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$23,530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Lancaster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168.521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$26,425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Laurens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66,848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93.650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$20,748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$16,972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Lexington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290,638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415.843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$29,311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63.964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Marlboro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55.923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$16,561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McCormick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$22,836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Newberry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61.087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$22,190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Oconee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123.369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$26,798</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Orangeburg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79.085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$19,489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Pickens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123,479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248.746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$23,501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Richland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411,592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543.666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$28,018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Saluda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45.168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$20,390</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Spartanburg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306,854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379.805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$24,786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Sumter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106,847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160.656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$21,733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53.556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Williamsburg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33.327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$17,440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York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266,433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391.471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$30,387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South Dakota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869,371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88.9%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88.7%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11.468</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Aurora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$30,872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Beadle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14.424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$24,950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Bennett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$15,287</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Bon Homme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12.390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$24,858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Brookings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43.232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$27,197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Brown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22.868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$31,493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Brule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$26,074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Buffalo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$10,960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Butte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$26,178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Campbell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$36,158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Charles Mix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$21,805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$26,759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33.941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$24,541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Codington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40.811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$29,249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$15,160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Custer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5.582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$31,015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Davison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45.239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$28,086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$30,841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Deuel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$29,204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Dewey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$17,267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6.788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$27,603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Edmunds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3.481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Fall River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$26,584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Faulk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$29,714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10.362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$29,363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Gregory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4.164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$26,169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Haakon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$22,863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Hamlin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$27,060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$33,109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$24,805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Harding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0.465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$30,464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Hughes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23.819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$32,000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Hutchinson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$29,869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Hyde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$30,277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$16,939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Jerauld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$38,776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Jones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0.965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$26,526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Kingsbury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$33,333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22.740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$31,145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$28,606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56,635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98.107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$39,404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Lyman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$21,155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5.732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$28,861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McCook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$29,254</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McPherson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$25,975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Meade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$26,896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Mellette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$14,264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Miner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$28,633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Minnehaha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188,585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233.644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$29,551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Moody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12.667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$27,774</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Oglala Lakota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Pennington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110,140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39.668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$28,910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Perkins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$30,120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Potter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Roberts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$25,767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Sanborn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$31,965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Spink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$31,957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Stanley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$32,862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Sully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$39,888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Todd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$11,665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Tripp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$27,613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Turner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13.475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32.633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$37,093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Walworth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Yankton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43.482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$30,395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Ziebach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$13,461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Tennessee</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6,715,859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91.3%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91.1%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162.868</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Anderson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226.170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$26,972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Bedford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101.589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40.559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$21,282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Bledsoe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36.211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$21,402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Blount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129,929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232.553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$28,334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Bradley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105,559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321.081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Campbell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82.567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$21,282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Cannon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53.509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46.491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$20,557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56,488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165.555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$21,001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Cheatham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40,329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133.347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$25,673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Chester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59.912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$20,497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Claiborne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72.735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$20,184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32.566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$17,667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Cocke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35,556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81.820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$20,189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Coffee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128.295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$24,748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Crockett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54.505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$21,056</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Cumberland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86.747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$23,668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Davidson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691,236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1,371.411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$32,347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DeKalb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65.215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$25,443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Decatur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35.199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$21,098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Dickson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107.886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$25,211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Dyer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73.123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$24,695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40,036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56.806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$30,471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Fentress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36.373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$18,171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41,652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75.111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$25,637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Gibson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49,111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81.479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$21,858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Giles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48.125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Grainger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82.480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$20,966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68,808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110.594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$21,960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Grundy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37.059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$15,824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Hamblen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64,277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398.793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$21,962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Hamilton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361,605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666.638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$29,711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Hancock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$19,396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Hardeman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38.108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$16,938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44.769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$23,328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Hawkins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56,459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115.938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$22,141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Haywood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32.963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Henderson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53.360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$21,344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57.729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$22,952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Hickman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40.594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$20,936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Houston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41.006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Humphreys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34.811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$23,498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37.873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$18,643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196.298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$23,724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Knox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461,852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908.773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$30,541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45.047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$14,232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Lauderdale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53.548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$17,178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$19,879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Lewis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42.653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$20,099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59.174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$24,029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Loudon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52,148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227.506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$30,177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Macon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78.397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$20,666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175.265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$24,600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$23,807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Maury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150.305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$25,872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McMinn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122.934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McNairy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46.200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$19,745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Meigs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61.849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$22,542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72.753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200,176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371.262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$24,827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Moore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49.403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$31,479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41.434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$18,649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Obion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55.780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$21,939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Overton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50.779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$19,961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19.229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$20,204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Pickett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31.127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$21,300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38.551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$24,247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Putnam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193.641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$23,337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Rhea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103.657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$22,031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Roane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147.033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$25,555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Robertson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147.329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$26,441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Rutherford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317,137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512.037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$27,932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41.310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$18,748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Sequatchie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55.428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$22,744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Sevier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164.788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Shelby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936,959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1,227.713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$28,117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Smith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62.478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$23,015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Stewart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29.075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$22,680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Sullivan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157,158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380.194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$25,946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Sumner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183,536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346.654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$30,669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Tipton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133.880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$26,110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Trousdale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88.280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$22,863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Unicoi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95.394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$20,478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Van Buren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21.001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$20,672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$21,339</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127,805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391.482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$27,334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$18,702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Weakley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57.442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$19,699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$19,867</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Williamson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226,250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388.346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$48,482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136,436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239.015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$31,155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Texas</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28,303,961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92.7%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92.7%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108.348</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Anderson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57,741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54.339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$17,466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Andrews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11.809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$29,903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Angelina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110.062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$21,974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Aransas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101.446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$29,999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Archer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$31,103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Armstrong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Atascosa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48,980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40.163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$23,973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Austin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46.072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$30,101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Bailey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$18,662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Bandera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28.258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$29,177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Bastrop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95.433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$25,172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Baylor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$30,820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36.993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$17,504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347,829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330.946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Bexar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1,958,557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1,579.710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$26,158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Blanco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16.392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$31,249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Borden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0.750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$38,923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Bosque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18.643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Bowie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106.228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$24,761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Brazoria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362,452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266.960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$32,343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Brazos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222,803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380.570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$25,337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Brewster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$26,073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Briscoe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$23,199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Brooks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$13,549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Brown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$24,040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Burleson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27.330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$27,112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Burnet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$29,247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Caldwell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77.637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$23,366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42.901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$26,909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Callahan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15.506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$22,205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Cameron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423,712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475.588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Camp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65.645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$21,069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$31,788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32.031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$22,145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Castro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$22,292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Chambers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41,433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69.386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$31,412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Cherokee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49.615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$21,102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Childress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10.148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$27,593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Cochran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$24,623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Coleman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6.680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Collin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969,509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1,152.497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$41,609</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Collingsworth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Colorado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22.110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$26,689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Comal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141,003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252.027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$35,841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Comanche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$22,751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Concho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$17,513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Cooke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39,895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45.607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$29,067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Coryell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71.206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$21,171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Cottle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$20,566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$24,582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Crockett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$23,296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Crosby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Culberson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0.585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$16,763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Dallam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$25,221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Dallas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2,618,140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3,004.938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$29,810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Dawson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14.232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$21,360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DeWitt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22.251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$28,116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Deaf Smith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12.584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$21,209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Delta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20.629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$22,732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Denton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836,181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951.901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$37,928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Dickens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$24,171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Dimmit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$17,939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Donley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$23,212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Duval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$19,085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Eastland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19.872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$20,433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Ector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157,087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174.991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$27,728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Edwards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0.922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$28,968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 Paso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840,407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829.873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$19,950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Ellis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173,620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185.593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$28,612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Erath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41,969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38.750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$23,511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Falls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$17,755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Fannin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38.664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$23,212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26.602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$30,405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Fisher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$27,750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Floyd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$24,347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Foard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$26,034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Fort Bend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764,799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887.772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$38,382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37.856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$23,642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Freestone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22.359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$24,060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Frio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17.292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$16,833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Gaines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13.737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$22,656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Galveston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335,035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885.497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$33,870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Garza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$20,635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Gillespie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25.180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Glasscock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Goliad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Gonzales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$23,635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24.195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Grayson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131,139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140.586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$26,535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Gregg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123,367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451.393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Grimes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35.662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Guadalupe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159,657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224.458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$29,300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33.975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$19,205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$20,022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Hamilton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10.075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$26,522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Hansford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$21,989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Hardeman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5.746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$21,517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64.160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$29,693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4,652,967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2,731.452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$30,856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74.072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$25,123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Hartley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$20,676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Haskell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$21,120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Hays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214,342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316.149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Hemphill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$29,470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Henderson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$24,315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Hidalgo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860,652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547.884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$23,342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Hockley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$22,673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Hood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138.534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$32,578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Hopkins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47.572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Houston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18.702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$17,884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Howard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40.009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Hudspeth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0.964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$12,543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Hunt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111.710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$23,942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Hutchinson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$25,154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Irion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$32,307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17.850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$26,809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Jasper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35,561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37.877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$21,402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 Davis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$25,167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256,296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292.477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$25,370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Jim Hogg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$17,761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Jim Wells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47.252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$20,631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167,300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230.857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Jones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21.521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$17,960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Karnes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$27,011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Kaufman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122,879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157.396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$26,631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Kendall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66.456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Kenedy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0.286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$13,705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0.845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$27,515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Kerr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46.877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$28,484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Kimble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$26,982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0.325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$29,918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Kinney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Kleberg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35.275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$19,806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Knox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4.362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$21,046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 Salle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5.101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$26,268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Lamar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49,587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54.660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$23,625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Lamb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13.000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$21,760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Lampasas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29.496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$26,405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Lavaca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20.689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$29,946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27.317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$26,740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16.068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$27,096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Liberty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Limestone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25.988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$21,093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Lipscomb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Live Oak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11.709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$22,847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Llano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22.708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$35,680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Loving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0.200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$35,530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Lubbock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305,225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340.805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$26,196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Lynn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$26,758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30.515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$17,436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26.423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$25,933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Martin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$28,560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Matagorda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33.483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$23,294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Maverick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45.508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$16,658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McCulloch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McLennan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251,255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242.267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$24,273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McMullen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0.683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$33,472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Medina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$25,572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Menard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$23,613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Midland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165,049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183.327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$38,545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Milam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24.636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$22,911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Mills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$24,858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Mitchell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$19,741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Montague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20.988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$26,278</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570,926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548.053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$38,012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Moore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24.561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$21,372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Morris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49.475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$22,803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Motley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$25,908</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Nacogdoches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$22,589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Navarro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48.237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$22,152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14.943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$20,800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Nolan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$23,686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Nueces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361,221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430.804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$26,780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Ochiltree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10.977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$24,157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Oldham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$25,461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Orange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254.885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$27,938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Palo Pinto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$24,840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Panola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$26,205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Parker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133,462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147.720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$33,367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Parmer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$21,876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Pecos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$19,088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49,162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46.507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$23,023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Potter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120,458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132.609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$21,941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Presidio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$15,329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Rains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51.261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$23,976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Randall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134,421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147.465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$32,922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Reagan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$25,273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Real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$20,873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Red River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11.797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$21,177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Reeves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$18,992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Refugio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$23,959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Roberts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$34,555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Robertson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20.101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$23,337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Rockwall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761.543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$38,933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Runnels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$22,190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Rusk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57.177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$23,521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Sabine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$20,876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Augustine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$21,066</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Jacinto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49.662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Patricio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96.928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$24,613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Saba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5.249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$22,481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Schleicher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$28,112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Scurry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18.831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$24,140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Shackelford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$24,296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Shelby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32.068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$20,686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Sherman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$25,358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Smith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227,725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247.137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$26,270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Somervell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47.436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$27,095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Starr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64,454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52.694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$13,167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Stephens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10.412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$23,044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Sterling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Stonewall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$28,063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Sutton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$31,603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Swisher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$18,878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Tarrant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2,054,462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2,378.928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Taylor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136,290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148.861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$25,419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Terrell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0.344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$21,204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Terry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14.305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$21,938</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Throckmorton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$27,732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Titus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81.034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$21,090</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Tom Green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118,018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77.543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$27,513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Travis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1,226,677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1,238.814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Trinity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$20,369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Tyler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$21,172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Upshur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$24,088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Upton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$25,290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Uvalde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17.483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$19,146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Val Verde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$20,160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Van Zandt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55,180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65.491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Victoria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104.387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$28,181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Walker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92.129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Waller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$23,888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13.729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$26,860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35,043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58.023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$28,517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Webb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274,792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81.747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$16,316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Wharton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38.637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$25,867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Wheeler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5.859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$25,809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Wichita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210.266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$23,263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Wilbarger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13.147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$21,938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Willacy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36.549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$13,369</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Williamson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547,512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489.592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49,300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61.339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$29,862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Winkler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Wise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66,173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$27,447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44,314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68.679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$25,955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Yoakum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$23,681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Young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19.661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$25,661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Zapata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14.345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$17,817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Zavala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$13,105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Utah</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3,101,763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94.2%</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94.2%</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37.748</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Beaver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$21,128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Box Elder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$22,808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Cache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124,436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106.829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$21,752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Carbon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13.727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$22,536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Daggett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$28,533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Davis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347,635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1,163.522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$28,293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Duchesne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6.179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$23,323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Emery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$21,465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Garfield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0.981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$23,228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$25,662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Iron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51,001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$19,791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Juab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$20,457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$24,836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Millard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19.486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$30,457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Piute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$17,455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$19,512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Salt Lake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1,135,642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1,529.934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$30,134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Juan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Sanpete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$17,426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Sevier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$21,196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Summit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41,104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21.961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$52,671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Tooele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67,447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$24,069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Uintah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$25,001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Utah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606,401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302.678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$23,207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Wasatch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27.310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$30,086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165,647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$25,415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Weber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251,768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437.033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Vermont</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623,655</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89.3%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88.6%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67.666</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Addison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$31,051</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Bennington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35,594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52.733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$31,313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Caledonia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$25,896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Chittenden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162,371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302.605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$36,384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Essex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$23,022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77.362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$30,624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Grand Isle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85.526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$38,635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Lamoille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55.225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$31,390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Orange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42.173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$29,651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Orleans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38.717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$25,392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Rutland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$28,443</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84.818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$32,137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Windham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54.589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$29,819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Windsor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55,100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56.843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$34,264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Virginia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8,475,166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91.7%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91.5%</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214.615</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Accomack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72.403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$24,266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Albemarle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107,700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149.438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$39,273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Alexandria city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159,968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10,645.376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Alleghany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$25,952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Amelia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36.648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$26,118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Amherst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66.663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$24,296</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Appomattox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47.011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$26,347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Arlington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234,935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9,044.842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$67,061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Augusta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75,144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77.708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$30,088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Bath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8.120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$28,195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Bedford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109.986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$30,633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17.751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$23,505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Botetourt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61.330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$34,733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Bristol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1,290.248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$21,589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Brunswick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28.691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$20,278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Buchanan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42.792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$19,241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Buckingham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29.440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$19,702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Buena Vista city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943.822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$17,969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Campbell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109.176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Caroline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57.739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$28,039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62.580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$23,690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Charles City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38.312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$32,689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Charlotte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25.499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$19,830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Charlottesville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4,688.423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$32,860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Chesapeake city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240,387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705.360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$32,123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Chesterfield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343,587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811.693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$35,370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82.343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$38,658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Colonial Heights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2,371.069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$27,608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Covington city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1,010.698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Craig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15.361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Culpeper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135.215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$29,979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Cumberland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32.979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$23,488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Danville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41,130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957.981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$21,882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Dickenson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44.722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$21,082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Dinwiddie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56.000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$25,981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Emporia city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766.194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$18,548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Essex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42.890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$25,730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Fairfax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1,148,418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2,937.365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$52,976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Fairfax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3,862.191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$46,489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Falls Church city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7,281.446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$65,510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Fauquier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107.287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$43,067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Floyd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41.407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$25,446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Fluvanna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92.477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$31,952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56,444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$27,282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996.370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Frederick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209.143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$32,554</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Fredericksburg city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2,716.432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$32,359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Galax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804.045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$22,572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Giles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47.324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$25,004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Gloucester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171.216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$32,271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Goochland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80.610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$47,610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Grayson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35.420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$20,525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125.520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$30,215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Greensville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39.559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$16,835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Halifax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42.261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$21,155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Hampton city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134,669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2,619.337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Hanover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105,922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226.070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$37,924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Harrisonburg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54,211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3,112.341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$20,134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Henrico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327,898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1,403.092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$36,497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133.985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$21,473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Highland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5.328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$32,648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Hopewell city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2,200.864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$22,668</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Isle of Wight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115.813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$33,172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James City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530.095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$42,047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King George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146.613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$35,676</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King William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60.991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$31,192</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King and Queen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22.222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$25,831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Lancaster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80.961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$33,997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54.551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$18,514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Lexington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2,845.929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$16,668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Loudoun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398,055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772.081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$50,456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Louisa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72.251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$30,237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Lunenburg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28.343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$18,555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Lynchburg city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1,648.567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$22,439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41.402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$29,705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Manassas Park city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6,528.257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$29,641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Manassas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41,501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4,200.214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$30,572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Martinsville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1,199.495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Mathews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102.166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$35,252</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Mecklenburg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$22,970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Middlesex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81.953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$29,871</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254.663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$28,277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Nelson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31.736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$33,597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 Kent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103.367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$36,768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Newport News city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179,388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2,610.657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$26,028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Norfolk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244,703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4,521.452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$26,670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Northampton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55.980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$24,835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Northumberland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64.163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$33,364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Norton city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525.341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$19,297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Nottoway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$19,452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Orange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105.827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$30,660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Page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76.341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$24,057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Patrick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36.566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$21,785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Petersburg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1,384.541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$21,992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Pittsylvania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61,258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63.222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$23,597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Poquoson city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786.923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$39,305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Portsmouth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2,810.239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$24,291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Powhatan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109.910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$33,807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Prince Edward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64.873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$19,751</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Prince George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142.592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$27,970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Prince William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462,957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1,376.203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$38,225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Pulaski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106.873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$26,328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Radford city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1,788.476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$19,539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Rappahannock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Richmond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46.681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$19,728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Richmond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227,015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3,795.908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$30,113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Roanoke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374.145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$33,717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Roanoke city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2,345.703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$24,697</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Rockbridge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$31,534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Rockingham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94.486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$28,884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Russell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57.085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$21,673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Salem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1,790.867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$30,141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40.829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$20,969</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Shenandoah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84.959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$27,016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Smyth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67.984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$22,319</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Southampton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$25,784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Spotsylvania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133,032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331.341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$33,859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Stafford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146,649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545.253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$39,158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Staunton city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1,227.673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$27,571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Suffolk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90,237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225.498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$31,239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Surry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23.445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$27,162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Sussex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23.200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$15,882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Tazewell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79.205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$24,325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Virginia Beach city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450,435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1,808.858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$34,607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185.328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$30,009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54,386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96.949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$25,640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Waynesboro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1,484.142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$23,640</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Westmoreland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77.515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$32,265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Williamsburg city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1,666.031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$26,921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Winchester city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3,025.005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$28,429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Wise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95.702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$21,694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Wythe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62.539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$24,879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York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67,739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646.487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$38,193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Washington</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7,405,569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111.436</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10.129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$18,415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Asotin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35.421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$26,878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198,171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116.545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$30,511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Chelan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$27,605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Clallam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75,474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43.418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$28,857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474,639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754.588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$32,162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Columbia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$28,950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Cowlitz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106,908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93.769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$25,878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41,942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23.054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$25,060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Ferry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$21,951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74.154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$22,125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Garfield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$24,781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35.510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$22,508</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Grays Harbor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38.220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$24,081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Island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398.942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$33,837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17.317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2,188,610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1,034.527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$46,316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Kitsap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266,408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674.551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$34,412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Kittitas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20.113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$26,698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Klickitat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11.654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$25,069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Lewis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32.542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$26,918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63,702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66.397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$26,312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Okanogan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7.924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$22,755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Pacific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$23,050</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Pend Oreille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$26,128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Pierce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876,759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525.160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$31,157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Juan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96.110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$40,784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Skagit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125,618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72.561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$30,069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Skamania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Snohomish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801,607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384.045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$35,737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Spokane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506,135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286.959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$28,325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Stevens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18.053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$24,707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Thurston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280,582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388.638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$32,410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Wahkiakum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$26,964</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Walla Walla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60,566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47.685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$26,651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Whatcom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221,400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105.085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$29,186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Whitman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$22,154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Yakima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250,187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58.245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$21,510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West Virginia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1,815,853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84.6%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95.1%</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81.9%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75.540</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Barbour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$20,762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Berkeley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114,920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357.848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$27,658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Boone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44.560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$20,992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Braxton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$20,633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Brooke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251.590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$25,630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Cabell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337.908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$24,646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26.167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$19,696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25.633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$16,229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Doddridge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26.770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$21,164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65.786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$20,758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Gilmer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23.648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$18,207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$21,705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Greenbrier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34.610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$23,777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Hampshire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36.656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$21,771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Hancock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29,448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356.473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$25,157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Hardy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23.556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$23,446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67,811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163.004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$27,162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$23,246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268.744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$33,241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Kanawha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183,293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203.300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$28,201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Lewis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42.157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$21,513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47.650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$19,321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Logan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72.564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182.477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$25,205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102.118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$24,043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26,801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62.220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$21,094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McDowell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34.597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Mercer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59,753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142.611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$21,698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Mineral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83.037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$21,888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Mingo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57.023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$19,272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Monongalia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105,029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291.697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28.349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$22,830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77.207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$24,026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Nicholas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38.717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$22,101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Ohio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397.231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$29,769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Pendleton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10.051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$23,697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Pleasants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7,512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57.739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$24,605</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Pocahontas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Preston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51.909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$22,540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Putnam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164.296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$30,690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Raleigh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75,022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123.931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$23,435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Randolph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27.686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$23,642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Ritchie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21.624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$21,533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Roane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29.041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$20,723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Summers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36.046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$20,142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Taylor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97.991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Tucker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16.507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$22,385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Tyler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$24,599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Upshur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68.986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$21,279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79.357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$20,582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Webster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15.126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$20,314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Wetzel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43.113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$22,088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Wirt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24.919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$19,747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85,104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232.360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Wyoming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42.466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Wisconsin</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5,795,276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91.3%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91.2%</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107.007</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30.935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$24,874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Ashland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14.832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Barron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52.452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$26,935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Bayfield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15,008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10.155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$28,272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Brown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262,021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494.651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$29,874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Buffalo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$28,286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Burnett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18.679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$26,308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Calumet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50,057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157.295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$32,713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Chippewa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63.280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28.662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$23,437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Columbia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57,244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74.777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$31,290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$24,391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Dane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536,397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448.028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$37,193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Dodge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100.255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$27,000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Door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27,483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57.021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$34,253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33.190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Dunn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44,693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52.573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$26,354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Eau Claire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103,667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162.492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$27,780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Florence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$28,211</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Fond du Lac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102,543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142.509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$29,431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Forest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$23,936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45.341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63.106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$30,208</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 Lake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53.684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$26,372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Iowa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31.098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$31,717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Iron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$26,689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20.784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$24,740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152.444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$28,819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Juneau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26,576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34.653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$24,376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Kenosha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168,516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619.566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$28,996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Kewaunee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59.690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$28,767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 Crosse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118,271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261.843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Lafayette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26.423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$27,023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Langlade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22.007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$25,142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27,838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31.671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$28,603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Manitowoc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79,175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134.404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$27,777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Marathon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135,731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87.853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$30,151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Marinette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40,310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28.806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$25,778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Marquette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33.600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$26,050</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Menominee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$17,197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Milwaukee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952,079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3,943.953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$26,933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50.650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$26,724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Oconto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37.629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$28,437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Oneida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31.676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$30,550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Outagamie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186,024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291.792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$30,858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Ozaukee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379.394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$45,820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Pepin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7,254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31.269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$27,901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Pierce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41,893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$31,109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43,450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47.540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$27,993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Portage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70,474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88.018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Price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10.716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$27,161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Racine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196,062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589.659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$29,582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Richland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29.883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$24,941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162,305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226.007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$26,954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Rusk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15.490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$23,574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Sauk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77.002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$28,331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Sawyer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16,417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13.057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$29,712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Shawano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40,935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45.837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$26,627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Sheboygan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115,344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225.605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$28,849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Croix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122.793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$36,561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Taylor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20,321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20.845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$26,290</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Trempealeau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40.209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$26,654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Vernon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38.858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$25,314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Vilas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25.309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$29,058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Walworth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103,082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185.691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$29,192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Washburn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19.766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$28,232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135,092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313.655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$36,177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Waukesha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400,602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728.932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Waupaca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68.509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$29,423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Waushara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38.909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$25,838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Winnebago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170,409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392.207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$29,763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92.200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$29,039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Wyoming</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579,313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81.3%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80.7%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5.967</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Albany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$26,034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Big Horn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$23,724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Campbell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$33,200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Carbon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15,303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$27,797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Converse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$31,948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Crook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$34,186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Fremont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39,803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$27,220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Goshen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$27,253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Hot Springs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$30,939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$32,732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Laramie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36.608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$31,554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4.726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$29,516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Natrona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14.895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$31,900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Niobrara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0.913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$23,370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Park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$32,557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Platte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$31,242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Sheridan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11.969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$31,643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Sublette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Sweetwater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$31,700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Teton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$49,200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Uinta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$27,115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Washakie County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$27,345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Weston County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$30,955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American Samoa</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51,504</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0.0%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0.0%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0.0%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673.643</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Eastern District</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831.596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Manu'a District</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47.561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Swains Island</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17.035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Western District</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1,056.592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Guam</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167,358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797.688</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Commonwealth of the Northern Mariana Islands</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52,263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1.5%</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99.6%</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1.5%</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286.639</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Rota Municipality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74.596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Saipan Municipality</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46,770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1,019.178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Tinian Municipality</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72.791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Puerto Rico</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3,337,177</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92.3%</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92.2%</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974.707</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Adjuntas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269.472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Aguada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38,118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1,235.543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$9,001</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Aguadilla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53,164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1,455.407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$10,872</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Aguas Buenas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25,850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859.236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$10,615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Aibonito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738.021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$10,224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Arecibo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683.352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Arroyo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1,191.465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Añasco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688.786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Barceloneta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24,240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1,296.746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$8,762</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Barranquitas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832.373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$7,716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Bayamón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179,565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4,051.193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$14,138</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Cabo Rojo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48,824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693.783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Caguas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129,604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2,211.773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$13,904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Camuy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684.546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Canóvanas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45,823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1,394.276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$11,094</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Carolina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154,489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3,408.803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$16,188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Cataño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24,374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5,031.216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$11,627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Cayey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847.744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$12,594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Ceiba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399.583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$11,840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Ciales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249.920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Cidra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39,813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1,105.264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$10,965</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Coamo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500.831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$10,307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Comerío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681.078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$7,047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Corozal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33,694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791.444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$7,887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Culebra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152.187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$11,450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Dorado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37,026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1,603.646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$15,495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Fajardo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31,324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1,048.888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$10,900</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Florida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774.205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$7,837</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Guayama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41,281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635.173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Guayanilla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440.286</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$8,347</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Guaynabo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3,166.514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$24,264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Gurabo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47,109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1,689.254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$16,559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Guánica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441.643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$7,207</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Hatillo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960.037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$10,360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Hormigueros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16,032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1,413.259</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$11,588</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Humacao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52,771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1,179.117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$11,682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Isabela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41,949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758.521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$8,798</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Jayuya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328.407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$7,179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Juana Díaz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769.777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$10,244</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Juncos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39,101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1,476.138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$9,017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Lajas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382.452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Lares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419.396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Las Marías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181.234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$7,154</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Las Piedras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1,111.547</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$10,342</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Loíza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25,926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1,338.723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$8,729</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Luquillo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18,311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709.413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$10,434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Manatí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866.488</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$10,559</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Maricao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5,665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154.686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Maunabo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10,808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513.047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$8,830</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Mayagüez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75,525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972.693</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$10,656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Moca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36,328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721.600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$7,881</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Morovis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799.874</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Naguabo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26,177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506.711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$10,016</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Naranjito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28,306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1,033.015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$8,996</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Orocovis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21,109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331.801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$7,326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Patillas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364.116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Peñuelas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20,447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458.274</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Ponce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140,859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1,227.400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$10,775</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Quebradillas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23,734</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1,046.351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$9,287</w:t>
            </w:r>
          </w:p>
        </w:tc>
      </w:tr>
      <w:tr w:rsidTr="003009B6">
        <w:tblPrEx>
          <w:tblW w:w="0" w:type="auto"/>
          <w:jc w:val="center"/>
          <w:tblLayout w:type="fixed"/>
          <w:tblCellMar>
            <w:left w:w="0" w:type="dxa"/>
            <w:right w:w="0" w:type="dxa"/>
          </w:tblCellMar>
          <w:tblLook w:val="0000"/>
        </w:tblPrEx>
        <w:trPr>
          <w:cantSplit/>
          <w:trHeight w:hRule="exact" w:val="28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Rincón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988.815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$10,220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Río Grande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50,128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826.887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$10,804</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Sabana Grande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22,690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633.220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Salinas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28,216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406.775</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$8,738</w:t>
            </w:r>
          </w:p>
        </w:tc>
      </w:tr>
      <w:tr w:rsidTr="003009B6">
        <w:tblPrEx>
          <w:tblW w:w="0" w:type="auto"/>
          <w:jc w:val="center"/>
          <w:tblLayout w:type="fixed"/>
          <w:tblCellMar>
            <w:left w:w="0" w:type="dxa"/>
            <w:right w:w="0" w:type="dxa"/>
          </w:tblCellMar>
          <w:tblLook w:val="0000"/>
        </w:tblPrEx>
        <w:trPr>
          <w:cantSplit/>
          <w:trHeight w:hRule="exact" w:val="522"/>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Germán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31,654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580.832</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$9,563</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Juan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337,288</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7,049.311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$18,160</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Lorenzo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37,379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703.836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$10,497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Sebastián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37,306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529.741</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$8,072</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Santa Isabel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21,863</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642.589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$10,478</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Toa Alta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73,217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66.7%</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2,710.093</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$14,162</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Toa Baja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78,092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3,360.125</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$12,240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Trujillo Alto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66,675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3,211.062</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$15,703</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Utuado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85.9%</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253.599</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$8,140</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Vega Alta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37,566</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1,354.797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$10,492</w:t>
            </w:r>
          </w:p>
        </w:tc>
      </w:tr>
      <w:tr w:rsidTr="003009B6">
        <w:tblPrEx>
          <w:tblW w:w="0" w:type="auto"/>
          <w:jc w:val="center"/>
          <w:tblLayout w:type="fixed"/>
          <w:tblCellMar>
            <w:left w:w="0" w:type="dxa"/>
            <w:right w:w="0" w:type="dxa"/>
          </w:tblCellMar>
          <w:tblLook w:val="0000"/>
        </w:tblPrEx>
        <w:trPr>
          <w:cantSplit/>
          <w:trHeight w:hRule="exact" w:val="518"/>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Vega Baja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52,436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1,143.490</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$10,197</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Vieques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170.757</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$11,136</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Villalba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22,528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632.158</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$10,449</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Yabucoa Municipio</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33,629</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609.060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$8,672</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Yauco Municipio</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35,635</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522.571</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$8,124</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United States Virgin Islands</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107,268</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99.4%</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99.4%</w:t>
            </w:r>
          </w:p>
        </w:tc>
        <w:tc>
          <w:tcPr>
            <w:tcW w:w="1223" w:type="dxa"/>
            <w:tcBorders>
              <w:top w:val="nil"/>
              <w:left w:val="single" w:sz="8" w:space="0" w:color="000000"/>
              <w:bottom w:val="single" w:sz="8" w:space="0" w:color="000000"/>
              <w:right w:val="single" w:sz="8" w:space="0" w:color="90D9D7"/>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798.588</w:t>
            </w:r>
          </w:p>
        </w:tc>
        <w:tc>
          <w:tcPr>
            <w:tcW w:w="1201"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Croix Island</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51,011</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612.230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0" w:type="auto"/>
          <w:jc w:val="center"/>
          <w:tblLayout w:type="fixed"/>
          <w:tblCellMar>
            <w:left w:w="0" w:type="dxa"/>
            <w:right w:w="0" w:type="dxa"/>
          </w:tblCellMar>
          <w:tblLook w:val="0000"/>
        </w:tblPrEx>
        <w:trPr>
          <w:cantSplit/>
          <w:trHeight w:hRule="exact" w:val="284"/>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John Island</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4,204</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1223"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213.496</w:t>
            </w:r>
          </w:p>
        </w:tc>
        <w:tc>
          <w:tcPr>
            <w:tcW w:w="1201"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0" w:type="auto"/>
          <w:jc w:val="center"/>
          <w:tblLayout w:type="fixed"/>
          <w:tblCellMar>
            <w:left w:w="0" w:type="dxa"/>
            <w:right w:w="0" w:type="dxa"/>
          </w:tblCellMar>
          <w:tblLook w:val="0000"/>
        </w:tblPrEx>
        <w:trPr>
          <w:cantSplit/>
          <w:jc w:val="center"/>
        </w:trPr>
        <w:tc>
          <w:tcPr>
            <w:tcW w:w="2003"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Thomas Island</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52,053</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1223"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1,662.460</w:t>
            </w:r>
          </w:p>
        </w:tc>
        <w:tc>
          <w:tcPr>
            <w:tcW w:w="1201"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bl>
    <w:p w:rsidR="00155C27" w:rsidP="00155C27">
      <w:pPr>
        <w:adjustRightInd w:val="0"/>
        <w:rPr>
          <w:rFonts w:ascii="Times" w:hAnsi="Times" w:cs="Times"/>
          <w:color w:val="000000"/>
        </w:rPr>
      </w:pPr>
    </w:p>
    <w:p w:rsidR="00155C27" w:rsidP="00155C27">
      <w:pPr>
        <w:adjustRightInd w:val="0"/>
        <w:jc w:val="center"/>
        <w:rPr>
          <w:sz w:val="24"/>
          <w:szCs w:val="24"/>
        </w:rPr>
      </w:pPr>
    </w:p>
    <w:p w:rsidR="00155C27" w:rsidP="00C6287D">
      <w:pPr>
        <w:sectPr w:rsidSect="009C760F">
          <w:pgSz w:w="12240" w:h="15840"/>
          <w:pgMar w:top="1440" w:right="1440" w:bottom="1440" w:left="1440" w:header="720" w:footer="720" w:gutter="0"/>
          <w:cols w:space="720"/>
          <w:docGrid w:linePitch="299"/>
        </w:sectPr>
      </w:pPr>
    </w:p>
    <w:p w:rsidR="00155C27" w:rsidRPr="007D7E0F" w:rsidP="00155C27">
      <w:pPr>
        <w:adjustRightInd w:val="0"/>
        <w:spacing w:before="10" w:after="10"/>
        <w:jc w:val="center"/>
        <w:rPr>
          <w:rFonts w:ascii="Times" w:hAnsi="Times" w:cs="Times"/>
          <w:b/>
          <w:bCs/>
          <w:color w:val="000000"/>
          <w:szCs w:val="22"/>
        </w:rPr>
      </w:pPr>
      <w:r w:rsidRPr="007D7E0F">
        <w:rPr>
          <w:rFonts w:ascii="Times" w:hAnsi="Times" w:cs="Times"/>
          <w:b/>
          <w:bCs/>
          <w:color w:val="000000"/>
          <w:szCs w:val="22"/>
        </w:rPr>
        <w:t>APPENDIX 6</w:t>
      </w:r>
    </w:p>
    <w:p w:rsidR="00155C27" w:rsidRPr="007D7E0F" w:rsidP="00155C27">
      <w:pPr>
        <w:adjustRightInd w:val="0"/>
        <w:spacing w:before="10" w:after="10"/>
        <w:jc w:val="center"/>
        <w:rPr>
          <w:rFonts w:ascii="Courier New" w:hAnsi="Courier New" w:cs="Courier New"/>
          <w:color w:val="000000"/>
          <w:szCs w:val="22"/>
        </w:rPr>
      </w:pPr>
    </w:p>
    <w:p w:rsidR="00155C27" w:rsidRPr="007D7E0F" w:rsidP="00155C27">
      <w:pPr>
        <w:adjustRightInd w:val="0"/>
        <w:spacing w:before="10" w:after="10"/>
        <w:jc w:val="center"/>
        <w:rPr>
          <w:rFonts w:ascii="Times" w:hAnsi="Times" w:cs="Times"/>
          <w:b/>
          <w:bCs/>
          <w:color w:val="000000"/>
          <w:szCs w:val="22"/>
        </w:rPr>
      </w:pPr>
      <w:r w:rsidRPr="007D7E0F">
        <w:rPr>
          <w:rFonts w:ascii="Times" w:hAnsi="Times" w:cs="Times"/>
          <w:b/>
          <w:bCs/>
          <w:color w:val="000000"/>
          <w:szCs w:val="22"/>
        </w:rPr>
        <w:t>Americans with Access to Fixed 25 Mbps/3 Mbps and Mobile LTE 5 Mbps/1 Mbps Services By County - Segmented by Urban and Rural Areas (Data as of December 31, 2017)</w:t>
      </w:r>
    </w:p>
    <w:p w:rsidR="00155C27" w:rsidP="00155C27">
      <w:pPr>
        <w:adjustRightInd w:val="0"/>
        <w:rPr>
          <w:rFonts w:ascii="Times" w:hAnsi="Times" w:cs="Times"/>
          <w:b/>
          <w:bCs/>
          <w:color w:val="000000"/>
          <w:sz w:val="16"/>
          <w:szCs w:val="16"/>
        </w:rPr>
      </w:pPr>
    </w:p>
    <w:tbl>
      <w:tblPr>
        <w:tblW w:w="10029" w:type="dxa"/>
        <w:jc w:val="center"/>
        <w:tblLayout w:type="fixed"/>
        <w:tblCellMar>
          <w:left w:w="0" w:type="dxa"/>
          <w:right w:w="0" w:type="dxa"/>
        </w:tblCellMar>
        <w:tblLook w:val="0000"/>
      </w:tblPr>
      <w:tblGrid>
        <w:gridCol w:w="2037"/>
        <w:gridCol w:w="999"/>
        <w:gridCol w:w="999"/>
        <w:gridCol w:w="999"/>
        <w:gridCol w:w="999"/>
        <w:gridCol w:w="999"/>
        <w:gridCol w:w="999"/>
        <w:gridCol w:w="999"/>
        <w:gridCol w:w="999"/>
      </w:tblGrid>
      <w:tr w:rsidTr="003009B6">
        <w:tblPrEx>
          <w:tblW w:w="10029" w:type="dxa"/>
          <w:jc w:val="center"/>
          <w:tblLayout w:type="fixed"/>
          <w:tblCellMar>
            <w:left w:w="0" w:type="dxa"/>
            <w:right w:w="0" w:type="dxa"/>
          </w:tblCellMar>
          <w:tblLook w:val="0000"/>
        </w:tblPrEx>
        <w:trPr>
          <w:cantSplit/>
          <w:tblHeader/>
          <w:jc w:val="center"/>
        </w:trPr>
        <w:tc>
          <w:tcPr>
            <w:tcW w:w="2037" w:type="dxa"/>
            <w:vMerge w:val="restart"/>
            <w:tcBorders>
              <w:top w:val="single" w:sz="8" w:space="0" w:color="000000"/>
              <w:left w:val="single" w:sz="8" w:space="0" w:color="000000"/>
              <w:right w:val="nil"/>
            </w:tcBorders>
            <w:shd w:val="clear" w:color="auto" w:fill="90B0D9"/>
            <w:tcMar>
              <w:left w:w="40" w:type="dxa"/>
              <w:right w:w="40" w:type="dxa"/>
            </w:tcMar>
            <w:vAlign w:val="bottom"/>
          </w:tcPr>
          <w:p w:rsidR="00155C27" w:rsidP="003009B6">
            <w:pPr>
              <w:adjustRightInd w:val="0"/>
              <w:spacing w:before="40" w:after="40"/>
              <w:jc w:val="center"/>
              <w:rPr>
                <w:rFonts w:ascii="Times" w:hAnsi="Times" w:cs="Times"/>
                <w:b/>
                <w:bCs/>
                <w:color w:val="000000"/>
              </w:rPr>
            </w:pPr>
            <w:r>
              <w:rPr>
                <w:rFonts w:ascii="Times" w:hAnsi="Times" w:cs="Times"/>
                <w:b/>
                <w:bCs/>
                <w:color w:val="000000"/>
              </w:rPr>
              <w:t>State, County or County Equivalent</w:t>
            </w:r>
          </w:p>
        </w:tc>
        <w:tc>
          <w:tcPr>
            <w:tcW w:w="3996" w:type="dxa"/>
            <w:gridSpan w:val="4"/>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155C27" w:rsidP="003009B6">
            <w:pPr>
              <w:adjustRightInd w:val="0"/>
              <w:spacing w:before="40" w:after="40"/>
              <w:jc w:val="center"/>
              <w:rPr>
                <w:rFonts w:ascii="Times" w:hAnsi="Times" w:cs="Times"/>
                <w:b/>
                <w:bCs/>
                <w:color w:val="000000"/>
              </w:rPr>
            </w:pPr>
            <w:r>
              <w:rPr>
                <w:rFonts w:ascii="Times" w:hAnsi="Times" w:cs="Times"/>
                <w:b/>
                <w:bCs/>
                <w:color w:val="000000"/>
              </w:rPr>
              <w:t>Urban Areas</w:t>
            </w:r>
          </w:p>
        </w:tc>
        <w:tc>
          <w:tcPr>
            <w:tcW w:w="3996" w:type="dxa"/>
            <w:gridSpan w:val="4"/>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155C27" w:rsidP="003009B6">
            <w:pPr>
              <w:adjustRightInd w:val="0"/>
              <w:spacing w:before="40" w:after="40"/>
              <w:jc w:val="center"/>
              <w:rPr>
                <w:rFonts w:ascii="Times" w:hAnsi="Times" w:cs="Times"/>
                <w:b/>
                <w:bCs/>
                <w:color w:val="000000"/>
              </w:rPr>
            </w:pPr>
            <w:r>
              <w:rPr>
                <w:rFonts w:ascii="Times" w:hAnsi="Times" w:cs="Times"/>
                <w:b/>
                <w:bCs/>
                <w:color w:val="000000"/>
              </w:rPr>
              <w:t>Rural Areas</w:t>
            </w:r>
          </w:p>
        </w:tc>
      </w:tr>
      <w:tr w:rsidTr="003009B6">
        <w:tblPrEx>
          <w:tblW w:w="10029" w:type="dxa"/>
          <w:jc w:val="center"/>
          <w:tblLayout w:type="fixed"/>
          <w:tblCellMar>
            <w:left w:w="0" w:type="dxa"/>
            <w:right w:w="0" w:type="dxa"/>
          </w:tblCellMar>
          <w:tblLook w:val="0000"/>
        </w:tblPrEx>
        <w:trPr>
          <w:cantSplit/>
          <w:tblHeader/>
          <w:jc w:val="center"/>
        </w:trPr>
        <w:tc>
          <w:tcPr>
            <w:tcW w:w="2037" w:type="dxa"/>
            <w:vMerge/>
            <w:tcBorders>
              <w:left w:val="single" w:sz="8" w:space="0" w:color="000000"/>
              <w:bottom w:val="single" w:sz="8" w:space="0" w:color="000000"/>
              <w:right w:val="nil"/>
            </w:tcBorders>
            <w:shd w:val="clear" w:color="auto" w:fill="90B0D9"/>
            <w:tcMar>
              <w:left w:w="40" w:type="dxa"/>
              <w:right w:w="40" w:type="dxa"/>
            </w:tcMar>
            <w:vAlign w:val="bottom"/>
          </w:tcPr>
          <w:p w:rsidR="00155C27" w:rsidP="003009B6">
            <w:pPr>
              <w:adjustRightInd w:val="0"/>
              <w:spacing w:before="40" w:after="40"/>
              <w:jc w:val="center"/>
              <w:rPr>
                <w:rFonts w:ascii="Times" w:hAnsi="Times" w:cs="Times"/>
                <w:b/>
                <w:bCs/>
                <w:color w:val="000000"/>
              </w:rPr>
            </w:pPr>
          </w:p>
        </w:tc>
        <w:tc>
          <w:tcPr>
            <w:tcW w:w="999" w:type="dxa"/>
            <w:tcBorders>
              <w:top w:val="nil"/>
              <w:left w:val="single" w:sz="8" w:space="0" w:color="000000"/>
              <w:bottom w:val="single" w:sz="8" w:space="0" w:color="000000"/>
              <w:right w:val="nil"/>
            </w:tcBorders>
            <w:shd w:val="clear" w:color="auto" w:fill="90B0D9"/>
            <w:tcMar>
              <w:left w:w="40" w:type="dxa"/>
              <w:right w:w="40" w:type="dxa"/>
            </w:tcMar>
            <w:vAlign w:val="bottom"/>
          </w:tcPr>
          <w:p w:rsidR="00155C27" w:rsidP="003009B6">
            <w:pPr>
              <w:adjustRightInd w:val="0"/>
              <w:spacing w:before="40" w:after="40"/>
              <w:jc w:val="center"/>
              <w:rPr>
                <w:rFonts w:ascii="Times" w:hAnsi="Times" w:cs="Times"/>
                <w:b/>
                <w:bCs/>
                <w:color w:val="000000"/>
              </w:rPr>
            </w:pPr>
            <w:r>
              <w:rPr>
                <w:rFonts w:ascii="Times" w:hAnsi="Times" w:cs="Times"/>
                <w:b/>
                <w:bCs/>
                <w:color w:val="000000"/>
              </w:rPr>
              <w:t>Pop. Evaluated</w:t>
            </w:r>
          </w:p>
        </w:tc>
        <w:tc>
          <w:tcPr>
            <w:tcW w:w="999" w:type="dxa"/>
            <w:tcBorders>
              <w:top w:val="nil"/>
              <w:left w:val="single" w:sz="8" w:space="0" w:color="000000"/>
              <w:bottom w:val="single" w:sz="8" w:space="0" w:color="000000"/>
              <w:right w:val="nil"/>
            </w:tcBorders>
            <w:shd w:val="clear" w:color="auto" w:fill="90B0D9"/>
            <w:tcMar>
              <w:left w:w="40" w:type="dxa"/>
              <w:right w:w="40" w:type="dxa"/>
            </w:tcMar>
            <w:vAlign w:val="bottom"/>
          </w:tcPr>
          <w:p w:rsidR="00155C27" w:rsidP="003009B6">
            <w:pPr>
              <w:adjustRightInd w:val="0"/>
              <w:spacing w:before="40" w:after="40"/>
              <w:jc w:val="center"/>
              <w:rPr>
                <w:rFonts w:ascii="Times" w:hAnsi="Times" w:cs="Times"/>
                <w:b/>
                <w:bCs/>
                <w:color w:val="000000"/>
              </w:rPr>
            </w:pPr>
            <w:r>
              <w:rPr>
                <w:rFonts w:ascii="Times" w:hAnsi="Times" w:cs="Times"/>
                <w:b/>
                <w:bCs/>
                <w:color w:val="000000"/>
              </w:rPr>
              <w:t>% of Pop. with Fixed 25 Mbps/</w:t>
            </w:r>
            <w:r>
              <w:rPr>
                <w:rFonts w:ascii="Times" w:hAnsi="Times" w:cs="Times"/>
                <w:b/>
                <w:bCs/>
                <w:color w:val="000000"/>
              </w:rPr>
              <w:br/>
              <w:t>3 Mbps</w:t>
            </w:r>
          </w:p>
        </w:tc>
        <w:tc>
          <w:tcPr>
            <w:tcW w:w="999" w:type="dxa"/>
            <w:tcBorders>
              <w:top w:val="nil"/>
              <w:left w:val="single" w:sz="8" w:space="0" w:color="000000"/>
              <w:bottom w:val="single" w:sz="8" w:space="0" w:color="000000"/>
              <w:right w:val="nil"/>
            </w:tcBorders>
            <w:shd w:val="clear" w:color="auto" w:fill="90B0D9"/>
            <w:tcMar>
              <w:left w:w="40" w:type="dxa"/>
              <w:right w:w="40" w:type="dxa"/>
            </w:tcMar>
            <w:vAlign w:val="bottom"/>
          </w:tcPr>
          <w:p w:rsidR="00155C27" w:rsidP="003009B6">
            <w:pPr>
              <w:adjustRightInd w:val="0"/>
              <w:spacing w:before="40" w:after="40"/>
              <w:jc w:val="center"/>
              <w:rPr>
                <w:rFonts w:ascii="Times" w:hAnsi="Times" w:cs="Times"/>
                <w:b/>
                <w:bCs/>
                <w:color w:val="000000"/>
              </w:rPr>
            </w:pPr>
            <w:r>
              <w:rPr>
                <w:rFonts w:ascii="Times" w:hAnsi="Times" w:cs="Times"/>
                <w:b/>
                <w:bCs/>
                <w:color w:val="000000"/>
              </w:rPr>
              <w:t>% of Pop. with Mobile LTE 5 Mbps/</w:t>
            </w:r>
            <w:r>
              <w:rPr>
                <w:rFonts w:ascii="Times" w:hAnsi="Times" w:cs="Times"/>
                <w:b/>
                <w:bCs/>
                <w:color w:val="000000"/>
              </w:rPr>
              <w:br/>
              <w:t>1 Mbps</w:t>
            </w:r>
          </w:p>
        </w:tc>
        <w:tc>
          <w:tcPr>
            <w:tcW w:w="999" w:type="dxa"/>
            <w:tcBorders>
              <w:top w:val="nil"/>
              <w:left w:val="single" w:sz="8" w:space="0" w:color="000000"/>
              <w:bottom w:val="single" w:sz="8" w:space="0" w:color="000000"/>
              <w:right w:val="nil"/>
            </w:tcBorders>
            <w:shd w:val="clear" w:color="auto" w:fill="90B0D9"/>
            <w:tcMar>
              <w:left w:w="40" w:type="dxa"/>
              <w:right w:w="40" w:type="dxa"/>
            </w:tcMar>
            <w:vAlign w:val="bottom"/>
          </w:tcPr>
          <w:p w:rsidR="00155C27" w:rsidP="003009B6">
            <w:pPr>
              <w:adjustRightInd w:val="0"/>
              <w:spacing w:before="40" w:after="40"/>
              <w:jc w:val="center"/>
              <w:rPr>
                <w:rFonts w:ascii="Times" w:hAnsi="Times" w:cs="Times"/>
                <w:b/>
                <w:bCs/>
                <w:color w:val="000000"/>
              </w:rPr>
            </w:pPr>
            <w:r>
              <w:rPr>
                <w:rFonts w:ascii="Times" w:hAnsi="Times" w:cs="Times"/>
                <w:b/>
                <w:bCs/>
                <w:color w:val="000000"/>
              </w:rPr>
              <w:t>% of Pop. with Fixed &amp; Mobile LTE</w:t>
            </w:r>
          </w:p>
        </w:tc>
        <w:tc>
          <w:tcPr>
            <w:tcW w:w="999" w:type="dxa"/>
            <w:tcBorders>
              <w:top w:val="nil"/>
              <w:left w:val="single" w:sz="8" w:space="0" w:color="000000"/>
              <w:bottom w:val="single" w:sz="8" w:space="0" w:color="000000"/>
              <w:right w:val="nil"/>
            </w:tcBorders>
            <w:shd w:val="clear" w:color="auto" w:fill="90B0D9"/>
            <w:tcMar>
              <w:left w:w="40" w:type="dxa"/>
              <w:right w:w="40" w:type="dxa"/>
            </w:tcMar>
            <w:vAlign w:val="bottom"/>
          </w:tcPr>
          <w:p w:rsidR="00155C27" w:rsidP="003009B6">
            <w:pPr>
              <w:adjustRightInd w:val="0"/>
              <w:spacing w:before="40" w:after="40"/>
              <w:jc w:val="center"/>
              <w:rPr>
                <w:rFonts w:ascii="Times" w:hAnsi="Times" w:cs="Times"/>
                <w:b/>
                <w:bCs/>
                <w:color w:val="000000"/>
              </w:rPr>
            </w:pPr>
            <w:r>
              <w:rPr>
                <w:rFonts w:ascii="Times" w:hAnsi="Times" w:cs="Times"/>
                <w:b/>
                <w:bCs/>
                <w:color w:val="000000"/>
              </w:rPr>
              <w:t>Pop. Evaluated</w:t>
            </w:r>
          </w:p>
        </w:tc>
        <w:tc>
          <w:tcPr>
            <w:tcW w:w="999" w:type="dxa"/>
            <w:tcBorders>
              <w:top w:val="nil"/>
              <w:left w:val="single" w:sz="8" w:space="0" w:color="000000"/>
              <w:bottom w:val="single" w:sz="8" w:space="0" w:color="000000"/>
              <w:right w:val="nil"/>
            </w:tcBorders>
            <w:shd w:val="clear" w:color="auto" w:fill="90B0D9"/>
            <w:tcMar>
              <w:left w:w="40" w:type="dxa"/>
              <w:right w:w="40" w:type="dxa"/>
            </w:tcMar>
            <w:vAlign w:val="bottom"/>
          </w:tcPr>
          <w:p w:rsidR="00155C27" w:rsidP="003009B6">
            <w:pPr>
              <w:adjustRightInd w:val="0"/>
              <w:spacing w:before="40" w:after="40"/>
              <w:jc w:val="center"/>
              <w:rPr>
                <w:rFonts w:ascii="Times" w:hAnsi="Times" w:cs="Times"/>
                <w:b/>
                <w:bCs/>
                <w:color w:val="000000"/>
              </w:rPr>
            </w:pPr>
            <w:r>
              <w:rPr>
                <w:rFonts w:ascii="Times" w:hAnsi="Times" w:cs="Times"/>
                <w:b/>
                <w:bCs/>
                <w:color w:val="000000"/>
              </w:rPr>
              <w:t>% of Pop. with Fixed 25 Mbps/</w:t>
            </w:r>
            <w:r>
              <w:rPr>
                <w:rFonts w:ascii="Times" w:hAnsi="Times" w:cs="Times"/>
                <w:b/>
                <w:bCs/>
                <w:color w:val="000000"/>
              </w:rPr>
              <w:br/>
              <w:t>3 Mbps</w:t>
            </w:r>
          </w:p>
        </w:tc>
        <w:tc>
          <w:tcPr>
            <w:tcW w:w="999" w:type="dxa"/>
            <w:tcBorders>
              <w:top w:val="nil"/>
              <w:left w:val="single" w:sz="8" w:space="0" w:color="000000"/>
              <w:bottom w:val="single" w:sz="8" w:space="0" w:color="000000"/>
              <w:right w:val="nil"/>
            </w:tcBorders>
            <w:shd w:val="clear" w:color="auto" w:fill="90B0D9"/>
            <w:tcMar>
              <w:left w:w="40" w:type="dxa"/>
              <w:right w:w="40" w:type="dxa"/>
            </w:tcMar>
            <w:vAlign w:val="bottom"/>
          </w:tcPr>
          <w:p w:rsidR="00155C27" w:rsidP="003009B6">
            <w:pPr>
              <w:adjustRightInd w:val="0"/>
              <w:spacing w:before="40" w:after="40"/>
              <w:jc w:val="center"/>
              <w:rPr>
                <w:rFonts w:ascii="Times" w:hAnsi="Times" w:cs="Times"/>
                <w:b/>
                <w:bCs/>
                <w:color w:val="000000"/>
              </w:rPr>
            </w:pPr>
            <w:r>
              <w:rPr>
                <w:rFonts w:ascii="Times" w:hAnsi="Times" w:cs="Times"/>
                <w:b/>
                <w:bCs/>
                <w:color w:val="000000"/>
              </w:rPr>
              <w:t>% of Pop. with Mobile LTE 5</w:t>
            </w:r>
            <w:r>
              <w:rPr>
                <w:rFonts w:ascii="Times" w:hAnsi="Times" w:cs="Times"/>
                <w:b/>
                <w:bCs/>
                <w:color w:val="000000"/>
              </w:rPr>
              <w:br/>
              <w:t>Mbps/ 1 Mbps</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155C27" w:rsidP="003009B6">
            <w:pPr>
              <w:adjustRightInd w:val="0"/>
              <w:spacing w:before="40" w:after="40"/>
              <w:jc w:val="center"/>
              <w:rPr>
                <w:rFonts w:ascii="Times" w:hAnsi="Times" w:cs="Times"/>
                <w:b/>
                <w:bCs/>
                <w:color w:val="000000"/>
              </w:rPr>
            </w:pPr>
            <w:r>
              <w:rPr>
                <w:rFonts w:ascii="Times" w:hAnsi="Times" w:cs="Times"/>
                <w:b/>
                <w:bCs/>
                <w:color w:val="000000"/>
              </w:rPr>
              <w:t>% of Pop. with Fixed &amp; Mobile LTE</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Alabama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2,864,832</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2,009,846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69.7%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99.8%</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Autauga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Baldwin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Barbour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Bibb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Blount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Bullock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Butler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Chambers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Cherokee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Chilton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Choctaw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Cleburne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Coffee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Colbert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Conecuh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Coosa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Covington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Crenshaw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Cullman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Dallas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DeKalb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Elmore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37,034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44,643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Escambia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Etowah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64,010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38,745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Geneva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Houston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40,363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594,243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Lamar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Lauderdale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45,949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113,062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Limestone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Lowndes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Macon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295,754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Marengo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51,094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Mobile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330,516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202,334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Pickens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Randolph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Russell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34,889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Shelby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159,865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53,734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Clair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Sumter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Talladega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Tallapoosa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Tuscaloosa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152,015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Walker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Wilcox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Winston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Alaska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476,908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96.4%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96.3%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262,607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51.6%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74.5%</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Aleutians East Borough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Aleutians West Census Area</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Anchorage Municipality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281,475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Bethel Census Area</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Bristol Bay Borough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Denali Borough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Dillingham Census Area</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Fairbanks North Star Borough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Haines Borough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Hoonah-Angoon Census Area</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Juneau City and Borough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Kenai Peninsula Borough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Ketchikan Gateway Borough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Kodiak Island Borough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Kusilvak Census Area</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and Peninsula Borough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Matanuska-Susitna Borough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Nome Census Area</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North Slope Borough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Northwest Arctic Borough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Petersburg Borough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Prince of Wales-Hyder Census Area</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Sitka City and Borough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Skagway Municipality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r>
      <w:tr w:rsidTr="003009B6">
        <w:tblPrEx>
          <w:tblW w:w="10029" w:type="dxa"/>
          <w:jc w:val="center"/>
          <w:tblLayout w:type="fixed"/>
          <w:tblCellMar>
            <w:left w:w="0" w:type="dxa"/>
            <w:right w:w="0" w:type="dxa"/>
          </w:tblCellMar>
          <w:tblLook w:val="0000"/>
        </w:tblPrEx>
        <w:trPr>
          <w:cantSplit/>
          <w:trHeight w:hRule="exact" w:val="753"/>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Southeast Fairbanks Census Area</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Valdez-Cordova Census Area</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Wrangell City and Borough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Yakutat City and Borough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Yukon-Koyukuk Census Area</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Arizona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6,184,127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93.3%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93.3%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832,079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39.8%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97.1%</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39.8%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Apache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Cochise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Coconino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Gila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Graham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Greenlee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 Paz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Maricopa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4,123,933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183,045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Mohave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155,541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Navajo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Pima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933,544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Pinal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308,560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121,677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Santa Cruz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Yavapai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Yuma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181,717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Arkansas</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1,672,850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94.4%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94.4%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1,331,266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55.9%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99.5%</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55.9%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Arkansas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Ashley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Baxter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190,159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76,091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Boone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Bradley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Chicot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Cleburne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Cleveland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Columbia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Conway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Craighead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Crittenden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Cross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Dallas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Desha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Drew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Faulkner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73,837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49,810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Fulton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Garland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61,791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Hempstead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Hot Spring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Howard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Independence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Izard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Lafayette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Little River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Logan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Lonoke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Miller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Mississippi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Nevada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Ouachita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Phillips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Poinsett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Pope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35,327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Prairie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Pulaski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344,544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49,404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Randolph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Saline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73,919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Searcy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Sebastian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100,724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Sevier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Sharp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Francis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Stone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Van Buren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164,298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Woodruff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California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37,189,761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2,346,633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67.3%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98.9%</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67.1%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Alameda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1,649,866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Alpine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Amador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Calaveras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Colusa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Contra Costa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1,128,012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Del Norte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 Dorado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121,103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67,882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Fresno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862,036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127,214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Glenn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Humboldt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41,886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Imperial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146,089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Inyo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Kern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769,479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123,629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Kings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133,128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Lassen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Los Angeles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10,072,357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Madera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102,740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242,908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Mariposa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Mendocino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Merced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226,962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Modoc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Monterey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384,389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Napa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121,198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Nevada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Orange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3,180,836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Placer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322,110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64,049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Plumas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Riverside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2,258,576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164,661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Sacramento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1,493,167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Benito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Bernardino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2,002,560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154,830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Diego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3,188,327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149,354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Francisco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884,355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Joaquin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675,783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69,626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Luis Obispo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230,528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Mateo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753,787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Santa Barbara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417,613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Santa Clara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1,906,904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Santa Cruz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239,751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Shasta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126,126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53,794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Sierra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Siskiyou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Solano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419,658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Sonoma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435,775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Stanislaus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501,579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Sutter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Tehama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Trinity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Tulare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385,794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Tuolumne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Ventura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821,214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Yolo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199,149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Yuba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54,610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Colorado</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4,737,835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868,533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63.2%</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98.9%</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62.9%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473,966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Alamosa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Arapahoe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627,622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Archuleta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Baca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Boulder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289,358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Broomfield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Chaffee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Cheyenne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Clear Creek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Conejos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Costilla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Crowley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Custer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Delta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Denver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700,657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Dolores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288,307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Eagle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42,100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 Paso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Elbert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Fremont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Garfield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Gilpin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Gunnison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Hinsdale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Huerfano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526,279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Kiowa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Kit Carson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 Plata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Larimer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287,669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Las Animas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Logan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Mesa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131,263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Mineral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Moffat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Montezuma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Montrose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Otero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Ouray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Park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Phillips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Pitkin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Prowers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Pueblo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140,182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Rio Blanco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Rio Grande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Routt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Saguache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Juan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Miguel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Sedgwick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Summit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Teller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Weld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224,724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Yuma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Connecticut</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3,155,048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433,127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Fairfield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904,674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Hartford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846,369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Litchfield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104,445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Middlesex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122,629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 Haven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828,656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 London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197,919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Tolland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58,564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Windham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57,459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58,900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Delaware</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791,712</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170,189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93.8%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93.8%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127,821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 Castle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532,616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Sussex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131,275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District of Columbia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693,881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Florida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18,952,277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98.2%</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98.2%</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2,031,580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77.9%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99.8%</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77.9%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Alachua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204,881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62,054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Baker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157,729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Bradford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Brevard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555,461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Broward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1,934,985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Charlotte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162,936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Citrus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51,044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174,564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Collier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329,352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Columbia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DeSoto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Dixie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Duval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908,013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Escambia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285,558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Flagler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Gadsden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Gilchrist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Glades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Gulf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Hamilton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Hendry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Hernando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148,498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Highlands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Hillsborough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1,352,113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56,406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Holmes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Indian River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143,604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Lafayette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275,471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687,576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251,807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Levy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Liberty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Manatee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356,812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241,575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112,767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Martin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143,924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Miami-Dade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2,727,758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Nassau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41,506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Okaloosa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174,272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Okeechobee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Orange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1,303,820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Osceola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Palm Beach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1,439,972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Pasco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472,908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Pinellas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967,852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584,019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102,418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Putnam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41,171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Santa Rosa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131,208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Sarasota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397,745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Seminole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446,164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Johns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177,818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Lucie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295,603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Sumter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55,192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Suwannee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Taylor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Volusia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480,282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58,407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Wakulla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Georgia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7,870,547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2,558,440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77.6%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99.8%</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77.5%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Appling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Atkinson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Bacon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Baker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Baldwin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Banks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Barrow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54,637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Bartow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 Hill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Berrien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Bibb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131,399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Bleckley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Brantley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Brooks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Bryan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Bulloch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Burke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Butts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Camden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Candler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67,406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50,405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Catoosa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Charlton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Chatham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275,929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Chattahoochee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Chattooga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Cherokee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201,856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118,947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282,134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Clinch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Cobb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753,757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Coffee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Colquitt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Columbia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123,558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Cook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Coweta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49,382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Crisp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Dade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Dawson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DeKalb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751,006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Decatur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Dodge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Dooly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Dougherty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120,546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Early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Echols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Effingham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Elbert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Emanuel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Evans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Fannin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Floyd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Forsyth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203,752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Fulton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1,027,415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Gilmer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Glascock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Glynn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66,827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Gordon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Grady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Gwinnett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914,928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Habersham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156,572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Hancock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Haralson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Heard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193,323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Houston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134,768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Irwin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Jasper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 Davis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Jenkins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Jones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Lamar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Lanier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Laurens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Liberty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Long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Lowndes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Lumpkin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Macon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McDuffie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McIntosh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Meriwether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Miller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Mitchell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Murray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Muscogee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187,504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73,735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Oconee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Oglethorpe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Paulding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126,212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Peach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Pickens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Pierce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Pike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Pulaski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Putnam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Quitman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Rabun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Randolph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Richmond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182,904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Rockdale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Schley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Screven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Seminole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Spalding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Stephens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Stewart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Sumter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Talbot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Taliaferro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Tattnall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Taylor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Telfair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Terrell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Thomas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Tift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Toombs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Towns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Treutlen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Troup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Turner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Twiggs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Upson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Walker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39,885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Webster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Wheeler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Whitfield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Wilcox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Wilkes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Wilkinson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Worth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Hawaii</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1,295,612</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131,926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71.5%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99.2%</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71.2%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Hawaii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119,205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Honolulu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977,538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Kalawao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Kauai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Maui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137,559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Idaho</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1,186,061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530,731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58.6%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97.6%</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57.9%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422,533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Bannock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Bear Lake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Benewah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Bingham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Blaine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Boise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Bonner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Bonneville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Boundary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Canyon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164,780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51,888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Caribou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Cassia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Clearwater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Custer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Elmore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Fremont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Gem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Gooding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Idaho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Jerome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Kootenai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113,941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43,691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Latah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Lemhi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Lewis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Minidoka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Nez Perce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Oneida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Owyhee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Payette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Power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Shoshone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Twin Falls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Valley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Illinois</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11,328,965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1,472,873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61.1%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61.1%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Alexander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Boone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Brown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Bureau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Champaign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180,377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Christian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Clinton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Cook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5,208,741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Cumberland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 Witt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DeKalb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DuPage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929,591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Edgar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Edwards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Effingham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Fulton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Gallatin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Grundy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Hamilton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Hancock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Henderson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Iroquois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Jasper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Jersey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 Daviess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514,055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Kankakee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Kendall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109,575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Knox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LaSalle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77,163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694,437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Livingston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Logan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Macon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Macoupin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229,530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Massac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McDonough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McHenry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277,920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McLean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141,673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Menard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Mercer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Moultrie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Ogle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Peoria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155,060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Piatt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Pope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Pulaski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Putnam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Randolph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Richland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 Island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128,621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Saline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Sangamon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168,116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Schuyler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Shelby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Clair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236,128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Stark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Stephenson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Tazewell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105,576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Vermilion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52,539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Wabash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Whiteside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35,084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664,141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Williamson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Winnebago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Woodford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Indiana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4,825,643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1,840,835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67.4%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327,376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45,479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Bartholomew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53,233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Blackford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Boone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Brown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Clinton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Daviess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DeKalb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Dearborn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Decatur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Delaware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Dubois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Elkhart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162,415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Floyd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61,279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Fountain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Fulton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Gibson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Hamilton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299,722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Hancock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Hendricks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132,414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Howard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Huntington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Jasper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Jennings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128,646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Knox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Kosciusko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LaGrange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LaPorte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465,561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944,071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Martin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Miami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114,531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Noble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Ohio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Orange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Owen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Parke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Porter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133,286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Posey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Pulaski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Putnam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Randolph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Ripley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Rush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Shelby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Spencer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Joseph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245,915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Starke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Steuben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Sullivan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Switzerland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Tippecanoe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159,588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Tipton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Vanderburgh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164,793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Vermillion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Vigo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Wabash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Warrick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42.1%</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Wells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Whitley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Iowa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2,009,343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1,136,155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77.5%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99.6%</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77.3%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Adair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Allamakee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Appanoose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Audubon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Black Hawk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114,197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Boone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Bremer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Buchanan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Buena Vista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Butler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Cedar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Cerro Gordo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Cherokee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Chickasaw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Clinton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Dallas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54,251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Davis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Decatur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Delaware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Des Moines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Dickinson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Dubuque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Emmet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Floyd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Fremont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Grundy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Guthrie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Hamilton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Hancock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Howard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Humboldt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Ida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Iowa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Jasper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116,111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Jones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Keokuk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Kossuth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192,658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Louisa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Lucas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Lyon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Mahaska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Mills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Mitchell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Monona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Muscatine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O'Brien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Osceola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Page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Palo Alto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Plymouth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Pocahontas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453,270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Pottawattamie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68,360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Poweshiek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Ringgold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Sac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148,072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Shelby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Sioux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Story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Tama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Taylor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Van Buren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Wapello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Webster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Winnebago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Winneshiek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Woodbury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Worth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Wright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Kansas</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2,157,135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755,818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71.8%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71.8%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Anderson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Atchison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Barber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Bourbon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Brown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Butler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Chase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Chautauqua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Cherokee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Cheyenne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Cloud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Coffey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Comanche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Cowley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Decatur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Dickinson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Doniphan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Edwards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Ellis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Ellsworth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Finney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Geary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Gove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Graham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Greeley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Greenwood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Hamilton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Harper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Harvey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Haskell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Hodgeman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Jewell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563,640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Kearny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Kingman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Kiowa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Labette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Leavenworth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Logan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Lyon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McPherson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Meade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Miami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Mitchell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Morris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Nemaha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Neosho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Ness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Osage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Osborne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Ottawa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Pawnee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Phillips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Pottawatomie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Pratt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Rawlins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Reno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Republic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Riley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Rooks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Rush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Russell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Saline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Sedgwick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471,909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Seward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Shawnee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149,762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Sheridan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Sherman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Smith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Stafford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Stanton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Stevens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Sumner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Thomas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Trego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Wabaunsee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Wallace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Wichita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Wyandotte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154,652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Kentucky</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2,624,295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1,829,833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79.7%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97.0%</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Adair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Anderson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Ballard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Barren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Bath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Boone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111,530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Bourbon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Boyd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Boyle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Bracken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Breathitt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50.1%</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Breckinridge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Bullitt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Butler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Caldwell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Calloway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Campbell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78,012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Carlisle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Christian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Clinton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Crittenden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Cumberland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Daviess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Edmonson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Elliott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Estill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310,126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Fleming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Floyd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Fulton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Gallatin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Garrard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Graves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Grayson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Greenup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Hancock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Harlan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Henderson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Hickman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Hopkins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759,657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Jessamine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38,729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153,337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Knott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Knox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Larue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Laurel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34,079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Leslie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Letcher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Lewis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Livingston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Logan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Lyon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36,394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Magoffin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Martin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McCracken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McCreary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McLean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Meade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Menifee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Mercer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Metcalfe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Muhlenberg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Nelson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Nicholas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Ohio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Oldham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Owen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Owsley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Pendleton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Pike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51,039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Powell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Pulaski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35,018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Robertson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Rockcastle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Rowan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Russell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Shelby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Simpson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Spencer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Taylor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Todd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Trigg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Trimble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Webster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Whitley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Wolfe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Woodford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Louisiana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3,428,436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96.5%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96.5%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1,255,850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63.3%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63.3%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Acadia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Allen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Ascension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104,411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Assumption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Avoyelles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Beauregard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Bienville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Bossier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Caddo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210,334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Calcasieu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159,837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Caldwell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Cameron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Catahoula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Claiborne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Concordia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 Soto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East Baton Rouge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415,408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East Carroll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East Feliciana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Evangeline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Iberia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Iberville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Davis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433,811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LaSalle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Lafayette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221,166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Lafourche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Livingston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78,845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Morehouse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Natchitoches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Orleans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389,655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Ouachita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117,665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Plaquemines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Pointe Coupee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Rapides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51,838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Red River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Richland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Sabine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Bernard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Charles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Helena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James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John the Baptist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Landry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43,155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40,342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Martin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Mary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44,801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Tammany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191,226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65,099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Tangipahoa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Tensas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Terrebonne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Vermilion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Vernon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Webster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West Baton Rouge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West Carroll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West Feliciana Parish</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Winn Parish</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Maine</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507,125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828,779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89.6%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97.6%</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87.6%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Androscoggin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60,854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46,797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Aroostook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54,376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Cumberland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184,360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108,139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Hancock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49,136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Kennebec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Knox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Oxford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47,757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Penobscot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Piscataquis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Sagadahoc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Somerset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Waldo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York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125,259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Maryland</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5,250,227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801,897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94.8%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94.8%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Allegany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52,300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Anne Arundel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541,272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Baltimore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773,921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58,542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Baltimore city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611,648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Calvert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55,603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Caroline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101,210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66,571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Cecil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43,621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Charles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107,861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51,839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Dorchester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Frederick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183,217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68,802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Garrett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Harford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205,644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Howard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286,336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1,029,965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Prince George's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889,680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Queen Anne's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Somerset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Mary's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Talbot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105,396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Wicomico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75,327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Worcester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Massachusetts</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6,309,137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550,605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92.3%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92.3%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Barnstable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197,419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Berkshire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Bristol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505,735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Dukes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Essex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750,500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Hampden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428,915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Hampshire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116,740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Middlesex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1,552,294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50,641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Nantucket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Norfolk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691,449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Plymouth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460,564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Suffolk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797,278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Worcester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671,268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154,846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Michigan</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7,406,442</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2,555,546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73.1%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99.8%</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73.0%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Alcona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Alger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Allegan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Alpena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Antrim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Arenac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Baraga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71,753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Benzie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Berrien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102,873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Branch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Charlevoix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Cheboygan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Chippewa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Clinton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41,890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Delta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Dickinson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Eaton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67,449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41,578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Emmet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Genesee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336,377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Gladwin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Gogebic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Grand Traverse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Gratiot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Hillsdale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Houghton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Huron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Ingham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250,918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Ionia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Iosco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Iron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Isabella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Kalamazoo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215,688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47,291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Kalkaska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541,475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107,084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Keweenaw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Lapeer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Leelanau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Lenawee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Livingston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118,985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70,647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Luce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Mackinac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Macomb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846,049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Manistee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Marquette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Mecosta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Menominee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Midland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Missaukee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56,882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Montcalm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Montmorency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Muskegon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132,598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Newaygo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Oakland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1,189,927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60,858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Oceana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Ogemaw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Ontonagon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Osceola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Oscoda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Otsego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Ottawa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225,369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Presque Isle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Roscommon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Saginaw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129,327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Sanilac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Schoolcraft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Shiawassee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Clair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Joseph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Tuscola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Van Buren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Washtenaw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1,741,196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Wexford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Minnesota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4,091,665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1,484,595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83.7%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99.8%</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83.6%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Aitkin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Anoka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300,880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50,462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Becker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Beltrami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Big Stone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Blue Earth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Brown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Carlton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Carver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Chippewa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Chisago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Clearwater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Cook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Cottonwood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Crow Wing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Dakota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399,075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Dodge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Faribault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Fillmore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Freeborn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Goodhue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Hennepin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1,221,303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Houston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Hubbard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Isanti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Itasca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Kanabec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Kandiyohi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Kittson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Koochiching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Lac qui Parle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of the Woods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 Sueur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Lyon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Mahnomen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Martin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McLeod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Meeker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Mille Lacs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Morrison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Mower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Murray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Nicollet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Nobles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Norman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Olmsted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125,854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Otter Tail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43,106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Pennington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Pipestone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Pope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Ramsey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546,751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Red Lake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Redwood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Renville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Roseau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118,732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Sherburne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Sibley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Louis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125,413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74,587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Stearns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60,415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Steele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Stevens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Swift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Todd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Traverse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Wabasha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Wadena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Waseca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215,295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Watonwan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Wilkin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Winona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Wright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Yellow Medicine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Mississippi</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1,469,332</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1,514,738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62.6%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99.8%</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62.6%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Alcorn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Amite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Attala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Bolivar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Chickasaw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Choctaw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Claiborne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Coahoma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Copiah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Covington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DeSoto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139,816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Forrest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52,507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George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Grenada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Hancock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156,718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Hinds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201,773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Holmes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Humphreys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Issaquena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Itawamba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103,313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Jasper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Davis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Jones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Kemper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Lafayette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Lamar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Lauderdale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Leake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45,822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Leflore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Lowndes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72,553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Neshoba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Noxubee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Oktibbeha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Panola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Pearl River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38,716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Pontotoc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Prentiss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Quitman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Rankin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Sharkey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Simpson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Smith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Stone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Sunflower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43.6%</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Tallahatchie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Tate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Tippah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Tishomingo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Tunica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Walthall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Webster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Wilkinson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Winston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Yalobusha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Yazoo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Missouri</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4,285,707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1,827,643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65.1%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99.5%</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Adair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Andrew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Atchison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Audrain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Bates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Bollinger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Boone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139,615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Buchanan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Butler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Caldwell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Callaway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Camden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34,013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Cape Girardeau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53,456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Cedar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Chariton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Christian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Clinton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Cooper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Dade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Dallas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Daviess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DeKalb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Dent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Dunklin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Gasconade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Gentry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245,787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Grundy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Hickory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Holt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Howard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Howell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Iron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670,087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Jasper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155,068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Knox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Laclede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Lafayette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Lewis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Livingston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Macon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McDonald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Mercer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Miller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Mississippi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Moniteau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 Madrid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Nodaway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Oregon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Osage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Ozark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Pemiscot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Pettis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Phelps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Pike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Platte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Pulaski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Putnam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Ralls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Randolph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Reynolds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Ripley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Saline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Schuyler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Shannon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Shelby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Charles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366,866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Clair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Francois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Louis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985,139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Louis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308,625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 Genevieve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Stoddard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Stone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Sullivan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Taney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Texas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Vernon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66.9%</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Webster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Worth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Wright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Montana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570,026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97.2%</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480,437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73.0%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95.1%</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70.7%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Beaverhead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Big Horn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Blaine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Broadwater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Carbon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Cascade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65,059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Chouteau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Custer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Daniels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Dawson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Deer Lodge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Fallon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Fergus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Flathead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53,706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Gallatin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Garfield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Glacier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Golden Valley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Granite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Judith Basin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Lewis and Clark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Liberty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McCone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Meagher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Mineral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Missoula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Musselshell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Park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Petroleum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Phillips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Pondera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Powder River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Powell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Prairie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Ravalli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Richland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Roosevelt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Rosebud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Sanders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Sheridan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Silver Bow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Stillwater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Sweet Grass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Toole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Treasure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Valley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Wheatland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Wibaux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Yellowstone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129,264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Nebraska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1,406,401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513,504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58.0%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99.6%</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57.9%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Antelope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Arthur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Banner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Blaine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Boone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Box Butte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Boyd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Brown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Buffalo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Burt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Butler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Cedar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Chase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Cherry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Cheyenne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Colfax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Cuming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Custer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Dakota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Dawes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Dawson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Deuel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Dixon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Dodge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546,377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Dundy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Fillmore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Frontier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Furnas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Gage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Garden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Garfield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Gosper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Greeley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Hamilton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Harlan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Hayes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Hitchcock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Holt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Hooker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Howard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Kearney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Keith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Keya Paha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Kimball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Knox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Lancaster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281,281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Logan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Loup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McPherson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Merrick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Morrill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Nance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Nemaha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Nuckolls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Otoe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Pawnee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Perkins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Phelps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Pierce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Platte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Red Willow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Richardson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Saline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Sarpy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167,898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Saunders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Scotts Bluff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Seward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Sheridan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Sherman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Sioux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Stanton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Thayer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Thomas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Thurston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Valley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Webster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Wheeler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York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Nevada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2,790,285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96.1%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96.1%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207,733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46.5%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96.3%</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Carson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Churchill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2,147,749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Elko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Esmeralda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Eureka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Humboldt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Lander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Lyon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Mineral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Nye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Pershing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Storey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Washoe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430,858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White Pine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New Hampshire</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809,520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533,257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89.1%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99.8%</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89.0%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Belknap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Cheshire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49,676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Coos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Grafton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Hillsborough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321,398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Merrimack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Rockingham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230,161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76,193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Strafford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42,173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Sullivan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New Jersey</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8,539,312</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466,098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Atlantic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234,920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Bergen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947,330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Burlington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418,492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Camden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502,569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Cape May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Cumberland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Essex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808,127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Gloucester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267,751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Hudson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691,606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Hunterdon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62,328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Mercer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361,354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Middlesex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836,803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Monmouth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602,792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Morris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465,541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Ocean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580,057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Passaic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499,740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Salem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Somerset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315,179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Sussex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57,315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563,836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New Mexico</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1,586,350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94.8%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94.8%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501,710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47.3%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98.0%</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47.1%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Bernalillo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644,884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Catron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Chaves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48,837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Cibola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Colfax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Curry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 Baca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Doña Ana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170,173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45,405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Eddy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Guadalupe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Harding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Hidalgo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50,913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Los Alamos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Luna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McKinley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Otero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44,846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Quay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Rio Arriba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Roosevelt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Juan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49,861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Miguel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Sandoval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112,596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Santa Fe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109,603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Sierra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Socorro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Taos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Torrance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Valencia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63,027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New York</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17,494,694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2,354,484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87.1%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99.4%</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86.8%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Albany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278,968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Allegany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Bronx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1,471,098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Broome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141,477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52,162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Cattaraugus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48,633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Cayuga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Chautauqua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Chemung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63,947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Chenango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Clinton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52,117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Columbia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Cortland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Delaware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36,599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Dutchess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219,459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76,109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Erie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837,493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Essex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Fulton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Genesee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Hamilton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Herkimer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58,182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Kings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2,648,578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Lewis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Livingston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35,309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698,951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48,691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Nassau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1,366,764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 York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1,664,727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Niagara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163,355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Oneida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153,950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Onondaga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406,245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Ontario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57,449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52,448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Orange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295,146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Orleans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Oswego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75,102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Otsego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Putnam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Queens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2,358,465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Rensselaer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110,645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Richmond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479,458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Rockland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326,306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Saratoga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159,938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Schenectady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142,709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Schoharie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Schuyler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Seneca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Lawrence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Steuben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37,049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Suffolk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1,452,912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40,040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Sullivan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56,865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Tioga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Tompkins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58,519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Ulster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56,115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Westchester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946,387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Wyoming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Yates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North Carolina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6,856,927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3,416,195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84.8%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99.2%</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84.1%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Alamance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115,104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47,276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Alexander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Alleghany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Ashe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Avery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Beaufort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Bertie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Bladen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Brunswick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Buncombe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192,591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65,016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Burke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51,437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Cabarrus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164,583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Caldwell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Camden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Carteret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Caswell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Catawba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Chatham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Cherokee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Chowan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Cleveland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Columbus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Craven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73,429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Cumberland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286,634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45,908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Currituck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Dare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Davidson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Davie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Duplin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51,131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Durham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290,591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Edgecombe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Forsyth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347,431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56,629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Gaston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176,235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Gates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Graham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Granville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Guilford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456,789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Halifax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Harnett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57,788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Haywood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Henderson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76,179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Hertford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Hyde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Iredell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107,257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103,739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Jones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34,068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Lenoir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Macon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Martin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McDowell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66.4%</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Mecklenburg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1,061,896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Mitchell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Moore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47,227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Nash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48,159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45,832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 Hanover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221,424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Northampton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Onslow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136,208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Orange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100,910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Pamlico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Pasquotank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Pender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Perquimans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Pitt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131,889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47,153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Randolph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Richmond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Robeson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83,901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Rockingham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56,408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Rowan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85,772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Rutherford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Sampson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53,965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Stanly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41,629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Stokes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34,868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Surry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Swain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45.9%</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Transylvania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Tyrrell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166,217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Vance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Wake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997,083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Watauga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Wilkes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50,178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49,814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Yadkin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Yancey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North Dakota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420,281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335,064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87.3%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99.4%</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86.8%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Barnes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Billings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Bottineau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Bowman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Burke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Burleigh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148,273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Cavalier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Dickey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Divide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Dunn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Eddy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Emmons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Foster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Golden Valley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Grand Forks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Griggs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Hettinger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Kidder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LaMoure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Logan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McHenry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McIntosh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McKenzie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McLean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Mercer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Mountrail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Nelson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Oliver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Pembina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Pierce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Ramsey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Ransom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Renville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Rolette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Sargent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Sheridan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Sioux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Slope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Stark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Steele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Stutsman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Towner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Traill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Walsh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49,117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Wells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Williams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Ohio</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9,079,234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2,579,131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78.4%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99.6%</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78.3%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Ashland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Ashtabula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Athens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Auglaize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Belmont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Brown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Butler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344,497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Champaign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102,453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Clermont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156,920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47,294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Clinton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Columbiana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Coshocton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Cuyahoga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1,241,037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Darke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34,822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Defiance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Delaware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159,766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Erie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Fairfield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1,272,964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Fulton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Gallia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Geauga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60,086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140,956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Guernsey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Hamilton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794,936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Hancock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Highland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Hocking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Holmes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Huron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39,373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Knox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215,016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Licking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109,735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63,708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Logan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Lorain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271,575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36,331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Lucas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410,298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Mahoning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193,857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44,904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Medina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124,871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53,477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Meigs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Mercer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Miami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508,254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Morrow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Muskingum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44,836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41,313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Noble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Ottawa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Paulding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Pickaway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Pike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Portage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108,457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Preble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Putnam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Richland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Ross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45,576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Sandusky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Scioto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42,116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Seneca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Shelby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Stark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321,536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51,006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Summit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520,107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Trumbull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144,570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55,810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Tuscarawas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Van Wert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Vinton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188,194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56,125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59,913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Williams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Wyandot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Oklahoma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2,582,135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95.0%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95.0%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1,348,436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48.3%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99.6%</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48.3%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Adair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Alfalfa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Atoka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Beaver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Beckham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Blaine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Bryan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Caddo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Canadian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Cherokee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Choctaw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Cimarron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Cleveland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225,764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Coal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Comanche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Cotton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Craig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Creek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Custer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Delaware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Dewey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Ellis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Garfield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Garvin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Grady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35,565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Harmon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Harper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Haskell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Hughes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Kingfisher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Kiowa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Latimer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 Flore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Logan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Love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Major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Mayes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McClain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McCurtain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McIntosh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Murray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Muskogee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Noble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Nowata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Okfuskee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Oklahoma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728,950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58,951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Okmulgee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Osage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Ottawa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Pawnee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Payne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52,335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Pittsburg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Pontotoc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Pottawatomie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34,824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Pushmataha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Roger Mills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Rogers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47,025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Seminole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Sequoyah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Stephens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Texas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Tillman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Tulsa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612,286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Wagoner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12,762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Washita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Woodward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Oregon</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3,307,148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835,545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68.9%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97.9%</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68.6%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Baker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Clackamas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331,492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Clatsop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Columbia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Coos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Crook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Curry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Deschutes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129,809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Gilliam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Harney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Hood River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169,544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Josephine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Klamath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302,101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Malheur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289,579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Morrow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Multnomah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795,274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63,456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Sherman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Tillamook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Umatilla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Wallowa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Wasco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550,520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Wheeler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Yamhill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Pennsylvania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10,074,358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2,731,093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84.2%</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99.6%</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47,203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55,131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Allegheny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1,192,077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Armstrong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Beaver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122,428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Bedford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Berks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317,499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100,354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Blair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Bradford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Bucks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572,389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Butler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108,181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Cambria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Cameron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Carbon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Centre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107,399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Chester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448,648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70,640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Clearfield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Clinton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Columbia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56,571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Cumberland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192,089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Dauphin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238,110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Delaware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562,003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Erie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218,090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56,451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67,787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63,717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Forest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63,078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Fulton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Huntingdon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Indiana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Juniata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Lackawanna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175,822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Lancaster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425,078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117,825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Lebanon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101,825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Lehigh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336,684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Luzerne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253,602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63,741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Lycoming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McKean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Mercer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51,402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Mifflin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104,137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63,909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801,352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Montour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Northampton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264,230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Northumberland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Philadelphia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1,580,843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Pike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Potter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Schuylkill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53,706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Snyder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Somerset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Sullivan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Susquehanna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34,830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Tioga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Venango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143,027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64,271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Westmoreland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260,188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Wyoming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York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334,475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111,601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Rhode Island</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961,675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97,950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Bristol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150,851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Newport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Providence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601,898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South Carolina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3,317,503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98.2%</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98.2%</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1,706,776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73.7%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73.6%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Abbeville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Aiken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104,570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Allendale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Anderson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122,539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Bamberg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Barnwell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Beaufort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146,185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Berkeley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145,298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Charleston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348,047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Cherokee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Chester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Chesterfield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Clarendon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Colleton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Darlington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Dillon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Dorchester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120,685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Edgefield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Fairfield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Florence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53,914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82.9%</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Georgetown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Greenville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436,974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Greenwood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Hampton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Horry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106,285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Jasper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Kershaw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Lancaster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48,653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Laurens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Lexington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214,915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Marlboro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McCormick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Newberry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Oconee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50,598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Orangeburg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Pickens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45,560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Richland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370,435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41,157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Saluda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Spartanburg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221,221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Sumter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Williamsburg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York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199,914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66,519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South Dakota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480,989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99.2%</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99.2%</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388,382</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76.1%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99.5%</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75.8%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Aurora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Beadle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Bennett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Bon Homme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Brookings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Brown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Brule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Buffalo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Butte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Campbell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Charles Mix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Codington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Custer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Davison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Deuel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Dewey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Edmunds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Fall River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Faulk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Gregory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Haakon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Hamlin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Harding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Hughes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Hutchinson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Hyde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Jerauld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Jones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Kingsbury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Lyman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McCook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McPherson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Meade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Mellette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Miner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Minnehaha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157,401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Moody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71.6%</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Oglala Lakota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Pennington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83,565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Perkins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Potter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Roberts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Sanborn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Spink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Stanley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Sully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Todd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Tripp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Turner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Walworth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Yankton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Ziebach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Tennessee</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4,452,482</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2,263,377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77.0%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99.2%</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76.5%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Anderson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Bedford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Bledsoe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Blount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Bradley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Campbell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Cannon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33,463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Cheatham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33,464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Chester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Claiborne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Cocke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Coffee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28,745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Crockett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53.3%</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Cumberland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36,370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Davidson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666,271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DeKalb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Decatur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Dickson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Dyer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Fentress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Gibson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25,067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Giles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Grainger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23,144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Grundy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Hamblen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Hamilton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323,740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Hancock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Hardeman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Hawkins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Haywood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Henderson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Hickman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Houston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Humphreys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Knox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409,625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52,227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Lake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Lauderdale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Lawrence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Lewis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Loudon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Macon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Maury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51,825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40,333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McMinn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McNairy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Meigs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35,302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155,675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Moore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Obion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Overton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Perry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Pickett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Putnam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49,690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Rhea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Roane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Robertson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32,285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Rutherford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256,879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60,258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Sequatchie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Sevier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56,695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Shelby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910,582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Smith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16,299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Stewart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Sullivan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116,870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Sumner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128,876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54,660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Tipton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Trousdale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Unicoi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Union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Van Buren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15,524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25,127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69.6%</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Weakley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Williamson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174,202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52,048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Texas</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23,645,434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4,658,527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68.9%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68.8%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Anderson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Andrews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Angelina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49,678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Aransas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Archer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Armstrong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Atascosa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30,438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Austin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20,068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Bailey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Bandera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Bastrop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29,351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Baylor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284,493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63,336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Bexar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1,844,810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113,747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Blanco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Borden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Bosque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Bowie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60,501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Brazoria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267,582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Brazos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188,501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Brewster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Briscoe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Brooks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Brown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Burleson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Burnet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Caldwell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Callahan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Cameron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384,125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Camp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Castro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Chambers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Cherokee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Childress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Cochran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Coleman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Collin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896,368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Collingsworth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Colorado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Comal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69,400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71,603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Comanche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Concho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Cooke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Coryell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Cottle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Crockett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Crosby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Culberson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Dallam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Dallas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2,592,522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Dawson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DeWitt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Deaf Smith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Delta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Denton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736,855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Dickens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Dimmit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Donley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Duval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Eastland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Ector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134,305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Edwards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 Paso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808,700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Ellis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111,353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Erath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Falls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Fannin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Fisher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Floyd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Foard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Fort Bend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682,815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Freestone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Frio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Gaines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Galveston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307,851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Garza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Gillespie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Glasscock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Goliad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Gonzales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Grayson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Gregg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106,328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Grimes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Guadalupe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110,313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49,344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Hamilton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Hansford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Hardeman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4,576,220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Hartley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Haskell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Hays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134,429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Hemphill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Henderson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Hidalgo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804,382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Hockley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Hood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Hopkins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Houston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Howard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Hudspeth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Hunt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38,823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Hutchinson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Irion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Jasper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 Davis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233,671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Jim Hogg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Jim Wells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100,801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66,499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Jones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Karnes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Kaufman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66,148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Kendall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Kenedy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Kerr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Kimble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Kinney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Kleberg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Knox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 Salle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Lamar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Lamb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Lampasas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Lavaca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Liberty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Limestone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Lipscomb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Live Oak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Llano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Loving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Lubbock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264,932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Lynn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Martin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Matagorda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Maverick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McCulloch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McLennan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189,952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McMullen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Medina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Menard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Midland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140,165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Milam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Mills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Mitchell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Montague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426,871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144,055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Moore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Morris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Motley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Nacogdoches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Navarro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Nolan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Nueces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333,403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Ochiltree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Oldham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Orange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30,246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Palo Pinto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Panola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Parker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56,602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Parmer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Pecos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38,431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Potter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109,151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Presidio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Rains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Randall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Reagan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Real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Red River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Reeves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Refugio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Roberts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Robertson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Rockwall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Runnels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Rusk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35,057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Sabine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Augustine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Jacinto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Patricio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Saba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Schleicher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Scurry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Shackelford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Shelby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Sherman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Smith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153,471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Somervell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Starr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47,579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Stephens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Sterling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Stonewall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Sutton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Swisher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Tarrant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2,021,604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Taylor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112,843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Terrell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Terry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52.5%</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Throckmorton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Titus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33.3%</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Tom Green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Travis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1,132,897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Trinity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Tyler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Upshur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Upton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Uvalde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Val Verde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Van Zandt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Victoria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65,406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Walker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Waller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18,781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Webb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255,542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Wharton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Wheeler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Wichita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117,878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Wilbarger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Willacy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Williamson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444,904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102,608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Winkler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Wise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Yoakum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Young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12,017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Zapata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Zavala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Utah</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2,719,180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382,583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64.0%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97.8%</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63.7%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Beaver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Box Elder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34,765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Cache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101,236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Carbon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Daggett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Davis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342,806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Duchesne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Emery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Garfield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Iron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Juab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Millard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Piute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Salt Lake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1,118,710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16,932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Juan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Sanpete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Sevier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Summit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Tooele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Uintah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Utah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547,059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59,342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Wasatch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130,498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35,149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Weber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235,337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16,431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Vermont</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240,612</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383,043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83.4%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97.8%</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82.2%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Addison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Bennington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Caledonia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Chittenden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118,673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43,698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Essex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35,364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Grand Isle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Lamoille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Orange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Orleans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Rutland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Windham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Windsor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41,897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Virginia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6,396,667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2,078,499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74.1%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99.1%</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73.5%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Accomack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32,545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Albemarle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51,774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Alexandria city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Alleghany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Amelia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Amherst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Appomattox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Arlington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234,935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Augusta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50,511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Bath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Bedford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62,133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Botetourt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11,797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Bristol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Brunswick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Buchanan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Buckingham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Buena Vista city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Campbell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Caroline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Carroll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Charles City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Charlotte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12,119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Charlottesville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Chesapeake city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219,583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Chesterfield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319,644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Colonial Heights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Covington city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Craig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Culpeper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18,421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Cumberland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Danville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39,299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Dickenson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Dinwiddie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20,276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Emporia city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Essex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Fairfax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1,131,104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Fairfax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Falls Church city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Fauquier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41,079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Floyd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Fluvanna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50,420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Frederick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45,152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41,328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Fredericksburg city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Galax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Giles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Gloucester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24,203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Goochland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Grayson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15,643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Greensville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Halifax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26,916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Hampton city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134,314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Hanover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43,293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Harrisonburg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54,211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Henrico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312,804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Henry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32,088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Highland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Hopewell city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Isle of Wight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James City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61,895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King George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19,500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King William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King and Queen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Lancaster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10,788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23,646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Lexington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Loudoun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326,560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Louisa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Lunenburg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Lynchburg city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Madison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Manassas Park city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Manassas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41,501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Martinsville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Mathews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Mecklenburg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Middlesex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87.4%</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Montgomery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Nelson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14,943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 Kent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Newport News city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179,319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Norfolk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244,703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Northampton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67.9%</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Northumberland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12,274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Norton city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Nottoway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Orange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21,522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Page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Patrick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Petersburg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Pittsylvania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Poquoson city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11,272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Portsmouth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Powhatan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Prince Edward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48.6%</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Prince George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Prince William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436,246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26,711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Pulaski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18,169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Radford city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17,086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Rappahannock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Richmond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Richmond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227,015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Roanoke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Roanoke city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61.5%</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Rockbridge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Rockingham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Russell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Salem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Scott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Shenandoah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28,958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Smyth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Southampton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Spotsylvania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Stafford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114,826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31,823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Staunton city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Suffolk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69,067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21,170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Surry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Sussex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Tazewell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20,101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Virginia Beach city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442,867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Warren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Waynesboro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21,706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91.2%</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Westmoreland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14,078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Williamsburg city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Winchester city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Wise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Wythe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York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63,369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Washington</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6,136,751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1,268,818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88.9%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98.7%</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88.0%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Asotin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Benton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Chelan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54,267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Clallam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47,289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401,887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72,752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Columbia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1,523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Cowlitz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12,944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Ferry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Franklin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Garfield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56,125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39,024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Grays Harbor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Island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40,166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King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2,085,880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102,730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Kitsap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220,414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Kittitas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Klickitat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13,583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Lewis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29,752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22,538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41,164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Okanogan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8,231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Pacific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78.3%</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Pend Oreille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Pierce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808,621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Juan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Skagit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87,038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38,580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Skamania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Snohomish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704,050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97,557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Spokane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430,448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75,687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Stevens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Thurston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216,530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64,052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Wahkiakum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Walla Walla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49,395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Whatcom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159,141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Whitman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33,166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Yakima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188,682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61,505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West Virginia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889,563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97.2%</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97.1%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926,290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72.5%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90.6%</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Barbour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Berkeley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Boone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17,784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Braxton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Brooke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Cabell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74,263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Calhoun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Doddridge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Fayette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Gilmer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Greenbrier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Hampshire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Hancock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20,531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Hardy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Harrison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28,804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Kanawha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136,757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Lewis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20,825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Logan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10,505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23,451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Marshall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16,622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McDowell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Mercer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35,089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24,664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Mineral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17,532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Mingo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21,353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Monongalia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74,876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30,153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Morgan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Nicholas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Ohio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Pendleton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Pleasants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Pocahontas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Preston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30,512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Putnam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Raleigh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45,074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29,948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Randolph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10,844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Ritchie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Roane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Summers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Taylor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10,209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Tucker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Tyler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Upshur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15,801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Wayne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25,965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Webster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Wetzel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Wirt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62,345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22,759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Wyoming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18,607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64.1%</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Wisconsin</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4,050,955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1,744,321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72.1%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99.2%</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71.9%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Adams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19,973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Ashland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6,705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Barron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15,163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Bayfield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Brown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221,389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40,632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Buffalo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Burnett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Calumet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14,221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Chippewa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33,946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Clark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Columbia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22,267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34,977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Crawford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10,152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Dane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456,129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Dodge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44,677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43,109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Door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19,225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Douglas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Dunn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26,689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Eau Claire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78,959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24,708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Florence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Fond du Lac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66,230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36,313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Forest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Grant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34,026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14,509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78.7%</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Green Lake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Iowa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Iron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Jackson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Jefferson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55,698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Juneau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22,415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Kenosha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150,160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18,356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Kewaunee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 Crosse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97,783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20,488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Lafayette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16,741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Langlade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11,634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Manitowoc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47,642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Marathon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76,964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58,767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Marinette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Marquette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15,308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70.5%</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Menominee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Milwaukee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950,221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Monroe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26,512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Oconto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Oneida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Outagamie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138,858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47,166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Ozaukee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66,252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Pepin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Pierce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22,868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Polk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37,503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Portage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44,927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Price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13,442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Racine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171,727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Richland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12,876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Rock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128,804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Rusk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Sauk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33,886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30,095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Sawyer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13,844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Shawano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30,609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Sheboygan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82,564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32,780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Croix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40,882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47,815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Taylor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Trempealeau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26,484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Vernon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26,460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Vilas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21,680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Walworth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67,329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35,753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Washburn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13,119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Washington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93,087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42,005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Waukesha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360,529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40,073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Waupaca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17,346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33,879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Waushara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22,007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Winnebago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146,845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23,564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Wood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45,790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Wyoming</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359,500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219,813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52.8%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96.8%</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51.2%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Albany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92.3%</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Big Horn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11,906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Campbell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31,454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14,788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Carbon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6,753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Converse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Crook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Fremont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19,164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20,639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Goshen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7,129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Hot Springs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Johnson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Laramie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75,263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23,064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Lincoln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16,107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Natrona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61,319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65.0%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Niobrara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98.4%</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Park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13,665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Platte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Sheridan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11,150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Sublette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Sweetwater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37,792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5,742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Teton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11,878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11,387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Uinta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11,440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9,055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Washakie County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Weston County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3,806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American Samoa</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43,763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7,741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0.0%</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Eastern District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18,247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Manu'a District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Swains Island</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Western District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3,547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Guam</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156,192</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11,166</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99.0%</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Commonwealth of the Northern Mariana Islands</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46,479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1.7%</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5,784</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0.1%</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96.7%</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0.1%</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Rota Municipality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Saipan Municipality</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43,922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Tinian Municipality</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Puerto Rico</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3,122,699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94.0%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94.0%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214,478</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67.5%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98.1%</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66.2%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Adjuntas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8,079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Aguada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38,118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Aguadilla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53,121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Aguas Buenas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22,939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Aibonito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20,311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Arecibo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78,201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7,865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Arroyo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17,147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Añasco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23,374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63.3%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Barceloneta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23,740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Barranquitas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27,613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Bayamón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179,541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83.3%</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Cabo Rojo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46,525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Caguas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128,421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1,183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Camuy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27,481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Canóvanas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44,756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56.3%</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Carolina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154,199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Cataño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Cayey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4,407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Ceiba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10,349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1,253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Ciales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6,714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69.8%</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Cidra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71.4%</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Coamo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31,626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7,445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Comerío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16,885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2,458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39.6%</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Corozal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Culebra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1,769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Dorado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37,016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Fajardo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30,503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Florida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85.0%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Guayama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37,157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4,124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62.2%</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Guayanilla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16,372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95.2%</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42.6%</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Guaynabo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87,315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Gurabo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46,931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Guánica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14,859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1,504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Hatillo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35,854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4,257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Hormigueros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15,998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Humacao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52,489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Isabela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39,136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2,813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Jayuya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9,697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92.5%</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Juana Díaz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43,692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89.5%</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Juncos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37,861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75.7%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Lajas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18,549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Lares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18,881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87.7%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Las Marías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39.1%</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Las Piedras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36,738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60.4%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Loíza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25,705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Luquillo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16,574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1,737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Manatí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36,181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2,922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Maricao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2,401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Maunabo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8,189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2,619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Mayagüez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72,238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3,287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99.7%</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83.0%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Moca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31,728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96.5%</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93.7%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Morovis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27,556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3,536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29.5%</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Naguabo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23,962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2,215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Naranjito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28,306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Orocovis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13,264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7,845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91.9%</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28.2%</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Patillas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12,634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4,370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55.7%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Peñuelas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17,208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59.8%</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Ponce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133,634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7,225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99.8%</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Quebradillas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21,837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79.9%</w:t>
            </w:r>
          </w:p>
        </w:tc>
      </w:tr>
      <w:tr w:rsidTr="003009B6">
        <w:tblPrEx>
          <w:tblW w:w="10029" w:type="dxa"/>
          <w:jc w:val="center"/>
          <w:tblLayout w:type="fixed"/>
          <w:tblCellMar>
            <w:left w:w="0" w:type="dxa"/>
            <w:right w:w="0" w:type="dxa"/>
          </w:tblCellMar>
          <w:tblLook w:val="0000"/>
        </w:tblPrEx>
        <w:trPr>
          <w:cantSplit/>
          <w:trHeight w:hRule="exact" w:val="28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Rincón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14,128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Río Grande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48,740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90.7%</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Sabana Grande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20,709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1,981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50.7%</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Salinas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24,389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91.6%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3,827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49.9%</w:t>
            </w:r>
          </w:p>
        </w:tc>
      </w:tr>
      <w:tr w:rsidTr="003009B6">
        <w:tblPrEx>
          <w:tblW w:w="10029" w:type="dxa"/>
          <w:jc w:val="center"/>
          <w:tblLayout w:type="fixed"/>
          <w:tblCellMar>
            <w:left w:w="0" w:type="dxa"/>
            <w:right w:w="0" w:type="dxa"/>
          </w:tblCellMar>
          <w:tblLook w:val="0000"/>
        </w:tblPrEx>
        <w:trPr>
          <w:cantSplit/>
          <w:trHeight w:hRule="exact" w:val="522"/>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Germán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28,533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3,121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53.0%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Juan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337,288</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Lorenzo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33,066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4,313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 Sebastián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32,364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88.0%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4,942</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62.5%</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Santa Isabel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18,949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2,914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89.1%</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Toa Alta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73,217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Toa Baja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78,092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Trujillo Alto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66,675</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Utuado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14,649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97.2%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14,142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98.3%</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73.9%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Vega Alta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36,873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95.4%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693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99.4%</w:t>
            </w:r>
          </w:p>
        </w:tc>
      </w:tr>
      <w:tr w:rsidTr="003009B6">
        <w:tblPrEx>
          <w:tblW w:w="10029" w:type="dxa"/>
          <w:jc w:val="center"/>
          <w:tblLayout w:type="fixed"/>
          <w:tblCellMar>
            <w:left w:w="0" w:type="dxa"/>
            <w:right w:w="0" w:type="dxa"/>
          </w:tblCellMar>
          <w:tblLook w:val="0000"/>
        </w:tblPrEx>
        <w:trPr>
          <w:cantSplit/>
          <w:trHeight w:hRule="exact" w:val="518"/>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Vega Baja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50,312</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96.3%</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2,124</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79.6%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Vieques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7,626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1,043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39.9%</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Villalba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19,088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99.5%</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3,440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99.9%</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80.9%</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Yabucoa Municipio</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28,490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84.9%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5,139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80.3%</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Yauco Municipio</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28,436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7,199</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74.1%</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94.0%</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68.4%</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rPr>
                <w:rFonts w:ascii="Times" w:hAnsi="Times" w:cs="Times"/>
                <w:b/>
                <w:bCs/>
                <w:color w:val="000000"/>
              </w:rPr>
            </w:pPr>
            <w:r>
              <w:rPr>
                <w:rFonts w:ascii="Times" w:hAnsi="Times" w:cs="Times"/>
                <w:b/>
                <w:bCs/>
                <w:color w:val="000000"/>
              </w:rPr>
              <w:t>United States Virgin Islands</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100,703</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100.0%</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6,565</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99.9%</w:t>
            </w:r>
          </w:p>
        </w:tc>
        <w:tc>
          <w:tcPr>
            <w:tcW w:w="999"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91.1%</w:t>
            </w:r>
          </w:p>
        </w:tc>
        <w:tc>
          <w:tcPr>
            <w:tcW w:w="999" w:type="dxa"/>
            <w:tcBorders>
              <w:top w:val="nil"/>
              <w:left w:val="single" w:sz="8" w:space="0" w:color="000000"/>
              <w:bottom w:val="single" w:sz="8" w:space="0" w:color="000000"/>
              <w:right w:val="single" w:sz="8" w:space="0" w:color="000000"/>
            </w:tcBorders>
            <w:shd w:val="clear" w:color="auto" w:fill="90B0D9"/>
            <w:tcMar>
              <w:left w:w="40" w:type="dxa"/>
              <w:right w:w="40" w:type="dxa"/>
            </w:tcMar>
          </w:tcPr>
          <w:p w:rsidR="00155C27" w:rsidP="003009B6">
            <w:pPr>
              <w:adjustRightInd w:val="0"/>
              <w:spacing w:before="40" w:after="40"/>
              <w:jc w:val="right"/>
              <w:rPr>
                <w:rFonts w:ascii="Times" w:hAnsi="Times" w:cs="Times"/>
                <w:b/>
                <w:bCs/>
                <w:color w:val="000000"/>
              </w:rPr>
            </w:pPr>
            <w:r>
              <w:rPr>
                <w:rFonts w:ascii="Times" w:hAnsi="Times" w:cs="Times"/>
                <w:b/>
                <w:bCs/>
                <w:color w:val="000000"/>
              </w:rPr>
              <w:t>91.0%</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Croix Island</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46,381</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4,630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92.7%</w:t>
            </w:r>
          </w:p>
        </w:tc>
      </w:tr>
      <w:tr w:rsidTr="003009B6">
        <w:tblPrEx>
          <w:tblW w:w="10029" w:type="dxa"/>
          <w:jc w:val="center"/>
          <w:tblLayout w:type="fixed"/>
          <w:tblCellMar>
            <w:left w:w="0" w:type="dxa"/>
            <w:right w:w="0" w:type="dxa"/>
          </w:tblCellMar>
          <w:tblLook w:val="0000"/>
        </w:tblPrEx>
        <w:trPr>
          <w:cantSplit/>
          <w:trHeight w:hRule="exact" w:val="284"/>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John Island</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3,096</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1,108</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w:t>
            </w:r>
          </w:p>
        </w:tc>
        <w:tc>
          <w:tcPr>
            <w:tcW w:w="99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77.6%</w:t>
            </w:r>
          </w:p>
        </w:tc>
      </w:tr>
      <w:tr w:rsidTr="003009B6">
        <w:tblPrEx>
          <w:tblW w:w="10029" w:type="dxa"/>
          <w:jc w:val="center"/>
          <w:tblLayout w:type="fixed"/>
          <w:tblCellMar>
            <w:left w:w="0" w:type="dxa"/>
            <w:right w:w="0" w:type="dxa"/>
          </w:tblCellMar>
          <w:tblLook w:val="0000"/>
        </w:tblPrEx>
        <w:trPr>
          <w:cantSplit/>
          <w:jc w:val="center"/>
        </w:trPr>
        <w:tc>
          <w:tcPr>
            <w:tcW w:w="2037" w:type="dxa"/>
            <w:tcBorders>
              <w:top w:val="nil"/>
              <w:left w:val="single" w:sz="8" w:space="0" w:color="000000"/>
              <w:bottom w:val="single" w:sz="8" w:space="0" w:color="000000"/>
              <w:right w:val="nil"/>
            </w:tcBorders>
            <w:shd w:val="clear" w:color="auto" w:fill="90B0D9"/>
            <w:tcMar>
              <w:left w:w="40" w:type="dxa"/>
              <w:right w:w="40" w:type="dxa"/>
            </w:tcMar>
          </w:tcPr>
          <w:p w:rsidR="00155C27" w:rsidP="003009B6">
            <w:pPr>
              <w:adjustRightInd w:val="0"/>
              <w:spacing w:before="40" w:after="40"/>
              <w:ind w:firstLine="48"/>
              <w:rPr>
                <w:rFonts w:ascii="Times" w:hAnsi="Times" w:cs="Times"/>
                <w:b/>
                <w:bCs/>
                <w:color w:val="000000"/>
              </w:rPr>
            </w:pPr>
            <w:r>
              <w:rPr>
                <w:rFonts w:ascii="Times" w:hAnsi="Times" w:cs="Times"/>
                <w:b/>
                <w:bCs/>
                <w:color w:val="000000"/>
              </w:rPr>
              <w:t>St. Thomas Island</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51,226</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827</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c>
          <w:tcPr>
            <w:tcW w:w="999" w:type="dxa"/>
            <w:tcBorders>
              <w:top w:val="nil"/>
              <w:left w:val="single" w:sz="8" w:space="0" w:color="000000"/>
              <w:bottom w:val="single" w:sz="8" w:space="0" w:color="000000"/>
              <w:right w:val="nil"/>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100.0%</w:t>
            </w:r>
          </w:p>
        </w:tc>
        <w:tc>
          <w:tcPr>
            <w:tcW w:w="99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155C27" w:rsidP="003009B6">
            <w:pPr>
              <w:adjustRightInd w:val="0"/>
              <w:spacing w:before="40" w:after="40"/>
              <w:jc w:val="right"/>
              <w:rPr>
                <w:rFonts w:ascii="Times" w:hAnsi="Times" w:cs="Times"/>
                <w:color w:val="000000"/>
              </w:rPr>
            </w:pPr>
            <w:r>
              <w:rPr>
                <w:rFonts w:ascii="Times" w:hAnsi="Times" w:cs="Times"/>
                <w:color w:val="000000"/>
              </w:rPr>
              <w:t>98.9%</w:t>
            </w:r>
          </w:p>
        </w:tc>
      </w:tr>
    </w:tbl>
    <w:p w:rsidR="009333C8" w:rsidP="00C6287D">
      <w:pPr>
        <w:sectPr w:rsidSect="003D74E4">
          <w:pgSz w:w="12240" w:h="15840"/>
          <w:pgMar w:top="1440" w:right="1440" w:bottom="1440" w:left="1440" w:header="720" w:footer="1440" w:gutter="0"/>
          <w:cols w:space="720"/>
          <w:docGrid w:linePitch="299"/>
        </w:sectPr>
      </w:pPr>
    </w:p>
    <w:p w:rsidR="009333C8" w:rsidRPr="00D72DE2" w:rsidP="009333C8">
      <w:pPr>
        <w:adjustRightInd w:val="0"/>
        <w:spacing w:before="10" w:after="10"/>
        <w:jc w:val="center"/>
        <w:rPr>
          <w:b/>
          <w:bCs/>
          <w:color w:val="000000"/>
          <w:szCs w:val="22"/>
        </w:rPr>
      </w:pPr>
      <w:r w:rsidRPr="00D72DE2">
        <w:rPr>
          <w:b/>
          <w:bCs/>
          <w:color w:val="000000"/>
          <w:szCs w:val="22"/>
        </w:rPr>
        <w:t>APPENDIX 7</w:t>
      </w:r>
    </w:p>
    <w:p w:rsidR="009333C8" w:rsidRPr="00D72DE2" w:rsidP="009333C8">
      <w:pPr>
        <w:adjustRightInd w:val="0"/>
        <w:spacing w:before="10" w:after="10"/>
        <w:jc w:val="center"/>
        <w:rPr>
          <w:color w:val="000000"/>
          <w:szCs w:val="22"/>
        </w:rPr>
      </w:pPr>
    </w:p>
    <w:p w:rsidR="009333C8" w:rsidRPr="00D72DE2" w:rsidP="009333C8">
      <w:pPr>
        <w:adjustRightInd w:val="0"/>
        <w:spacing w:before="10" w:after="10"/>
        <w:jc w:val="center"/>
        <w:rPr>
          <w:b/>
          <w:bCs/>
          <w:color w:val="000000"/>
          <w:szCs w:val="22"/>
        </w:rPr>
      </w:pPr>
      <w:r w:rsidRPr="00D72DE2">
        <w:rPr>
          <w:b/>
          <w:bCs/>
          <w:color w:val="000000"/>
          <w:szCs w:val="22"/>
        </w:rPr>
        <w:t>Deployment (Millions) of Fixed Terrestrial 25 Mbps/3 Mbps Services and/or</w:t>
      </w:r>
      <w:r>
        <w:rPr>
          <w:b/>
          <w:bCs/>
          <w:color w:val="000000"/>
          <w:szCs w:val="22"/>
        </w:rPr>
        <w:t xml:space="preserve"> </w:t>
      </w:r>
      <w:r w:rsidRPr="00D72DE2">
        <w:rPr>
          <w:b/>
          <w:bCs/>
          <w:color w:val="000000"/>
          <w:szCs w:val="22"/>
        </w:rPr>
        <w:t>Mobile LTE with a Minimum Advertised Speed of 5 Mbps/1 Mbps by Tribal Lands and State (December 31,</w:t>
      </w:r>
      <w:r w:rsidR="00B63070">
        <w:rPr>
          <w:b/>
          <w:bCs/>
          <w:color w:val="000000"/>
          <w:szCs w:val="22"/>
        </w:rPr>
        <w:t xml:space="preserve"> </w:t>
      </w:r>
      <w:r w:rsidRPr="00D72DE2">
        <w:rPr>
          <w:b/>
          <w:bCs/>
          <w:color w:val="000000"/>
          <w:szCs w:val="22"/>
        </w:rPr>
        <w:t>2017)</w:t>
      </w:r>
    </w:p>
    <w:p w:rsidR="009333C8" w:rsidRPr="00D72DE2" w:rsidP="009333C8">
      <w:pPr>
        <w:adjustRightInd w:val="0"/>
        <w:rPr>
          <w:b/>
          <w:bCs/>
          <w:color w:val="000000"/>
        </w:rPr>
      </w:pPr>
    </w:p>
    <w:tbl>
      <w:tblPr>
        <w:tblW w:w="0" w:type="auto"/>
        <w:jc w:val="center"/>
        <w:tblLayout w:type="fixed"/>
        <w:tblCellMar>
          <w:left w:w="0" w:type="dxa"/>
          <w:right w:w="0" w:type="dxa"/>
        </w:tblCellMar>
        <w:tblLook w:val="0000"/>
      </w:tblPr>
      <w:tblGrid>
        <w:gridCol w:w="1656"/>
        <w:gridCol w:w="849"/>
        <w:gridCol w:w="849"/>
        <w:gridCol w:w="849"/>
        <w:gridCol w:w="849"/>
        <w:gridCol w:w="849"/>
        <w:gridCol w:w="849"/>
        <w:gridCol w:w="849"/>
        <w:gridCol w:w="849"/>
        <w:gridCol w:w="849"/>
      </w:tblGrid>
      <w:tr w:rsidTr="003009B6">
        <w:tblPrEx>
          <w:tblW w:w="0" w:type="auto"/>
          <w:jc w:val="center"/>
          <w:tblLayout w:type="fixed"/>
          <w:tblCellMar>
            <w:left w:w="0" w:type="dxa"/>
            <w:right w:w="0" w:type="dxa"/>
          </w:tblCellMar>
          <w:tblLook w:val="0000"/>
        </w:tblPrEx>
        <w:trPr>
          <w:cantSplit/>
          <w:tblHeader/>
          <w:jc w:val="center"/>
        </w:trPr>
        <w:tc>
          <w:tcPr>
            <w:tcW w:w="1656" w:type="dxa"/>
            <w:vMerge w:val="restart"/>
            <w:tcBorders>
              <w:top w:val="single" w:sz="4" w:space="0" w:color="auto"/>
              <w:left w:val="single" w:sz="8" w:space="0" w:color="000000"/>
              <w:right w:val="nil"/>
            </w:tcBorders>
            <w:shd w:val="clear" w:color="auto" w:fill="90B0D9"/>
            <w:tcMar>
              <w:left w:w="40" w:type="dxa"/>
              <w:right w:w="40" w:type="dxa"/>
            </w:tcMar>
            <w:vAlign w:val="bottom"/>
          </w:tcPr>
          <w:p w:rsidR="009333C8" w:rsidRPr="00D72DE2" w:rsidP="003009B6">
            <w:pPr>
              <w:adjustRightInd w:val="0"/>
              <w:spacing w:before="40" w:after="40"/>
              <w:jc w:val="center"/>
              <w:rPr>
                <w:b/>
                <w:bCs/>
                <w:color w:val="000000"/>
              </w:rPr>
            </w:pPr>
          </w:p>
        </w:tc>
        <w:tc>
          <w:tcPr>
            <w:tcW w:w="849" w:type="dxa"/>
            <w:vMerge w:val="restart"/>
            <w:tcBorders>
              <w:top w:val="single" w:sz="4" w:space="0" w:color="auto"/>
              <w:left w:val="single" w:sz="8" w:space="0" w:color="000000"/>
              <w:right w:val="nil"/>
            </w:tcBorders>
            <w:shd w:val="clear" w:color="auto" w:fill="90B0D9"/>
            <w:tcMar>
              <w:left w:w="40" w:type="dxa"/>
              <w:right w:w="40" w:type="dxa"/>
            </w:tcMar>
            <w:vAlign w:val="bottom"/>
          </w:tcPr>
          <w:p w:rsidR="009333C8" w:rsidRPr="00D72DE2" w:rsidP="003009B6">
            <w:pPr>
              <w:adjustRightInd w:val="0"/>
              <w:spacing w:before="40" w:after="40"/>
              <w:jc w:val="center"/>
              <w:rPr>
                <w:b/>
                <w:bCs/>
                <w:color w:val="000000"/>
              </w:rPr>
            </w:pPr>
            <w:r w:rsidRPr="00D72DE2">
              <w:rPr>
                <w:b/>
                <w:bCs/>
                <w:color w:val="000000"/>
              </w:rPr>
              <w:t>Total Pop</w:t>
            </w:r>
          </w:p>
        </w:tc>
        <w:tc>
          <w:tcPr>
            <w:tcW w:w="1698" w:type="dxa"/>
            <w:gridSpan w:val="2"/>
            <w:tcBorders>
              <w:top w:val="single" w:sz="4" w:space="0" w:color="auto"/>
              <w:left w:val="single" w:sz="8" w:space="0" w:color="000000"/>
              <w:bottom w:val="single" w:sz="8" w:space="0" w:color="000000"/>
              <w:right w:val="nil"/>
            </w:tcBorders>
            <w:shd w:val="clear" w:color="auto" w:fill="90B0D9"/>
            <w:tcMar>
              <w:left w:w="40" w:type="dxa"/>
              <w:right w:w="40" w:type="dxa"/>
            </w:tcMar>
            <w:vAlign w:val="bottom"/>
          </w:tcPr>
          <w:p w:rsidR="009333C8" w:rsidRPr="00EB213A" w:rsidP="003009B6">
            <w:pPr>
              <w:adjustRightInd w:val="0"/>
              <w:spacing w:before="40" w:after="40"/>
              <w:jc w:val="center"/>
              <w:rPr>
                <w:b/>
                <w:bCs/>
                <w:color w:val="000000"/>
              </w:rPr>
            </w:pPr>
            <w:r w:rsidRPr="00EB213A">
              <w:rPr>
                <w:b/>
                <w:bCs/>
                <w:color w:val="000000"/>
              </w:rPr>
              <w:t>Fixed 25 Mbps/3 Mbps</w:t>
            </w:r>
          </w:p>
        </w:tc>
        <w:tc>
          <w:tcPr>
            <w:tcW w:w="1698" w:type="dxa"/>
            <w:gridSpan w:val="2"/>
            <w:tcBorders>
              <w:top w:val="single" w:sz="4" w:space="0" w:color="auto"/>
              <w:left w:val="single" w:sz="8" w:space="0" w:color="000000"/>
              <w:bottom w:val="single" w:sz="8" w:space="0" w:color="000000"/>
              <w:right w:val="nil"/>
            </w:tcBorders>
            <w:shd w:val="clear" w:color="auto" w:fill="90B0D9"/>
            <w:tcMar>
              <w:left w:w="40" w:type="dxa"/>
              <w:right w:w="40" w:type="dxa"/>
            </w:tcMar>
            <w:vAlign w:val="bottom"/>
          </w:tcPr>
          <w:p w:rsidR="009333C8" w:rsidRPr="00EB213A" w:rsidP="003009B6">
            <w:pPr>
              <w:adjustRightInd w:val="0"/>
              <w:spacing w:before="40" w:after="40"/>
              <w:jc w:val="center"/>
              <w:rPr>
                <w:b/>
                <w:bCs/>
                <w:color w:val="000000"/>
              </w:rPr>
            </w:pPr>
            <w:r w:rsidRPr="00EB213A">
              <w:rPr>
                <w:b/>
                <w:bCs/>
                <w:color w:val="000000"/>
              </w:rPr>
              <w:t>Mobile LTE 5 Mbps/1 Mbps</w:t>
            </w:r>
          </w:p>
        </w:tc>
        <w:tc>
          <w:tcPr>
            <w:tcW w:w="1698" w:type="dxa"/>
            <w:gridSpan w:val="2"/>
            <w:tcBorders>
              <w:top w:val="single" w:sz="4" w:space="0" w:color="auto"/>
              <w:left w:val="single" w:sz="8" w:space="0" w:color="000000"/>
              <w:bottom w:val="single" w:sz="8" w:space="0" w:color="000000"/>
              <w:right w:val="nil"/>
            </w:tcBorders>
            <w:shd w:val="clear" w:color="auto" w:fill="90B0D9"/>
            <w:tcMar>
              <w:left w:w="40" w:type="dxa"/>
              <w:right w:w="40" w:type="dxa"/>
            </w:tcMar>
            <w:vAlign w:val="bottom"/>
          </w:tcPr>
          <w:p w:rsidR="009333C8" w:rsidRPr="00EB213A" w:rsidP="003009B6">
            <w:pPr>
              <w:adjustRightInd w:val="0"/>
              <w:spacing w:before="40" w:after="40"/>
              <w:jc w:val="center"/>
              <w:rPr>
                <w:b/>
                <w:bCs/>
                <w:color w:val="000000"/>
              </w:rPr>
            </w:pPr>
            <w:r w:rsidRPr="00EB213A">
              <w:rPr>
                <w:b/>
                <w:bCs/>
                <w:color w:val="000000"/>
              </w:rPr>
              <w:t>Fixed 25 Mbps/3 Mbps &amp; Mobile LTE 5 Mbps/1 Mbps</w:t>
            </w:r>
          </w:p>
        </w:tc>
        <w:tc>
          <w:tcPr>
            <w:tcW w:w="1698" w:type="dxa"/>
            <w:gridSpan w:val="2"/>
            <w:tcBorders>
              <w:top w:val="single" w:sz="4" w:space="0" w:color="auto"/>
              <w:left w:val="single" w:sz="8" w:space="0" w:color="000000"/>
              <w:bottom w:val="single" w:sz="8" w:space="0" w:color="000000"/>
              <w:right w:val="single" w:sz="8" w:space="0" w:color="000000"/>
            </w:tcBorders>
            <w:shd w:val="clear" w:color="auto" w:fill="90B0D9"/>
            <w:tcMar>
              <w:left w:w="40" w:type="dxa"/>
              <w:right w:w="40" w:type="dxa"/>
            </w:tcMar>
            <w:vAlign w:val="bottom"/>
          </w:tcPr>
          <w:p w:rsidR="009333C8" w:rsidRPr="00EB213A" w:rsidP="003009B6">
            <w:pPr>
              <w:adjustRightInd w:val="0"/>
              <w:spacing w:before="40" w:after="40"/>
              <w:jc w:val="center"/>
              <w:rPr>
                <w:b/>
                <w:bCs/>
                <w:color w:val="000000"/>
              </w:rPr>
            </w:pPr>
            <w:r w:rsidRPr="00EB213A">
              <w:rPr>
                <w:b/>
                <w:bCs/>
                <w:color w:val="000000"/>
              </w:rPr>
              <w:t>Fixed 25 Mbps/3 Mbps or Mobile LTE 5 Mbps/1 Mbps</w:t>
            </w:r>
          </w:p>
        </w:tc>
      </w:tr>
      <w:tr w:rsidTr="003009B6">
        <w:tblPrEx>
          <w:tblW w:w="0" w:type="auto"/>
          <w:jc w:val="center"/>
          <w:tblLayout w:type="fixed"/>
          <w:tblCellMar>
            <w:left w:w="0" w:type="dxa"/>
            <w:right w:w="0" w:type="dxa"/>
          </w:tblCellMar>
          <w:tblLook w:val="0000"/>
        </w:tblPrEx>
        <w:trPr>
          <w:cantSplit/>
          <w:tblHeader/>
          <w:jc w:val="center"/>
        </w:trPr>
        <w:tc>
          <w:tcPr>
            <w:tcW w:w="1656" w:type="dxa"/>
            <w:vMerge/>
            <w:tcBorders>
              <w:left w:val="single" w:sz="8" w:space="0" w:color="000000"/>
              <w:bottom w:val="single" w:sz="8" w:space="0" w:color="000000"/>
              <w:right w:val="nil"/>
            </w:tcBorders>
            <w:shd w:val="clear" w:color="auto" w:fill="90B0D9"/>
            <w:tcMar>
              <w:left w:w="40" w:type="dxa"/>
              <w:right w:w="40" w:type="dxa"/>
            </w:tcMar>
            <w:vAlign w:val="bottom"/>
          </w:tcPr>
          <w:p w:rsidR="009333C8" w:rsidRPr="00D72DE2" w:rsidP="003009B6">
            <w:pPr>
              <w:adjustRightInd w:val="0"/>
              <w:spacing w:before="40" w:after="40"/>
              <w:jc w:val="center"/>
              <w:rPr>
                <w:b/>
                <w:bCs/>
                <w:color w:val="000000"/>
              </w:rPr>
            </w:pPr>
          </w:p>
        </w:tc>
        <w:tc>
          <w:tcPr>
            <w:tcW w:w="849" w:type="dxa"/>
            <w:vMerge/>
            <w:tcBorders>
              <w:left w:val="single" w:sz="8" w:space="0" w:color="000000"/>
              <w:bottom w:val="single" w:sz="8" w:space="0" w:color="000000"/>
              <w:right w:val="nil"/>
            </w:tcBorders>
            <w:shd w:val="clear" w:color="auto" w:fill="90B0D9"/>
            <w:tcMar>
              <w:left w:w="40" w:type="dxa"/>
              <w:right w:w="40" w:type="dxa"/>
            </w:tcMar>
            <w:vAlign w:val="bottom"/>
          </w:tcPr>
          <w:p w:rsidR="009333C8" w:rsidRPr="00D72DE2" w:rsidP="003009B6">
            <w:pPr>
              <w:adjustRightInd w:val="0"/>
              <w:spacing w:before="40" w:after="40"/>
              <w:jc w:val="center"/>
              <w:rPr>
                <w:b/>
                <w:bCs/>
                <w:color w:val="000000"/>
              </w:rPr>
            </w:pPr>
          </w:p>
        </w:tc>
        <w:tc>
          <w:tcPr>
            <w:tcW w:w="849" w:type="dxa"/>
            <w:tcBorders>
              <w:top w:val="nil"/>
              <w:left w:val="single" w:sz="8" w:space="0" w:color="000000"/>
              <w:bottom w:val="single" w:sz="8" w:space="0" w:color="000000"/>
              <w:right w:val="nil"/>
            </w:tcBorders>
            <w:shd w:val="clear" w:color="auto" w:fill="90B0D9"/>
            <w:tcMar>
              <w:left w:w="40" w:type="dxa"/>
              <w:right w:w="40" w:type="dxa"/>
            </w:tcMar>
            <w:vAlign w:val="bottom"/>
          </w:tcPr>
          <w:p w:rsidR="009333C8" w:rsidRPr="00D72DE2" w:rsidP="003009B6">
            <w:pPr>
              <w:adjustRightInd w:val="0"/>
              <w:spacing w:before="40" w:after="40"/>
              <w:jc w:val="center"/>
              <w:rPr>
                <w:b/>
                <w:bCs/>
                <w:color w:val="000000"/>
              </w:rPr>
            </w:pPr>
            <w:r w:rsidRPr="00D72DE2">
              <w:rPr>
                <w:b/>
                <w:bCs/>
                <w:color w:val="000000"/>
              </w:rPr>
              <w:t>Pop. with Access</w:t>
            </w:r>
          </w:p>
        </w:tc>
        <w:tc>
          <w:tcPr>
            <w:tcW w:w="849" w:type="dxa"/>
            <w:tcBorders>
              <w:top w:val="nil"/>
              <w:left w:val="single" w:sz="8" w:space="0" w:color="000000"/>
              <w:bottom w:val="single" w:sz="8" w:space="0" w:color="000000"/>
              <w:right w:val="nil"/>
            </w:tcBorders>
            <w:shd w:val="clear" w:color="auto" w:fill="90B0D9"/>
            <w:tcMar>
              <w:left w:w="40" w:type="dxa"/>
              <w:right w:w="40" w:type="dxa"/>
            </w:tcMar>
            <w:vAlign w:val="bottom"/>
          </w:tcPr>
          <w:p w:rsidR="009333C8" w:rsidRPr="00D72DE2" w:rsidP="003009B6">
            <w:pPr>
              <w:adjustRightInd w:val="0"/>
              <w:spacing w:before="40" w:after="40"/>
              <w:jc w:val="center"/>
              <w:rPr>
                <w:b/>
                <w:bCs/>
                <w:color w:val="000000"/>
              </w:rPr>
            </w:pPr>
            <w:r w:rsidRPr="00D72DE2">
              <w:rPr>
                <w:b/>
                <w:bCs/>
                <w:color w:val="000000"/>
              </w:rPr>
              <w:t>% of Pop.</w:t>
            </w:r>
          </w:p>
        </w:tc>
        <w:tc>
          <w:tcPr>
            <w:tcW w:w="849" w:type="dxa"/>
            <w:tcBorders>
              <w:top w:val="nil"/>
              <w:left w:val="single" w:sz="8" w:space="0" w:color="000000"/>
              <w:bottom w:val="single" w:sz="8" w:space="0" w:color="000000"/>
              <w:right w:val="nil"/>
            </w:tcBorders>
            <w:shd w:val="clear" w:color="auto" w:fill="90B0D9"/>
            <w:tcMar>
              <w:left w:w="40" w:type="dxa"/>
              <w:right w:w="40" w:type="dxa"/>
            </w:tcMar>
            <w:vAlign w:val="bottom"/>
          </w:tcPr>
          <w:p w:rsidR="009333C8" w:rsidRPr="00D72DE2" w:rsidP="003009B6">
            <w:pPr>
              <w:adjustRightInd w:val="0"/>
              <w:spacing w:before="40" w:after="40"/>
              <w:jc w:val="center"/>
              <w:rPr>
                <w:b/>
                <w:bCs/>
                <w:color w:val="000000"/>
              </w:rPr>
            </w:pPr>
            <w:r w:rsidRPr="00D72DE2">
              <w:rPr>
                <w:b/>
                <w:bCs/>
                <w:color w:val="000000"/>
              </w:rPr>
              <w:t>Pop. with Access</w:t>
            </w:r>
          </w:p>
        </w:tc>
        <w:tc>
          <w:tcPr>
            <w:tcW w:w="849" w:type="dxa"/>
            <w:tcBorders>
              <w:top w:val="nil"/>
              <w:left w:val="single" w:sz="8" w:space="0" w:color="000000"/>
              <w:bottom w:val="single" w:sz="8" w:space="0" w:color="000000"/>
              <w:right w:val="nil"/>
            </w:tcBorders>
            <w:shd w:val="clear" w:color="auto" w:fill="90B0D9"/>
            <w:tcMar>
              <w:left w:w="40" w:type="dxa"/>
              <w:right w:w="40" w:type="dxa"/>
            </w:tcMar>
            <w:vAlign w:val="bottom"/>
          </w:tcPr>
          <w:p w:rsidR="009333C8" w:rsidRPr="00D72DE2" w:rsidP="003009B6">
            <w:pPr>
              <w:adjustRightInd w:val="0"/>
              <w:spacing w:before="40" w:after="40"/>
              <w:jc w:val="center"/>
              <w:rPr>
                <w:b/>
                <w:bCs/>
                <w:color w:val="000000"/>
              </w:rPr>
            </w:pPr>
            <w:r w:rsidRPr="00D72DE2">
              <w:rPr>
                <w:b/>
                <w:bCs/>
                <w:color w:val="000000"/>
              </w:rPr>
              <w:t>% of Pop.</w:t>
            </w:r>
          </w:p>
        </w:tc>
        <w:tc>
          <w:tcPr>
            <w:tcW w:w="849" w:type="dxa"/>
            <w:tcBorders>
              <w:top w:val="nil"/>
              <w:left w:val="single" w:sz="8" w:space="0" w:color="000000"/>
              <w:bottom w:val="single" w:sz="8" w:space="0" w:color="000000"/>
              <w:right w:val="nil"/>
            </w:tcBorders>
            <w:shd w:val="clear" w:color="auto" w:fill="90B0D9"/>
            <w:tcMar>
              <w:left w:w="40" w:type="dxa"/>
              <w:right w:w="40" w:type="dxa"/>
            </w:tcMar>
            <w:vAlign w:val="bottom"/>
          </w:tcPr>
          <w:p w:rsidR="009333C8" w:rsidRPr="00D72DE2" w:rsidP="003009B6">
            <w:pPr>
              <w:adjustRightInd w:val="0"/>
              <w:spacing w:before="40" w:after="40"/>
              <w:jc w:val="center"/>
              <w:rPr>
                <w:b/>
                <w:bCs/>
                <w:color w:val="000000"/>
              </w:rPr>
            </w:pPr>
            <w:r w:rsidRPr="00D72DE2">
              <w:rPr>
                <w:b/>
                <w:bCs/>
                <w:color w:val="000000"/>
              </w:rPr>
              <w:t>Pop. with Access</w:t>
            </w:r>
          </w:p>
        </w:tc>
        <w:tc>
          <w:tcPr>
            <w:tcW w:w="849" w:type="dxa"/>
            <w:tcBorders>
              <w:top w:val="nil"/>
              <w:left w:val="single" w:sz="8" w:space="0" w:color="000000"/>
              <w:bottom w:val="single" w:sz="8" w:space="0" w:color="000000"/>
              <w:right w:val="nil"/>
            </w:tcBorders>
            <w:shd w:val="clear" w:color="auto" w:fill="90B0D9"/>
            <w:tcMar>
              <w:left w:w="40" w:type="dxa"/>
              <w:right w:w="40" w:type="dxa"/>
            </w:tcMar>
            <w:vAlign w:val="bottom"/>
          </w:tcPr>
          <w:p w:rsidR="009333C8" w:rsidRPr="00D72DE2" w:rsidP="003009B6">
            <w:pPr>
              <w:adjustRightInd w:val="0"/>
              <w:spacing w:before="40" w:after="40"/>
              <w:jc w:val="center"/>
              <w:rPr>
                <w:b/>
                <w:bCs/>
                <w:color w:val="000000"/>
              </w:rPr>
            </w:pPr>
            <w:r w:rsidRPr="00D72DE2">
              <w:rPr>
                <w:b/>
                <w:bCs/>
                <w:color w:val="000000"/>
              </w:rPr>
              <w:t>% of Pop.</w:t>
            </w:r>
          </w:p>
        </w:tc>
        <w:tc>
          <w:tcPr>
            <w:tcW w:w="849" w:type="dxa"/>
            <w:tcBorders>
              <w:top w:val="nil"/>
              <w:left w:val="single" w:sz="8" w:space="0" w:color="000000"/>
              <w:bottom w:val="single" w:sz="8" w:space="0" w:color="000000"/>
              <w:right w:val="nil"/>
            </w:tcBorders>
            <w:shd w:val="clear" w:color="auto" w:fill="90B0D9"/>
            <w:tcMar>
              <w:left w:w="40" w:type="dxa"/>
              <w:right w:w="40" w:type="dxa"/>
            </w:tcMar>
            <w:vAlign w:val="bottom"/>
          </w:tcPr>
          <w:p w:rsidR="009333C8" w:rsidRPr="00D72DE2" w:rsidP="003009B6">
            <w:pPr>
              <w:adjustRightInd w:val="0"/>
              <w:spacing w:before="40" w:after="40"/>
              <w:jc w:val="center"/>
              <w:rPr>
                <w:b/>
                <w:bCs/>
                <w:color w:val="000000"/>
              </w:rPr>
            </w:pPr>
            <w:r w:rsidRPr="00D72DE2">
              <w:rPr>
                <w:b/>
                <w:bCs/>
                <w:color w:val="000000"/>
              </w:rPr>
              <w:t>Pop. with Access</w:t>
            </w:r>
          </w:p>
        </w:tc>
        <w:tc>
          <w:tcPr>
            <w:tcW w:w="849"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9333C8" w:rsidRPr="00D72DE2" w:rsidP="003009B6">
            <w:pPr>
              <w:adjustRightInd w:val="0"/>
              <w:spacing w:before="40" w:after="40"/>
              <w:jc w:val="center"/>
              <w:rPr>
                <w:b/>
                <w:bCs/>
                <w:color w:val="000000"/>
              </w:rPr>
            </w:pPr>
            <w:r w:rsidRPr="00D72DE2">
              <w:rPr>
                <w:b/>
                <w:bCs/>
                <w:color w:val="000000"/>
              </w:rPr>
              <w:t>% of Pop.</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rPr>
                <w:b/>
                <w:bCs/>
                <w:color w:val="000000"/>
              </w:rPr>
            </w:pPr>
            <w:r w:rsidRPr="00D72DE2">
              <w:rPr>
                <w:b/>
                <w:bCs/>
                <w:color w:val="000000"/>
              </w:rPr>
              <w:t>Tribal Lands</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4.017</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2.727</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67.9%</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3.896</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97.0%</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2.716</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67.6%</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3.907</w:t>
            </w:r>
          </w:p>
        </w:tc>
        <w:tc>
          <w:tcPr>
            <w:tcW w:w="84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97.3%</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rPr>
                <w:b/>
                <w:bCs/>
                <w:color w:val="000000"/>
              </w:rPr>
            </w:pPr>
            <w:r w:rsidRPr="00D72DE2">
              <w:rPr>
                <w:b/>
                <w:bCs/>
                <w:color w:val="000000"/>
              </w:rPr>
              <w:t>Alaskan</w:t>
            </w:r>
            <w:r>
              <w:rPr>
                <w:b/>
                <w:bCs/>
                <w:color w:val="000000"/>
              </w:rPr>
              <w:t xml:space="preserve"> Villages</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0.265</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0.154</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58.0%</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0.197</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74.3%</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0.151</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57.0%</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0.200</w:t>
            </w:r>
          </w:p>
        </w:tc>
        <w:tc>
          <w:tcPr>
            <w:tcW w:w="84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75.4%</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rPr>
                <w:b/>
                <w:bCs/>
                <w:color w:val="000000"/>
              </w:rPr>
            </w:pPr>
            <w:r w:rsidRPr="00D72DE2">
              <w:rPr>
                <w:b/>
                <w:bCs/>
                <w:color w:val="000000"/>
              </w:rPr>
              <w:t>Hawaiian</w:t>
            </w:r>
            <w:r>
              <w:rPr>
                <w:b/>
                <w:bCs/>
                <w:color w:val="000000"/>
              </w:rPr>
              <w:t xml:space="preserve"> Homelands</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0.034</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0.030</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89.4%</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0.034</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99.9%</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0.030</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89.4%</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0.034</w:t>
            </w:r>
          </w:p>
        </w:tc>
        <w:tc>
          <w:tcPr>
            <w:tcW w:w="84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99.9%</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rPr>
                <w:b/>
                <w:bCs/>
                <w:color w:val="000000"/>
              </w:rPr>
            </w:pPr>
            <w:r w:rsidRPr="00D72DE2">
              <w:rPr>
                <w:b/>
                <w:bCs/>
                <w:color w:val="000000"/>
              </w:rPr>
              <w:t>Lower</w:t>
            </w:r>
            <w:r>
              <w:rPr>
                <w:b/>
                <w:bCs/>
                <w:color w:val="000000"/>
              </w:rPr>
              <w:t xml:space="preserve"> </w:t>
            </w:r>
            <w:r w:rsidRPr="00D72DE2">
              <w:rPr>
                <w:b/>
                <w:bCs/>
                <w:color w:val="000000"/>
              </w:rPr>
              <w:t>48</w:t>
            </w:r>
            <w:r>
              <w:rPr>
                <w:b/>
                <w:bCs/>
                <w:color w:val="000000"/>
              </w:rPr>
              <w:t xml:space="preserve"> States</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1.117</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0.604</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54.1%</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1.069</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95.7%</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0.595</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53.3%</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1.078</w:t>
            </w:r>
          </w:p>
        </w:tc>
        <w:tc>
          <w:tcPr>
            <w:tcW w:w="84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96.5%</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Alabama</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51.9%</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51.9%</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Alaska</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56.6%</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56.6%</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Arizona</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0.198</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0.020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0.174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87.7%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0.020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0.174</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87.7%</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California</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0.072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0.050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68.7%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0.071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97.9%</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0.050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68.6%</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0.071</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98.0%</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Colorado</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0.016</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0.010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60.0%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0.016</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99.9%</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0.010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60.0%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0.016</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99.9%</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Connecticut</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Florida</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0.005</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82.2%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0.005</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82.2%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0.005</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Idaho</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0.034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0.008</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24.7%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0.033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98.8%</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0.008</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24.5%</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0.033</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99.0%</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Iowa</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70.6%</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70.6%</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Kansas</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0.006</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61.9%</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0.006</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61.9%</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0.006</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Louisiana</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28.3%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28.3%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Maine</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79.0%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44.1%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43.3%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0.002</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79.8%</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Massachusetts</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97.3%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97.3%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Michigan</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0.035</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0.034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97.6%</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0.035</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0.034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97.6%</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0.035</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99.7%</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Minnesota</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0.039</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0.032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81.4%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0.039</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98.4%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0.032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80.4%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0.039</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99.5%</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Mississippi</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0.005</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67.8%</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0.005</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67.8%</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0.007</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Montana</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0.070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0.038</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54.7%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0.062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88.4%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0.034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48.1%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0.066</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95.0%</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Nebraska</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0.009</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44.7%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0.009</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44.7%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0.009</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99.7%</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Nevada</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0.014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0.005</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38.6%</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0.014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98.7%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0.005</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38.6%</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0.014</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98.7%</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New Mexico</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0.148</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0.054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36.2%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0.144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97.3%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0.054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36.2%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0.144</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97.3%</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New York</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0.014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0.011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81.6%</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0.014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0.011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81.6%</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0.014</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North Carolina</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0.009</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2.2%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0.009</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94.8%</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2.2%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0.009</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94.8%</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North Dakota</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0.025</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0.020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80.1%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0.025</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0.020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79.7%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0.025</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99.7%</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Oklahoma</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0.090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0.063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69.3%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0.090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99.8%</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0.063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69.3%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0.090</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99.8%</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Oregon</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0.009</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35.2%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0.009</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99.8%</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35.2%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0.009</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99.8%</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Rhode Island</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33.3%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33.3%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0.000</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South Carolina</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South Dakota</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0.065</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0.042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63.9%</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0.064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98.2%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0.041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62.6%</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0.065</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99.6%</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Texas</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74.0%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74.0%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0.002</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Utah</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0.037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0.017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47.4%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0.034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93.3%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0.017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47.2%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0.034</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93.5%</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Washington</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0.139</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0.128</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92.2%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0.137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98.7%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0.127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91.3%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0.139</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99.6%</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Wisconsin</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0.040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0.032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81.1%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0.040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0.032</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80.5%</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0.040</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99.8%</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Wyoming</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0.026</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0.014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52.9%</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0.026</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98.8%</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0.014</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52.3%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0.026</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99.5%</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rPr>
                <w:b/>
                <w:bCs/>
                <w:color w:val="000000"/>
              </w:rPr>
            </w:pPr>
            <w:r w:rsidRPr="00D72DE2">
              <w:rPr>
                <w:b/>
                <w:bCs/>
                <w:color w:val="000000"/>
              </w:rPr>
              <w:t>Tribal Statistical Areas</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2.601</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1.939</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74.6%</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2.596</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99.8%</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1.939</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74.5%</w:t>
            </w:r>
          </w:p>
        </w:tc>
        <w:tc>
          <w:tcPr>
            <w:tcW w:w="849" w:type="dxa"/>
            <w:tcBorders>
              <w:top w:val="nil"/>
              <w:left w:val="single" w:sz="8" w:space="0" w:color="000000"/>
              <w:bottom w:val="single" w:sz="8" w:space="0" w:color="000000"/>
              <w:right w:val="nil"/>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2.596</w:t>
            </w:r>
          </w:p>
        </w:tc>
        <w:tc>
          <w:tcPr>
            <w:tcW w:w="84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9333C8" w:rsidRPr="00D72DE2" w:rsidP="003009B6">
            <w:pPr>
              <w:adjustRightInd w:val="0"/>
              <w:spacing w:before="40" w:after="40"/>
              <w:jc w:val="right"/>
              <w:rPr>
                <w:color w:val="000000"/>
              </w:rPr>
            </w:pPr>
            <w:r w:rsidRPr="00D72DE2">
              <w:rPr>
                <w:color w:val="000000"/>
              </w:rPr>
              <w:t>99.8%</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California</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0.003</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New York</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53.7%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0.003</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53.7%</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0.003</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Oklahoma</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2.556</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1.895</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74.1%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2.551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99.8%</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1.895</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74.1%</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2.551</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99.8%</w:t>
            </w:r>
          </w:p>
        </w:tc>
      </w:tr>
      <w:tr w:rsidTr="003009B6">
        <w:tblPrEx>
          <w:tblW w:w="0" w:type="auto"/>
          <w:jc w:val="center"/>
          <w:tblLayout w:type="fixed"/>
          <w:tblCellMar>
            <w:left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9333C8" w:rsidRPr="00D72DE2" w:rsidP="003009B6">
            <w:pPr>
              <w:adjustRightInd w:val="0"/>
              <w:spacing w:before="40" w:after="40"/>
              <w:ind w:left="144"/>
              <w:rPr>
                <w:b/>
                <w:bCs/>
                <w:color w:val="000000"/>
              </w:rPr>
            </w:pPr>
            <w:r w:rsidRPr="00D72DE2">
              <w:rPr>
                <w:b/>
                <w:bCs/>
                <w:color w:val="000000"/>
              </w:rPr>
              <w:t>Washington</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0.040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0.040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0.040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0.040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c>
          <w:tcPr>
            <w:tcW w:w="849" w:type="dxa"/>
            <w:tcBorders>
              <w:top w:val="nil"/>
              <w:left w:val="single" w:sz="8" w:space="0" w:color="000000"/>
              <w:bottom w:val="single" w:sz="8" w:space="0" w:color="000000"/>
              <w:right w:val="nil"/>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0.040</w:t>
            </w:r>
          </w:p>
        </w:tc>
        <w:tc>
          <w:tcPr>
            <w:tcW w:w="84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9333C8" w:rsidRPr="00D72DE2" w:rsidP="003009B6">
            <w:pPr>
              <w:adjustRightInd w:val="0"/>
              <w:spacing w:before="40" w:after="40"/>
              <w:jc w:val="right"/>
              <w:rPr>
                <w:color w:val="000000"/>
              </w:rPr>
            </w:pPr>
            <w:r w:rsidRPr="00D72DE2">
              <w:rPr>
                <w:color w:val="000000"/>
              </w:rPr>
              <w:t>100.0%</w:t>
            </w:r>
          </w:p>
        </w:tc>
      </w:tr>
    </w:tbl>
    <w:p w:rsidR="009333C8" w:rsidRPr="00D72DE2" w:rsidP="009333C8">
      <w:pPr>
        <w:adjustRightInd w:val="0"/>
        <w:rPr>
          <w:color w:val="000000"/>
        </w:rPr>
      </w:pPr>
    </w:p>
    <w:p w:rsidR="009333C8" w:rsidP="009333C8">
      <w:pPr>
        <w:adjustRightInd w:val="0"/>
        <w:jc w:val="center"/>
        <w:rPr>
          <w:sz w:val="24"/>
          <w:szCs w:val="24"/>
        </w:rPr>
      </w:pPr>
    </w:p>
    <w:p w:rsidR="006A7E96" w:rsidP="00C6287D">
      <w:pPr>
        <w:sectPr w:rsidSect="00B63070">
          <w:pgSz w:w="12240" w:h="15840"/>
          <w:pgMar w:top="1440" w:right="1440" w:bottom="1440" w:left="1440" w:header="720" w:footer="720" w:gutter="0"/>
          <w:cols w:space="720"/>
          <w:docGrid w:linePitch="299"/>
        </w:sectPr>
      </w:pPr>
    </w:p>
    <w:p w:rsidR="006A7E96" w:rsidRPr="00EC00E2" w:rsidP="006A7E96">
      <w:pPr>
        <w:adjustRightInd w:val="0"/>
        <w:spacing w:before="10" w:after="10"/>
        <w:jc w:val="center"/>
        <w:rPr>
          <w:b/>
          <w:bCs/>
          <w:color w:val="000000"/>
          <w:szCs w:val="22"/>
        </w:rPr>
      </w:pPr>
      <w:r w:rsidRPr="00EC00E2">
        <w:rPr>
          <w:b/>
          <w:bCs/>
          <w:color w:val="000000"/>
          <w:szCs w:val="22"/>
        </w:rPr>
        <w:t>APPENDIX 8</w:t>
      </w:r>
    </w:p>
    <w:p w:rsidR="006A7E96" w:rsidRPr="00EC00E2" w:rsidP="006A7E96">
      <w:pPr>
        <w:adjustRightInd w:val="0"/>
        <w:spacing w:before="10" w:after="10"/>
        <w:jc w:val="center"/>
        <w:rPr>
          <w:color w:val="000000"/>
          <w:sz w:val="16"/>
          <w:szCs w:val="16"/>
        </w:rPr>
      </w:pPr>
    </w:p>
    <w:p w:rsidR="006A7E96" w:rsidRPr="00EC00E2" w:rsidP="006A7E96">
      <w:pPr>
        <w:adjustRightInd w:val="0"/>
        <w:spacing w:before="10" w:after="10"/>
        <w:jc w:val="center"/>
        <w:rPr>
          <w:b/>
          <w:bCs/>
          <w:color w:val="000000"/>
          <w:szCs w:val="22"/>
        </w:rPr>
      </w:pPr>
      <w:r w:rsidRPr="00EC00E2">
        <w:rPr>
          <w:b/>
          <w:bCs/>
          <w:color w:val="000000"/>
          <w:szCs w:val="22"/>
        </w:rPr>
        <w:t>Adoption Rate for Fixed Terrestrial Services in the United States and District of Columbia</w:t>
      </w:r>
    </w:p>
    <w:p w:rsidR="006A7E96" w:rsidRPr="004656EC" w:rsidP="006A7E96">
      <w:pPr>
        <w:adjustRightInd w:val="0"/>
        <w:spacing w:before="10" w:after="10"/>
        <w:jc w:val="center"/>
        <w:rPr>
          <w:b/>
          <w:bCs/>
          <w:color w:val="000000"/>
          <w:szCs w:val="22"/>
        </w:rPr>
      </w:pPr>
      <w:r w:rsidRPr="00EC00E2">
        <w:rPr>
          <w:b/>
          <w:bCs/>
          <w:color w:val="000000"/>
          <w:szCs w:val="22"/>
        </w:rPr>
        <w:t>(As of December 31, 2017</w:t>
      </w:r>
      <w:r w:rsidRPr="00605D19">
        <w:rPr>
          <w:b/>
          <w:bCs/>
          <w:color w:val="000000"/>
          <w:szCs w:val="22"/>
        </w:rPr>
        <w:t>)</w:t>
      </w:r>
      <w:r>
        <w:rPr>
          <w:b/>
          <w:bCs/>
          <w:color w:val="000000"/>
          <w:szCs w:val="22"/>
          <w:vertAlign w:val="superscript"/>
        </w:rPr>
        <w:footnoteReference w:id="243"/>
      </w:r>
    </w:p>
    <w:p w:rsidR="006A7E96" w:rsidRPr="00EC00E2" w:rsidP="006A7E96">
      <w:pPr>
        <w:adjustRightInd w:val="0"/>
        <w:rPr>
          <w:b/>
          <w:bCs/>
          <w:color w:val="000000"/>
          <w:szCs w:val="22"/>
        </w:rPr>
      </w:pPr>
    </w:p>
    <w:tbl>
      <w:tblPr>
        <w:tblW w:w="0" w:type="auto"/>
        <w:jc w:val="center"/>
        <w:tblLayout w:type="fixed"/>
        <w:tblCellMar>
          <w:left w:w="0" w:type="dxa"/>
          <w:right w:w="0" w:type="dxa"/>
        </w:tblCellMar>
        <w:tblLook w:val="0000"/>
      </w:tblPr>
      <w:tblGrid>
        <w:gridCol w:w="2413"/>
        <w:gridCol w:w="1375"/>
        <w:gridCol w:w="1375"/>
        <w:gridCol w:w="1375"/>
        <w:gridCol w:w="1375"/>
        <w:gridCol w:w="1375"/>
      </w:tblGrid>
      <w:tr w:rsidTr="00B63070">
        <w:tblPrEx>
          <w:tblW w:w="0" w:type="auto"/>
          <w:jc w:val="center"/>
          <w:tblLayout w:type="fixed"/>
          <w:tblCellMar>
            <w:left w:w="0" w:type="dxa"/>
            <w:right w:w="0" w:type="dxa"/>
          </w:tblCellMar>
          <w:tblLook w:val="0000"/>
        </w:tblPrEx>
        <w:trPr>
          <w:cantSplit/>
          <w:tblHeader/>
          <w:jc w:val="center"/>
        </w:trPr>
        <w:tc>
          <w:tcPr>
            <w:tcW w:w="2413"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A7E96" w:rsidRPr="00EC00E2" w:rsidP="00B63070">
            <w:pPr>
              <w:adjustRightInd w:val="0"/>
              <w:spacing w:before="40" w:after="40"/>
              <w:jc w:val="center"/>
              <w:rPr>
                <w:b/>
                <w:bCs/>
                <w:color w:val="000000"/>
              </w:rPr>
            </w:pPr>
          </w:p>
        </w:tc>
        <w:tc>
          <w:tcPr>
            <w:tcW w:w="1375"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A7E96" w:rsidRPr="00EC00E2" w:rsidP="00B63070">
            <w:pPr>
              <w:adjustRightInd w:val="0"/>
              <w:spacing w:before="40" w:after="40"/>
              <w:jc w:val="center"/>
              <w:rPr>
                <w:b/>
                <w:bCs/>
                <w:color w:val="000000"/>
              </w:rPr>
            </w:pPr>
            <w:r w:rsidRPr="00EC00E2">
              <w:rPr>
                <w:b/>
                <w:bCs/>
                <w:color w:val="000000"/>
              </w:rPr>
              <w:t>10 Mbps/</w:t>
            </w:r>
            <w:r w:rsidRPr="00EC00E2">
              <w:rPr>
                <w:b/>
                <w:bCs/>
                <w:color w:val="000000"/>
              </w:rPr>
              <w:br/>
              <w:t>1 Mbps</w:t>
            </w:r>
          </w:p>
        </w:tc>
        <w:tc>
          <w:tcPr>
            <w:tcW w:w="1375"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A7E96" w:rsidRPr="00EC00E2" w:rsidP="00B63070">
            <w:pPr>
              <w:adjustRightInd w:val="0"/>
              <w:spacing w:before="40" w:after="40"/>
              <w:jc w:val="center"/>
              <w:rPr>
                <w:b/>
                <w:bCs/>
                <w:color w:val="000000"/>
              </w:rPr>
            </w:pPr>
            <w:r w:rsidRPr="00EC00E2">
              <w:rPr>
                <w:b/>
                <w:bCs/>
                <w:color w:val="000000"/>
              </w:rPr>
              <w:t>25 Mbps/</w:t>
            </w:r>
            <w:r w:rsidRPr="00EC00E2">
              <w:rPr>
                <w:b/>
                <w:bCs/>
                <w:color w:val="000000"/>
              </w:rPr>
              <w:br/>
              <w:t>3 Mbps</w:t>
            </w:r>
          </w:p>
        </w:tc>
        <w:tc>
          <w:tcPr>
            <w:tcW w:w="1375"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A7E96" w:rsidRPr="00EC00E2" w:rsidP="00B63070">
            <w:pPr>
              <w:adjustRightInd w:val="0"/>
              <w:spacing w:before="40" w:after="40"/>
              <w:jc w:val="center"/>
              <w:rPr>
                <w:b/>
                <w:bCs/>
                <w:color w:val="000000"/>
              </w:rPr>
            </w:pPr>
            <w:r w:rsidRPr="00EC00E2">
              <w:rPr>
                <w:b/>
                <w:bCs/>
                <w:color w:val="000000"/>
              </w:rPr>
              <w:t>50 Mbps/</w:t>
            </w:r>
            <w:r w:rsidRPr="00EC00E2">
              <w:rPr>
                <w:b/>
                <w:bCs/>
                <w:color w:val="000000"/>
              </w:rPr>
              <w:br/>
              <w:t>5 Mbps</w:t>
            </w:r>
          </w:p>
        </w:tc>
        <w:tc>
          <w:tcPr>
            <w:tcW w:w="1375"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A7E96" w:rsidRPr="00EC00E2" w:rsidP="00B63070">
            <w:pPr>
              <w:adjustRightInd w:val="0"/>
              <w:spacing w:before="40" w:after="40"/>
              <w:jc w:val="center"/>
              <w:rPr>
                <w:b/>
                <w:bCs/>
                <w:color w:val="000000"/>
              </w:rPr>
            </w:pPr>
            <w:r w:rsidRPr="00EC00E2">
              <w:rPr>
                <w:b/>
                <w:bCs/>
                <w:color w:val="000000"/>
              </w:rPr>
              <w:t>100 Mbps/</w:t>
            </w:r>
            <w:r w:rsidRPr="00EC00E2">
              <w:rPr>
                <w:b/>
                <w:bCs/>
                <w:color w:val="000000"/>
              </w:rPr>
              <w:br/>
              <w:t>10 Mbps</w:t>
            </w:r>
          </w:p>
        </w:tc>
        <w:tc>
          <w:tcPr>
            <w:tcW w:w="1375" w:type="dxa"/>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6A7E96" w:rsidRPr="00EC00E2" w:rsidP="00B63070">
            <w:pPr>
              <w:adjustRightInd w:val="0"/>
              <w:spacing w:before="40" w:after="40"/>
              <w:jc w:val="center"/>
              <w:rPr>
                <w:b/>
                <w:bCs/>
                <w:color w:val="000000"/>
              </w:rPr>
            </w:pPr>
            <w:r w:rsidRPr="00EC00E2">
              <w:rPr>
                <w:b/>
                <w:bCs/>
                <w:color w:val="000000"/>
              </w:rPr>
              <w:t>250 Mbps/</w:t>
            </w:r>
            <w:r w:rsidRPr="00EC00E2">
              <w:rPr>
                <w:b/>
                <w:bCs/>
                <w:color w:val="000000"/>
              </w:rPr>
              <w:br/>
              <w:t>25 Mbps</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United States</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69.7%</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60.2%</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54.8%</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29.6%</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4.1%</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Alabama</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55.4%</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45.7%</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40.2%</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16.9%</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1.7%</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Alaska</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65.8%</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Arizona</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67.2%</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61.0%</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52.7%</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30.5%</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8.0%</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Arkansas</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49.0%</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37.7%</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33.5%</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17.0%</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4.2%</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California</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76.8%</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64.5%</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61.8%</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34.3%</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3.1%</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Colorado</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70.2%</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67.8%</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60.0%</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28.1%</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2.6%</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Connecticut</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77.3%</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63.4%</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55.8%</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30.5%</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Delaware</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86.2%</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83.9%</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74.9%</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32.6%</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District of Columbia</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79.9%</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76.3%</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Florida</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82.9%</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70.1%</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64.8%</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35.5%</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4.4%</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Georgia</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68.2%</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55.2%</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50.7%</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22.8%</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4.5%</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Hawaii</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Idaho</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47.5%</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42.7%</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16.6%</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9.6%</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0.4%</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Illinois</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68.5%</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56.6%</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52.7%</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20.0%</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1.0%</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Indiana</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61.5%</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50.5%</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45.8%</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23.4%</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1.3%</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Iowa</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51.4%</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46.3%</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39.5%</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17.3%</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0.8%</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Kansas</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60.4%</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46.1%</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43.0%</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27.3%</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10.1%</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Kentucky</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54.0%</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41.0%</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36.1%</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30.6%</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1.9%</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Louisiana</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58.0%</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45.5%</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42.7%</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19.1%</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6.1%</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Maine</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63.4%</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44.6%</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34.8%</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27.1%</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Maryland</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81.4%</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77.0%</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68.3%</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30.6%</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Massachusetts</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84.3%</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81.6%</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70.8%</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33.3%</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2.1%</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Michigan</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67.5%</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57.6%</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51.9%</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18.0%</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1.2%</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Minnesota</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62.3%</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56.7%</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50.7%</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16.0%</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1.0%</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Mississippi</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44.3%</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31.7%</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23.5%</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9.7%</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0.8%</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Missouri</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56.9%</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47.0%</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43.7%</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19.9%</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10.2%</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Montana</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55.9%</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52.3%</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53.4%</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17.7%</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Nebraska</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59.7%</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51.2%</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46.5%</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29.4%</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8.5%</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Nevada</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75.1%</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61.0%</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58.4%</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New Hampshire</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76.6%</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72.3%</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61.7%</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32.8%</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New Jersey</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86.2%</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83.5%</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76.5%</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42.9%</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New Mexico</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44.7%</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42.8%</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36.4%</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12.6%</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0.8%</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New York</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78.0%</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71.3%</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66.3%</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44.6%</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North Carolina</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66.1%</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59.4%</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57.1%</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40.5%</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5.6%</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North Dakota</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70.1%</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61.9%</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51.4%</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16.9%</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4.4%</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Ohio</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66.0%</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48.1%</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36.0%</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28.4%</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1.5%</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Oklahoma</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53.4%</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41.5%</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37.6%</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19.9%</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5.7%</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Oregon</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68.5%</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64.3%</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57.0%</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24.7%</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1.3%</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Pennsylvania</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70.4%</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64.0%</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54.6%</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27.7%</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2.9%</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Rhode Island</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South Carolina</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67.9%</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50.5%</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43.0%</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20.4%</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5.8%</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South Dakota</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68.2%</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64.4%</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51.0%</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8.8%</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1.5%</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Tennessee</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63.2%</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53.4%</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50.8%</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23.4%</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6.0%</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Texas</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66.7%</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53.8%</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50.1%</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32.5%</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4.9%</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Utah</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68.5%</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62.0%</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55.9%</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24.6%</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6.4%</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Vermont</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66.0%</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58.7%</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47.2%</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25.4%</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Virginia</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72.3%</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68.4%</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62.4%</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31.0%</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7.2%</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Washington</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71.7%</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66.6%</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64.1%</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30.4%</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1.8%</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West Virginia</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51.0%</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46.3%</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44.9%</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25.1%</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1.8%</w:t>
            </w:r>
          </w:p>
        </w:tc>
      </w:tr>
      <w:tr w:rsidTr="00B63070">
        <w:tblPrEx>
          <w:tblW w:w="0" w:type="auto"/>
          <w:jc w:val="center"/>
          <w:tblLayout w:type="fixed"/>
          <w:tblCellMar>
            <w:left w:w="0" w:type="dxa"/>
            <w:right w:w="0" w:type="dxa"/>
          </w:tblCellMar>
          <w:tblLook w:val="0000"/>
        </w:tblPrEx>
        <w:trPr>
          <w:cantSplit/>
          <w:trHeight w:hRule="exact" w:val="382"/>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Wisconsin</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62.7%</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48.9%</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44.5%</w:t>
            </w:r>
          </w:p>
        </w:tc>
        <w:tc>
          <w:tcPr>
            <w:tcW w:w="1375" w:type="dxa"/>
            <w:tcBorders>
              <w:top w:val="nil"/>
              <w:left w:val="single" w:sz="8" w:space="0" w:color="000000"/>
              <w:bottom w:val="single" w:sz="8" w:space="0" w:color="000000"/>
              <w:right w:val="nil"/>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20.3%</w:t>
            </w:r>
          </w:p>
        </w:tc>
        <w:tc>
          <w:tcPr>
            <w:tcW w:w="1375"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EC00E2" w:rsidP="00B63070">
            <w:pPr>
              <w:adjustRightInd w:val="0"/>
              <w:spacing w:before="40" w:after="40"/>
              <w:jc w:val="right"/>
              <w:rPr>
                <w:color w:val="000000"/>
              </w:rPr>
            </w:pPr>
            <w:r w:rsidRPr="00EC00E2">
              <w:rPr>
                <w:color w:val="000000"/>
              </w:rPr>
              <w:t>1.5%</w:t>
            </w:r>
          </w:p>
        </w:tc>
      </w:tr>
      <w:tr w:rsidTr="00B63070">
        <w:tblPrEx>
          <w:tblW w:w="0" w:type="auto"/>
          <w:jc w:val="center"/>
          <w:tblLayout w:type="fixed"/>
          <w:tblCellMar>
            <w:left w:w="0" w:type="dxa"/>
            <w:right w:w="0" w:type="dxa"/>
          </w:tblCellMar>
          <w:tblLook w:val="0000"/>
        </w:tblPrEx>
        <w:trPr>
          <w:cantSplit/>
          <w:trHeight w:hRule="exact" w:val="386"/>
          <w:jc w:val="center"/>
        </w:trPr>
        <w:tc>
          <w:tcPr>
            <w:tcW w:w="2413" w:type="dxa"/>
            <w:tcBorders>
              <w:top w:val="nil"/>
              <w:left w:val="single" w:sz="8" w:space="0" w:color="000000"/>
              <w:bottom w:val="single" w:sz="8" w:space="0" w:color="000000"/>
              <w:right w:val="nil"/>
            </w:tcBorders>
            <w:shd w:val="clear" w:color="auto" w:fill="90B0D9"/>
            <w:tcMar>
              <w:left w:w="40" w:type="dxa"/>
              <w:right w:w="40" w:type="dxa"/>
            </w:tcMar>
          </w:tcPr>
          <w:p w:rsidR="006A7E96" w:rsidRPr="00EC00E2" w:rsidP="00B63070">
            <w:pPr>
              <w:adjustRightInd w:val="0"/>
              <w:spacing w:before="40" w:after="40"/>
              <w:rPr>
                <w:b/>
                <w:bCs/>
                <w:color w:val="000000"/>
              </w:rPr>
            </w:pPr>
            <w:r w:rsidRPr="00EC00E2">
              <w:rPr>
                <w:b/>
                <w:bCs/>
                <w:color w:val="000000"/>
              </w:rPr>
              <w:t>Wyoming</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59.4%</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55.3%</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47.8%</w:t>
            </w:r>
          </w:p>
        </w:tc>
        <w:tc>
          <w:tcPr>
            <w:tcW w:w="1375" w:type="dxa"/>
            <w:tcBorders>
              <w:top w:val="nil"/>
              <w:left w:val="single" w:sz="8" w:space="0" w:color="000000"/>
              <w:bottom w:val="single" w:sz="8" w:space="0" w:color="000000"/>
              <w:right w:val="nil"/>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11.3%</w:t>
            </w:r>
          </w:p>
        </w:tc>
        <w:tc>
          <w:tcPr>
            <w:tcW w:w="1375"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EC00E2" w:rsidP="00B63070">
            <w:pPr>
              <w:adjustRightInd w:val="0"/>
              <w:spacing w:before="40" w:after="40"/>
              <w:jc w:val="right"/>
              <w:rPr>
                <w:color w:val="000000"/>
              </w:rPr>
            </w:pPr>
            <w:r w:rsidRPr="00EC00E2">
              <w:rPr>
                <w:color w:val="000000"/>
              </w:rPr>
              <w:t>0.7%</w:t>
            </w:r>
          </w:p>
        </w:tc>
      </w:tr>
    </w:tbl>
    <w:p w:rsidR="006A7E96" w:rsidRPr="00EC00E2" w:rsidP="006A7E96">
      <w:pPr>
        <w:adjustRightInd w:val="0"/>
        <w:rPr>
          <w:color w:val="000000"/>
          <w:sz w:val="16"/>
          <w:szCs w:val="16"/>
        </w:rPr>
      </w:pPr>
    </w:p>
    <w:p w:rsidR="006A7E96" w:rsidP="006A7E96">
      <w:pPr>
        <w:adjustRightInd w:val="0"/>
        <w:jc w:val="center"/>
        <w:rPr>
          <w:sz w:val="24"/>
          <w:szCs w:val="24"/>
        </w:rPr>
        <w:sectPr w:rsidSect="009C760F">
          <w:pgSz w:w="12240" w:h="15840"/>
          <w:pgMar w:top="1440" w:right="1440" w:bottom="1440" w:left="1440" w:header="720" w:footer="720" w:gutter="0"/>
          <w:cols w:space="720"/>
          <w:docGrid w:linePitch="299"/>
        </w:sectPr>
      </w:pPr>
    </w:p>
    <w:p w:rsidR="006A7E96" w:rsidP="006A7E96">
      <w:pPr>
        <w:adjustRightInd w:val="0"/>
        <w:spacing w:before="10" w:after="10"/>
        <w:jc w:val="center"/>
        <w:rPr>
          <w:rFonts w:ascii="Times" w:hAnsi="Times" w:cs="Times"/>
          <w:b/>
          <w:bCs/>
          <w:color w:val="000000"/>
          <w:szCs w:val="22"/>
        </w:rPr>
      </w:pPr>
      <w:r>
        <w:rPr>
          <w:rFonts w:ascii="Times" w:hAnsi="Times" w:cs="Times"/>
          <w:b/>
          <w:bCs/>
          <w:color w:val="000000"/>
          <w:szCs w:val="22"/>
        </w:rPr>
        <w:t>APPENDIX 9</w:t>
      </w:r>
    </w:p>
    <w:p w:rsidR="006A7E96" w:rsidP="006A7E96">
      <w:pPr>
        <w:adjustRightInd w:val="0"/>
        <w:spacing w:before="10" w:after="10"/>
        <w:jc w:val="center"/>
        <w:rPr>
          <w:rFonts w:ascii="Courier New" w:hAnsi="Courier New" w:cs="Courier New"/>
          <w:color w:val="000000"/>
          <w:sz w:val="16"/>
          <w:szCs w:val="16"/>
        </w:rPr>
      </w:pPr>
    </w:p>
    <w:p w:rsidR="006A7E96" w:rsidP="006A7E96">
      <w:pPr>
        <w:adjustRightInd w:val="0"/>
        <w:spacing w:before="10" w:after="10"/>
        <w:jc w:val="center"/>
        <w:rPr>
          <w:rFonts w:ascii="Times" w:hAnsi="Times" w:cs="Times"/>
          <w:b/>
          <w:bCs/>
          <w:color w:val="000000"/>
          <w:szCs w:val="22"/>
        </w:rPr>
      </w:pPr>
      <w:r>
        <w:rPr>
          <w:rFonts w:ascii="Times" w:hAnsi="Times" w:cs="Times"/>
          <w:b/>
          <w:bCs/>
          <w:color w:val="000000"/>
          <w:szCs w:val="22"/>
        </w:rPr>
        <w:t>Deployment (Millions) of Fixed Services at Different Speed Tiers (2014-2017)</w:t>
      </w:r>
    </w:p>
    <w:tbl>
      <w:tblPr>
        <w:tblW w:w="0" w:type="auto"/>
        <w:jc w:val="center"/>
        <w:tblLayout w:type="fixed"/>
        <w:tblCellMar>
          <w:left w:w="0" w:type="dxa"/>
          <w:right w:w="0" w:type="dxa"/>
        </w:tblCellMar>
        <w:tblLook w:val="0000"/>
      </w:tblPr>
      <w:tblGrid>
        <w:gridCol w:w="1820"/>
        <w:gridCol w:w="933"/>
        <w:gridCol w:w="933"/>
        <w:gridCol w:w="933"/>
        <w:gridCol w:w="933"/>
        <w:gridCol w:w="933"/>
        <w:gridCol w:w="933"/>
        <w:gridCol w:w="933"/>
        <w:gridCol w:w="933"/>
      </w:tblGrid>
      <w:tr w:rsidTr="00B63070">
        <w:tblPrEx>
          <w:tblW w:w="0" w:type="auto"/>
          <w:jc w:val="center"/>
          <w:tblLayout w:type="fixed"/>
          <w:tblCellMar>
            <w:left w:w="0" w:type="dxa"/>
            <w:right w:w="0" w:type="dxa"/>
          </w:tblCellMar>
          <w:tblLook w:val="0000"/>
        </w:tblPrEx>
        <w:trPr>
          <w:cantSplit/>
          <w:tblHeader/>
          <w:jc w:val="center"/>
        </w:trPr>
        <w:tc>
          <w:tcPr>
            <w:tcW w:w="1820" w:type="dxa"/>
            <w:vMerge w:val="restart"/>
            <w:tcBorders>
              <w:top w:val="single" w:sz="8" w:space="0" w:color="000000"/>
              <w:left w:val="single" w:sz="8" w:space="0" w:color="000000"/>
              <w:right w:val="nil"/>
            </w:tcBorders>
            <w:shd w:val="clear" w:color="auto" w:fill="90B0D9"/>
            <w:tcMar>
              <w:left w:w="40" w:type="dxa"/>
              <w:right w:w="40" w:type="dxa"/>
            </w:tcMar>
            <w:vAlign w:val="bottom"/>
          </w:tcPr>
          <w:p w:rsidR="006A7E96" w:rsidRPr="00C358C5" w:rsidP="00B63070">
            <w:pPr>
              <w:adjustRightInd w:val="0"/>
              <w:spacing w:before="40" w:after="40"/>
              <w:jc w:val="center"/>
              <w:rPr>
                <w:b/>
                <w:bCs/>
                <w:color w:val="000000"/>
                <w:sz w:val="20"/>
              </w:rPr>
            </w:pPr>
          </w:p>
        </w:tc>
        <w:tc>
          <w:tcPr>
            <w:tcW w:w="1866"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A7E96" w:rsidRPr="00C358C5" w:rsidP="00B63070">
            <w:pPr>
              <w:adjustRightInd w:val="0"/>
              <w:spacing w:before="40" w:after="40"/>
              <w:jc w:val="center"/>
              <w:rPr>
                <w:b/>
                <w:bCs/>
                <w:color w:val="000000"/>
                <w:sz w:val="20"/>
              </w:rPr>
            </w:pPr>
            <w:r w:rsidRPr="00C358C5">
              <w:rPr>
                <w:b/>
                <w:bCs/>
                <w:color w:val="000000"/>
                <w:sz w:val="20"/>
              </w:rPr>
              <w:t>2014</w:t>
            </w:r>
          </w:p>
        </w:tc>
        <w:tc>
          <w:tcPr>
            <w:tcW w:w="1866"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A7E96" w:rsidRPr="00C358C5" w:rsidP="00B63070">
            <w:pPr>
              <w:adjustRightInd w:val="0"/>
              <w:spacing w:before="40" w:after="40"/>
              <w:jc w:val="center"/>
              <w:rPr>
                <w:b/>
                <w:bCs/>
                <w:color w:val="000000"/>
                <w:sz w:val="20"/>
              </w:rPr>
            </w:pPr>
            <w:r w:rsidRPr="00C358C5">
              <w:rPr>
                <w:b/>
                <w:bCs/>
                <w:color w:val="000000"/>
                <w:sz w:val="20"/>
              </w:rPr>
              <w:t>2015</w:t>
            </w:r>
          </w:p>
        </w:tc>
        <w:tc>
          <w:tcPr>
            <w:tcW w:w="1866"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A7E96" w:rsidRPr="00C358C5" w:rsidP="00B63070">
            <w:pPr>
              <w:adjustRightInd w:val="0"/>
              <w:spacing w:before="40" w:after="40"/>
              <w:jc w:val="center"/>
              <w:rPr>
                <w:b/>
                <w:bCs/>
                <w:color w:val="000000"/>
                <w:sz w:val="20"/>
              </w:rPr>
            </w:pPr>
            <w:r w:rsidRPr="00C358C5">
              <w:rPr>
                <w:b/>
                <w:bCs/>
                <w:color w:val="000000"/>
                <w:sz w:val="20"/>
              </w:rPr>
              <w:t>2016</w:t>
            </w:r>
          </w:p>
        </w:tc>
        <w:tc>
          <w:tcPr>
            <w:tcW w:w="1866" w:type="dxa"/>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6A7E96" w:rsidRPr="00C358C5" w:rsidP="00B63070">
            <w:pPr>
              <w:adjustRightInd w:val="0"/>
              <w:spacing w:before="40" w:after="40"/>
              <w:jc w:val="center"/>
              <w:rPr>
                <w:b/>
                <w:bCs/>
                <w:color w:val="000000"/>
                <w:sz w:val="20"/>
              </w:rPr>
            </w:pPr>
            <w:r w:rsidRPr="00C358C5">
              <w:rPr>
                <w:b/>
                <w:bCs/>
                <w:color w:val="000000"/>
                <w:sz w:val="20"/>
              </w:rPr>
              <w:t>2017</w:t>
            </w:r>
          </w:p>
        </w:tc>
      </w:tr>
      <w:tr w:rsidTr="00B63070">
        <w:tblPrEx>
          <w:tblW w:w="0" w:type="auto"/>
          <w:jc w:val="center"/>
          <w:tblLayout w:type="fixed"/>
          <w:tblCellMar>
            <w:left w:w="0" w:type="dxa"/>
            <w:right w:w="0" w:type="dxa"/>
          </w:tblCellMar>
          <w:tblLook w:val="0000"/>
        </w:tblPrEx>
        <w:trPr>
          <w:cantSplit/>
          <w:tblHeader/>
          <w:jc w:val="center"/>
        </w:trPr>
        <w:tc>
          <w:tcPr>
            <w:tcW w:w="1820" w:type="dxa"/>
            <w:vMerge/>
            <w:tcBorders>
              <w:left w:val="single" w:sz="8" w:space="0" w:color="000000"/>
              <w:bottom w:val="single" w:sz="8" w:space="0" w:color="000000"/>
              <w:right w:val="nil"/>
            </w:tcBorders>
            <w:shd w:val="clear" w:color="auto" w:fill="90B0D9"/>
            <w:tcMar>
              <w:left w:w="40" w:type="dxa"/>
              <w:right w:w="40" w:type="dxa"/>
            </w:tcMar>
            <w:vAlign w:val="bottom"/>
          </w:tcPr>
          <w:p w:rsidR="006A7E96" w:rsidRPr="00C358C5" w:rsidP="00B63070">
            <w:pPr>
              <w:adjustRightInd w:val="0"/>
              <w:spacing w:before="40" w:after="40"/>
              <w:jc w:val="center"/>
              <w:rPr>
                <w:b/>
                <w:bCs/>
                <w:color w:val="000000"/>
                <w:sz w:val="20"/>
              </w:rPr>
            </w:pPr>
          </w:p>
        </w:tc>
        <w:tc>
          <w:tcPr>
            <w:tcW w:w="933" w:type="dxa"/>
            <w:tcBorders>
              <w:top w:val="nil"/>
              <w:left w:val="single" w:sz="8" w:space="0" w:color="000000"/>
              <w:bottom w:val="single" w:sz="8" w:space="0" w:color="000000"/>
              <w:right w:val="nil"/>
            </w:tcBorders>
            <w:shd w:val="clear" w:color="auto" w:fill="90B0D9"/>
            <w:tcMar>
              <w:left w:w="40" w:type="dxa"/>
              <w:right w:w="40" w:type="dxa"/>
            </w:tcMar>
            <w:vAlign w:val="bottom"/>
          </w:tcPr>
          <w:p w:rsidR="006A7E96" w:rsidRPr="00C358C5" w:rsidP="00B63070">
            <w:pPr>
              <w:adjustRightInd w:val="0"/>
              <w:spacing w:before="40" w:after="40"/>
              <w:jc w:val="center"/>
              <w:rPr>
                <w:b/>
                <w:bCs/>
                <w:color w:val="000000"/>
                <w:sz w:val="20"/>
              </w:rPr>
            </w:pPr>
            <w:r w:rsidRPr="00C358C5">
              <w:rPr>
                <w:b/>
                <w:bCs/>
                <w:color w:val="000000"/>
                <w:sz w:val="20"/>
              </w:rPr>
              <w:t>Pop.</w:t>
            </w:r>
          </w:p>
        </w:tc>
        <w:tc>
          <w:tcPr>
            <w:tcW w:w="933" w:type="dxa"/>
            <w:tcBorders>
              <w:top w:val="nil"/>
              <w:left w:val="single" w:sz="8" w:space="0" w:color="000000"/>
              <w:bottom w:val="single" w:sz="8" w:space="0" w:color="000000"/>
              <w:right w:val="nil"/>
            </w:tcBorders>
            <w:shd w:val="clear" w:color="auto" w:fill="90B0D9"/>
            <w:tcMar>
              <w:left w:w="40" w:type="dxa"/>
              <w:right w:w="40" w:type="dxa"/>
            </w:tcMar>
            <w:vAlign w:val="bottom"/>
          </w:tcPr>
          <w:p w:rsidR="006A7E96" w:rsidRPr="00C358C5" w:rsidP="00B63070">
            <w:pPr>
              <w:adjustRightInd w:val="0"/>
              <w:spacing w:before="40" w:after="40"/>
              <w:jc w:val="center"/>
              <w:rPr>
                <w:b/>
                <w:bCs/>
                <w:color w:val="000000"/>
                <w:sz w:val="20"/>
              </w:rPr>
            </w:pPr>
            <w:r w:rsidRPr="00C358C5">
              <w:rPr>
                <w:b/>
                <w:bCs/>
                <w:color w:val="000000"/>
                <w:sz w:val="20"/>
              </w:rPr>
              <w:t>%</w:t>
            </w:r>
          </w:p>
        </w:tc>
        <w:tc>
          <w:tcPr>
            <w:tcW w:w="933" w:type="dxa"/>
            <w:tcBorders>
              <w:top w:val="nil"/>
              <w:left w:val="single" w:sz="8" w:space="0" w:color="000000"/>
              <w:bottom w:val="single" w:sz="8" w:space="0" w:color="000000"/>
              <w:right w:val="nil"/>
            </w:tcBorders>
            <w:shd w:val="clear" w:color="auto" w:fill="90B0D9"/>
            <w:tcMar>
              <w:left w:w="40" w:type="dxa"/>
              <w:right w:w="40" w:type="dxa"/>
            </w:tcMar>
            <w:vAlign w:val="bottom"/>
          </w:tcPr>
          <w:p w:rsidR="006A7E96" w:rsidRPr="00C358C5" w:rsidP="00B63070">
            <w:pPr>
              <w:adjustRightInd w:val="0"/>
              <w:spacing w:before="40" w:after="40"/>
              <w:jc w:val="center"/>
              <w:rPr>
                <w:b/>
                <w:bCs/>
                <w:color w:val="000000"/>
                <w:sz w:val="20"/>
              </w:rPr>
            </w:pPr>
            <w:r w:rsidRPr="00C358C5">
              <w:rPr>
                <w:b/>
                <w:bCs/>
                <w:color w:val="000000"/>
                <w:sz w:val="20"/>
              </w:rPr>
              <w:t>Pop.</w:t>
            </w:r>
          </w:p>
        </w:tc>
        <w:tc>
          <w:tcPr>
            <w:tcW w:w="933" w:type="dxa"/>
            <w:tcBorders>
              <w:top w:val="nil"/>
              <w:left w:val="single" w:sz="8" w:space="0" w:color="000000"/>
              <w:bottom w:val="single" w:sz="8" w:space="0" w:color="000000"/>
              <w:right w:val="nil"/>
            </w:tcBorders>
            <w:shd w:val="clear" w:color="auto" w:fill="90B0D9"/>
            <w:tcMar>
              <w:left w:w="40" w:type="dxa"/>
              <w:right w:w="40" w:type="dxa"/>
            </w:tcMar>
            <w:vAlign w:val="bottom"/>
          </w:tcPr>
          <w:p w:rsidR="006A7E96" w:rsidRPr="00C358C5" w:rsidP="00B63070">
            <w:pPr>
              <w:adjustRightInd w:val="0"/>
              <w:spacing w:before="40" w:after="40"/>
              <w:jc w:val="center"/>
              <w:rPr>
                <w:b/>
                <w:bCs/>
                <w:color w:val="000000"/>
                <w:sz w:val="20"/>
              </w:rPr>
            </w:pPr>
            <w:r w:rsidRPr="00C358C5">
              <w:rPr>
                <w:b/>
                <w:bCs/>
                <w:color w:val="000000"/>
                <w:sz w:val="20"/>
              </w:rPr>
              <w:t>%</w:t>
            </w:r>
          </w:p>
        </w:tc>
        <w:tc>
          <w:tcPr>
            <w:tcW w:w="933" w:type="dxa"/>
            <w:tcBorders>
              <w:top w:val="nil"/>
              <w:left w:val="single" w:sz="8" w:space="0" w:color="000000"/>
              <w:bottom w:val="single" w:sz="8" w:space="0" w:color="000000"/>
              <w:right w:val="nil"/>
            </w:tcBorders>
            <w:shd w:val="clear" w:color="auto" w:fill="90B0D9"/>
            <w:tcMar>
              <w:left w:w="40" w:type="dxa"/>
              <w:right w:w="40" w:type="dxa"/>
            </w:tcMar>
            <w:vAlign w:val="bottom"/>
          </w:tcPr>
          <w:p w:rsidR="006A7E96" w:rsidRPr="00C358C5" w:rsidP="00B63070">
            <w:pPr>
              <w:adjustRightInd w:val="0"/>
              <w:spacing w:before="40" w:after="40"/>
              <w:jc w:val="center"/>
              <w:rPr>
                <w:b/>
                <w:bCs/>
                <w:color w:val="000000"/>
                <w:sz w:val="20"/>
              </w:rPr>
            </w:pPr>
            <w:r w:rsidRPr="00C358C5">
              <w:rPr>
                <w:b/>
                <w:bCs/>
                <w:color w:val="000000"/>
                <w:sz w:val="20"/>
              </w:rPr>
              <w:t>Pop.</w:t>
            </w:r>
          </w:p>
        </w:tc>
        <w:tc>
          <w:tcPr>
            <w:tcW w:w="933" w:type="dxa"/>
            <w:tcBorders>
              <w:top w:val="nil"/>
              <w:left w:val="single" w:sz="8" w:space="0" w:color="000000"/>
              <w:bottom w:val="single" w:sz="8" w:space="0" w:color="000000"/>
              <w:right w:val="nil"/>
            </w:tcBorders>
            <w:shd w:val="clear" w:color="auto" w:fill="90B0D9"/>
            <w:tcMar>
              <w:left w:w="40" w:type="dxa"/>
              <w:right w:w="40" w:type="dxa"/>
            </w:tcMar>
            <w:vAlign w:val="bottom"/>
          </w:tcPr>
          <w:p w:rsidR="006A7E96" w:rsidRPr="00C358C5" w:rsidP="00B63070">
            <w:pPr>
              <w:adjustRightInd w:val="0"/>
              <w:spacing w:before="40" w:after="40"/>
              <w:jc w:val="center"/>
              <w:rPr>
                <w:b/>
                <w:bCs/>
                <w:color w:val="000000"/>
                <w:sz w:val="20"/>
              </w:rPr>
            </w:pPr>
            <w:r w:rsidRPr="00C358C5">
              <w:rPr>
                <w:b/>
                <w:bCs/>
                <w:color w:val="000000"/>
                <w:sz w:val="20"/>
              </w:rPr>
              <w:t>%</w:t>
            </w:r>
          </w:p>
        </w:tc>
        <w:tc>
          <w:tcPr>
            <w:tcW w:w="933" w:type="dxa"/>
            <w:tcBorders>
              <w:top w:val="nil"/>
              <w:left w:val="single" w:sz="8" w:space="0" w:color="000000"/>
              <w:bottom w:val="single" w:sz="8" w:space="0" w:color="000000"/>
              <w:right w:val="nil"/>
            </w:tcBorders>
            <w:shd w:val="clear" w:color="auto" w:fill="90B0D9"/>
            <w:tcMar>
              <w:left w:w="40" w:type="dxa"/>
              <w:right w:w="40" w:type="dxa"/>
            </w:tcMar>
            <w:vAlign w:val="bottom"/>
          </w:tcPr>
          <w:p w:rsidR="006A7E96" w:rsidRPr="00C358C5" w:rsidP="00B63070">
            <w:pPr>
              <w:adjustRightInd w:val="0"/>
              <w:spacing w:before="40" w:after="40"/>
              <w:jc w:val="center"/>
              <w:rPr>
                <w:b/>
                <w:bCs/>
                <w:color w:val="000000"/>
                <w:sz w:val="20"/>
              </w:rPr>
            </w:pPr>
            <w:r w:rsidRPr="00C358C5">
              <w:rPr>
                <w:b/>
                <w:bCs/>
                <w:color w:val="000000"/>
                <w:sz w:val="20"/>
              </w:rPr>
              <w:t>Pop.</w:t>
            </w:r>
          </w:p>
        </w:tc>
        <w:tc>
          <w:tcPr>
            <w:tcW w:w="933"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6A7E96" w:rsidRPr="00C358C5" w:rsidP="00B63070">
            <w:pPr>
              <w:adjustRightInd w:val="0"/>
              <w:spacing w:before="40" w:after="40"/>
              <w:jc w:val="center"/>
              <w:rPr>
                <w:b/>
                <w:bCs/>
                <w:color w:val="000000"/>
                <w:sz w:val="20"/>
              </w:rPr>
            </w:pPr>
            <w:r w:rsidRPr="00C358C5">
              <w:rPr>
                <w:b/>
                <w:bCs/>
                <w:color w:val="000000"/>
                <w:sz w:val="20"/>
              </w:rPr>
              <w:t>%</w:t>
            </w:r>
          </w:p>
        </w:tc>
      </w:tr>
      <w:tr w:rsidTr="00B63070">
        <w:tblPrEx>
          <w:tblW w:w="0" w:type="auto"/>
          <w:jc w:val="center"/>
          <w:tblLayout w:type="fixed"/>
          <w:tblCellMar>
            <w:left w:w="0" w:type="dxa"/>
            <w:right w:w="0" w:type="dxa"/>
          </w:tblCellMar>
          <w:tblLook w:val="0000"/>
        </w:tblPrEx>
        <w:trPr>
          <w:cantSplit/>
          <w:trHeight w:hRule="exact" w:val="382"/>
          <w:jc w:val="center"/>
        </w:trPr>
        <w:tc>
          <w:tcPr>
            <w:tcW w:w="9284" w:type="dxa"/>
            <w:gridSpan w:val="9"/>
            <w:tcBorders>
              <w:top w:val="nil"/>
              <w:left w:val="single" w:sz="8" w:space="0" w:color="000000"/>
              <w:bottom w:val="single" w:sz="8" w:space="0" w:color="000000"/>
              <w:right w:val="single" w:sz="8" w:space="0" w:color="000000"/>
            </w:tcBorders>
            <w:shd w:val="clear" w:color="auto" w:fill="90B0D9"/>
            <w:tcMar>
              <w:left w:w="40" w:type="dxa"/>
              <w:right w:w="40" w:type="dxa"/>
            </w:tcMar>
          </w:tcPr>
          <w:p w:rsidR="006A7E96" w:rsidRPr="00C358C5" w:rsidP="00B63070">
            <w:pPr>
              <w:adjustRightInd w:val="0"/>
              <w:spacing w:before="40" w:after="40"/>
              <w:jc w:val="center"/>
              <w:rPr>
                <w:b/>
                <w:bCs/>
                <w:color w:val="000000"/>
                <w:sz w:val="20"/>
              </w:rPr>
            </w:pPr>
            <w:r w:rsidRPr="00C358C5">
              <w:rPr>
                <w:b/>
                <w:bCs/>
                <w:color w:val="000000"/>
                <w:sz w:val="20"/>
              </w:rPr>
              <w:t>10 Mbps/1 Mbps</w:t>
            </w:r>
          </w:p>
          <w:p w:rsidR="006A7E96" w:rsidRPr="00C358C5" w:rsidP="00B63070">
            <w:pPr>
              <w:adjustRightInd w:val="0"/>
              <w:spacing w:before="40" w:after="40"/>
              <w:jc w:val="right"/>
              <w:rPr>
                <w:color w:val="000000"/>
                <w:sz w:val="20"/>
              </w:rPr>
            </w:pPr>
            <w:r w:rsidRPr="00C358C5">
              <w:rPr>
                <w:color w:val="000000"/>
                <w:sz w:val="20"/>
              </w:rPr>
              <w:t>.</w:t>
            </w:r>
          </w:p>
          <w:p w:rsidR="006A7E96" w:rsidRPr="00C358C5" w:rsidP="00B63070">
            <w:pPr>
              <w:adjustRightInd w:val="0"/>
              <w:spacing w:before="40" w:after="40"/>
              <w:jc w:val="right"/>
              <w:rPr>
                <w:color w:val="000000"/>
                <w:sz w:val="20"/>
              </w:rPr>
            </w:pPr>
            <w:r w:rsidRPr="00C358C5">
              <w:rPr>
                <w:color w:val="000000"/>
                <w:sz w:val="20"/>
              </w:rPr>
              <w:t>.</w:t>
            </w:r>
          </w:p>
          <w:p w:rsidR="006A7E96" w:rsidRPr="00C358C5" w:rsidP="00B63070">
            <w:pPr>
              <w:adjustRightInd w:val="0"/>
              <w:spacing w:before="40" w:after="40"/>
              <w:jc w:val="right"/>
              <w:rPr>
                <w:color w:val="000000"/>
                <w:sz w:val="20"/>
              </w:rPr>
            </w:pPr>
            <w:r w:rsidRPr="00C358C5">
              <w:rPr>
                <w:color w:val="000000"/>
                <w:sz w:val="20"/>
              </w:rPr>
              <w:t>.</w:t>
            </w:r>
          </w:p>
          <w:p w:rsidR="006A7E96" w:rsidRPr="00C358C5" w:rsidP="00B63070">
            <w:pPr>
              <w:adjustRightInd w:val="0"/>
              <w:spacing w:before="40" w:after="40"/>
              <w:jc w:val="right"/>
              <w:rPr>
                <w:color w:val="000000"/>
                <w:sz w:val="20"/>
              </w:rPr>
            </w:pPr>
            <w:r w:rsidRPr="00C358C5">
              <w:rPr>
                <w:color w:val="000000"/>
                <w:sz w:val="20"/>
              </w:rPr>
              <w:t>.</w:t>
            </w:r>
          </w:p>
          <w:p w:rsidR="006A7E96" w:rsidRPr="00C358C5" w:rsidP="00B63070">
            <w:pPr>
              <w:adjustRightInd w:val="0"/>
              <w:spacing w:before="40" w:after="40"/>
              <w:jc w:val="right"/>
              <w:rPr>
                <w:color w:val="000000"/>
                <w:sz w:val="20"/>
              </w:rPr>
            </w:pPr>
            <w:r w:rsidRPr="00C358C5">
              <w:rPr>
                <w:color w:val="000000"/>
                <w:sz w:val="20"/>
              </w:rPr>
              <w:t>.</w:t>
            </w:r>
          </w:p>
          <w:p w:rsidR="006A7E96" w:rsidRPr="00C358C5" w:rsidP="00B63070">
            <w:pPr>
              <w:adjustRightInd w:val="0"/>
              <w:spacing w:before="40" w:after="40"/>
              <w:jc w:val="right"/>
              <w:rPr>
                <w:color w:val="000000"/>
                <w:sz w:val="20"/>
              </w:rPr>
            </w:pPr>
            <w:r w:rsidRPr="00C358C5">
              <w:rPr>
                <w:color w:val="000000"/>
                <w:sz w:val="20"/>
              </w:rPr>
              <w:t>.</w:t>
            </w:r>
          </w:p>
          <w:p w:rsidR="006A7E96" w:rsidRPr="00C358C5" w:rsidP="00B63070">
            <w:pPr>
              <w:adjustRightInd w:val="0"/>
              <w:spacing w:before="40" w:after="40"/>
              <w:jc w:val="right"/>
              <w:rPr>
                <w:color w:val="000000"/>
                <w:sz w:val="20"/>
              </w:rPr>
            </w:pPr>
            <w:r w:rsidRPr="00C358C5">
              <w:rPr>
                <w:color w:val="000000"/>
                <w:sz w:val="20"/>
              </w:rPr>
              <w:t>.</w:t>
            </w:r>
          </w:p>
          <w:p w:rsidR="006A7E96" w:rsidRPr="00C358C5" w:rsidP="00B63070">
            <w:pPr>
              <w:adjustRightInd w:val="0"/>
              <w:spacing w:before="40" w:after="40"/>
              <w:jc w:val="right"/>
              <w:rPr>
                <w:color w:val="000000"/>
                <w:sz w:val="20"/>
              </w:rPr>
            </w:pPr>
            <w:r w:rsidRPr="00C358C5">
              <w:rPr>
                <w:color w:val="000000"/>
                <w:sz w:val="20"/>
              </w:rPr>
              <w:t>.</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rPr>
                <w:b/>
                <w:bCs/>
                <w:color w:val="000000"/>
                <w:sz w:val="20"/>
              </w:rPr>
            </w:pPr>
            <w:r w:rsidRPr="00C358C5">
              <w:rPr>
                <w:b/>
                <w:bCs/>
                <w:color w:val="000000"/>
                <w:sz w:val="20"/>
              </w:rPr>
              <w:t>United States</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317.953</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100.0%</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320.289</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100.0%</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322.518</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100.0%</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325.627</w:t>
            </w:r>
          </w:p>
        </w:tc>
        <w:tc>
          <w:tcPr>
            <w:tcW w:w="933"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100.0%</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ind w:left="144"/>
              <w:rPr>
                <w:b/>
                <w:bCs/>
                <w:color w:val="000000"/>
                <w:sz w:val="20"/>
              </w:rPr>
            </w:pPr>
            <w:r w:rsidRPr="00C358C5">
              <w:rPr>
                <w:b/>
                <w:bCs/>
                <w:color w:val="000000"/>
                <w:sz w:val="20"/>
              </w:rPr>
              <w:t>Rural Areas</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61.642</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100.0%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62.261</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100.0%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62.926</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100.0%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63.710</w:t>
            </w:r>
          </w:p>
        </w:tc>
        <w:tc>
          <w:tcPr>
            <w:tcW w:w="93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99.9%</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ind w:left="144"/>
              <w:rPr>
                <w:b/>
                <w:bCs/>
                <w:color w:val="000000"/>
                <w:sz w:val="20"/>
              </w:rPr>
            </w:pPr>
            <w:r w:rsidRPr="00C358C5">
              <w:rPr>
                <w:b/>
                <w:bCs/>
                <w:color w:val="000000"/>
                <w:sz w:val="20"/>
              </w:rPr>
              <w:t>Urban Areas</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256.312</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100.0%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258.028</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100.0%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259.592</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100.0%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261.917</w:t>
            </w:r>
          </w:p>
        </w:tc>
        <w:tc>
          <w:tcPr>
            <w:tcW w:w="93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100.0%</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rPr>
                <w:b/>
                <w:bCs/>
                <w:color w:val="000000"/>
                <w:sz w:val="20"/>
              </w:rPr>
            </w:pPr>
            <w:r w:rsidRPr="00C358C5">
              <w:rPr>
                <w:b/>
                <w:bCs/>
                <w:color w:val="000000"/>
                <w:sz w:val="20"/>
              </w:rPr>
              <w:t>U.S. Territories</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3.549</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90.9%</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3.442</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89.3%</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3.462</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91.4%</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3.674</w:t>
            </w:r>
          </w:p>
        </w:tc>
        <w:tc>
          <w:tcPr>
            <w:tcW w:w="933"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98.9%</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ind w:left="144"/>
              <w:rPr>
                <w:b/>
                <w:bCs/>
                <w:color w:val="000000"/>
                <w:sz w:val="20"/>
              </w:rPr>
            </w:pPr>
            <w:r w:rsidRPr="00C358C5">
              <w:rPr>
                <w:b/>
                <w:bCs/>
                <w:color w:val="000000"/>
                <w:sz w:val="20"/>
              </w:rPr>
              <w:t>Rural Areas</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0.153</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60.5%</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0.146</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58.2%</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0.162</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65.5%</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0.237</w:t>
            </w:r>
          </w:p>
        </w:tc>
        <w:tc>
          <w:tcPr>
            <w:tcW w:w="93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96.6%</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ind w:left="144"/>
              <w:rPr>
                <w:b/>
                <w:bCs/>
                <w:color w:val="000000"/>
                <w:sz w:val="20"/>
              </w:rPr>
            </w:pPr>
            <w:r w:rsidRPr="00C358C5">
              <w:rPr>
                <w:b/>
                <w:bCs/>
                <w:color w:val="000000"/>
                <w:sz w:val="20"/>
              </w:rPr>
              <w:t>Urban Areas</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3.396</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93.0%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3.296</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91.5%</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3.299</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93.3%</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3.437</w:t>
            </w:r>
          </w:p>
        </w:tc>
        <w:tc>
          <w:tcPr>
            <w:tcW w:w="93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99.0%</w:t>
            </w:r>
          </w:p>
        </w:tc>
      </w:tr>
      <w:tr w:rsidTr="00B63070">
        <w:tblPrEx>
          <w:tblW w:w="0" w:type="auto"/>
          <w:jc w:val="center"/>
          <w:tblLayout w:type="fixed"/>
          <w:tblCellMar>
            <w:left w:w="0" w:type="dxa"/>
            <w:right w:w="0" w:type="dxa"/>
          </w:tblCellMar>
          <w:tblLook w:val="0000"/>
        </w:tblPrEx>
        <w:trPr>
          <w:cantSplit/>
          <w:trHeight w:hRule="exact" w:val="382"/>
          <w:jc w:val="center"/>
        </w:trPr>
        <w:tc>
          <w:tcPr>
            <w:tcW w:w="9284" w:type="dxa"/>
            <w:gridSpan w:val="9"/>
            <w:tcBorders>
              <w:top w:val="nil"/>
              <w:left w:val="single" w:sz="8" w:space="0" w:color="000000"/>
              <w:bottom w:val="single" w:sz="8" w:space="0" w:color="000000"/>
              <w:right w:val="single" w:sz="8" w:space="0" w:color="000000"/>
            </w:tcBorders>
            <w:shd w:val="clear" w:color="auto" w:fill="90B0D9"/>
            <w:tcMar>
              <w:left w:w="40" w:type="dxa"/>
              <w:right w:w="40" w:type="dxa"/>
            </w:tcMar>
          </w:tcPr>
          <w:p w:rsidR="006A7E96" w:rsidRPr="00C358C5" w:rsidP="00B63070">
            <w:pPr>
              <w:adjustRightInd w:val="0"/>
              <w:spacing w:before="40" w:after="40"/>
              <w:jc w:val="center"/>
              <w:rPr>
                <w:b/>
                <w:bCs/>
                <w:color w:val="000000"/>
                <w:sz w:val="20"/>
              </w:rPr>
            </w:pPr>
            <w:r w:rsidRPr="00C358C5">
              <w:rPr>
                <w:b/>
                <w:bCs/>
                <w:color w:val="000000"/>
                <w:sz w:val="20"/>
              </w:rPr>
              <w:t>25 Mbps/3 Mbps</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rPr>
                <w:b/>
                <w:bCs/>
                <w:color w:val="000000"/>
                <w:sz w:val="20"/>
              </w:rPr>
            </w:pPr>
            <w:r w:rsidRPr="00C358C5">
              <w:rPr>
                <w:b/>
                <w:bCs/>
                <w:color w:val="000000"/>
                <w:sz w:val="20"/>
              </w:rPr>
              <w:t>United States</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284.246</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89.4%</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287.853</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89.9%</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307.642</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95.4%</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325.616</w:t>
            </w:r>
          </w:p>
        </w:tc>
        <w:tc>
          <w:tcPr>
            <w:tcW w:w="933"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100.0%</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ind w:left="144"/>
              <w:rPr>
                <w:b/>
                <w:bCs/>
                <w:color w:val="000000"/>
                <w:sz w:val="20"/>
              </w:rPr>
            </w:pPr>
            <w:r w:rsidRPr="00C358C5">
              <w:rPr>
                <w:b/>
                <w:bCs/>
                <w:color w:val="000000"/>
                <w:sz w:val="20"/>
              </w:rPr>
              <w:t>Rural Areas</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37.174</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60.3%</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38.271</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61.5%</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51.001</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81.0%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63.699</w:t>
            </w:r>
          </w:p>
        </w:tc>
        <w:tc>
          <w:tcPr>
            <w:tcW w:w="93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99.9%</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ind w:left="144"/>
              <w:rPr>
                <w:b/>
                <w:bCs/>
                <w:color w:val="000000"/>
                <w:sz w:val="20"/>
              </w:rPr>
            </w:pPr>
            <w:r w:rsidRPr="00C358C5">
              <w:rPr>
                <w:b/>
                <w:bCs/>
                <w:color w:val="000000"/>
                <w:sz w:val="20"/>
              </w:rPr>
              <w:t>Urban Areas</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247.072</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96.4%</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249.582</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96.7%</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256.641</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98.9%</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261.917</w:t>
            </w:r>
          </w:p>
        </w:tc>
        <w:tc>
          <w:tcPr>
            <w:tcW w:w="93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100.0%</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rPr>
                <w:b/>
                <w:bCs/>
                <w:color w:val="000000"/>
                <w:sz w:val="20"/>
              </w:rPr>
            </w:pPr>
            <w:r w:rsidRPr="00C358C5">
              <w:rPr>
                <w:b/>
                <w:bCs/>
                <w:color w:val="000000"/>
                <w:sz w:val="20"/>
              </w:rPr>
              <w:t>U.S. Territories</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3.217</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82.4%</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2.368</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61.5%</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3.151</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83.2%</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3.448</w:t>
            </w:r>
          </w:p>
        </w:tc>
        <w:tc>
          <w:tcPr>
            <w:tcW w:w="933"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92.8%</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ind w:left="144"/>
              <w:rPr>
                <w:b/>
                <w:bCs/>
                <w:color w:val="000000"/>
                <w:sz w:val="20"/>
              </w:rPr>
            </w:pPr>
            <w:r w:rsidRPr="00C358C5">
              <w:rPr>
                <w:b/>
                <w:bCs/>
                <w:color w:val="000000"/>
                <w:sz w:val="20"/>
              </w:rPr>
              <w:t>Rural Areas</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0.135</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53.5%</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0.095</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38.1%</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0.143</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57.9%</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0.221</w:t>
            </w:r>
          </w:p>
        </w:tc>
        <w:tc>
          <w:tcPr>
            <w:tcW w:w="93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90.0%</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ind w:left="144"/>
              <w:rPr>
                <w:b/>
                <w:bCs/>
                <w:color w:val="000000"/>
                <w:sz w:val="20"/>
              </w:rPr>
            </w:pPr>
            <w:r w:rsidRPr="00C358C5">
              <w:rPr>
                <w:b/>
                <w:bCs/>
                <w:color w:val="000000"/>
                <w:sz w:val="20"/>
              </w:rPr>
              <w:t>Urban Areas</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3.082</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84.4%</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2.273</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63.1%</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3.008</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85.0%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3.227</w:t>
            </w:r>
          </w:p>
        </w:tc>
        <w:tc>
          <w:tcPr>
            <w:tcW w:w="93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93.0%</w:t>
            </w:r>
          </w:p>
        </w:tc>
      </w:tr>
      <w:tr w:rsidTr="00B63070">
        <w:tblPrEx>
          <w:tblW w:w="0" w:type="auto"/>
          <w:jc w:val="center"/>
          <w:tblLayout w:type="fixed"/>
          <w:tblCellMar>
            <w:left w:w="0" w:type="dxa"/>
            <w:right w:w="0" w:type="dxa"/>
          </w:tblCellMar>
          <w:tblLook w:val="0000"/>
        </w:tblPrEx>
        <w:trPr>
          <w:cantSplit/>
          <w:trHeight w:hRule="exact" w:val="382"/>
          <w:jc w:val="center"/>
        </w:trPr>
        <w:tc>
          <w:tcPr>
            <w:tcW w:w="9284" w:type="dxa"/>
            <w:gridSpan w:val="9"/>
            <w:tcBorders>
              <w:top w:val="nil"/>
              <w:left w:val="single" w:sz="8" w:space="0" w:color="000000"/>
              <w:bottom w:val="single" w:sz="8" w:space="0" w:color="000000"/>
              <w:right w:val="single" w:sz="8" w:space="0" w:color="000000"/>
            </w:tcBorders>
            <w:shd w:val="clear" w:color="auto" w:fill="90B0D9"/>
            <w:tcMar>
              <w:left w:w="40" w:type="dxa"/>
              <w:right w:w="40" w:type="dxa"/>
            </w:tcMar>
          </w:tcPr>
          <w:p w:rsidR="006A7E96" w:rsidRPr="00C358C5" w:rsidP="00B63070">
            <w:pPr>
              <w:adjustRightInd w:val="0"/>
              <w:spacing w:before="40" w:after="40"/>
              <w:jc w:val="center"/>
              <w:rPr>
                <w:b/>
                <w:bCs/>
                <w:color w:val="000000"/>
                <w:sz w:val="20"/>
              </w:rPr>
            </w:pPr>
            <w:r w:rsidRPr="00C358C5">
              <w:rPr>
                <w:b/>
                <w:bCs/>
                <w:color w:val="000000"/>
                <w:sz w:val="20"/>
              </w:rPr>
              <w:t>50 Mbps/5 Mbps</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rPr>
                <w:b/>
                <w:bCs/>
                <w:color w:val="000000"/>
                <w:sz w:val="20"/>
              </w:rPr>
            </w:pPr>
            <w:r w:rsidRPr="00C358C5">
              <w:rPr>
                <w:b/>
                <w:bCs/>
                <w:color w:val="000000"/>
                <w:sz w:val="20"/>
              </w:rPr>
              <w:t>United States</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270.740</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85.2%</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283.329</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88.5%</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291.380</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90.3%</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298.219</w:t>
            </w:r>
          </w:p>
        </w:tc>
        <w:tc>
          <w:tcPr>
            <w:tcW w:w="933"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91.6%</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ind w:left="144"/>
              <w:rPr>
                <w:b/>
                <w:bCs/>
                <w:color w:val="000000"/>
                <w:sz w:val="20"/>
              </w:rPr>
            </w:pPr>
            <w:r w:rsidRPr="00C358C5">
              <w:rPr>
                <w:b/>
                <w:bCs/>
                <w:color w:val="000000"/>
                <w:sz w:val="20"/>
              </w:rPr>
              <w:t>Rural Areas</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32.100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52.1%</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35.316</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56.7%</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39.260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62.4%</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42.428</w:t>
            </w:r>
          </w:p>
        </w:tc>
        <w:tc>
          <w:tcPr>
            <w:tcW w:w="93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66.5%</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ind w:left="144"/>
              <w:rPr>
                <w:b/>
                <w:bCs/>
                <w:color w:val="000000"/>
                <w:sz w:val="20"/>
              </w:rPr>
            </w:pPr>
            <w:r w:rsidRPr="00C358C5">
              <w:rPr>
                <w:b/>
                <w:bCs/>
                <w:color w:val="000000"/>
                <w:sz w:val="20"/>
              </w:rPr>
              <w:t>Urban Areas</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238.640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93.1%</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248.013</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96.1%</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252.119</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97.1%</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255.792</w:t>
            </w:r>
          </w:p>
        </w:tc>
        <w:tc>
          <w:tcPr>
            <w:tcW w:w="93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97.7%</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rPr>
                <w:b/>
                <w:bCs/>
                <w:color w:val="000000"/>
                <w:sz w:val="20"/>
              </w:rPr>
            </w:pPr>
            <w:r w:rsidRPr="00C358C5">
              <w:rPr>
                <w:b/>
                <w:bCs/>
                <w:color w:val="000000"/>
                <w:sz w:val="20"/>
              </w:rPr>
              <w:t>U.S. Territories</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3.151</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80.7%</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0.104</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2.7%</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3.027</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80.0%</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2.264</w:t>
            </w:r>
          </w:p>
        </w:tc>
        <w:tc>
          <w:tcPr>
            <w:tcW w:w="933"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60.9%</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ind w:left="144"/>
              <w:rPr>
                <w:b/>
                <w:bCs/>
                <w:color w:val="000000"/>
                <w:sz w:val="20"/>
              </w:rPr>
            </w:pPr>
            <w:r w:rsidRPr="00C358C5">
              <w:rPr>
                <w:b/>
                <w:bCs/>
                <w:color w:val="000000"/>
                <w:sz w:val="20"/>
              </w:rPr>
              <w:t>Rural Areas</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0.110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43.5%</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0.000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0.1%</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0.091</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37.0%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0.040</w:t>
            </w:r>
          </w:p>
        </w:tc>
        <w:tc>
          <w:tcPr>
            <w:tcW w:w="93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16.3%</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ind w:left="144"/>
              <w:rPr>
                <w:b/>
                <w:bCs/>
                <w:color w:val="000000"/>
                <w:sz w:val="20"/>
              </w:rPr>
            </w:pPr>
            <w:r w:rsidRPr="00C358C5">
              <w:rPr>
                <w:b/>
                <w:bCs/>
                <w:color w:val="000000"/>
                <w:sz w:val="20"/>
              </w:rPr>
              <w:t>Urban Areas</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3.041</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83.2%</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0.104</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2.9%</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2.936</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83.0%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2.224</w:t>
            </w:r>
          </w:p>
        </w:tc>
        <w:tc>
          <w:tcPr>
            <w:tcW w:w="93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64.1%</w:t>
            </w:r>
          </w:p>
        </w:tc>
      </w:tr>
      <w:tr w:rsidTr="00B63070">
        <w:tblPrEx>
          <w:tblW w:w="0" w:type="auto"/>
          <w:jc w:val="center"/>
          <w:tblLayout w:type="fixed"/>
          <w:tblCellMar>
            <w:left w:w="0" w:type="dxa"/>
            <w:right w:w="0" w:type="dxa"/>
          </w:tblCellMar>
          <w:tblLook w:val="0000"/>
        </w:tblPrEx>
        <w:trPr>
          <w:cantSplit/>
          <w:trHeight w:hRule="exact" w:val="382"/>
          <w:jc w:val="center"/>
        </w:trPr>
        <w:tc>
          <w:tcPr>
            <w:tcW w:w="9284" w:type="dxa"/>
            <w:gridSpan w:val="9"/>
            <w:tcBorders>
              <w:top w:val="nil"/>
              <w:left w:val="single" w:sz="8" w:space="0" w:color="000000"/>
              <w:bottom w:val="single" w:sz="8" w:space="0" w:color="000000"/>
              <w:right w:val="single" w:sz="8" w:space="0" w:color="000000"/>
            </w:tcBorders>
            <w:shd w:val="clear" w:color="auto" w:fill="90B0D9"/>
            <w:tcMar>
              <w:left w:w="40" w:type="dxa"/>
              <w:right w:w="40" w:type="dxa"/>
            </w:tcMar>
          </w:tcPr>
          <w:p w:rsidR="006A7E96" w:rsidRPr="00C358C5" w:rsidP="00B63070">
            <w:pPr>
              <w:adjustRightInd w:val="0"/>
              <w:spacing w:before="40" w:after="40"/>
              <w:jc w:val="center"/>
              <w:rPr>
                <w:b/>
                <w:bCs/>
                <w:color w:val="000000"/>
                <w:sz w:val="20"/>
              </w:rPr>
            </w:pPr>
            <w:r w:rsidRPr="00C358C5">
              <w:rPr>
                <w:b/>
                <w:bCs/>
                <w:color w:val="000000"/>
                <w:sz w:val="20"/>
              </w:rPr>
              <w:t>100 Mbps/10 Mbps</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rPr>
                <w:b/>
                <w:bCs/>
                <w:color w:val="000000"/>
                <w:sz w:val="20"/>
              </w:rPr>
            </w:pPr>
            <w:r w:rsidRPr="00C358C5">
              <w:rPr>
                <w:b/>
                <w:bCs/>
                <w:color w:val="000000"/>
                <w:sz w:val="20"/>
              </w:rPr>
              <w:t>United States</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201.894</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63.5%</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215.582</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67.3%</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244.297</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75.7%</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288.378</w:t>
            </w:r>
          </w:p>
        </w:tc>
        <w:tc>
          <w:tcPr>
            <w:tcW w:w="933"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88.5%</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ind w:left="144"/>
              <w:rPr>
                <w:b/>
                <w:bCs/>
                <w:color w:val="000000"/>
                <w:sz w:val="20"/>
              </w:rPr>
            </w:pPr>
            <w:r w:rsidRPr="00C358C5">
              <w:rPr>
                <w:b/>
                <w:bCs/>
                <w:color w:val="000000"/>
                <w:sz w:val="20"/>
              </w:rPr>
              <w:t>Rural Areas</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16.472</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26.7%</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20.481</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32.9%</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25.925</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41.2%</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37.395</w:t>
            </w:r>
          </w:p>
        </w:tc>
        <w:tc>
          <w:tcPr>
            <w:tcW w:w="93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58.6%</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ind w:left="144"/>
              <w:rPr>
                <w:b/>
                <w:bCs/>
                <w:color w:val="000000"/>
                <w:sz w:val="20"/>
              </w:rPr>
            </w:pPr>
            <w:r w:rsidRPr="00C358C5">
              <w:rPr>
                <w:b/>
                <w:bCs/>
                <w:color w:val="000000"/>
                <w:sz w:val="20"/>
              </w:rPr>
              <w:t>Urban Areas</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185.423</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72.3%</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195.101</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75.6%</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218.372</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84.1%</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250.983</w:t>
            </w:r>
          </w:p>
        </w:tc>
        <w:tc>
          <w:tcPr>
            <w:tcW w:w="93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95.8%</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rPr>
                <w:b/>
                <w:bCs/>
                <w:color w:val="000000"/>
                <w:sz w:val="20"/>
              </w:rPr>
            </w:pPr>
            <w:r w:rsidRPr="00C358C5">
              <w:rPr>
                <w:b/>
                <w:bCs/>
                <w:color w:val="000000"/>
                <w:sz w:val="20"/>
              </w:rPr>
              <w:t>U.S. Territories</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0.069</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1.8%</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0.096</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2.5%</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3.027</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80.0%</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0.191</w:t>
            </w:r>
          </w:p>
        </w:tc>
        <w:tc>
          <w:tcPr>
            <w:tcW w:w="933"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5.1%</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ind w:left="144"/>
              <w:rPr>
                <w:b/>
                <w:bCs/>
                <w:color w:val="000000"/>
                <w:sz w:val="20"/>
              </w:rPr>
            </w:pPr>
            <w:r w:rsidRPr="00C358C5">
              <w:rPr>
                <w:b/>
                <w:bCs/>
                <w:color w:val="000000"/>
                <w:sz w:val="20"/>
              </w:rPr>
              <w:t>Rural Areas</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0.000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0.000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0.091</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37.0%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0.007</w:t>
            </w:r>
          </w:p>
        </w:tc>
        <w:tc>
          <w:tcPr>
            <w:tcW w:w="93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2.8%</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ind w:left="144"/>
              <w:rPr>
                <w:b/>
                <w:bCs/>
                <w:color w:val="000000"/>
                <w:sz w:val="20"/>
              </w:rPr>
            </w:pPr>
            <w:r w:rsidRPr="00C358C5">
              <w:rPr>
                <w:b/>
                <w:bCs/>
                <w:color w:val="000000"/>
                <w:sz w:val="20"/>
              </w:rPr>
              <w:t>Urban Areas</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0.069</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1.9%</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0.096</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2.7%</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2.935</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83.0%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0.184</w:t>
            </w:r>
          </w:p>
        </w:tc>
        <w:tc>
          <w:tcPr>
            <w:tcW w:w="93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5.3%</w:t>
            </w:r>
          </w:p>
        </w:tc>
      </w:tr>
      <w:tr w:rsidTr="00B63070">
        <w:tblPrEx>
          <w:tblW w:w="0" w:type="auto"/>
          <w:jc w:val="center"/>
          <w:tblLayout w:type="fixed"/>
          <w:tblCellMar>
            <w:left w:w="0" w:type="dxa"/>
            <w:right w:w="0" w:type="dxa"/>
          </w:tblCellMar>
          <w:tblLook w:val="0000"/>
        </w:tblPrEx>
        <w:trPr>
          <w:cantSplit/>
          <w:trHeight w:hRule="exact" w:val="382"/>
          <w:jc w:val="center"/>
        </w:trPr>
        <w:tc>
          <w:tcPr>
            <w:tcW w:w="9284" w:type="dxa"/>
            <w:gridSpan w:val="9"/>
            <w:tcBorders>
              <w:top w:val="nil"/>
              <w:left w:val="single" w:sz="8" w:space="0" w:color="000000"/>
              <w:bottom w:val="single" w:sz="8" w:space="0" w:color="000000"/>
              <w:right w:val="single" w:sz="8" w:space="0" w:color="000000"/>
            </w:tcBorders>
            <w:shd w:val="clear" w:color="auto" w:fill="90B0D9"/>
            <w:tcMar>
              <w:left w:w="40" w:type="dxa"/>
              <w:right w:w="40" w:type="dxa"/>
            </w:tcMar>
          </w:tcPr>
          <w:p w:rsidR="006A7E96" w:rsidRPr="00C358C5" w:rsidP="00B63070">
            <w:pPr>
              <w:adjustRightInd w:val="0"/>
              <w:spacing w:before="40" w:after="40"/>
              <w:jc w:val="center"/>
              <w:rPr>
                <w:b/>
                <w:bCs/>
                <w:color w:val="000000"/>
                <w:sz w:val="20"/>
              </w:rPr>
            </w:pPr>
            <w:r w:rsidRPr="00C358C5">
              <w:rPr>
                <w:b/>
                <w:bCs/>
                <w:color w:val="000000"/>
                <w:sz w:val="20"/>
              </w:rPr>
              <w:t>250 Mbps/25 Mbps</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p w:rsidR="006A7E96" w:rsidRPr="00C358C5" w:rsidP="00B63070">
            <w:pPr>
              <w:adjustRightInd w:val="0"/>
              <w:spacing w:before="40" w:after="40"/>
              <w:jc w:val="center"/>
              <w:rPr>
                <w:color w:val="000000"/>
                <w:sz w:val="20"/>
              </w:rPr>
            </w:pPr>
            <w:r w:rsidRPr="00C358C5">
              <w:rPr>
                <w:color w:val="000000"/>
                <w:sz w:val="20"/>
              </w:rPr>
              <w:t>.</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rPr>
                <w:b/>
                <w:bCs/>
                <w:color w:val="000000"/>
                <w:sz w:val="20"/>
              </w:rPr>
            </w:pPr>
            <w:r w:rsidRPr="00C358C5">
              <w:rPr>
                <w:b/>
                <w:bCs/>
                <w:color w:val="000000"/>
                <w:sz w:val="20"/>
              </w:rPr>
              <w:t>United States</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15.692</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4.9%</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67.912</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21.2%</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140.795</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43.7%</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191.505</w:t>
            </w:r>
          </w:p>
        </w:tc>
        <w:tc>
          <w:tcPr>
            <w:tcW w:w="933"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58.8%</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ind w:left="144"/>
              <w:rPr>
                <w:b/>
                <w:bCs/>
                <w:color w:val="000000"/>
                <w:sz w:val="20"/>
              </w:rPr>
            </w:pPr>
            <w:r w:rsidRPr="00C358C5">
              <w:rPr>
                <w:b/>
                <w:bCs/>
                <w:color w:val="000000"/>
                <w:sz w:val="20"/>
              </w:rPr>
              <w:t>Rural Areas</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2.031</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3.3%</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5.460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8.8%</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10.029</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15.9%</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18.564</w:t>
            </w:r>
          </w:p>
        </w:tc>
        <w:tc>
          <w:tcPr>
            <w:tcW w:w="93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29.1%</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ind w:left="144"/>
              <w:rPr>
                <w:b/>
                <w:bCs/>
                <w:color w:val="000000"/>
                <w:sz w:val="20"/>
              </w:rPr>
            </w:pPr>
            <w:r w:rsidRPr="00C358C5">
              <w:rPr>
                <w:b/>
                <w:bCs/>
                <w:color w:val="000000"/>
                <w:sz w:val="20"/>
              </w:rPr>
              <w:t>Urban Areas</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13.662</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5.3%</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62.452</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24.2%</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130.766</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50.4%</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172.941</w:t>
            </w:r>
          </w:p>
        </w:tc>
        <w:tc>
          <w:tcPr>
            <w:tcW w:w="93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66.0%</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rPr>
                <w:b/>
                <w:bCs/>
                <w:color w:val="000000"/>
                <w:sz w:val="20"/>
              </w:rPr>
            </w:pPr>
            <w:r w:rsidRPr="00C358C5">
              <w:rPr>
                <w:b/>
                <w:bCs/>
                <w:color w:val="000000"/>
                <w:sz w:val="20"/>
              </w:rPr>
              <w:t>U.S. Territories</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0.067</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1.7%</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0.095</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2.5%</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0.093</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2.5%</w:t>
            </w:r>
          </w:p>
        </w:tc>
        <w:tc>
          <w:tcPr>
            <w:tcW w:w="933" w:type="dxa"/>
            <w:tcBorders>
              <w:top w:val="nil"/>
              <w:left w:val="single" w:sz="8" w:space="0" w:color="000000"/>
              <w:bottom w:val="single" w:sz="8" w:space="0" w:color="000000"/>
              <w:right w:val="nil"/>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0.191</w:t>
            </w:r>
          </w:p>
        </w:tc>
        <w:tc>
          <w:tcPr>
            <w:tcW w:w="933"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5.1%</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ind w:left="144"/>
              <w:rPr>
                <w:b/>
                <w:bCs/>
                <w:color w:val="000000"/>
                <w:sz w:val="20"/>
              </w:rPr>
            </w:pPr>
            <w:r w:rsidRPr="00C358C5">
              <w:rPr>
                <w:b/>
                <w:bCs/>
                <w:color w:val="000000"/>
                <w:sz w:val="20"/>
              </w:rPr>
              <w:t>Rural Areas</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0.000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0.000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0.000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0.007</w:t>
            </w:r>
          </w:p>
        </w:tc>
        <w:tc>
          <w:tcPr>
            <w:tcW w:w="93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2.8%</w:t>
            </w:r>
          </w:p>
        </w:tc>
      </w:tr>
      <w:tr w:rsidTr="00B63070">
        <w:tblPrEx>
          <w:tblW w:w="0" w:type="auto"/>
          <w:jc w:val="center"/>
          <w:tblLayout w:type="fixed"/>
          <w:tblCellMar>
            <w:left w:w="0" w:type="dxa"/>
            <w:right w:w="0" w:type="dxa"/>
          </w:tblCellMar>
          <w:tblLook w:val="0000"/>
        </w:tblPrEx>
        <w:trPr>
          <w:cantSplit/>
          <w:trHeight w:hRule="exact" w:val="382"/>
          <w:jc w:val="center"/>
        </w:trPr>
        <w:tc>
          <w:tcPr>
            <w:tcW w:w="1820" w:type="dxa"/>
            <w:tcBorders>
              <w:top w:val="nil"/>
              <w:left w:val="single" w:sz="8" w:space="0" w:color="000000"/>
              <w:bottom w:val="single" w:sz="8" w:space="0" w:color="000000"/>
              <w:right w:val="nil"/>
            </w:tcBorders>
            <w:shd w:val="clear" w:color="auto" w:fill="90B0D9"/>
            <w:tcMar>
              <w:left w:w="40" w:type="dxa"/>
              <w:right w:w="40" w:type="dxa"/>
            </w:tcMar>
          </w:tcPr>
          <w:p w:rsidR="006A7E96" w:rsidRPr="00C358C5" w:rsidP="00B63070">
            <w:pPr>
              <w:adjustRightInd w:val="0"/>
              <w:spacing w:before="40" w:after="40"/>
              <w:ind w:left="144"/>
              <w:rPr>
                <w:b/>
                <w:bCs/>
                <w:color w:val="000000"/>
                <w:sz w:val="20"/>
              </w:rPr>
            </w:pPr>
            <w:r w:rsidRPr="00C358C5">
              <w:rPr>
                <w:b/>
                <w:bCs/>
                <w:color w:val="000000"/>
                <w:sz w:val="20"/>
              </w:rPr>
              <w:t>Urban Areas</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0.067</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1.8%</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0.095</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2.6%</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0.093</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2.6%</w:t>
            </w:r>
          </w:p>
        </w:tc>
        <w:tc>
          <w:tcPr>
            <w:tcW w:w="933" w:type="dxa"/>
            <w:tcBorders>
              <w:top w:val="nil"/>
              <w:left w:val="single" w:sz="8" w:space="0" w:color="000000"/>
              <w:bottom w:val="single" w:sz="8" w:space="0" w:color="000000"/>
              <w:right w:val="nil"/>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0.184</w:t>
            </w:r>
          </w:p>
        </w:tc>
        <w:tc>
          <w:tcPr>
            <w:tcW w:w="933"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A7E96" w:rsidRPr="00F8323B" w:rsidP="00B63070">
            <w:pPr>
              <w:adjustRightInd w:val="0"/>
              <w:spacing w:before="40" w:after="40"/>
              <w:jc w:val="right"/>
              <w:rPr>
                <w:color w:val="000000"/>
                <w:sz w:val="20"/>
              </w:rPr>
            </w:pPr>
            <w:r w:rsidRPr="00F8323B">
              <w:rPr>
                <w:color w:val="000000"/>
                <w:sz w:val="20"/>
              </w:rPr>
              <w:t>5.3%</w:t>
            </w:r>
          </w:p>
        </w:tc>
      </w:tr>
    </w:tbl>
    <w:p w:rsidR="006A7E96" w:rsidP="006A7E96">
      <w:pPr>
        <w:adjustRightInd w:val="0"/>
        <w:rPr>
          <w:rFonts w:ascii="Times" w:hAnsi="Times" w:cs="Times"/>
          <w:color w:val="000000"/>
        </w:rPr>
      </w:pPr>
    </w:p>
    <w:p w:rsidR="006A7E96" w:rsidP="006A7E96">
      <w:pPr>
        <w:adjustRightInd w:val="0"/>
        <w:jc w:val="center"/>
        <w:rPr>
          <w:sz w:val="24"/>
          <w:szCs w:val="24"/>
        </w:rPr>
      </w:pPr>
    </w:p>
    <w:p w:rsidR="006A7E96" w:rsidRPr="005C242C" w:rsidP="006A7E96"/>
    <w:p w:rsidR="006A7E96" w:rsidP="006A7E96"/>
    <w:p w:rsidR="006A7E96" w:rsidP="006A7E96">
      <w:pPr>
        <w:adjustRightInd w:val="0"/>
        <w:jc w:val="center"/>
        <w:rPr>
          <w:sz w:val="24"/>
          <w:szCs w:val="24"/>
        </w:rPr>
      </w:pPr>
    </w:p>
    <w:p w:rsidR="00EF56F2" w:rsidP="00C6287D">
      <w:pPr>
        <w:sectPr w:rsidSect="0089605C">
          <w:pgSz w:w="12240" w:h="15840"/>
          <w:pgMar w:top="1440" w:right="1440" w:bottom="1440" w:left="1440" w:header="720" w:footer="720" w:gutter="0"/>
          <w:cols w:space="720"/>
          <w:docGrid w:linePitch="299"/>
        </w:sectPr>
      </w:pPr>
    </w:p>
    <w:p w:rsidR="00EF56F2" w:rsidP="00EF56F2">
      <w:pPr>
        <w:jc w:val="center"/>
        <w:rPr>
          <w:b/>
          <w:bCs/>
          <w:caps/>
          <w:snapToGrid/>
          <w:szCs w:val="22"/>
        </w:rPr>
      </w:pPr>
      <w:r>
        <w:rPr>
          <w:b/>
          <w:bCs/>
          <w:caps/>
          <w:szCs w:val="22"/>
        </w:rPr>
        <w:t>Statement of</w:t>
      </w:r>
    </w:p>
    <w:p w:rsidR="00EF56F2" w:rsidP="00EF56F2">
      <w:pPr>
        <w:jc w:val="center"/>
        <w:rPr>
          <w:b/>
        </w:rPr>
      </w:pPr>
      <w:r>
        <w:rPr>
          <w:b/>
        </w:rPr>
        <w:t>COMMISSIONER MICHAEL O’RIELLY</w:t>
      </w:r>
    </w:p>
    <w:p w:rsidR="00EF56F2" w:rsidP="00EF56F2">
      <w:pPr>
        <w:jc w:val="center"/>
        <w:rPr>
          <w:b/>
          <w:bCs/>
          <w:caps/>
          <w:szCs w:val="22"/>
        </w:rPr>
      </w:pPr>
    </w:p>
    <w:p w:rsidR="00EF56F2" w:rsidP="00EF56F2">
      <w:pPr>
        <w:rPr>
          <w:i/>
          <w:szCs w:val="22"/>
        </w:rPr>
      </w:pPr>
      <w:r>
        <w:rPr>
          <w:iCs/>
          <w:szCs w:val="22"/>
        </w:rPr>
        <w:t>Re:</w:t>
      </w:r>
      <w:r>
        <w:rPr>
          <w:szCs w:val="22"/>
        </w:rPr>
        <w:t xml:space="preserve"> </w:t>
      </w:r>
      <w:r>
        <w:rPr>
          <w:szCs w:val="22"/>
        </w:rPr>
        <w:tab/>
      </w:r>
      <w:r>
        <w:rPr>
          <w:i/>
          <w:szCs w:val="22"/>
        </w:rPr>
        <w:t xml:space="preserve">Inquiry Concerning Deployment of Advanced Telecommunications Capability to All </w:t>
      </w:r>
    </w:p>
    <w:p w:rsidR="00EF56F2" w:rsidP="00EF56F2">
      <w:pPr>
        <w:rPr>
          <w:szCs w:val="22"/>
        </w:rPr>
      </w:pPr>
      <w:r>
        <w:rPr>
          <w:i/>
          <w:szCs w:val="22"/>
        </w:rPr>
        <w:tab/>
        <w:t>Americans in a Reasonable and Timely Fashion</w:t>
      </w:r>
      <w:r>
        <w:rPr>
          <w:szCs w:val="22"/>
        </w:rPr>
        <w:t xml:space="preserve">, GN Docket No. 18-238, 2019 </w:t>
      </w:r>
    </w:p>
    <w:p w:rsidR="00EF56F2" w:rsidP="00EF56F2">
      <w:pPr>
        <w:ind w:firstLine="720"/>
        <w:rPr>
          <w:i/>
          <w:iCs/>
          <w:szCs w:val="22"/>
        </w:rPr>
      </w:pPr>
      <w:r>
        <w:rPr>
          <w:szCs w:val="22"/>
        </w:rPr>
        <w:t>Broadband Deployment Report</w:t>
      </w:r>
      <w:r>
        <w:rPr>
          <w:iCs/>
          <w:szCs w:val="22"/>
        </w:rPr>
        <w:t>.</w:t>
      </w:r>
    </w:p>
    <w:p w:rsidR="00EF56F2" w:rsidP="00EF56F2">
      <w:pPr>
        <w:ind w:firstLine="720"/>
        <w:rPr>
          <w:szCs w:val="22"/>
        </w:rPr>
      </w:pPr>
    </w:p>
    <w:p w:rsidR="00EF56F2" w:rsidP="00EF56F2">
      <w:pPr>
        <w:spacing w:after="120"/>
        <w:ind w:firstLine="720"/>
        <w:rPr>
          <w:szCs w:val="22"/>
        </w:rPr>
      </w:pPr>
      <w:r>
        <w:rPr>
          <w:szCs w:val="22"/>
        </w:rPr>
        <w:t xml:space="preserve">This report fulfills our task mandated by Congress and I am pleased to support it.  To be clear:  according to our data collection, which has been rightfully criticized, approximately nine million Americans still lack access to even 10/1 Mbps service, and our finding here does not deny that point.  However, our statutory mandate is not only to determine whether all Americans currently have access to advanced telecommunications capabilities, but also whether progress in deploying such services is proceeding at a reasonable and timely pace, and an affirmative response to the latter inquiry is completely consistent with the facts on the ground.  I remain steadfast in my commitment to bringing access to those Americans currently without </w:t>
      </w:r>
      <w:r>
        <w:rPr>
          <w:i/>
          <w:szCs w:val="22"/>
        </w:rPr>
        <w:t>any</w:t>
      </w:r>
      <w:r>
        <w:rPr>
          <w:szCs w:val="22"/>
        </w:rPr>
        <w:t xml:space="preserve"> broadband option at all and look forward to further actions by this Commission on this front, including, above all, the implementation of the Remote Areas Fund (RAF) auction in some form or fashion.  At the same time, there is no doubt that rapid and robust progress in deployment, particularly in the wireless space, is evident according to the albeit imperfect data we have.</w:t>
      </w:r>
    </w:p>
    <w:p w:rsidR="00EF56F2" w:rsidP="00EF56F2">
      <w:pPr>
        <w:spacing w:after="120"/>
        <w:ind w:firstLine="720"/>
        <w:rPr>
          <w:szCs w:val="22"/>
        </w:rPr>
      </w:pPr>
      <w:r>
        <w:rPr>
          <w:szCs w:val="22"/>
        </w:rPr>
        <w:t>Notwithstanding my overall support, I remain dismayed by the report’s reliance on purported “insufficient evidence” as a basis for maintaining—for yet another year in a row—an outdated siloed approach to evaluating fixed and mobile broadband, rather than examining both markets as one.  Data shows that fixed and mobile service are undoubtedly substitutable for many Americans and that fixed and mobile providers are in fierce competition with one another for customers.  According to a 2018 Pew Research study cited in this very record, one in five American adults have opted to subscribe exclusively to mobile service—a 7-point increase since 2015.</w:t>
      </w:r>
      <w:r>
        <w:rPr>
          <w:szCs w:val="22"/>
          <w:vertAlign w:val="superscript"/>
        </w:rPr>
        <w:footnoteReference w:id="244"/>
      </w:r>
      <w:r>
        <w:rPr>
          <w:szCs w:val="22"/>
        </w:rPr>
        <w:t xml:space="preserve">  Beyond the existence of cross-platform competition, fixed providers are increasingly entering the wireless market, and integrating their wired and wireless technologies with each other.  Given this new horizon of technological convergence, a siloed approach to fixed and mobile service makes even less sense.</w:t>
      </w:r>
    </w:p>
    <w:p w:rsidR="00EF56F2" w:rsidP="00EF56F2">
      <w:pPr>
        <w:spacing w:after="120"/>
        <w:ind w:firstLine="720"/>
        <w:rPr>
          <w:szCs w:val="22"/>
        </w:rPr>
      </w:pPr>
      <w:r>
        <w:rPr>
          <w:szCs w:val="22"/>
        </w:rPr>
        <w:t xml:space="preserve">Moreover, the report focuses shortsightedly on the limitations of mobile service, whereas, one could just as easily point to the limitations of fixed service in meeting the functionalities that customers value.  For example, why do we focus on the shortcomings of mobile service with respect to bandwidth capacity—which is especially absurd given consumers’ increasing reliance on mobile services for bandwidth-intensive applications like video-streaming—but ignore the shortcomings of fixed service with respect to flexibility and mobility?  Whether mobile and fixed serve interchangeable functions for every American for every potential use is immaterial for purposes of this report, and we should be evaluating both services from a technology neutral standpoint.  </w:t>
      </w:r>
    </w:p>
    <w:p w:rsidR="00EF56F2" w:rsidP="00EF56F2">
      <w:pPr>
        <w:spacing w:after="120"/>
        <w:ind w:firstLine="720"/>
        <w:rPr>
          <w:szCs w:val="22"/>
        </w:rPr>
      </w:pPr>
      <w:r>
        <w:rPr>
          <w:szCs w:val="22"/>
        </w:rPr>
        <w:t>Therefore, while I vote to approve, I express hope that by next year’s report, the Commission will have the requisite data to finally recognize marketplace and technological reality with respect to mobile broadband and evaluate the state of deployment in a more comprehensive manner.</w:t>
      </w:r>
    </w:p>
    <w:p w:rsidR="004E6EC3" w:rsidP="00EF56F2">
      <w:pPr>
        <w:spacing w:after="120"/>
        <w:ind w:firstLine="720"/>
        <w:rPr>
          <w:szCs w:val="22"/>
        </w:rPr>
        <w:sectPr w:rsidSect="0089605C">
          <w:footnotePr>
            <w:numRestart w:val="eachSect"/>
          </w:footnotePr>
          <w:pgSz w:w="12240" w:h="15840"/>
          <w:pgMar w:top="1440" w:right="1440" w:bottom="1440" w:left="1440" w:header="720" w:footer="720" w:gutter="0"/>
          <w:cols w:space="720"/>
          <w:docGrid w:linePitch="299"/>
        </w:sectPr>
      </w:pPr>
    </w:p>
    <w:p w:rsidR="004E6EC3" w:rsidRPr="005577AD" w:rsidP="004E6EC3">
      <w:pPr>
        <w:jc w:val="center"/>
        <w:rPr>
          <w:b/>
          <w:bCs/>
          <w:caps/>
          <w:szCs w:val="22"/>
        </w:rPr>
      </w:pPr>
      <w:r w:rsidRPr="005577AD">
        <w:rPr>
          <w:b/>
          <w:bCs/>
          <w:caps/>
          <w:szCs w:val="22"/>
        </w:rPr>
        <w:t>Statement of</w:t>
      </w:r>
    </w:p>
    <w:p w:rsidR="004E6EC3" w:rsidRPr="005577AD" w:rsidP="004E6EC3">
      <w:pPr>
        <w:jc w:val="center"/>
        <w:rPr>
          <w:b/>
          <w:bCs/>
          <w:caps/>
          <w:szCs w:val="22"/>
        </w:rPr>
      </w:pPr>
      <w:r>
        <w:rPr>
          <w:b/>
          <w:bCs/>
          <w:caps/>
          <w:szCs w:val="22"/>
        </w:rPr>
        <w:t>Commissioner Brendan Carr</w:t>
      </w:r>
    </w:p>
    <w:p w:rsidR="004E6EC3" w:rsidRPr="005577AD" w:rsidP="004E6EC3">
      <w:pPr>
        <w:jc w:val="center"/>
        <w:rPr>
          <w:b/>
          <w:bCs/>
          <w:caps/>
          <w:szCs w:val="22"/>
        </w:rPr>
      </w:pPr>
    </w:p>
    <w:p w:rsidR="004E6EC3" w:rsidRPr="009B0A91" w:rsidP="004E6EC3">
      <w:pPr>
        <w:rPr>
          <w:i/>
          <w:szCs w:val="22"/>
        </w:rPr>
      </w:pPr>
      <w:r w:rsidRPr="005577AD">
        <w:rPr>
          <w:iCs/>
          <w:szCs w:val="22"/>
        </w:rPr>
        <w:t>Re:</w:t>
      </w:r>
      <w:r w:rsidRPr="005577AD">
        <w:rPr>
          <w:szCs w:val="22"/>
        </w:rPr>
        <w:t xml:space="preserve"> </w:t>
      </w:r>
      <w:r w:rsidRPr="005577AD">
        <w:rPr>
          <w:szCs w:val="22"/>
        </w:rPr>
        <w:tab/>
      </w:r>
      <w:r w:rsidRPr="009B0A91">
        <w:rPr>
          <w:i/>
          <w:szCs w:val="22"/>
        </w:rPr>
        <w:t xml:space="preserve">Inquiry Concerning Deployment of Advanced Telecommunications Capability to All </w:t>
      </w:r>
    </w:p>
    <w:p w:rsidR="004E6EC3" w:rsidRPr="009B0A91" w:rsidP="004E6EC3">
      <w:pPr>
        <w:rPr>
          <w:szCs w:val="22"/>
        </w:rPr>
      </w:pPr>
      <w:r w:rsidRPr="009B0A91">
        <w:rPr>
          <w:i/>
          <w:szCs w:val="22"/>
        </w:rPr>
        <w:tab/>
        <w:t>Americans in a Reasonable and Timely Fashion</w:t>
      </w:r>
      <w:r w:rsidRPr="009B0A91">
        <w:rPr>
          <w:szCs w:val="22"/>
        </w:rPr>
        <w:t xml:space="preserve">, GN Docket No. 18-238, 2019 </w:t>
      </w:r>
    </w:p>
    <w:p w:rsidR="004E6EC3" w:rsidRPr="005577AD" w:rsidP="004E6EC3">
      <w:pPr>
        <w:ind w:firstLine="720"/>
        <w:rPr>
          <w:i/>
          <w:iCs/>
          <w:szCs w:val="22"/>
        </w:rPr>
      </w:pPr>
      <w:r w:rsidRPr="009B0A91">
        <w:rPr>
          <w:szCs w:val="22"/>
        </w:rPr>
        <w:t>Broadband Deployment Report</w:t>
      </w:r>
      <w:r>
        <w:rPr>
          <w:iCs/>
          <w:szCs w:val="22"/>
        </w:rPr>
        <w:t xml:space="preserve"> </w:t>
      </w:r>
    </w:p>
    <w:p w:rsidR="004E6EC3" w:rsidRPr="005577AD" w:rsidP="004E6EC3">
      <w:pPr>
        <w:ind w:firstLine="720"/>
        <w:rPr>
          <w:szCs w:val="22"/>
        </w:rPr>
      </w:pPr>
    </w:p>
    <w:p w:rsidR="004E6EC3" w:rsidRPr="00120D54" w:rsidP="004E6EC3">
      <w:pPr>
        <w:spacing w:after="120"/>
        <w:ind w:firstLine="720"/>
        <w:rPr>
          <w:szCs w:val="22"/>
        </w:rPr>
      </w:pPr>
      <w:r w:rsidRPr="00120D54">
        <w:rPr>
          <w:szCs w:val="22"/>
        </w:rPr>
        <w:t>This year’s Section 706 report contains more good news for American leadership in 5G.  The FCC’s policies are working.</w:t>
      </w:r>
    </w:p>
    <w:p w:rsidR="004E6EC3" w:rsidRPr="00120D54" w:rsidP="004E6EC3">
      <w:pPr>
        <w:spacing w:after="120"/>
        <w:ind w:firstLine="720"/>
        <w:rPr>
          <w:szCs w:val="22"/>
        </w:rPr>
      </w:pPr>
      <w:r w:rsidRPr="00120D54">
        <w:rPr>
          <w:szCs w:val="22"/>
        </w:rPr>
        <w:t>Internet speeds in the U.S. have never been faster: they’re up nearly 40%.  The digital divide—the percentage of Americans without access to high-speed Internet access—narrowed by nearly 20%.  Providers built fiber broadband out to more homes last year than ever before.  The U.S. now has the largest commercial deployment of 5G in the world, and we’re predicted to have more than two times the percentage of 5G connections as Asia.  That is more broadband for more Americans.</w:t>
      </w:r>
    </w:p>
    <w:p w:rsidR="004E6EC3" w:rsidRPr="00120D54" w:rsidP="004E6EC3">
      <w:pPr>
        <w:spacing w:after="120"/>
        <w:ind w:firstLine="720"/>
        <w:rPr>
          <w:szCs w:val="22"/>
        </w:rPr>
      </w:pPr>
      <w:r w:rsidRPr="00120D54">
        <w:rPr>
          <w:szCs w:val="22"/>
        </w:rPr>
        <w:t>But more than the numbers, the FCC’s approach is benefiting everyday Americans in communities around the country.  In Blue River Township, Indiana, I sat at a kitchen table with Linda Muegge.  Her family runs a small farm in a community of 1,500 people.  She talked about the difference a new broadband connection is making in her life and the lives of her children.  Her son, Chris, went to graduate school at Purdue and earned an advanced degree in cattle nutrition.  Rather than moving to a big city after graduating, Chris moved back home and launched a successful online consulting business, mostly for cattle owners, with clients as far away as Costa Rica.  Chris uses the new broadband connection to see the cattle in HD and download large data sets to monitor their feeding and health. Without the high-speed connection, Chris would not be able to live in Blue River.  Now, he can pitch in at the farm while continuing to pursue his own high-tech business.</w:t>
      </w:r>
      <w:r>
        <w:rPr>
          <w:szCs w:val="22"/>
          <w:vertAlign w:val="superscript"/>
        </w:rPr>
        <w:footnoteReference w:id="245"/>
      </w:r>
    </w:p>
    <w:p w:rsidR="004E6EC3" w:rsidRPr="00120D54" w:rsidP="004E6EC3">
      <w:pPr>
        <w:spacing w:after="120"/>
        <w:ind w:firstLine="720"/>
        <w:rPr>
          <w:szCs w:val="22"/>
        </w:rPr>
      </w:pPr>
      <w:r w:rsidRPr="00120D54">
        <w:rPr>
          <w:szCs w:val="22"/>
        </w:rPr>
        <w:t>In Sioux City, Iowa, I visited a plant that manufactures the poles and towers needed for new wireless deployments.  Five hundred people now work there welding, galvanizing, and pressing the steel needed for broadband infrastructure.  Tyler talked about the increased demand they’re now seeing at the facility for small cell poles, which are the building blocks of 5G.</w:t>
      </w:r>
      <w:r>
        <w:rPr>
          <w:szCs w:val="22"/>
          <w:vertAlign w:val="superscript"/>
        </w:rPr>
        <w:footnoteReference w:id="246"/>
      </w:r>
      <w:r w:rsidRPr="00120D54">
        <w:rPr>
          <w:szCs w:val="22"/>
        </w:rPr>
        <w:t xml:space="preserve"> </w:t>
      </w:r>
    </w:p>
    <w:p w:rsidR="004E6EC3" w:rsidRPr="00120D54" w:rsidP="004E6EC3">
      <w:pPr>
        <w:spacing w:after="120"/>
        <w:ind w:firstLine="720"/>
        <w:rPr>
          <w:szCs w:val="22"/>
        </w:rPr>
      </w:pPr>
      <w:r w:rsidRPr="00120D54">
        <w:rPr>
          <w:szCs w:val="22"/>
        </w:rPr>
        <w:t>In Lewisville, Texas, an infrastructure company just opened a new 26,000 square foot facility.  They are using it to train and hire the tower crews that are now building out broadband networks across the country.  Devin, a former combat engineer, showed me the ropes and just some of the skills that his crews are learning.</w:t>
      </w:r>
      <w:r>
        <w:rPr>
          <w:szCs w:val="22"/>
          <w:vertAlign w:val="superscript"/>
        </w:rPr>
        <w:footnoteReference w:id="247"/>
      </w:r>
      <w:r w:rsidRPr="00120D54">
        <w:rPr>
          <w:szCs w:val="22"/>
        </w:rPr>
        <w:t xml:space="preserve">  Rick, who’s been training tower hands and telecom crews for nearly two decades told me that his teams have never been busier.  In fact, they are looking to hire more than 500 workers for good-paying, 5G jobs at this one facility.  And more broadly, the tower industry is looking to add 20,000 workers as the construction of new 5G networks accelerates. </w:t>
      </w:r>
    </w:p>
    <w:p w:rsidR="004E6EC3" w:rsidRPr="00120D54" w:rsidP="004E6EC3">
      <w:pPr>
        <w:spacing w:after="120"/>
        <w:ind w:firstLine="720"/>
        <w:rPr>
          <w:szCs w:val="22"/>
        </w:rPr>
      </w:pPr>
      <w:r w:rsidRPr="00120D54">
        <w:rPr>
          <w:szCs w:val="22"/>
        </w:rPr>
        <w:t>The FCC is working to encourage even more broadband infrastructure deployment.  We updated federal rules regarding the placement of small cells and other wireless facilities.  We built on common sense siting reforms adopted in states and cities across the country.  And we freed up more spectrum than any other country in the world.</w:t>
      </w:r>
    </w:p>
    <w:p w:rsidR="004E6EC3" w:rsidRPr="005577AD" w:rsidP="004E6EC3">
      <w:pPr>
        <w:widowControl/>
        <w:spacing w:after="120"/>
        <w:ind w:firstLine="720"/>
        <w:rPr>
          <w:szCs w:val="22"/>
        </w:rPr>
      </w:pPr>
      <w:r w:rsidRPr="00120D54">
        <w:rPr>
          <w:szCs w:val="22"/>
        </w:rPr>
        <w:t xml:space="preserve">None of this is to say that our job at the FCC is done.  As the Report makes clear, far too many Americans remain unable to access high-speed broadband, and we have much more work left to do.  But the question Congress set out in Section 706 is “whether advanced telecommunications capability is being </w:t>
      </w:r>
      <w:r w:rsidRPr="00120D54">
        <w:rPr>
          <w:szCs w:val="22"/>
        </w:rPr>
        <w:t>deployed to all Americans in a reasonable and timely fashion.”  The data show that it is.  I look forward to building on this good momentum and ensuring that even more Americans can benefit from the economic opportunity that broadband enables</w:t>
      </w:r>
      <w:r>
        <w:rPr>
          <w:szCs w:val="22"/>
        </w:rPr>
        <w:t>.</w:t>
      </w:r>
    </w:p>
    <w:p w:rsidR="00375774" w:rsidP="00C6287D">
      <w:pPr>
        <w:sectPr w:rsidSect="0089605C">
          <w:footnotePr>
            <w:numRestart w:val="eachSect"/>
          </w:footnotePr>
          <w:pgSz w:w="12240" w:h="15840"/>
          <w:pgMar w:top="1440" w:right="1440" w:bottom="1440" w:left="1440" w:header="720" w:footer="720" w:gutter="0"/>
          <w:cols w:space="720"/>
          <w:docGrid w:linePitch="299"/>
        </w:sectPr>
      </w:pPr>
    </w:p>
    <w:p w:rsidR="00375774" w:rsidRPr="009B0A91" w:rsidP="00375774">
      <w:pPr>
        <w:jc w:val="center"/>
        <w:rPr>
          <w:b/>
          <w:bCs/>
          <w:caps/>
          <w:szCs w:val="22"/>
        </w:rPr>
      </w:pPr>
      <w:r w:rsidRPr="009B0A91">
        <w:rPr>
          <w:b/>
          <w:bCs/>
          <w:caps/>
          <w:szCs w:val="22"/>
        </w:rPr>
        <w:t>Statement of</w:t>
      </w:r>
    </w:p>
    <w:p w:rsidR="00375774" w:rsidRPr="009B0A91" w:rsidP="00375774">
      <w:pPr>
        <w:jc w:val="center"/>
        <w:rPr>
          <w:b/>
          <w:szCs w:val="22"/>
        </w:rPr>
      </w:pPr>
      <w:r w:rsidRPr="009B0A91">
        <w:rPr>
          <w:b/>
          <w:szCs w:val="22"/>
        </w:rPr>
        <w:t>COMMISSIONER JESSICA ROSENWORCEL,</w:t>
      </w:r>
    </w:p>
    <w:p w:rsidR="00375774" w:rsidRPr="009B0A91" w:rsidP="00375774">
      <w:pPr>
        <w:jc w:val="center"/>
        <w:rPr>
          <w:b/>
          <w:bCs/>
          <w:caps/>
          <w:szCs w:val="22"/>
        </w:rPr>
      </w:pPr>
      <w:r w:rsidRPr="009B0A91">
        <w:rPr>
          <w:b/>
          <w:szCs w:val="22"/>
        </w:rPr>
        <w:t>DISSENTING</w:t>
      </w:r>
    </w:p>
    <w:p w:rsidR="00375774" w:rsidRPr="005577AD" w:rsidP="00375774">
      <w:pPr>
        <w:jc w:val="center"/>
        <w:rPr>
          <w:b/>
          <w:bCs/>
          <w:caps/>
          <w:szCs w:val="22"/>
        </w:rPr>
      </w:pPr>
    </w:p>
    <w:p w:rsidR="00375774" w:rsidRPr="009B0A91" w:rsidP="00375774">
      <w:pPr>
        <w:rPr>
          <w:i/>
          <w:szCs w:val="22"/>
        </w:rPr>
      </w:pPr>
      <w:r w:rsidRPr="009B0A91">
        <w:rPr>
          <w:iCs/>
          <w:szCs w:val="22"/>
        </w:rPr>
        <w:t>Re:</w:t>
      </w:r>
      <w:r w:rsidRPr="009B0A91">
        <w:rPr>
          <w:szCs w:val="22"/>
        </w:rPr>
        <w:t xml:space="preserve"> </w:t>
      </w:r>
      <w:r w:rsidRPr="009B0A91">
        <w:rPr>
          <w:szCs w:val="22"/>
        </w:rPr>
        <w:tab/>
      </w:r>
      <w:r w:rsidRPr="009B0A91">
        <w:rPr>
          <w:i/>
          <w:szCs w:val="22"/>
        </w:rPr>
        <w:t xml:space="preserve">Inquiry Concerning Deployment of Advanced Telecommunications Capability to All </w:t>
      </w:r>
    </w:p>
    <w:p w:rsidR="00375774" w:rsidRPr="009B0A91" w:rsidP="00375774">
      <w:pPr>
        <w:rPr>
          <w:szCs w:val="22"/>
        </w:rPr>
      </w:pPr>
      <w:r w:rsidRPr="009B0A91">
        <w:rPr>
          <w:i/>
          <w:szCs w:val="22"/>
        </w:rPr>
        <w:tab/>
        <w:t>Americans in a Reasonable and Timely Fashion</w:t>
      </w:r>
      <w:r w:rsidRPr="009B0A91">
        <w:rPr>
          <w:szCs w:val="22"/>
        </w:rPr>
        <w:t xml:space="preserve">, GN Docket No. 18-238, 2019 </w:t>
      </w:r>
    </w:p>
    <w:p w:rsidR="00375774" w:rsidRPr="009B0A91" w:rsidP="00375774">
      <w:pPr>
        <w:ind w:firstLine="720"/>
        <w:rPr>
          <w:i/>
          <w:iCs/>
          <w:szCs w:val="22"/>
        </w:rPr>
      </w:pPr>
      <w:r w:rsidRPr="009B0A91">
        <w:rPr>
          <w:szCs w:val="22"/>
        </w:rPr>
        <w:t>Broadband Deployment Report</w:t>
      </w:r>
      <w:r w:rsidRPr="009B0A91">
        <w:rPr>
          <w:iCs/>
          <w:szCs w:val="22"/>
        </w:rPr>
        <w:t>.</w:t>
      </w:r>
    </w:p>
    <w:p w:rsidR="00375774" w:rsidRPr="005577AD" w:rsidP="00375774">
      <w:pPr>
        <w:ind w:firstLine="720"/>
        <w:rPr>
          <w:szCs w:val="22"/>
        </w:rPr>
      </w:pPr>
    </w:p>
    <w:p w:rsidR="00375774" w:rsidRPr="009B0A91" w:rsidP="00375774">
      <w:pPr>
        <w:spacing w:after="120"/>
        <w:ind w:firstLine="720"/>
        <w:rPr>
          <w:szCs w:val="22"/>
        </w:rPr>
      </w:pPr>
      <w:r w:rsidRPr="009B0A91">
        <w:rPr>
          <w:szCs w:val="22"/>
        </w:rPr>
        <w:t xml:space="preserve">It is simply not credible for the Federal Communications Commission to clap its hands and pronounce our broadband job done—and yet that is exactly what it does in this report today.  By determining that under the law broadband deployment is reasonable and timely for all Americans, we not only fall short of our statutory responsibility, we show a cruel disregard for those who the digital age has left behind.    </w:t>
      </w:r>
    </w:p>
    <w:p w:rsidR="00375774" w:rsidRPr="009B0A91" w:rsidP="00375774">
      <w:pPr>
        <w:spacing w:after="120"/>
        <w:ind w:firstLine="720"/>
        <w:rPr>
          <w:szCs w:val="22"/>
        </w:rPr>
      </w:pPr>
      <w:r w:rsidRPr="009B0A91">
        <w:rPr>
          <w:szCs w:val="22"/>
        </w:rPr>
        <w:t>Broadband is more than a technology—it’s a platform for opportunity.  No matter who you are or where you live in this country, you need access to advanced communications to have a fair shot at 21st century success.  That is why our responsibility to offer an honest assessment with this report is so disappointing.</w:t>
      </w:r>
    </w:p>
    <w:p w:rsidR="00375774" w:rsidRPr="009B0A91" w:rsidP="00375774">
      <w:pPr>
        <w:spacing w:after="120"/>
        <w:ind w:firstLine="720"/>
        <w:rPr>
          <w:szCs w:val="22"/>
        </w:rPr>
      </w:pPr>
      <w:r w:rsidRPr="009B0A91">
        <w:rPr>
          <w:szCs w:val="22"/>
        </w:rPr>
        <w:t>This report deserves a failing grade.  It concludes that broadband deployment is reasonable and timely throughout the United States.  This will come as news to millions and millions of Americans who lack access to high-speed service at home.  It will come as news to communities across the country that are struggling to secure the broadband they need for economic revitalization and growth.  It will come as news to rural households and tribal areas that fear without change they will forever be consigned to the wrong side of the digital divide.  It will come as news to urban areas where redlining has led to broadband deserts.  It also will come as news to millions of students who fall into the homework gap because they lack the internet access needed for nightly schoolwork.</w:t>
      </w:r>
    </w:p>
    <w:p w:rsidR="00375774" w:rsidRPr="009B0A91" w:rsidP="00375774">
      <w:pPr>
        <w:spacing w:after="120"/>
        <w:ind w:firstLine="720"/>
        <w:rPr>
          <w:szCs w:val="22"/>
        </w:rPr>
      </w:pPr>
      <w:r w:rsidRPr="009B0A91">
        <w:rPr>
          <w:szCs w:val="22"/>
        </w:rPr>
        <w:t xml:space="preserve">Moreover, it will come as news to governors, mayors, and legislators across the country working overtime to extend high-speed service to those outside its reach.  It will come as news to members of Congress who in hearing after hearing have chided this agency for its inability to deliver the promise of broadband to communities they represent.  Is it infrastructure week yet?  Because there is no conversation in Washington regarding infrastructure that does not give prominent place to the work we have yet to do to reach everyone, everywhere with high-speed service. </w:t>
      </w:r>
    </w:p>
    <w:p w:rsidR="00375774" w:rsidRPr="009B0A91" w:rsidP="00375774">
      <w:pPr>
        <w:spacing w:after="120"/>
        <w:ind w:firstLine="720"/>
        <w:rPr>
          <w:szCs w:val="22"/>
        </w:rPr>
      </w:pPr>
      <w:r w:rsidRPr="009B0A91">
        <w:rPr>
          <w:szCs w:val="22"/>
        </w:rPr>
        <w:t>Instead of this report, we should be issuing a candid appraisal of the work we have to do to bring broadband everywhere.  This requires three things.</w:t>
      </w:r>
    </w:p>
    <w:p w:rsidR="00375774" w:rsidRPr="009B0A91" w:rsidP="00375774">
      <w:pPr>
        <w:spacing w:after="120"/>
        <w:ind w:firstLine="720"/>
        <w:rPr>
          <w:szCs w:val="22"/>
        </w:rPr>
      </w:pPr>
      <w:r w:rsidRPr="009B0A91">
        <w:rPr>
          <w:szCs w:val="22"/>
        </w:rPr>
        <w:t xml:space="preserve">First, we need to stop relying on data we know is wrong.  Putting aside the embarrassing fumble of the FCC blindly accepting incorrect data for the original version of this report, there are serious problems with its basic methodology.  Time and again this agency has acknowledged the grave limitations of the data we collect to assess broadband deployment.  If a service provider claims that they serve a single customer in a census block, our existing data practices assume that there is service throughout the census block.  This is not right.  It means the claim in this report that there are only 21 million people in the United States without broadband is fundamentally flawed.  Consider that another recent analysis concluded that as many as 162 million people across the country do not use internet service at broadband speeds.  Adding insult to injury, the same flawed data we rely on here is used to populate FCC broadband maps.  For those keeping track, one cabinet official has described those maps as “fake news” and one Senator has suggested they be shredded and thrown into a lake.  </w:t>
      </w:r>
    </w:p>
    <w:p w:rsidR="00375774" w:rsidRPr="009B0A91" w:rsidP="00375774">
      <w:pPr>
        <w:spacing w:after="120"/>
        <w:ind w:firstLine="720"/>
        <w:rPr>
          <w:szCs w:val="22"/>
        </w:rPr>
      </w:pPr>
      <w:r w:rsidRPr="009B0A91">
        <w:rPr>
          <w:szCs w:val="22"/>
        </w:rPr>
        <w:t xml:space="preserve">Second, we need high standards.  The future belongs to the bold.  History demonstrates that when we set audacious goals we can do big things.  It is time to commit to broadband goals that reflect not just where we are but where we are going.  It has been four years since the FCC updated its broadband standard from 4 Megabits to 25 Megabits per second.  Technology changes fast.  In fact, three years ago, </w:t>
      </w:r>
      <w:r w:rsidRPr="009B0A91">
        <w:rPr>
          <w:szCs w:val="22"/>
        </w:rPr>
        <w:t>this country’s largest broadband provider began rolling out Gigabit service to just shy of 60 million homes and businesses.  This agency needs to keep up.  It’s time for the FCC to adopt a 100 Megabits per second standard and set Gigabit speeds in our sight.</w:t>
      </w:r>
    </w:p>
    <w:p w:rsidR="00375774" w:rsidRPr="009B0A91" w:rsidP="00375774">
      <w:pPr>
        <w:spacing w:after="120"/>
        <w:ind w:firstLine="720"/>
        <w:rPr>
          <w:szCs w:val="22"/>
        </w:rPr>
      </w:pPr>
      <w:r w:rsidRPr="009B0A91">
        <w:rPr>
          <w:szCs w:val="22"/>
        </w:rPr>
        <w:t xml:space="preserve">Third, we need to be honest about the state of what we have found.  We will never manage problems we do not measure.  Our ability to address the challenge of uneven internet access across the country is only made more challenging by our inability to be frank about the state of deployment today.  Moreover, we need to be thoughtful about how impediments to adoption, like affordability, are an important part of the digital equity equation and our national broadband challenge. </w:t>
      </w:r>
    </w:p>
    <w:p w:rsidR="00375774" w:rsidRPr="009B0A91" w:rsidP="00375774">
      <w:pPr>
        <w:spacing w:after="120"/>
        <w:ind w:firstLine="720"/>
        <w:rPr>
          <w:szCs w:val="22"/>
        </w:rPr>
      </w:pPr>
      <w:r w:rsidRPr="009B0A91">
        <w:rPr>
          <w:szCs w:val="22"/>
        </w:rPr>
        <w:t>In other words, there is an honorable way forward.  But in this report the FCC fails its statutory duty.  It fails to use the accurate data we need.  It fails to set ambitious standards.  Worse, it fails the American public by proclaiming mission accomplished when our lived experience tells us that too may people in this country in too many communities are being left behind.  The rest of the world is not grading their progress with infrastructure on a curve.  We shouldn’t either.</w:t>
      </w:r>
    </w:p>
    <w:p w:rsidR="00375774" w:rsidRPr="005577AD" w:rsidP="00375774">
      <w:pPr>
        <w:spacing w:after="120"/>
        <w:ind w:firstLine="720"/>
        <w:rPr>
          <w:szCs w:val="22"/>
        </w:rPr>
      </w:pPr>
      <w:r w:rsidRPr="009B0A91">
        <w:rPr>
          <w:szCs w:val="22"/>
        </w:rPr>
        <w:t>I dissent</w:t>
      </w:r>
      <w:r>
        <w:rPr>
          <w:szCs w:val="22"/>
        </w:rPr>
        <w:t>.</w:t>
      </w:r>
    </w:p>
    <w:p w:rsidR="00375774" w:rsidP="00C6287D">
      <w:pPr>
        <w:sectPr w:rsidSect="0089605C">
          <w:footnotePr>
            <w:numRestart w:val="eachSect"/>
          </w:footnotePr>
          <w:pgSz w:w="12240" w:h="15840"/>
          <w:pgMar w:top="1440" w:right="1440" w:bottom="1440" w:left="1440" w:header="720" w:footer="720" w:gutter="0"/>
          <w:cols w:space="720"/>
          <w:docGrid w:linePitch="299"/>
        </w:sectPr>
      </w:pPr>
    </w:p>
    <w:p w:rsidR="00364220" w:rsidRPr="00D60CB6" w:rsidP="00364220">
      <w:pPr>
        <w:jc w:val="center"/>
        <w:rPr>
          <w:b/>
          <w:bCs/>
          <w:caps/>
          <w:szCs w:val="22"/>
        </w:rPr>
      </w:pPr>
      <w:r w:rsidRPr="00D60CB6">
        <w:rPr>
          <w:b/>
          <w:bCs/>
          <w:caps/>
          <w:szCs w:val="22"/>
        </w:rPr>
        <w:t>Statement of</w:t>
      </w:r>
    </w:p>
    <w:p w:rsidR="00364220" w:rsidRPr="00D60CB6" w:rsidP="00364220">
      <w:pPr>
        <w:jc w:val="center"/>
        <w:rPr>
          <w:b/>
          <w:szCs w:val="22"/>
        </w:rPr>
      </w:pPr>
      <w:r w:rsidRPr="00D60CB6">
        <w:rPr>
          <w:b/>
          <w:szCs w:val="22"/>
        </w:rPr>
        <w:t xml:space="preserve">COMMISSIONER GEOFFREY STARKS, </w:t>
      </w:r>
    </w:p>
    <w:p w:rsidR="00364220" w:rsidRPr="00D60CB6" w:rsidP="00364220">
      <w:pPr>
        <w:jc w:val="center"/>
        <w:rPr>
          <w:b/>
          <w:bCs/>
          <w:caps/>
          <w:szCs w:val="22"/>
        </w:rPr>
      </w:pPr>
      <w:r w:rsidRPr="00D60CB6">
        <w:rPr>
          <w:b/>
          <w:szCs w:val="22"/>
        </w:rPr>
        <w:t>DISSENTING</w:t>
      </w:r>
    </w:p>
    <w:p w:rsidR="00364220" w:rsidRPr="00D60CB6" w:rsidP="00364220">
      <w:pPr>
        <w:jc w:val="center"/>
        <w:rPr>
          <w:b/>
          <w:bCs/>
          <w:caps/>
          <w:szCs w:val="22"/>
        </w:rPr>
      </w:pPr>
    </w:p>
    <w:p w:rsidR="00364220" w:rsidRPr="00D60CB6" w:rsidP="00364220">
      <w:pPr>
        <w:rPr>
          <w:i/>
          <w:szCs w:val="22"/>
        </w:rPr>
      </w:pPr>
      <w:r w:rsidRPr="00D60CB6">
        <w:rPr>
          <w:iCs/>
          <w:szCs w:val="22"/>
        </w:rPr>
        <w:t>Re:</w:t>
      </w:r>
      <w:r w:rsidRPr="00D60CB6">
        <w:rPr>
          <w:szCs w:val="22"/>
        </w:rPr>
        <w:t xml:space="preserve"> </w:t>
      </w:r>
      <w:r w:rsidRPr="00D60CB6">
        <w:rPr>
          <w:szCs w:val="22"/>
        </w:rPr>
        <w:tab/>
      </w:r>
      <w:r w:rsidRPr="00D60CB6">
        <w:rPr>
          <w:i/>
          <w:szCs w:val="22"/>
        </w:rPr>
        <w:t xml:space="preserve">Inquiry Concerning Deployment of Advanced Telecommunications Capability to All </w:t>
      </w:r>
    </w:p>
    <w:p w:rsidR="00364220" w:rsidRPr="00D60CB6" w:rsidP="00364220">
      <w:pPr>
        <w:rPr>
          <w:szCs w:val="22"/>
        </w:rPr>
      </w:pPr>
      <w:r w:rsidRPr="00D60CB6">
        <w:rPr>
          <w:i/>
          <w:szCs w:val="22"/>
        </w:rPr>
        <w:tab/>
        <w:t>Americans in a Reasonable and Timely Fashion</w:t>
      </w:r>
      <w:r w:rsidRPr="00D60CB6">
        <w:rPr>
          <w:szCs w:val="22"/>
        </w:rPr>
        <w:t xml:space="preserve">, GN Docket No. 18-238, 2019 </w:t>
      </w:r>
    </w:p>
    <w:p w:rsidR="00364220" w:rsidRPr="00D60CB6" w:rsidP="00364220">
      <w:pPr>
        <w:ind w:firstLine="720"/>
        <w:rPr>
          <w:i/>
          <w:iCs/>
          <w:szCs w:val="22"/>
        </w:rPr>
      </w:pPr>
      <w:r w:rsidRPr="00D60CB6">
        <w:rPr>
          <w:szCs w:val="22"/>
        </w:rPr>
        <w:t>Broadband Deployment Report</w:t>
      </w:r>
      <w:r w:rsidRPr="00D60CB6">
        <w:rPr>
          <w:iCs/>
          <w:szCs w:val="22"/>
        </w:rPr>
        <w:t>.</w:t>
      </w:r>
    </w:p>
    <w:p w:rsidR="00364220" w:rsidRPr="00D60CB6" w:rsidP="00364220">
      <w:pPr>
        <w:ind w:firstLine="720"/>
        <w:rPr>
          <w:szCs w:val="22"/>
        </w:rPr>
      </w:pPr>
    </w:p>
    <w:p w:rsidR="00364220" w:rsidRPr="00D60CB6" w:rsidP="00364220">
      <w:pPr>
        <w:spacing w:after="120"/>
        <w:ind w:firstLine="720"/>
        <w:rPr>
          <w:szCs w:val="22"/>
        </w:rPr>
      </w:pPr>
      <w:r w:rsidRPr="00D60CB6">
        <w:rPr>
          <w:szCs w:val="22"/>
        </w:rPr>
        <w:t xml:space="preserve">The 2019 Broadband Deployment Report reaches the wrong conclusion.  According to the report, the digital divide has narrowed substantially over the past two years and broadband is being deployed on a reasonable and timely basis.  The rosy picture the report paints about the status of broadband deployment is fundamentally at odds with reality.  While I would like to be able to celebrate along with the FCC’s majority, our broadband deployment mission is not yet accomplished.  If you are 10 steps away from your goal and you move a step-and-a -half forward, you don’t have a victory party when your work isn’t done.  You give yourself a pat on the back and put your head down to achieve the remaining eight-and-a-half steps.  And that’s where we are – with over 21 million Americans without access to quality, affordable broadband, we are about eight-and-a-half steps behind and we must get back to work.  The report masks the urgent need for continued and renewed action to address inequities in internet access in rural, tribal, and urban areas of the country.  </w:t>
      </w:r>
    </w:p>
    <w:p w:rsidR="00364220" w:rsidRPr="00D60CB6" w:rsidP="00364220">
      <w:pPr>
        <w:spacing w:after="120"/>
        <w:ind w:firstLine="720"/>
        <w:rPr>
          <w:szCs w:val="22"/>
        </w:rPr>
      </w:pPr>
      <w:r w:rsidRPr="00D60CB6">
        <w:rPr>
          <w:szCs w:val="22"/>
        </w:rPr>
        <w:t xml:space="preserve">  The fundamental disconnect between the report and reality is reason enough for my dissent.  But I am also compelled to speak out about the process that led to this report, which, when initially circulated, was based on massive, erroneous overstatements of high-speed internet deployment in the underlying data.  The errors in the circulated report involved a broadband provider called Barrier Free that, in its first broadband service report to the FCC, reported that as of December 2017 it provided high-speed broadband service in an area where 62 million people live.  If Barrier Free’s reporting was correct (it was not – Barrier Free acknowledged the errors in its revised filing in March 2019) it would have gone from providing no service as of March 2017 to being the 4</w:t>
      </w:r>
      <w:r w:rsidRPr="00D60CB6">
        <w:rPr>
          <w:szCs w:val="22"/>
          <w:vertAlign w:val="superscript"/>
        </w:rPr>
        <w:t>th</w:t>
      </w:r>
      <w:r w:rsidRPr="00D60CB6">
        <w:rPr>
          <w:szCs w:val="22"/>
        </w:rPr>
        <w:t xml:space="preserve"> largest ISP in the country as of December 2017.  The fact that such a huge error was not flagged but instead was baked into the FCC’s data underlying this report – the same data underlying much of the FCC’s frequently criticized broadband mapping efforts – demonstrates the fundamental problems with the FCC’s data analysis capabilities.  </w:t>
      </w:r>
    </w:p>
    <w:p w:rsidR="00364220" w:rsidRPr="00D60CB6" w:rsidP="00364220">
      <w:pPr>
        <w:spacing w:after="120"/>
        <w:ind w:firstLine="720"/>
        <w:rPr>
          <w:szCs w:val="22"/>
        </w:rPr>
      </w:pPr>
      <w:r w:rsidRPr="00D60CB6">
        <w:rPr>
          <w:szCs w:val="22"/>
        </w:rPr>
        <w:t>Let’s briefly focus on the timeline at issue.  Barrier Free’s filing (which the Commission now admits contained erroneous data) was included in data due at the end of March 2018.  In February 2019, the Chairman circulated a non-public draft broadband deployment report to the other Commissioners for their consideration.  On the same day, the FCC issued a press release describing the draft report and stating that “the number of Americans lacking access to a fixed broadband connection meeting the FCC’s benchmark speed of 25 Mbps / 3Mbps has dropped over 25%, from 26.1 million Americans at the end of 2016 to 19.4 million at the end of 2017.”</w:t>
      </w:r>
      <w:r w:rsidRPr="00D60CB6">
        <w:rPr>
          <w:szCs w:val="22"/>
          <w:vertAlign w:val="superscript"/>
        </w:rPr>
        <w:t xml:space="preserve"> </w:t>
      </w:r>
      <w:r>
        <w:rPr>
          <w:szCs w:val="22"/>
          <w:vertAlign w:val="superscript"/>
        </w:rPr>
        <w:footnoteReference w:id="248"/>
      </w:r>
      <w:r w:rsidRPr="00D60CB6">
        <w:rPr>
          <w:szCs w:val="22"/>
          <w:vertAlign w:val="superscript"/>
        </w:rPr>
        <w:t xml:space="preserve"> </w:t>
      </w:r>
      <w:r w:rsidRPr="00D60CB6">
        <w:rPr>
          <w:szCs w:val="22"/>
        </w:rPr>
        <w:t xml:space="preserve"> At this point in time, the FCC had been in possession of Barrier Free’s erroneous data for nearly eleven months!  On March 5, 2019, Free Press, a non-profit public interest entity, filed a letter with the Commission identifying Barrier Free’s erroneous reporting and detailing how it impacted the broadband deployment claims made in the FCC’s February Press Release.</w:t>
      </w:r>
      <w:r>
        <w:rPr>
          <w:szCs w:val="22"/>
          <w:vertAlign w:val="superscript"/>
        </w:rPr>
        <w:footnoteReference w:id="249"/>
      </w:r>
      <w:r w:rsidRPr="00D60CB6">
        <w:rPr>
          <w:szCs w:val="22"/>
        </w:rPr>
        <w:t xml:space="preserve">  </w:t>
      </w:r>
    </w:p>
    <w:p w:rsidR="00364220" w:rsidRPr="00D60CB6" w:rsidP="00364220">
      <w:pPr>
        <w:spacing w:after="120"/>
        <w:ind w:firstLine="720"/>
        <w:rPr>
          <w:szCs w:val="22"/>
        </w:rPr>
      </w:pPr>
      <w:r w:rsidRPr="00D60CB6">
        <w:rPr>
          <w:szCs w:val="22"/>
        </w:rPr>
        <w:t xml:space="preserve">The FCC did not issue another press release acknowledging the errors Free Press found and correcting statements about declines in the digital divide from its February press release.  And, even after Barrier Free admitted that the data it reported to the FCC was wrong, the FCC neither removed the draft Broadband Deployment Report from circulation nor committed to revising it.  Instead, nearly two months passed before the Chairman circulated a corrected version of the report.  Surprisingly, the conclusion in the report didn’t change.  In fact, very little in the report changed.  It’s incredible to me that an error this large – approximately 62 million in overstated broadband connections – didn’t materially change the report.  </w:t>
      </w:r>
    </w:p>
    <w:p w:rsidR="00364220" w:rsidRPr="00D60CB6" w:rsidP="00364220">
      <w:pPr>
        <w:spacing w:after="120"/>
        <w:ind w:firstLine="720"/>
        <w:rPr>
          <w:szCs w:val="22"/>
        </w:rPr>
      </w:pPr>
      <w:r w:rsidRPr="00D60CB6">
        <w:rPr>
          <w:szCs w:val="22"/>
        </w:rPr>
        <w:t xml:space="preserve">The fact that a 2019 Broadband Deployment Report with an error of over 62 million connections was circulated to the full Commission raises serious questions.  Was the Chairman’s office aware of the errors when it circulated the draft report?  If not, why didn’t an “outlier” detection function raise alarms with regard to Barrier Free?  Also, once the report was corrected, the fact that such a large number of connections came out of the report’s underlying data without changing the report’s conclusion, and without resulting in a substantial charge to the report, calls into question the extent to which the report and its conclusions depend on and flow from data.  These issues go to the core nature of the Deployment Report, and more broadly, our FCC mission – to determine where broadband service is and is not deployed, and </w:t>
      </w:r>
      <w:r w:rsidR="00C83B17">
        <w:rPr>
          <w:szCs w:val="22"/>
        </w:rPr>
        <w:t>to be</w:t>
      </w:r>
      <w:r w:rsidRPr="00D60CB6">
        <w:rPr>
          <w:szCs w:val="22"/>
        </w:rPr>
        <w:t xml:space="preserve"> grounded in and led by the actual facts and data.</w:t>
      </w:r>
    </w:p>
    <w:p w:rsidR="00364220" w:rsidRPr="00D60CB6" w:rsidP="00364220">
      <w:pPr>
        <w:spacing w:after="120"/>
        <w:ind w:firstLine="720"/>
        <w:jc w:val="center"/>
        <w:rPr>
          <w:b/>
          <w:i/>
          <w:szCs w:val="22"/>
        </w:rPr>
      </w:pPr>
      <w:r w:rsidRPr="00D60CB6">
        <w:rPr>
          <w:b/>
          <w:i/>
          <w:szCs w:val="22"/>
        </w:rPr>
        <w:t>The Commission’s Data Processing</w:t>
      </w:r>
    </w:p>
    <w:p w:rsidR="00364220" w:rsidRPr="00D60CB6" w:rsidP="00364220">
      <w:pPr>
        <w:spacing w:after="120"/>
        <w:ind w:firstLine="720"/>
        <w:rPr>
          <w:szCs w:val="22"/>
        </w:rPr>
      </w:pPr>
      <w:r w:rsidRPr="00D60CB6">
        <w:rPr>
          <w:szCs w:val="22"/>
        </w:rPr>
        <w:t>The facts surrounding Barrier Free’s erroneous filing and the 2019 Broadband Deployment Report raise serious questions about the way the FCC evaluates data.  Here’s why the inability to spot this mistake is particularly troubling: the errors in the Barrier Free data are anomalous on multiple fronts.  First, Barrier Free’s growth rate, growing from no service to service in areas where 62 million people live is implausible.  That anomaly alone should have resulted in Barrier Free’s report being flagged for review.  Second, Barrier Free claimed that it served 100% of the census blocks in every state in which it operated.  Claims of 100% of nearly anything should flag a filing as an outlier.  Third, the speeds Barrier Free reported providing, 940 Mbps upstream/880 Mbps downstream, don’t track with the wireless technology reportedly used by the company.  This mismatch should have further identified the company’s data as an outlier requiring further review.  And fourth, the combination of coverage and speeds claimed by Barrier Free – for example, covering the entire state of New York with fiber-to-the-home service – should have stuck out as an outlier on a “gut-check” level.  Nobody familiar with broadband deployment in the U.S. would believe that the entire state of New York suddenly has fiber-to-the-home speed service available.</w:t>
      </w:r>
    </w:p>
    <w:p w:rsidR="00364220" w:rsidRPr="00D60CB6" w:rsidP="00364220">
      <w:pPr>
        <w:spacing w:after="120"/>
        <w:rPr>
          <w:szCs w:val="22"/>
        </w:rPr>
      </w:pPr>
      <w:r w:rsidRPr="00D60CB6">
        <w:rPr>
          <w:szCs w:val="22"/>
        </w:rPr>
        <w:tab/>
        <w:t xml:space="preserve">In the future, Commission staff must conduct data checks that would flag each of the issues listed above, ideally at the filing stage so that FCC analysts would never have had to grapple with Barrier Free’s erroneous filing.  And the FCC shouldn’t stop at building in or perfecting checks.  It should consider deploying machine learning models that can identify outliers and other patterns within the data that are likely to be anomalous.  Such models could significantly reduce the manual data cleansing efforts currently built into the FCC’s work with each data filing. </w:t>
      </w:r>
    </w:p>
    <w:p w:rsidR="00364220" w:rsidRPr="00D60CB6" w:rsidP="00C83B17">
      <w:pPr>
        <w:spacing w:after="120"/>
        <w:jc w:val="center"/>
        <w:rPr>
          <w:b/>
          <w:i/>
          <w:szCs w:val="22"/>
        </w:rPr>
      </w:pPr>
      <w:r w:rsidRPr="00D60CB6">
        <w:rPr>
          <w:b/>
          <w:i/>
          <w:szCs w:val="22"/>
        </w:rPr>
        <w:t>Issues With Data the Commission Collects to Inform Its Broadband Policy Decision-Making</w:t>
      </w:r>
    </w:p>
    <w:p w:rsidR="00364220" w:rsidRPr="00D60CB6" w:rsidP="00364220">
      <w:pPr>
        <w:spacing w:after="120"/>
        <w:ind w:firstLine="720"/>
        <w:rPr>
          <w:szCs w:val="22"/>
        </w:rPr>
      </w:pPr>
      <w:r w:rsidRPr="00D60CB6">
        <w:rPr>
          <w:szCs w:val="22"/>
        </w:rPr>
        <w:t>Unfortunately, the Commission’s problems with data simply don’t end with the Barrier Free incident.  One thing that members of Congress and nearly every industry stakeholder agree on is that the FCC’s broadband mapping, and the data behind it, including the data used by the Commission to create its annual broadband deployment report, has serious flaws.</w:t>
      </w:r>
      <w:r>
        <w:rPr>
          <w:rStyle w:val="FootnoteReference"/>
          <w:sz w:val="22"/>
          <w:szCs w:val="22"/>
        </w:rPr>
        <w:footnoteReference w:id="250"/>
      </w:r>
      <w:r w:rsidRPr="00D60CB6">
        <w:rPr>
          <w:szCs w:val="22"/>
        </w:rPr>
        <w:t xml:space="preserve">  We hear about these flaws frequently at a high level – but they are worth exploring in more detail.  Three of the most frequently identified flaws are rooted in FCC interpretations of how to gather and use data.  They are within our power to fix, and we must do so.  </w:t>
      </w:r>
    </w:p>
    <w:p w:rsidR="00364220" w:rsidRPr="00D60CB6" w:rsidP="00364220">
      <w:pPr>
        <w:spacing w:after="120"/>
        <w:ind w:firstLine="720"/>
        <w:rPr>
          <w:szCs w:val="22"/>
        </w:rPr>
      </w:pPr>
      <w:r w:rsidRPr="00D60CB6">
        <w:rPr>
          <w:szCs w:val="22"/>
        </w:rPr>
        <w:t>First, critics frequently attack the FCC’s mapping for treating an entire census block as served if a service provider reports providing service at any location within the block.  This methodology produces maps that overstate service deployment because it lumps together served and unserved locations in each census block.  In fact, the FCC doesn’t even provide a way for providers of fixed broadband service to report their service locations on a more granular basis</w:t>
      </w:r>
      <w:bookmarkStart w:id="444" w:name="_Hlk8653350"/>
      <w:r w:rsidRPr="00D60CB6">
        <w:rPr>
          <w:szCs w:val="22"/>
        </w:rPr>
        <w:t>.  Here is what the instructions for the FCC’s Form 477 direct fixed broadband service providers to report:</w:t>
      </w:r>
    </w:p>
    <w:p w:rsidR="00364220" w:rsidRPr="00D60CB6" w:rsidP="00364220">
      <w:pPr>
        <w:ind w:left="720" w:right="720"/>
        <w:rPr>
          <w:szCs w:val="22"/>
        </w:rPr>
      </w:pPr>
      <w:r w:rsidRPr="00D60CB6">
        <w:rPr>
          <w:szCs w:val="22"/>
        </w:rPr>
        <w:t xml:space="preserve">Report a list … </w:t>
      </w:r>
      <w:r w:rsidRPr="00D60CB6">
        <w:rPr>
          <w:szCs w:val="22"/>
          <w:u w:val="single"/>
        </w:rPr>
        <w:t>of all census blocks in which the filer</w:t>
      </w:r>
      <w:r w:rsidRPr="00D60CB6">
        <w:rPr>
          <w:szCs w:val="22"/>
        </w:rPr>
        <w:t xml:space="preserve"> (including affiliates) </w:t>
      </w:r>
      <w:r w:rsidRPr="00D60CB6">
        <w:rPr>
          <w:szCs w:val="22"/>
          <w:u w:val="single"/>
        </w:rPr>
        <w:t>makes broadband connections available</w:t>
      </w:r>
      <w:r w:rsidRPr="00D60CB6">
        <w:rPr>
          <w:szCs w:val="22"/>
        </w:rPr>
        <w:t xml:space="preserve"> to end-user premises, along with the associated information on technology of transmission …, [and] maximum upload and download speeds …</w:t>
      </w:r>
      <w:r>
        <w:rPr>
          <w:rStyle w:val="FootnoteReference"/>
          <w:sz w:val="22"/>
          <w:szCs w:val="22"/>
        </w:rPr>
        <w:footnoteReference w:id="251"/>
      </w:r>
      <w:r w:rsidRPr="00D60CB6">
        <w:rPr>
          <w:szCs w:val="22"/>
        </w:rPr>
        <w:t xml:space="preserve"> </w:t>
      </w:r>
    </w:p>
    <w:p w:rsidR="00364220" w:rsidRPr="00D60CB6" w:rsidP="00364220">
      <w:pPr>
        <w:ind w:left="720" w:right="720"/>
        <w:rPr>
          <w:szCs w:val="22"/>
        </w:rPr>
      </w:pPr>
    </w:p>
    <w:p w:rsidR="00364220" w:rsidRPr="00D60CB6" w:rsidP="00364220">
      <w:pPr>
        <w:spacing w:after="120"/>
        <w:rPr>
          <w:szCs w:val="22"/>
        </w:rPr>
      </w:pPr>
      <w:r w:rsidRPr="00D60CB6">
        <w:rPr>
          <w:szCs w:val="22"/>
        </w:rPr>
        <w:t>This direction does not require service providers to identify addresses within a census block where they provide service.  Instead, provide</w:t>
      </w:r>
      <w:bookmarkStart w:id="445" w:name="_GoBack"/>
      <w:bookmarkEnd w:id="445"/>
      <w:r w:rsidRPr="00D60CB6">
        <w:rPr>
          <w:szCs w:val="22"/>
        </w:rPr>
        <w:t xml:space="preserve">rs must list census blocks where they make broadband connections available.  </w:t>
      </w:r>
      <w:bookmarkEnd w:id="444"/>
      <w:r w:rsidRPr="00D60CB6" w:rsidR="00B77606">
        <w:rPr>
          <w:szCs w:val="22"/>
        </w:rPr>
        <w:t xml:space="preserve">To complicate matters, census blocks </w:t>
      </w:r>
      <w:r w:rsidR="00B77606">
        <w:rPr>
          <w:szCs w:val="22"/>
        </w:rPr>
        <w:t>used in the 2010 census varied</w:t>
      </w:r>
      <w:r w:rsidRPr="00D60CB6" w:rsidR="00B77606">
        <w:rPr>
          <w:szCs w:val="22"/>
        </w:rPr>
        <w:t xml:space="preserve"> greatly in size.</w:t>
      </w:r>
      <w:r w:rsidR="00B77606">
        <w:rPr>
          <w:szCs w:val="22"/>
        </w:rPr>
        <w:t xml:space="preserve">  Generally, census blocks are small in area, for example, a city block bounded on all sides by streets.  But census blocks in suburban and rural areas may be large and in remote areas may encompass hundreds of square miles</w:t>
      </w:r>
      <w:r w:rsidRPr="00D60CB6" w:rsidR="00B77606">
        <w:rPr>
          <w:szCs w:val="22"/>
        </w:rPr>
        <w:t>.</w:t>
      </w:r>
      <w:r>
        <w:rPr>
          <w:rStyle w:val="FootnoteReference"/>
          <w:sz w:val="22"/>
          <w:szCs w:val="22"/>
        </w:rPr>
        <w:footnoteReference w:id="252"/>
      </w:r>
      <w:r w:rsidRPr="00D60CB6" w:rsidR="00B77606">
        <w:rPr>
          <w:szCs w:val="22"/>
        </w:rPr>
        <w:t xml:space="preserve">  Large census blocks, combined with the FCC practice of considering an entire census block served if any single location within it is served, are the primary reasons </w:t>
      </w:r>
      <w:r w:rsidR="00B77606">
        <w:rPr>
          <w:szCs w:val="22"/>
        </w:rPr>
        <w:t>why</w:t>
      </w:r>
      <w:r w:rsidRPr="00D60CB6" w:rsidR="00B77606">
        <w:rPr>
          <w:szCs w:val="22"/>
        </w:rPr>
        <w:t xml:space="preserve"> the FCC’s maps based on its 477 data overstat</w:t>
      </w:r>
      <w:r w:rsidR="00B77606">
        <w:rPr>
          <w:szCs w:val="22"/>
        </w:rPr>
        <w:t>e</w:t>
      </w:r>
      <w:r w:rsidRPr="00D60CB6" w:rsidR="00B77606">
        <w:rPr>
          <w:szCs w:val="22"/>
        </w:rPr>
        <w:t xml:space="preserve"> the availability of broadband</w:t>
      </w:r>
      <w:r w:rsidRPr="00D60CB6">
        <w:rPr>
          <w:szCs w:val="22"/>
        </w:rPr>
        <w:t xml:space="preserve">.  </w:t>
      </w:r>
      <w:bookmarkStart w:id="446" w:name="_Hlk8653416"/>
    </w:p>
    <w:p w:rsidR="00364220" w:rsidRPr="00D60CB6" w:rsidP="00364220">
      <w:pPr>
        <w:spacing w:after="120"/>
        <w:ind w:firstLine="720"/>
        <w:rPr>
          <w:szCs w:val="22"/>
        </w:rPr>
      </w:pPr>
      <w:r w:rsidRPr="00D60CB6">
        <w:rPr>
          <w:szCs w:val="22"/>
        </w:rPr>
        <w:t>Another problem with the FCC’s Form 477 data collection is that fixed broadband service providers may report areas as served if they “could” serve them, even if they do not actually provide service.  Specifically, the Form 477 instruction for fixed broadband providers requires them to report, by census block, areas where they make service “available.”  The form defines “available” as follows:</w:t>
      </w:r>
    </w:p>
    <w:p w:rsidR="00364220" w:rsidRPr="00D60CB6" w:rsidP="00364220">
      <w:pPr>
        <w:ind w:left="720" w:right="720"/>
        <w:rPr>
          <w:szCs w:val="22"/>
        </w:rPr>
      </w:pPr>
      <w:r w:rsidRPr="00D60CB6">
        <w:rPr>
          <w:szCs w:val="22"/>
        </w:rPr>
        <w:t xml:space="preserve">For purposes of this form, fixed broadband connections are available in a census block if the provider does, </w:t>
      </w:r>
      <w:r w:rsidRPr="00D60CB6">
        <w:rPr>
          <w:szCs w:val="22"/>
          <w:u w:val="single"/>
        </w:rPr>
        <w:t>or could, within a service interval that is typical for that type of connection—that is, without an extraordinary commitment of resources</w:t>
      </w:r>
      <w:r w:rsidRPr="00D60CB6">
        <w:rPr>
          <w:szCs w:val="22"/>
        </w:rPr>
        <w:t>—provision two-way data transmission to and from the Internet with advertised speeds exceeding 200 kbps in at least one direction to end-user premises in the census block.</w:t>
      </w:r>
      <w:r>
        <w:rPr>
          <w:rStyle w:val="FootnoteReference"/>
          <w:sz w:val="22"/>
          <w:szCs w:val="22"/>
        </w:rPr>
        <w:footnoteReference w:id="253"/>
      </w:r>
    </w:p>
    <w:p w:rsidR="00364220" w:rsidRPr="00D60CB6" w:rsidP="00364220">
      <w:pPr>
        <w:ind w:left="720" w:right="720"/>
        <w:rPr>
          <w:szCs w:val="22"/>
        </w:rPr>
      </w:pPr>
    </w:p>
    <w:p w:rsidR="00364220" w:rsidRPr="00D60CB6" w:rsidP="00364220">
      <w:pPr>
        <w:spacing w:after="120"/>
        <w:rPr>
          <w:szCs w:val="22"/>
        </w:rPr>
      </w:pPr>
      <w:r w:rsidRPr="00D60CB6">
        <w:rPr>
          <w:szCs w:val="22"/>
        </w:rPr>
        <w:t xml:space="preserve">This instruction allows service providers to report, as served, census blocks that they could deploy service to, resulting in data that contains an indistinguishable jumble of census blocks where service is actually and hypothetically available.  </w:t>
      </w:r>
      <w:bookmarkEnd w:id="446"/>
      <w:r w:rsidRPr="00D60CB6">
        <w:rPr>
          <w:szCs w:val="22"/>
        </w:rPr>
        <w:t>Obviously, this mixture directly impacts the reliability of any map purporting to show where broadband service is actually available.</w:t>
      </w:r>
      <w:bookmarkStart w:id="447" w:name="_Hlk8653473"/>
    </w:p>
    <w:p w:rsidR="00364220" w:rsidRPr="00D60CB6" w:rsidP="00364220">
      <w:pPr>
        <w:spacing w:after="120"/>
        <w:ind w:firstLine="720"/>
        <w:rPr>
          <w:szCs w:val="22"/>
        </w:rPr>
      </w:pPr>
      <w:r w:rsidRPr="00D60CB6">
        <w:rPr>
          <w:szCs w:val="22"/>
        </w:rPr>
        <w:t>A third problem with the FCC’s Form 477 data—and with the maps based upon it—is rooted in mobile broadband service reporting.  Service providers aren’t required to report the speeds they are actually providing.  Instead, they report “minimum advertised upload and download data speeds.”  Here are the Form 477 instructions that tell mobile broadband service providers what they must report:</w:t>
      </w:r>
    </w:p>
    <w:p w:rsidR="00364220" w:rsidRPr="00D60CB6" w:rsidP="00364220">
      <w:pPr>
        <w:ind w:left="720" w:right="720"/>
        <w:rPr>
          <w:szCs w:val="22"/>
        </w:rPr>
      </w:pPr>
      <w:r w:rsidRPr="00D60CB6">
        <w:rPr>
          <w:szCs w:val="22"/>
        </w:rPr>
        <w:t xml:space="preserve">[P]roviders shall submit polygons in a shapefile format representing geographic coverage nationwide … for each mobile broadband transmission technology … deployed in each frequency band … The data associated with each polygon should indicate the </w:t>
      </w:r>
      <w:r w:rsidRPr="00D60CB6">
        <w:rPr>
          <w:szCs w:val="22"/>
          <w:u w:val="single"/>
        </w:rPr>
        <w:t>minimum advertised upload and download data speeds</w:t>
      </w:r>
      <w:r w:rsidRPr="00D60CB6">
        <w:rPr>
          <w:szCs w:val="22"/>
        </w:rPr>
        <w:t xml:space="preserve"> associated with that network technology in that frequency band …, and the coverage area polygon should depict the boundaries where, according to providers, users should expect to receive those advertised speeds.</w:t>
      </w:r>
      <w:r>
        <w:rPr>
          <w:rStyle w:val="FootnoteReference"/>
          <w:sz w:val="22"/>
          <w:szCs w:val="22"/>
        </w:rPr>
        <w:footnoteReference w:id="254"/>
      </w:r>
    </w:p>
    <w:bookmarkEnd w:id="447"/>
    <w:p w:rsidR="00364220" w:rsidRPr="00D60CB6" w:rsidP="00364220">
      <w:pPr>
        <w:ind w:left="720" w:right="720"/>
        <w:rPr>
          <w:szCs w:val="22"/>
        </w:rPr>
      </w:pPr>
    </w:p>
    <w:p w:rsidR="00364220" w:rsidRPr="00D60CB6" w:rsidP="00364220">
      <w:pPr>
        <w:spacing w:after="120"/>
        <w:rPr>
          <w:szCs w:val="22"/>
        </w:rPr>
      </w:pPr>
      <w:r w:rsidRPr="00D60CB6">
        <w:rPr>
          <w:szCs w:val="22"/>
        </w:rPr>
        <w:t>Requiring service providers to report minimum advertised speeds results in data and maps that may not show actual speeds customers are likely to experience.  This information falls short of what the FCC needs to guide our policy efforts to close the digital divide.</w:t>
      </w:r>
    </w:p>
    <w:p w:rsidR="00364220" w:rsidRPr="00D60CB6" w:rsidP="00364220">
      <w:pPr>
        <w:spacing w:after="120"/>
        <w:ind w:firstLine="720"/>
        <w:rPr>
          <w:szCs w:val="22"/>
        </w:rPr>
      </w:pPr>
      <w:r w:rsidRPr="00D60CB6">
        <w:rPr>
          <w:szCs w:val="22"/>
        </w:rPr>
        <w:t xml:space="preserve">These problems are all symptomatic of a much larger issue with the FCC’s data collection: the FCC’s Form 477 does not collect the right data.  Take for example one of the primary uses of the Form 477 data collection – measuring the effectiveness of the FCC’s Universal Service programs in closing the digital divide.  The right data would allow the FCC to measure the progress of the Universal Service program, to evaluate the effectiveness of programs and related strategies, to identify barriers to progress in the program, and to understand where it should target resources.  But that’s not what the data the FCC collects does.   Because the data reports entire census blocks as served if just one location is served, the FCC cannot answer relevant program evaluation questions like how many Americans have broadband in their homes, businesses, and community anchor institutions.  Similarly, it does not give the FCC tools needed to measure progress in closing the digital divide.  And, it does not identify with sufficient granularity areas where the FCC should direct its Universal Service Fund resources.  Luckily, the FCC doesn’t need additional authority to fix these problems – it can do so within its rulemaking authority.  </w:t>
      </w:r>
    </w:p>
    <w:p w:rsidR="00364220" w:rsidRPr="00D60CB6" w:rsidP="00364220">
      <w:pPr>
        <w:spacing w:after="120"/>
        <w:ind w:firstLine="720"/>
        <w:rPr>
          <w:szCs w:val="22"/>
        </w:rPr>
      </w:pPr>
      <w:bookmarkStart w:id="448" w:name="_Hlk8681552"/>
      <w:r w:rsidRPr="00D60CB6">
        <w:rPr>
          <w:szCs w:val="22"/>
        </w:rPr>
        <w:t>The FCC should change its data collection policies, so service provider reporting is granular and accurate.  The FCC should also ensure that its Form 477 data set complies with the Open Government Data Act which requires it to publish much of its non-confidential data in machine-readable format.  The FCC should lead the way in making data open.  Doing so will encourage academics, researchers, and other stakeholders to use this data in innovative ways.</w:t>
      </w:r>
      <w:bookmarkEnd w:id="448"/>
    </w:p>
    <w:p w:rsidR="00364220" w:rsidRPr="00D60CB6" w:rsidP="00364220">
      <w:pPr>
        <w:spacing w:after="120"/>
        <w:ind w:firstLine="720"/>
        <w:rPr>
          <w:szCs w:val="22"/>
        </w:rPr>
      </w:pPr>
      <w:r w:rsidRPr="00D60CB6">
        <w:rPr>
          <w:szCs w:val="22"/>
        </w:rPr>
        <w:t>Industry has advanced numerous proposals to improve the FCC’s data collections and mapping and the FCC has an open rulemaking proceeding to consider changes to how it collects data.  I’ll consider the work produced within the rulemaking when it comes to me and to my colleagues.  I’m hopeful that this work will enable to Commission to map, at an address level, where broadband is available in the U.S.  That’s the level of granularity we need in order to understand where broadband is and is not available.</w:t>
      </w:r>
    </w:p>
    <w:p w:rsidR="00364220" w:rsidRPr="00D60CB6" w:rsidP="00364220">
      <w:pPr>
        <w:spacing w:after="120"/>
        <w:ind w:firstLine="720"/>
        <w:rPr>
          <w:szCs w:val="22"/>
        </w:rPr>
      </w:pPr>
      <w:r w:rsidRPr="00D60CB6">
        <w:rPr>
          <w:szCs w:val="22"/>
        </w:rPr>
        <w:t xml:space="preserve">That brings me back to the purpose of my dissenting vote: to strongly voice my position that the FCC’s 2019 Broadband Data Report reached the wrong conclusion.  As of now, I don’t believe that we know what the state of broadband deployment is in the U.S. with sufficient accuracy.  I’m aware that last </w:t>
      </w:r>
      <w:r w:rsidRPr="00D60CB6">
        <w:rPr>
          <w:szCs w:val="22"/>
        </w:rPr>
        <w:t>year’s Broadband Progress Report engaged in legal gymnastics to change the standard the Commission uses to comply with its annual obligation to report to Congress on the state of broadband deployment in the U.S.  I disagree with the majority’s position that the statute requires the Commission to report on year-over-year provider deployment comparisons.  Reading the test in this manner guarantees that the standard will be met if carriers report progress in meeting their deployment plans.  More importantly, the test focuses on provider plans and how providers are meeting them, rather than whether any progress has been made bringing broadband to people who don’t have it and who live outside of areas where service providers have, on their own, decided to deploy broadband.  By reframing the test in this manner, the majority avoids the hardest question present in this debate — how to get broadband deployed to expensive and difficult to serve areas.</w:t>
      </w:r>
    </w:p>
    <w:p w:rsidR="00364220" w:rsidRPr="00D60CB6" w:rsidP="00364220">
      <w:pPr>
        <w:spacing w:after="120"/>
        <w:ind w:firstLine="720"/>
        <w:rPr>
          <w:szCs w:val="22"/>
        </w:rPr>
      </w:pPr>
      <w:r w:rsidRPr="00D60CB6">
        <w:rPr>
          <w:szCs w:val="22"/>
        </w:rPr>
        <w:t xml:space="preserve">Regardless of the reporting standard here, the Commission’s mission is to close the digital divide. And we must have accurate data about the problem we are trying to solve and the progress we are making toward solving it in order to make effective, data-driven decisions.  </w:t>
      </w:r>
    </w:p>
    <w:p w:rsidR="00364220" w:rsidRPr="00D60CB6" w:rsidP="00364220">
      <w:pPr>
        <w:spacing w:after="120"/>
        <w:ind w:firstLine="720"/>
        <w:rPr>
          <w:szCs w:val="22"/>
        </w:rPr>
      </w:pPr>
      <w:r w:rsidRPr="00D60CB6">
        <w:rPr>
          <w:szCs w:val="22"/>
        </w:rPr>
        <w:t xml:space="preserve">For all of these reasons I dissent.  </w:t>
      </w:r>
    </w:p>
    <w:p w:rsidR="00364220" w:rsidRPr="00D60CB6" w:rsidP="00364220">
      <w:pPr>
        <w:spacing w:after="120"/>
        <w:ind w:firstLine="720"/>
        <w:rPr>
          <w:szCs w:val="22"/>
        </w:rPr>
      </w:pPr>
      <w:r w:rsidRPr="00D60CB6">
        <w:rPr>
          <w:szCs w:val="22"/>
        </w:rPr>
        <w:t>Notwithstanding my dissent, I recognize the work of the staff of OEA, WCB, and WTB that went into creating this report and I appreciate their efforts.</w:t>
      </w:r>
    </w:p>
    <w:p w:rsidR="00412FC5" w:rsidRPr="00C6287D" w:rsidP="00C6287D"/>
    <w:sectPr w:rsidSect="0089605C">
      <w:footnotePr>
        <w:numRestart w:val="eachSect"/>
      </w:footnotePr>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070" w:rsidP="0055614C">
    <w:pPr>
      <w:pStyle w:val="Footer"/>
      <w:framePr w:wrap="around" w:vAnchor="text" w:hAnchor="margin" w:xAlign="center" w:y="1"/>
    </w:pPr>
    <w:r>
      <w:fldChar w:fldCharType="begin"/>
    </w:r>
    <w:r>
      <w:instrText xml:space="preserve">PAGE  </w:instrText>
    </w:r>
    <w:r>
      <w:fldChar w:fldCharType="separate"/>
    </w:r>
    <w:r>
      <w:fldChar w:fldCharType="end"/>
    </w:r>
  </w:p>
  <w:p w:rsidR="00B63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070" w:rsidP="0002531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070">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070">
    <w:pPr>
      <w:pStyle w:val="Footer"/>
      <w:jc w:val="center"/>
    </w:pPr>
    <w:r>
      <w:fldChar w:fldCharType="begin"/>
    </w:r>
    <w:r>
      <w:instrText xml:space="preserve"> PAGE   \* MERGEFORMAT </w:instrText>
    </w:r>
    <w:r>
      <w:fldChar w:fldCharType="separate"/>
    </w:r>
    <w:r>
      <w:rPr>
        <w:noProof/>
      </w:rPr>
      <w:t>2</w:t>
    </w:r>
    <w:r>
      <w:rPr>
        <w:noProof/>
      </w:rPr>
      <w:fldChar w:fldCharType="end"/>
    </w:r>
  </w:p>
  <w:p w:rsidR="00B63070">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37BF">
      <w:r>
        <w:separator/>
      </w:r>
    </w:p>
  </w:footnote>
  <w:footnote w:type="continuationSeparator" w:id="1">
    <w:p w:rsidR="001D37BF" w:rsidP="00C721AC">
      <w:pPr>
        <w:spacing w:before="120"/>
        <w:rPr>
          <w:sz w:val="20"/>
        </w:rPr>
      </w:pPr>
      <w:r>
        <w:rPr>
          <w:sz w:val="20"/>
        </w:rPr>
        <w:t xml:space="preserve">(Continued from previous page)  </w:t>
      </w:r>
      <w:r>
        <w:rPr>
          <w:sz w:val="20"/>
        </w:rPr>
        <w:separator/>
      </w:r>
    </w:p>
  </w:footnote>
  <w:footnote w:type="continuationNotice" w:id="2">
    <w:p w:rsidR="001D37BF" w:rsidP="00C721AC">
      <w:pPr>
        <w:jc w:val="right"/>
        <w:rPr>
          <w:sz w:val="20"/>
        </w:rPr>
      </w:pPr>
      <w:r>
        <w:rPr>
          <w:sz w:val="20"/>
        </w:rPr>
        <w:t>(continued….)</w:t>
      </w:r>
    </w:p>
  </w:footnote>
  <w:footnote w:id="3">
    <w:p w:rsidR="00B63070" w:rsidP="00C6287D">
      <w:pPr>
        <w:pStyle w:val="FootnoteText"/>
        <w:spacing w:before="120"/>
      </w:pPr>
      <w:r>
        <w:rPr>
          <w:rStyle w:val="FootnoteReference"/>
        </w:rPr>
        <w:footnoteRef/>
      </w:r>
      <w:r>
        <w:t xml:space="preserve"> 47 U.S.C. § 1302(a).  Congress also entrusted this responsibility to state commissions. </w:t>
      </w:r>
    </w:p>
  </w:footnote>
  <w:footnote w:id="4">
    <w:p w:rsidR="00B63070" w:rsidP="00C6287D">
      <w:pPr>
        <w:pStyle w:val="FootnoteText"/>
      </w:pPr>
      <w:r>
        <w:rPr>
          <w:rStyle w:val="FootnoteReference"/>
        </w:rPr>
        <w:footnoteRef/>
      </w:r>
      <w:r>
        <w:t xml:space="preserve"> Fiber Broadband Association, North American 2018 Advanced Broadband Report (2018).</w:t>
      </w:r>
    </w:p>
  </w:footnote>
  <w:footnote w:id="5">
    <w:p w:rsidR="00B63070" w:rsidP="00C6287D">
      <w:pPr>
        <w:pStyle w:val="FootnoteText"/>
      </w:pPr>
      <w:r>
        <w:rPr>
          <w:rStyle w:val="FootnoteReference"/>
        </w:rPr>
        <w:footnoteRef/>
      </w:r>
      <w:r>
        <w:t xml:space="preserve"> </w:t>
      </w:r>
      <w:r>
        <w:rPr>
          <w:i/>
        </w:rPr>
        <w:t xml:space="preserve">See </w:t>
      </w:r>
      <w:r>
        <w:t xml:space="preserve">Patrick Brogan, Vice President for Industry Analysis, USTelecom, U.S. Broadband Investment Rebounded in 2017 (2018), </w:t>
      </w:r>
      <w:hyperlink r:id="rId1" w:history="1">
        <w:r w:rsidRPr="00BE5592">
          <w:rPr>
            <w:rStyle w:val="Hyperlink"/>
          </w:rPr>
          <w:t>https://www.ustelecom.org/ustelecom-broadband-capital-expenditures-once-again-on-upward-trajectory</w:t>
        </w:r>
      </w:hyperlink>
      <w:r>
        <w:t>.</w:t>
      </w:r>
    </w:p>
  </w:footnote>
  <w:footnote w:id="6">
    <w:p w:rsidR="00B63070" w:rsidP="00C6287D">
      <w:pPr>
        <w:pStyle w:val="FootnoteText"/>
        <w:spacing w:before="120"/>
      </w:pPr>
      <w:r>
        <w:rPr>
          <w:rStyle w:val="FootnoteReference"/>
        </w:rPr>
        <w:footnoteRef/>
      </w:r>
      <w:r>
        <w:t xml:space="preserve"> 47 U.S.C. § 1302(b</w:t>
      </w:r>
      <w:r w:rsidRPr="001325E7">
        <w:t>)</w:t>
      </w:r>
      <w:r>
        <w:t>.</w:t>
      </w:r>
    </w:p>
  </w:footnote>
  <w:footnote w:id="7">
    <w:p w:rsidR="00B63070" w:rsidRPr="001325E7" w:rsidP="00C6287D">
      <w:pPr>
        <w:pStyle w:val="FootnoteText"/>
        <w:spacing w:before="120"/>
      </w:pPr>
      <w:r w:rsidRPr="001325E7">
        <w:rPr>
          <w:rStyle w:val="FootnoteReference"/>
        </w:rPr>
        <w:footnoteRef/>
      </w:r>
      <w:r w:rsidRPr="001325E7">
        <w:t xml:space="preserve"> </w:t>
      </w:r>
      <w:r>
        <w:rPr>
          <w:i/>
        </w:rPr>
        <w:t>Id.</w:t>
      </w:r>
      <w:r>
        <w:t xml:space="preserve">  </w:t>
      </w:r>
    </w:p>
  </w:footnote>
  <w:footnote w:id="8">
    <w:p w:rsidR="00B63070" w:rsidRPr="001325E7" w:rsidP="00C6287D">
      <w:pPr>
        <w:pStyle w:val="FootnoteText"/>
        <w:spacing w:before="120"/>
      </w:pPr>
      <w:r w:rsidRPr="001325E7">
        <w:rPr>
          <w:rStyle w:val="FootnoteReference"/>
        </w:rPr>
        <w:footnoteRef/>
      </w:r>
      <w:r w:rsidRPr="001325E7">
        <w:t xml:space="preserve"> </w:t>
      </w:r>
      <w:r>
        <w:rPr>
          <w:i/>
        </w:rPr>
        <w:t>Id</w:t>
      </w:r>
      <w:r w:rsidRPr="00EF5AC7">
        <w:rPr>
          <w:i/>
        </w:rPr>
        <w:t>.</w:t>
      </w:r>
      <w:r w:rsidRPr="00EF7029">
        <w:t xml:space="preserve"> </w:t>
      </w:r>
      <w:r>
        <w:t xml:space="preserve"> We note that the annual inquiry and determination continues to be required by section 706(b) despite Congress’s enactment of the RAY BAUM’S Act of 2018, which requires an assessment on the state of deployment of communications capability, including advanced telecommunications capability, as that term is used in section 706(b), in the biennial Communications Marketplace Report (CMR) now required by section 13 of the Communications Act.  </w:t>
      </w:r>
      <w:r>
        <w:rPr>
          <w:i/>
        </w:rPr>
        <w:t xml:space="preserve">See </w:t>
      </w:r>
      <w:r w:rsidRPr="008864D4">
        <w:rPr>
          <w:snapToGrid w:val="0"/>
        </w:rPr>
        <w:t>Consolidated Appropriations Act, 2018, Pub. L. No. 115-141, Div. P</w:t>
      </w:r>
      <w:r w:rsidRPr="008864D4">
        <w:t>—</w:t>
      </w:r>
      <w:r w:rsidRPr="008864D4">
        <w:rPr>
          <w:snapToGrid w:val="0"/>
        </w:rPr>
        <w:t>RAY BAUM’S Act of 2018, §§ 401-40</w:t>
      </w:r>
      <w:r>
        <w:rPr>
          <w:snapToGrid w:val="0"/>
        </w:rPr>
        <w:t>2</w:t>
      </w:r>
      <w:r w:rsidRPr="008864D4">
        <w:rPr>
          <w:snapToGrid w:val="0"/>
        </w:rPr>
        <w:t>, 132 Stat. 348, 1087-90 (2018) (RAY BAUM’S Act of 2018)</w:t>
      </w:r>
      <w:r>
        <w:rPr>
          <w:snapToGrid w:val="0"/>
        </w:rPr>
        <w:t xml:space="preserve">; 47 U.S.C. § 163(b)(2) (added 2018); </w:t>
      </w:r>
      <w:r>
        <w:rPr>
          <w:i/>
          <w:snapToGrid w:val="0"/>
        </w:rPr>
        <w:t xml:space="preserve">see also </w:t>
      </w:r>
      <w:r>
        <w:rPr>
          <w:i/>
        </w:rPr>
        <w:t>Communications Marketplace Report et al.</w:t>
      </w:r>
      <w:r>
        <w:t>, GN Docket No. 18-231 et al., Report, FCC 18-181, paras. 236-264 (Dec. 26, 2018) (</w:t>
      </w:r>
      <w:r>
        <w:rPr>
          <w:i/>
        </w:rPr>
        <w:t>Communications Marketplace Report</w:t>
      </w:r>
      <w:r>
        <w:t>).</w:t>
      </w:r>
      <w:r w:rsidRPr="008864D4">
        <w:rPr>
          <w:snapToGrid w:val="0"/>
          <w:kern w:val="28"/>
        </w:rPr>
        <w:t xml:space="preserve"> </w:t>
      </w:r>
    </w:p>
  </w:footnote>
  <w:footnote w:id="9">
    <w:p w:rsidR="00B63070" w:rsidRPr="001325E7" w:rsidP="00C6287D">
      <w:pPr>
        <w:pStyle w:val="FootnoteText"/>
        <w:spacing w:before="120"/>
      </w:pPr>
      <w:r w:rsidRPr="001325E7">
        <w:rPr>
          <w:rStyle w:val="FootnoteReference"/>
        </w:rPr>
        <w:footnoteRef/>
      </w:r>
      <w:r w:rsidRPr="001325E7">
        <w:t xml:space="preserve"> </w:t>
      </w:r>
      <w:r>
        <w:t>47 U.S.C. § 1302(b</w:t>
      </w:r>
      <w:r w:rsidRPr="001325E7">
        <w:t>)</w:t>
      </w:r>
      <w:r>
        <w:t>.</w:t>
      </w:r>
    </w:p>
  </w:footnote>
  <w:footnote w:id="10">
    <w:p w:rsidR="00B63070" w:rsidRPr="00900E1B" w:rsidP="00C6287D">
      <w:pPr>
        <w:pStyle w:val="FootnoteText"/>
        <w:spacing w:before="120"/>
      </w:pPr>
      <w:r>
        <w:rPr>
          <w:rStyle w:val="FootnoteReference"/>
        </w:rPr>
        <w:footnoteRef/>
      </w:r>
      <w:r>
        <w:t xml:space="preserve"> </w:t>
      </w:r>
      <w:r>
        <w:rPr>
          <w:i/>
        </w:rPr>
        <w:t>Inquiry Concerning the Deployment of Advanced Telecommunications Capability to All Americans in a Reasonable and Timely Fashion</w:t>
      </w:r>
      <w:r>
        <w:t xml:space="preserve">, GN Docket No. 17-199, </w:t>
      </w:r>
      <w:r w:rsidRPr="009F178E">
        <w:t>2018 Broadband Deployment Report</w:t>
      </w:r>
      <w:r>
        <w:t>,</w:t>
      </w:r>
      <w:r w:rsidRPr="00632DD3">
        <w:t xml:space="preserve"> </w:t>
      </w:r>
      <w:r>
        <w:t>33 FCC Rcd 1660, 1662, 1708, paras. 6, 94 (2018) (</w:t>
      </w:r>
      <w:r>
        <w:rPr>
          <w:i/>
        </w:rPr>
        <w:t>2018 Report</w:t>
      </w:r>
      <w:r>
        <w:t>).</w:t>
      </w:r>
    </w:p>
  </w:footnote>
  <w:footnote w:id="11">
    <w:p w:rsidR="00B63070" w:rsidP="00C6287D">
      <w:pPr>
        <w:pStyle w:val="FootnoteText"/>
        <w:spacing w:before="120"/>
      </w:pPr>
      <w:r>
        <w:rPr>
          <w:rStyle w:val="FootnoteReference"/>
        </w:rPr>
        <w:footnoteRef/>
      </w:r>
      <w:r>
        <w:t xml:space="preserve"> </w:t>
      </w:r>
      <w:r>
        <w:rPr>
          <w:i/>
        </w:rPr>
        <w:t>2018 Report</w:t>
      </w:r>
      <w:r>
        <w:t>,</w:t>
      </w:r>
      <w:r>
        <w:rPr>
          <w:i/>
        </w:rPr>
        <w:t xml:space="preserve"> </w:t>
      </w:r>
      <w:r>
        <w:t>33 FCC Rcd at 1663-64, paras. 10-13.</w:t>
      </w:r>
    </w:p>
  </w:footnote>
  <w:footnote w:id="12">
    <w:p w:rsidR="00B63070" w:rsidRPr="00D41183" w:rsidP="00C6287D">
      <w:pPr>
        <w:pStyle w:val="FootnoteText"/>
        <w:spacing w:before="120"/>
        <w:rPr>
          <w:i/>
        </w:rPr>
      </w:pPr>
      <w:r>
        <w:rPr>
          <w:rStyle w:val="FootnoteReference"/>
        </w:rPr>
        <w:footnoteRef/>
      </w:r>
      <w:r>
        <w:t xml:space="preserve"> </w:t>
      </w:r>
      <w:r>
        <w:rPr>
          <w:i/>
        </w:rPr>
        <w:t>2018 Report</w:t>
      </w:r>
      <w:r>
        <w:t>,</w:t>
      </w:r>
      <w:r>
        <w:rPr>
          <w:i/>
        </w:rPr>
        <w:t xml:space="preserve"> </w:t>
      </w:r>
      <w:r>
        <w:t>33 FCC Rcd at 1708,</w:t>
      </w:r>
      <w:r>
        <w:t xml:space="preserve"> </w:t>
      </w:r>
      <w:r>
        <w:t xml:space="preserve">para. 96; </w:t>
      </w:r>
      <w:r w:rsidRPr="00D41183">
        <w:rPr>
          <w:i/>
        </w:rPr>
        <w:t>Inquiry Concerning Deployment of Advanced Telecommunications Capability to All Americans in a Reasonable and Timely Fashion</w:t>
      </w:r>
      <w:r w:rsidRPr="00D41183">
        <w:t>, Fourteenth Broadband Deployment Report Notice of Inquiry</w:t>
      </w:r>
      <w:r>
        <w:t>, GN Docket No. 18-</w:t>
      </w:r>
      <w:r w:rsidRPr="00F8123C">
        <w:t xml:space="preserve">238, </w:t>
      </w:r>
      <w:r w:rsidRPr="00AA102E">
        <w:t>33 FCC Rcd</w:t>
      </w:r>
      <w:r>
        <w:t xml:space="preserve"> 8386, 8395-97, paras. 23-26 (2018) (</w:t>
      </w:r>
      <w:r w:rsidRPr="00AA102E">
        <w:rPr>
          <w:i/>
        </w:rPr>
        <w:t>Notice</w:t>
      </w:r>
      <w:r>
        <w:t xml:space="preserve">); </w:t>
      </w:r>
      <w:r>
        <w:rPr>
          <w:i/>
        </w:rPr>
        <w:t>see infra</w:t>
      </w:r>
      <w:r>
        <w:t xml:space="preserve"> Section V.</w:t>
      </w:r>
    </w:p>
  </w:footnote>
  <w:footnote w:id="13">
    <w:p w:rsidR="00B63070" w:rsidRPr="009A0B27" w:rsidP="00C6287D">
      <w:pPr>
        <w:pStyle w:val="FootnoteText"/>
        <w:spacing w:before="120"/>
      </w:pPr>
      <w:r>
        <w:rPr>
          <w:rStyle w:val="FootnoteReference"/>
        </w:rPr>
        <w:footnoteRef/>
      </w:r>
      <w:r>
        <w:t xml:space="preserve"> </w:t>
      </w:r>
      <w:r>
        <w:rPr>
          <w:i/>
        </w:rPr>
        <w:t xml:space="preserve">See generally </w:t>
      </w:r>
      <w:r w:rsidRPr="00AA102E">
        <w:rPr>
          <w:i/>
        </w:rPr>
        <w:t>Notice</w:t>
      </w:r>
      <w:r w:rsidRPr="001D0BEE">
        <w:t>,</w:t>
      </w:r>
      <w:r>
        <w:t xml:space="preserve"> </w:t>
      </w:r>
      <w:r w:rsidRPr="001325E7">
        <w:t>3</w:t>
      </w:r>
      <w:r>
        <w:t>3</w:t>
      </w:r>
      <w:r w:rsidRPr="001325E7">
        <w:t xml:space="preserve"> FCC Rcd </w:t>
      </w:r>
      <w:r>
        <w:t>8386.</w:t>
      </w:r>
    </w:p>
  </w:footnote>
  <w:footnote w:id="14">
    <w:p w:rsidR="00B63070" w:rsidP="00C6287D">
      <w:pPr>
        <w:pStyle w:val="FootnoteText"/>
        <w:spacing w:before="120"/>
      </w:pPr>
      <w:r>
        <w:rPr>
          <w:rStyle w:val="FootnoteReference"/>
        </w:rPr>
        <w:footnoteRef/>
      </w:r>
      <w:r>
        <w:t xml:space="preserve"> The Commission’s holistic approach in the </w:t>
      </w:r>
      <w:r>
        <w:rPr>
          <w:i/>
        </w:rPr>
        <w:t xml:space="preserve">2018 Report </w:t>
      </w:r>
      <w:r>
        <w:t xml:space="preserve">considered improvements to deployment over time; however, the data for 2012 and 2013 are not directly comparable to the data collected by the Commission since 2014.  </w:t>
      </w:r>
      <w:r>
        <w:rPr>
          <w:i/>
        </w:rPr>
        <w:t>2018 Report</w:t>
      </w:r>
      <w:r>
        <w:t>,</w:t>
      </w:r>
      <w:r>
        <w:rPr>
          <w:i/>
        </w:rPr>
        <w:t xml:space="preserve"> </w:t>
      </w:r>
      <w:r>
        <w:t xml:space="preserve">33 FCC Rcd at 1678, paras. 45-46.  </w:t>
      </w:r>
      <w:r>
        <w:rPr>
          <w:i/>
        </w:rPr>
        <w:t>See infra</w:t>
      </w:r>
      <w:r>
        <w:t>,</w:t>
      </w:r>
      <w:r w:rsidRPr="009A127D">
        <w:t xml:space="preserve"> </w:t>
      </w:r>
      <w:r>
        <w:t xml:space="preserve">Section </w:t>
      </w:r>
      <w:r w:rsidRPr="009A127D">
        <w:t>I</w:t>
      </w:r>
      <w:r>
        <w:t>V (discussing broadband deployment estimates and data sources for fixed and mobile services).</w:t>
      </w:r>
    </w:p>
  </w:footnote>
  <w:footnote w:id="15">
    <w:p w:rsidR="00B63070" w:rsidP="00C6287D">
      <w:pPr>
        <w:pStyle w:val="FootnoteText"/>
        <w:spacing w:before="120"/>
      </w:pPr>
      <w:r>
        <w:rPr>
          <w:rStyle w:val="FootnoteReference"/>
        </w:rPr>
        <w:footnoteRef/>
      </w:r>
      <w:r>
        <w:t xml:space="preserve"> ACA Comments at 7; ADTRAN Comments at 3; AT&amp;T Comments at 1-2; CTIA Comments at 4; Fiber Broadband Comments at 1-3 (suggesting the FCC also examine the deployment of all-fiber networks); INCOMPAS Comments at 7; ITTA Comments at 11; MDTC Comments at 3 (supporting the Commission’s four categories for evaluation of fixed and mobile services); NCTA Comments at 1; Verizon Comments at 3; WISPA Comments at 5; Comcast Reply at 1. </w:t>
      </w:r>
    </w:p>
  </w:footnote>
  <w:footnote w:id="16">
    <w:p w:rsidR="00B63070" w:rsidP="00C6287D">
      <w:pPr>
        <w:pStyle w:val="FootnoteText"/>
        <w:spacing w:before="120"/>
      </w:pPr>
      <w:r>
        <w:rPr>
          <w:rStyle w:val="FootnoteReference"/>
        </w:rPr>
        <w:footnoteRef/>
      </w:r>
      <w:r>
        <w:t xml:space="preserve"> </w:t>
      </w:r>
      <w:r>
        <w:rPr>
          <w:i/>
        </w:rPr>
        <w:t>2018 Report</w:t>
      </w:r>
      <w:r>
        <w:t>,</w:t>
      </w:r>
      <w:r>
        <w:rPr>
          <w:i/>
        </w:rPr>
        <w:t xml:space="preserve"> </w:t>
      </w:r>
      <w:r>
        <w:t xml:space="preserve">33 FCC Rcd at 1663-64, paras. 10-13; </w:t>
      </w:r>
      <w:r>
        <w:rPr>
          <w:i/>
        </w:rPr>
        <w:t xml:space="preserve">see also </w:t>
      </w:r>
      <w:r>
        <w:t>Comcast Reply at 3-4 (explaining that the section 706 inquiry “is clearly a question of progress over time”).</w:t>
      </w:r>
    </w:p>
  </w:footnote>
  <w:footnote w:id="17">
    <w:p w:rsidR="00B63070" w:rsidP="00C6287D">
      <w:pPr>
        <w:pStyle w:val="FootnoteText"/>
        <w:spacing w:before="120"/>
      </w:pPr>
      <w:r>
        <w:rPr>
          <w:rStyle w:val="FootnoteReference"/>
        </w:rPr>
        <w:footnoteRef/>
      </w:r>
      <w:r>
        <w:t xml:space="preserve"> ACA Comments at 6; ADTRAN Comments at 14-16; AT&amp;T Comments at 7; CTIA Comments at 22-27; Free Press Comments at 6; FSF Comments at 11-12; INCOMPAS Comments at 4-5; MDTC Comments Attach. at 6; Microsoft Comments at 6; NRECA Comments at 3; NDIA Comments at 4-6; OTI Comments at 35; </w:t>
      </w:r>
      <w:r w:rsidRPr="00485531">
        <w:t>R</w:t>
      </w:r>
      <w:r>
        <w:t xml:space="preserve"> Street Comments at 3-4; SES Comments at 5; USTelecom Comments at 2, 6-7; Verizon Comments at 2-3; Viasat Comments at 2-3; WISPA Comments at 6</w:t>
      </w:r>
      <w:r w:rsidRPr="00D652B5">
        <w:t xml:space="preserve">; Letter from The Leadership Conference on Civil and Human Rights, </w:t>
      </w:r>
      <w:r w:rsidRPr="00FD28E0">
        <w:rPr>
          <w:i/>
        </w:rPr>
        <w:t>et al</w:t>
      </w:r>
      <w:r w:rsidRPr="00E14E95">
        <w:t xml:space="preserve">., to Marlene H. </w:t>
      </w:r>
      <w:r w:rsidRPr="00AF16DE">
        <w:t>Dortch, Secretary, FCC</w:t>
      </w:r>
      <w:r w:rsidRPr="00D652B5">
        <w:t xml:space="preserve">, GN Docket No. 18-238, at </w:t>
      </w:r>
      <w:r>
        <w:t>1</w:t>
      </w:r>
      <w:r w:rsidRPr="00D652B5">
        <w:t xml:space="preserve"> (filed Feb. 4, 2019) (Leadership Conference Feb. 4, 2019 </w:t>
      </w:r>
      <w:r w:rsidRPr="00FD28E0">
        <w:rPr>
          <w:i/>
        </w:rPr>
        <w:t>Ex Parte</w:t>
      </w:r>
      <w:r w:rsidRPr="00E14E95">
        <w:t xml:space="preserve"> Letter)</w:t>
      </w:r>
      <w:r>
        <w:t>.</w:t>
      </w:r>
    </w:p>
  </w:footnote>
  <w:footnote w:id="18">
    <w:p w:rsidR="00B63070" w:rsidP="00C6287D">
      <w:pPr>
        <w:pStyle w:val="FootnoteText"/>
        <w:spacing w:before="120"/>
      </w:pPr>
      <w:r>
        <w:rPr>
          <w:rStyle w:val="FootnoteReference"/>
        </w:rPr>
        <w:footnoteRef/>
      </w:r>
      <w:r>
        <w:t xml:space="preserve"> 47 U.S.C. § 1302(a).</w:t>
      </w:r>
    </w:p>
  </w:footnote>
  <w:footnote w:id="19">
    <w:p w:rsidR="00B63070" w:rsidP="00C6287D">
      <w:pPr>
        <w:pStyle w:val="FootnoteText"/>
        <w:spacing w:before="120"/>
      </w:pPr>
      <w:r>
        <w:rPr>
          <w:rStyle w:val="FootnoteReference"/>
        </w:rPr>
        <w:footnoteRef/>
      </w:r>
      <w:r>
        <w:t xml:space="preserve"> </w:t>
      </w:r>
      <w:r>
        <w:rPr>
          <w:i/>
        </w:rPr>
        <w:t>2018 Report</w:t>
      </w:r>
      <w:r>
        <w:t>,</w:t>
      </w:r>
      <w:r>
        <w:rPr>
          <w:i/>
        </w:rPr>
        <w:t xml:space="preserve"> </w:t>
      </w:r>
      <w:r>
        <w:t>33 FCC Rcd at 1664, para. 13.</w:t>
      </w:r>
    </w:p>
  </w:footnote>
  <w:footnote w:id="20">
    <w:p w:rsidR="00B63070" w:rsidRPr="00394C17" w:rsidP="00C6287D">
      <w:pPr>
        <w:pStyle w:val="FootnoteText"/>
        <w:spacing w:before="120"/>
      </w:pPr>
      <w:r>
        <w:rPr>
          <w:rStyle w:val="FootnoteReference"/>
        </w:rPr>
        <w:footnoteRef/>
      </w:r>
      <w:r>
        <w:t xml:space="preserve"> WISPA Comments at 6; </w:t>
      </w:r>
      <w:r>
        <w:rPr>
          <w:i/>
        </w:rPr>
        <w:t xml:space="preserve">see also </w:t>
      </w:r>
      <w:r>
        <w:t>Verizon Comments at 2 (</w:t>
      </w:r>
      <w:r w:rsidRPr="003E0698">
        <w:t>“[t]he Commission should continue – as it is already doing in multiple proceedings – to advance policies that will drive deployment of broadband to areas that currently lack adequate broadband service through a framework that encourages maximum broadband investment”</w:t>
      </w:r>
      <w:r>
        <w:t>).</w:t>
      </w:r>
    </w:p>
  </w:footnote>
  <w:footnote w:id="21">
    <w:p w:rsidR="00B63070" w:rsidP="00C6287D">
      <w:pPr>
        <w:pStyle w:val="FootnoteText"/>
        <w:spacing w:before="120"/>
      </w:pPr>
      <w:r>
        <w:rPr>
          <w:rStyle w:val="FootnoteReference"/>
        </w:rPr>
        <w:footnoteRef/>
      </w:r>
      <w:r>
        <w:t xml:space="preserve"> CWA Comments at 6.</w:t>
      </w:r>
    </w:p>
  </w:footnote>
  <w:footnote w:id="22">
    <w:p w:rsidR="00B63070" w:rsidP="00C6287D">
      <w:pPr>
        <w:pStyle w:val="FootnoteText"/>
      </w:pPr>
      <w:r>
        <w:rPr>
          <w:rStyle w:val="FootnoteReference"/>
        </w:rPr>
        <w:footnoteRef/>
      </w:r>
      <w:r>
        <w:t xml:space="preserve"> FSF Comments at 11.</w:t>
      </w:r>
    </w:p>
  </w:footnote>
  <w:footnote w:id="23">
    <w:p w:rsidR="00B63070" w:rsidP="00C6287D">
      <w:pPr>
        <w:pStyle w:val="FootnoteText"/>
        <w:spacing w:before="120"/>
      </w:pPr>
      <w:r>
        <w:rPr>
          <w:rStyle w:val="FootnoteReference"/>
        </w:rPr>
        <w:footnoteRef/>
      </w:r>
      <w:r>
        <w:t xml:space="preserve"> </w:t>
      </w:r>
      <w:r>
        <w:rPr>
          <w:i/>
        </w:rPr>
        <w:t xml:space="preserve">See 2018 </w:t>
      </w:r>
      <w:r w:rsidRPr="00F9342C">
        <w:rPr>
          <w:i/>
        </w:rPr>
        <w:t>Report</w:t>
      </w:r>
      <w:r>
        <w:t xml:space="preserve">, 33 FCC Rcd at 1680-86, paras. 49-56;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15-191, 2016 Broadband Progress Report, 31 FCC Rcd 699, 734-35, paras. 82-84 (</w:t>
      </w:r>
      <w:r>
        <w:rPr>
          <w:i/>
        </w:rPr>
        <w:t>2016 Report</w:t>
      </w:r>
      <w:r>
        <w:t>).</w:t>
      </w:r>
    </w:p>
  </w:footnote>
  <w:footnote w:id="24">
    <w:p w:rsidR="00B63070" w:rsidP="00C6287D">
      <w:pPr>
        <w:pStyle w:val="FootnoteText"/>
        <w:spacing w:before="120"/>
      </w:pPr>
      <w:r>
        <w:rPr>
          <w:rStyle w:val="FootnoteReference"/>
        </w:rPr>
        <w:footnoteRef/>
      </w:r>
      <w:r>
        <w:t xml:space="preserve"> </w:t>
      </w:r>
      <w:r>
        <w:rPr>
          <w:i/>
        </w:rPr>
        <w:t xml:space="preserve">2018 </w:t>
      </w:r>
      <w:r w:rsidRPr="00F9342C">
        <w:rPr>
          <w:i/>
        </w:rPr>
        <w:t>Report</w:t>
      </w:r>
      <w:r>
        <w:t>, 33 FCC Rcd at 1664, para. 14.</w:t>
      </w:r>
    </w:p>
  </w:footnote>
  <w:footnote w:id="25">
    <w:p w:rsidR="00B63070" w:rsidRPr="001325E7" w:rsidP="00C6287D">
      <w:pPr>
        <w:pStyle w:val="FootnoteText"/>
        <w:spacing w:before="120"/>
      </w:pPr>
      <w:r w:rsidRPr="001325E7">
        <w:rPr>
          <w:rStyle w:val="FootnoteReference"/>
        </w:rPr>
        <w:footnoteRef/>
      </w:r>
      <w:r w:rsidRPr="001325E7">
        <w:t xml:space="preserve"> 47 U.S.C. §</w:t>
      </w:r>
      <w:r>
        <w:t> </w:t>
      </w:r>
      <w:r w:rsidRPr="001325E7">
        <w:t>1302(d)(1).</w:t>
      </w:r>
    </w:p>
  </w:footnote>
  <w:footnote w:id="26">
    <w:p w:rsidR="00B63070" w:rsidP="00C6287D">
      <w:pPr>
        <w:pStyle w:val="FootnoteText"/>
        <w:spacing w:before="120"/>
      </w:pPr>
      <w:r>
        <w:rPr>
          <w:rStyle w:val="FootnoteReference"/>
        </w:rPr>
        <w:footnoteRef/>
      </w:r>
      <w:r>
        <w:t xml:space="preserve"> </w:t>
      </w:r>
      <w:r>
        <w:rPr>
          <w:i/>
        </w:rPr>
        <w:t xml:space="preserve">2018 </w:t>
      </w:r>
      <w:r w:rsidRPr="00F9342C">
        <w:rPr>
          <w:i/>
        </w:rPr>
        <w:t>Report</w:t>
      </w:r>
      <w:r>
        <w:t xml:space="preserve">, 33 FCC Rcd at 1666-67, para. 18; </w:t>
      </w:r>
      <w:r>
        <w:rPr>
          <w:i/>
        </w:rPr>
        <w:t>2016 Report</w:t>
      </w:r>
      <w:r>
        <w:t>, 31 FCC Rcd at 710, para. 24.</w:t>
      </w:r>
    </w:p>
  </w:footnote>
  <w:footnote w:id="27">
    <w:p w:rsidR="00B63070" w:rsidP="00C6287D">
      <w:pPr>
        <w:pStyle w:val="FootnoteText"/>
        <w:spacing w:before="120"/>
      </w:pPr>
      <w:r>
        <w:rPr>
          <w:rStyle w:val="FootnoteReference"/>
        </w:rPr>
        <w:footnoteRef/>
      </w:r>
      <w:r>
        <w:t xml:space="preserve"> ADTRAN Comments at 7-8; AT&amp;T Comments at 7; CTIA Comments at 13-14; FSF Comments at 10-11; IIA Comments at 1-2; NCTA Comments at 5-6; R Street Comments at 4.</w:t>
      </w:r>
    </w:p>
  </w:footnote>
  <w:footnote w:id="28">
    <w:p w:rsidR="00B63070" w:rsidP="00C6287D">
      <w:pPr>
        <w:pStyle w:val="FootnoteText"/>
        <w:spacing w:before="120"/>
      </w:pPr>
      <w:r>
        <w:rPr>
          <w:rStyle w:val="FootnoteReference"/>
        </w:rPr>
        <w:footnoteRef/>
      </w:r>
      <w:r>
        <w:t xml:space="preserve"> WTA Comments at 2-3; OTI Comments at 22-23; INCOMPAS Comments at 4; MDTC Comments at 2-4; NRECA Comments at 4; CWA Comments at 3; ITTA Comments at 7; NTCA Comments at 2; PK &amp; CC Comments at 11-12; WISPA Comments at 3; Anthony Sellers Comments at 1; National Associations Reply at 3-4; NTCA Reply at 1; UTC Reply at 3; WISPA Reply at 3; Letter from Yosef Getachew, Counsel, Common Cause, to Marlene H. Dortch, Secretary, FCC, GN Docket No. 18-238, at 3-4 (filed Nov. 15, 2018) (CC, PK &amp; NHMC Nov. 15, 2018 </w:t>
      </w:r>
      <w:r>
        <w:rPr>
          <w:i/>
        </w:rPr>
        <w:t xml:space="preserve">Ex Parte </w:t>
      </w:r>
      <w:r>
        <w:t xml:space="preserve">Letter); </w:t>
      </w:r>
      <w:r>
        <w:rPr>
          <w:i/>
        </w:rPr>
        <w:t>see also, e.g.</w:t>
      </w:r>
      <w:r>
        <w:t>,</w:t>
      </w:r>
      <w:r>
        <w:rPr>
          <w:i/>
        </w:rPr>
        <w:t xml:space="preserve"> </w:t>
      </w:r>
      <w:r>
        <w:t>Teresa Hamm Reply at 1 (“</w:t>
      </w:r>
      <w:r w:rsidRPr="0073117A">
        <w:t>Significant limitations of mobile service, including prohibitive cost, unreliable service, data caps and limited accessibility, should disqualify mobile service as a substitute for fixed home broadband.</w:t>
      </w:r>
      <w:r>
        <w:t>”); Mayor W. Jeff Williams Reply at 1 (same);</w:t>
      </w:r>
      <w:r w:rsidRPr="00E2613F">
        <w:t xml:space="preserve"> </w:t>
      </w:r>
      <w:r>
        <w:t>OTI Reply at 3 (“</w:t>
      </w:r>
      <w:r w:rsidRPr="007549AF">
        <w:t xml:space="preserve">Data caps, limited bandwidth capacity, the inconsistency of signal strength, and complex pricing models limit mobile </w:t>
      </w:r>
      <w:r>
        <w:t>[broadband]</w:t>
      </w:r>
      <w:r w:rsidRPr="007549AF">
        <w:t xml:space="preserve"> from being a substitute for fixed </w:t>
      </w:r>
      <w:r>
        <w:t>[broadband]</w:t>
      </w:r>
      <w:r w:rsidRPr="007549AF">
        <w:t>.</w:t>
      </w:r>
      <w:r>
        <w:t xml:space="preserve">”); </w:t>
      </w:r>
      <w:r w:rsidRPr="00D652B5">
        <w:t>Leadership Conference</w:t>
      </w:r>
      <w:r>
        <w:t xml:space="preserve"> </w:t>
      </w:r>
      <w:r w:rsidRPr="00D652B5">
        <w:t xml:space="preserve">Feb. 4, 2019 </w:t>
      </w:r>
      <w:r w:rsidRPr="00FD28E0">
        <w:rPr>
          <w:i/>
        </w:rPr>
        <w:t>Ex Parte</w:t>
      </w:r>
      <w:r w:rsidRPr="00E14E95">
        <w:t xml:space="preserve"> Letter </w:t>
      </w:r>
      <w:r>
        <w:t xml:space="preserve">at 3 </w:t>
      </w:r>
      <w:r w:rsidRPr="00E14E95">
        <w:t>(“</w:t>
      </w:r>
      <w:r>
        <w:t>[D]</w:t>
      </w:r>
      <w:r w:rsidRPr="00D652B5">
        <w:t>espite advances in mobile technology, mobile LTE service remains below broadband speed, . . . and wireless broadband is</w:t>
      </w:r>
      <w:r w:rsidRPr="0085513D">
        <w:t xml:space="preserve"> more expensive with more restrictions than wireline broadband.  These serious drawbacks, along with consumer usage patterns, reaffirm the conclusion that mobile and fixed broadband services are complimentary</w:t>
      </w:r>
      <w:r>
        <w:t xml:space="preserve"> [sic]</w:t>
      </w:r>
      <w:r w:rsidRPr="0085513D">
        <w:t xml:space="preserve"> rather than substitutions for each other.”</w:t>
      </w:r>
      <w:r>
        <w:t>).</w:t>
      </w:r>
    </w:p>
  </w:footnote>
  <w:footnote w:id="29">
    <w:p w:rsidR="00B63070" w:rsidRPr="00DE15E1" w:rsidP="00C6287D">
      <w:pPr>
        <w:pStyle w:val="FootnoteText"/>
        <w:spacing w:before="120"/>
      </w:pPr>
      <w:r>
        <w:rPr>
          <w:rStyle w:val="FootnoteReference"/>
        </w:rPr>
        <w:footnoteRef/>
      </w:r>
      <w:r>
        <w:t xml:space="preserve"> </w:t>
      </w:r>
      <w:r>
        <w:rPr>
          <w:i/>
        </w:rPr>
        <w:t xml:space="preserve">See Communications Marketplace Report </w:t>
      </w:r>
      <w:r>
        <w:t xml:space="preserve">at paras. 5-46; </w:t>
      </w:r>
      <w:r>
        <w:rPr>
          <w:i/>
        </w:rPr>
        <w:t xml:space="preserve">see also </w:t>
      </w:r>
      <w:r>
        <w:t xml:space="preserve">CTIA Comments at 14 (reporting that </w:t>
      </w:r>
      <w:r w:rsidRPr="00DB7062">
        <w:t>“a staggering 95</w:t>
      </w:r>
      <w:r>
        <w:t>%</w:t>
      </w:r>
      <w:r w:rsidRPr="00DB7062">
        <w:t xml:space="preserve"> of Americans now own a mobile device of some kind, and smartphone adoption is up across demographics” and that “wireless carriers are also already beginning to deploy the next generation of wireless connectivity . . . as part of the evolution of 4G LTE towards Gigabit LTE and 5G”</w:t>
      </w:r>
      <w:r>
        <w:t xml:space="preserve">); IIA Comments at 2 (explaining that “mobile devices are now ubiquitous” and are used for activities that include “bandwidth and data intensive applications like streaming multimedia content” and “completing homework assignments and </w:t>
      </w:r>
      <w:r w:rsidRPr="00D77ACB">
        <w:t>apply</w:t>
      </w:r>
      <w:r w:rsidRPr="00E965D1">
        <w:t>ing</w:t>
      </w:r>
      <w:r w:rsidRPr="00D77ACB">
        <w:t xml:space="preserve"> for jobs</w:t>
      </w:r>
      <w:r>
        <w:t xml:space="preserve">”); AT&amp;T Comments at 6 (explaining that “mobile broadband connections among consumers in the U.S. have exploded . . . soaring </w:t>
      </w:r>
      <w:r w:rsidRPr="00FE397B">
        <w:t>from 27 million connections in 2008 to about 291 million connections in 2018, as compared to 112 million fixed broadband connections</w:t>
      </w:r>
      <w:r>
        <w:t>”).</w:t>
      </w:r>
    </w:p>
  </w:footnote>
  <w:footnote w:id="30">
    <w:p w:rsidR="00B63070" w:rsidP="00C6287D">
      <w:pPr>
        <w:pStyle w:val="FootnoteText"/>
        <w:spacing w:before="120"/>
      </w:pPr>
      <w:r>
        <w:rPr>
          <w:rStyle w:val="FootnoteReference"/>
        </w:rPr>
        <w:footnoteRef/>
      </w:r>
      <w:r>
        <w:t xml:space="preserve"> </w:t>
      </w:r>
      <w:r>
        <w:rPr>
          <w:i/>
        </w:rPr>
        <w:t xml:space="preserve">See </w:t>
      </w:r>
      <w:r>
        <w:t>ADTRAN Comments at 7-8; AT&amp;T Comments at 7; FSF Comments at 3, 9-10; NCTA Comments at 5-6.</w:t>
      </w:r>
    </w:p>
  </w:footnote>
  <w:footnote w:id="31">
    <w:p w:rsidR="00B63070" w:rsidRPr="00D61A5A" w:rsidP="00C6287D">
      <w:pPr>
        <w:pStyle w:val="FootnoteText"/>
      </w:pPr>
      <w:r>
        <w:rPr>
          <w:rStyle w:val="FootnoteReference"/>
        </w:rPr>
        <w:footnoteRef/>
      </w:r>
      <w:r>
        <w:t xml:space="preserve"> </w:t>
      </w:r>
      <w:r>
        <w:rPr>
          <w:i/>
        </w:rPr>
        <w:t>See, e.g.</w:t>
      </w:r>
      <w:r>
        <w:t xml:space="preserve">, WTA Comments at 2-3; NTCA Reply at 2; WISPA Reply at 4; Leadership Conference Feb. 4, 2019 </w:t>
      </w:r>
      <w:r>
        <w:rPr>
          <w:i/>
        </w:rPr>
        <w:t xml:space="preserve">Ex Parte </w:t>
      </w:r>
      <w:r>
        <w:t>Letter at 4-5.</w:t>
      </w:r>
    </w:p>
  </w:footnote>
  <w:footnote w:id="32">
    <w:p w:rsidR="00B63070" w:rsidRPr="00BF5A34" w:rsidP="00C6287D">
      <w:pPr>
        <w:pStyle w:val="FootnoteText"/>
        <w:spacing w:before="120"/>
      </w:pPr>
      <w:r w:rsidRPr="00BF5A34">
        <w:rPr>
          <w:rStyle w:val="FootnoteReference"/>
        </w:rPr>
        <w:footnoteRef/>
      </w:r>
      <w:r w:rsidRPr="00BF5A34">
        <w:t xml:space="preserve"> </w:t>
      </w:r>
      <w:bookmarkStart w:id="67" w:name="_Hlk525911503"/>
      <w:r>
        <w:rPr>
          <w:i/>
        </w:rPr>
        <w:t xml:space="preserve">See </w:t>
      </w:r>
      <w:r>
        <w:t>ACA Comments at 7-8; ADTRAN Comments at ii, 6; AT&amp;T Comments at 5; FSF Comments at 1; INCOMPAS Comments at 7; ITTA Comments at 3; NCTA Comments at 2-3; NTCA Comments at 6; SES Comments at 2-3; Verizon Comments at 1; WISPA Comments at 2; ACA Reply at 3-4; ADTRAN Reply at 1; Comcast Reply 4-5; WISPA Reply at 2.</w:t>
      </w:r>
      <w:bookmarkEnd w:id="67"/>
    </w:p>
  </w:footnote>
  <w:footnote w:id="33">
    <w:p w:rsidR="00B63070" w:rsidRPr="00BF5A34" w:rsidP="00C6287D">
      <w:pPr>
        <w:pStyle w:val="FootnoteText"/>
        <w:spacing w:before="120"/>
      </w:pPr>
      <w:r w:rsidRPr="00BF5A34">
        <w:rPr>
          <w:rStyle w:val="FootnoteReference"/>
        </w:rPr>
        <w:footnoteRef/>
      </w:r>
      <w:r w:rsidRPr="00BF5A34">
        <w:t xml:space="preserve"> </w:t>
      </w:r>
      <w:r>
        <w:rPr>
          <w:i/>
        </w:rPr>
        <w:t xml:space="preserve">See </w:t>
      </w:r>
      <w:r>
        <w:t>CCBC Comments at 2; CWA Comments at 3; INCOMPAS Comments at 3; OTI Comments at 31; PCCA Comments at 1-2; PK &amp; CC Comments at 3; Richmond Garris Comments at 1</w:t>
      </w:r>
      <w:r>
        <w:rPr>
          <w:rStyle w:val="ng-binding"/>
        </w:rPr>
        <w:t xml:space="preserve">; UTC Reply at 1; CC, PK &amp; NHMC Nov. 15, 2018 </w:t>
      </w:r>
      <w:r w:rsidRPr="00F823D6">
        <w:rPr>
          <w:rStyle w:val="ng-binding"/>
          <w:i/>
        </w:rPr>
        <w:t xml:space="preserve">Ex </w:t>
      </w:r>
      <w:r>
        <w:rPr>
          <w:rStyle w:val="ng-binding"/>
          <w:i/>
        </w:rPr>
        <w:t>P</w:t>
      </w:r>
      <w:r w:rsidRPr="009F178E">
        <w:rPr>
          <w:rStyle w:val="ng-binding"/>
          <w:i/>
        </w:rPr>
        <w:t>arte</w:t>
      </w:r>
      <w:r>
        <w:rPr>
          <w:rStyle w:val="ng-binding"/>
        </w:rPr>
        <w:t xml:space="preserve"> Letter at 1-2; </w:t>
      </w:r>
      <w:r w:rsidRPr="00D652B5">
        <w:t>Leadership Conference</w:t>
      </w:r>
      <w:r>
        <w:t xml:space="preserve"> </w:t>
      </w:r>
      <w:r w:rsidRPr="00D652B5">
        <w:t xml:space="preserve">Feb. 4, 2019 </w:t>
      </w:r>
      <w:r w:rsidRPr="00FD28E0">
        <w:rPr>
          <w:i/>
        </w:rPr>
        <w:t>Ex Parte</w:t>
      </w:r>
      <w:r w:rsidRPr="00E14E95">
        <w:t xml:space="preserve"> Letter</w:t>
      </w:r>
      <w:r>
        <w:t xml:space="preserve"> at 3</w:t>
      </w:r>
      <w:r>
        <w:rPr>
          <w:rStyle w:val="ng-binding"/>
        </w:rPr>
        <w:t>.</w:t>
      </w:r>
    </w:p>
  </w:footnote>
  <w:footnote w:id="34">
    <w:p w:rsidR="00B63070" w:rsidRPr="00BF5A34" w:rsidP="00C6287D">
      <w:pPr>
        <w:pStyle w:val="FootnoteText"/>
        <w:spacing w:before="120"/>
      </w:pPr>
      <w:r w:rsidRPr="00BF5A34">
        <w:rPr>
          <w:rStyle w:val="FootnoteReference"/>
        </w:rPr>
        <w:footnoteRef/>
      </w:r>
      <w:r w:rsidRPr="00BF5A34">
        <w:t xml:space="preserve"> 47 U.S.C. </w:t>
      </w:r>
      <w:r w:rsidRPr="00BF5A34">
        <w:rPr>
          <w:snapToGrid w:val="0"/>
        </w:rPr>
        <w:t>§</w:t>
      </w:r>
      <w:r w:rsidRPr="00BF5A34">
        <w:t xml:space="preserve"> 1302(d)(1).</w:t>
      </w:r>
    </w:p>
  </w:footnote>
  <w:footnote w:id="35">
    <w:p w:rsidR="00B63070" w:rsidRPr="001325E7" w:rsidP="00C6287D">
      <w:pPr>
        <w:pStyle w:val="FootnoteText"/>
        <w:spacing w:before="120"/>
      </w:pPr>
      <w:r w:rsidRPr="00BF5A34">
        <w:rPr>
          <w:rStyle w:val="FootnoteReference"/>
        </w:rPr>
        <w:footnoteRef/>
      </w:r>
      <w:r w:rsidRPr="00BF5A34">
        <w:t xml:space="preserve"> 47 U.S.C. </w:t>
      </w:r>
      <w:r w:rsidRPr="00BF5A34">
        <w:rPr>
          <w:snapToGrid w:val="0"/>
        </w:rPr>
        <w:t>§</w:t>
      </w:r>
      <w:r w:rsidRPr="00BF5A34">
        <w:t xml:space="preserve"> 1302(d)(1)</w:t>
      </w:r>
      <w:r>
        <w:t xml:space="preserve">; ACA Comments at 7-8; ADTRAN Comments at ii; ITTA Comments at 4-5; FSF Comments at 2, 4-6. </w:t>
      </w:r>
    </w:p>
  </w:footnote>
  <w:footnote w:id="36">
    <w:p w:rsidR="00B63070" w:rsidP="00C6287D">
      <w:pPr>
        <w:pStyle w:val="FootnoteText"/>
        <w:spacing w:before="120"/>
      </w:pPr>
      <w:r>
        <w:rPr>
          <w:rStyle w:val="FootnoteReference"/>
        </w:rPr>
        <w:footnoteRef/>
      </w:r>
      <w:r>
        <w:t xml:space="preserve"> ADTRAN Comments at ii.</w:t>
      </w:r>
    </w:p>
  </w:footnote>
  <w:footnote w:id="37">
    <w:p w:rsidR="00B63070" w:rsidP="00C6287D">
      <w:pPr>
        <w:pStyle w:val="FootnoteText"/>
        <w:spacing w:before="120"/>
      </w:pPr>
      <w:r>
        <w:rPr>
          <w:rStyle w:val="FootnoteReference"/>
        </w:rPr>
        <w:footnoteRef/>
      </w:r>
      <w:r>
        <w:t xml:space="preserve"> WISPA Comments at 2.</w:t>
      </w:r>
    </w:p>
  </w:footnote>
  <w:footnote w:id="38">
    <w:p w:rsidR="00B63070" w:rsidRPr="00BE08AD" w:rsidP="00C6287D">
      <w:pPr>
        <w:pStyle w:val="FootnoteText"/>
        <w:spacing w:before="120"/>
      </w:pPr>
      <w:r>
        <w:rPr>
          <w:rStyle w:val="FootnoteReference"/>
        </w:rPr>
        <w:footnoteRef/>
      </w:r>
      <w:r>
        <w:t xml:space="preserve"> </w:t>
      </w:r>
      <w:r w:rsidRPr="000C752A">
        <w:rPr>
          <w:i/>
        </w:rPr>
        <w:t>See</w:t>
      </w:r>
      <w:r>
        <w:rPr>
          <w:i/>
        </w:rPr>
        <w:t xml:space="preserve"> </w:t>
      </w:r>
      <w:r w:rsidRPr="00820DFD">
        <w:t>FCC, Internet Access Services</w:t>
      </w:r>
      <w:r w:rsidRPr="00FB6AB7">
        <w:t>:</w:t>
      </w:r>
      <w:r>
        <w:t xml:space="preserve"> </w:t>
      </w:r>
      <w:r w:rsidRPr="00FB6AB7">
        <w:t xml:space="preserve"> Status</w:t>
      </w:r>
      <w:r w:rsidRPr="00820DFD">
        <w:t xml:space="preserve"> as of </w:t>
      </w:r>
      <w:r w:rsidRPr="00FB6AB7">
        <w:t>June 30, 2017</w:t>
      </w:r>
      <w:r w:rsidRPr="00820DFD">
        <w:t xml:space="preserve"> at Fig. 10 (WCB 2018), </w:t>
      </w:r>
      <w:r w:rsidRPr="00D47B19">
        <w:rPr>
          <w:rStyle w:val="Hyperlink"/>
        </w:rPr>
        <w:t>https://docs.fcc.gov/public/attachments/DOC-355166A1.pdf</w:t>
      </w:r>
      <w:r w:rsidRPr="00D47B19">
        <w:t xml:space="preserve">; </w:t>
      </w:r>
      <w:r w:rsidRPr="00682BEB">
        <w:rPr>
          <w:i/>
        </w:rPr>
        <w:t>see also</w:t>
      </w:r>
      <w:r w:rsidRPr="00682BEB">
        <w:t xml:space="preserve"> FSF Comments</w:t>
      </w:r>
      <w:r>
        <w:t xml:space="preserve"> at 2, 4-6 (discussing an overview of market data that reflects progress in broadband deployment). </w:t>
      </w:r>
    </w:p>
  </w:footnote>
  <w:footnote w:id="39">
    <w:p w:rsidR="00B63070" w:rsidP="00C6287D">
      <w:pPr>
        <w:pStyle w:val="FootnoteText"/>
        <w:spacing w:before="120"/>
      </w:pPr>
      <w:r>
        <w:rPr>
          <w:rStyle w:val="FootnoteReference"/>
        </w:rPr>
        <w:footnoteRef/>
      </w:r>
      <w:r>
        <w:t xml:space="preserve"> ITTA Comments at 6-7; </w:t>
      </w:r>
      <w:r>
        <w:rPr>
          <w:i/>
        </w:rPr>
        <w:t xml:space="preserve">see also </w:t>
      </w:r>
      <w:r>
        <w:t xml:space="preserve">FSF Comments at 7 (“[Section 706] does not direct the Commission to be ‘audacious’ or to shoot for the moon.”). </w:t>
      </w:r>
    </w:p>
  </w:footnote>
  <w:footnote w:id="40">
    <w:p w:rsidR="00B63070" w:rsidP="00C6287D">
      <w:pPr>
        <w:pStyle w:val="FootnoteText"/>
        <w:spacing w:before="120"/>
      </w:pPr>
      <w:r>
        <w:rPr>
          <w:rStyle w:val="FootnoteReference"/>
        </w:rPr>
        <w:footnoteRef/>
      </w:r>
      <w:r>
        <w:t xml:space="preserve"> INCOMPAS Comments at 3-4; NCTA Comments at 4.</w:t>
      </w:r>
    </w:p>
  </w:footnote>
  <w:footnote w:id="41">
    <w:p w:rsidR="00B63070" w:rsidP="00C6287D">
      <w:pPr>
        <w:pStyle w:val="FootnoteText"/>
        <w:spacing w:before="120"/>
      </w:pPr>
      <w:r>
        <w:rPr>
          <w:rStyle w:val="FootnoteReference"/>
        </w:rPr>
        <w:footnoteRef/>
      </w:r>
      <w:r>
        <w:t xml:space="preserve"> 47 U.S.C. § 1302(d)(1); </w:t>
      </w:r>
      <w:r>
        <w:rPr>
          <w:i/>
        </w:rPr>
        <w:t xml:space="preserve">see also </w:t>
      </w:r>
      <w:r>
        <w:t>ADTRAN Reply at 4-5 (“</w:t>
      </w:r>
      <w:r w:rsidRPr="00AC0B9B">
        <w:t>ADTRAN’s products support the much higher speeds-- 100 Mbps, 1 Gbps and even 10 Gbps -- that are now bei</w:t>
      </w:r>
      <w:r>
        <w:t xml:space="preserve">ng deployed due to competition.  </w:t>
      </w:r>
      <w:r w:rsidRPr="00AC0B9B">
        <w:t>But ADTRAN still believes that 25/3 Mbps is currently an appropriate benchmark consistent with the Congressional directives in Section 706.”</w:t>
      </w:r>
      <w:r>
        <w:t>).</w:t>
      </w:r>
    </w:p>
  </w:footnote>
  <w:footnote w:id="42">
    <w:p w:rsidR="00B63070" w:rsidRPr="00E05D4F" w:rsidP="00C6287D">
      <w:pPr>
        <w:pStyle w:val="FootnoteText"/>
        <w:spacing w:before="120"/>
        <w:rPr>
          <w:i/>
        </w:rPr>
      </w:pPr>
      <w:r>
        <w:rPr>
          <w:rStyle w:val="FootnoteReference"/>
        </w:rPr>
        <w:footnoteRef/>
      </w:r>
      <w:r>
        <w:t xml:space="preserve"> AT&amp;T Comments at 7; CTIA Comments at 9; INCOMPAS Comments at 3-4; NCTA Comments at 4.  </w:t>
      </w:r>
      <w:r>
        <w:rPr>
          <w:i/>
        </w:rPr>
        <w:t xml:space="preserve">But see </w:t>
      </w:r>
      <w:r w:rsidRPr="002556A8">
        <w:t xml:space="preserve">Free State Foundation Comments at 1 (stating that “[t]he </w:t>
      </w:r>
      <w:r w:rsidRPr="008C31F7">
        <w:t>Commission should not change benchmarks based on aspirations that do not reflect</w:t>
      </w:r>
      <w:r w:rsidRPr="002556A8">
        <w:t xml:space="preserve"> </w:t>
      </w:r>
      <w:r w:rsidRPr="008C31F7">
        <w:t>widespread consumer demand and that are not grounded in the text of Section 706</w:t>
      </w:r>
      <w:r>
        <w:t>”</w:t>
      </w:r>
      <w:r w:rsidRPr="008C31F7">
        <w:t>)</w:t>
      </w:r>
      <w:r>
        <w:t>; ACA Reply at 4-5 (“[R]aising the benchmark is unwarranted.”)</w:t>
      </w:r>
      <w:r w:rsidRPr="008C31F7">
        <w:t>.</w:t>
      </w:r>
    </w:p>
  </w:footnote>
  <w:footnote w:id="43">
    <w:p w:rsidR="00B63070" w:rsidRPr="002556A8" w:rsidP="00C6287D">
      <w:pPr>
        <w:pStyle w:val="FootnoteText"/>
        <w:spacing w:before="120"/>
      </w:pPr>
      <w:r>
        <w:rPr>
          <w:rStyle w:val="FootnoteReference"/>
        </w:rPr>
        <w:footnoteRef/>
      </w:r>
      <w:r>
        <w:t xml:space="preserve"> </w:t>
      </w:r>
      <w:bookmarkStart w:id="69" w:name="_Hlk526170289"/>
      <w:r>
        <w:rPr>
          <w:i/>
        </w:rPr>
        <w:t xml:space="preserve">See </w:t>
      </w:r>
      <w:r>
        <w:t xml:space="preserve">FCC, Fixed Broadband Deployment Data from FCC Form 477, Data as of December 31, 2017.  </w:t>
      </w:r>
      <w:bookmarkEnd w:id="69"/>
    </w:p>
  </w:footnote>
  <w:footnote w:id="44">
    <w:p w:rsidR="00B63070" w:rsidRPr="00950C39" w:rsidP="00C6287D">
      <w:pPr>
        <w:pStyle w:val="FootnoteText"/>
        <w:spacing w:before="120"/>
        <w:rPr>
          <w:b/>
        </w:rPr>
      </w:pPr>
      <w:r>
        <w:rPr>
          <w:rStyle w:val="FootnoteReference"/>
        </w:rPr>
        <w:footnoteRef/>
      </w:r>
      <w:r>
        <w:t xml:space="preserve"> R Street Comments at 2.</w:t>
      </w:r>
    </w:p>
  </w:footnote>
  <w:footnote w:id="45">
    <w:p w:rsidR="00B63070" w:rsidP="00C6287D">
      <w:pPr>
        <w:pStyle w:val="FootnoteText"/>
        <w:spacing w:before="120"/>
      </w:pPr>
      <w:r>
        <w:rPr>
          <w:rStyle w:val="FootnoteReference"/>
        </w:rPr>
        <w:footnoteRef/>
      </w:r>
      <w:r>
        <w:t xml:space="preserve"> </w:t>
      </w:r>
      <w:r>
        <w:rPr>
          <w:i/>
        </w:rPr>
        <w:t xml:space="preserve">See 2018 </w:t>
      </w:r>
      <w:r w:rsidRPr="00F9342C">
        <w:rPr>
          <w:i/>
        </w:rPr>
        <w:t>Report</w:t>
      </w:r>
      <w:r>
        <w:t xml:space="preserve">, 33 FCC Rcd at 1669, para. 25; </w:t>
      </w:r>
      <w:r>
        <w:rPr>
          <w:i/>
        </w:rPr>
        <w:t>see also</w:t>
      </w:r>
      <w:r>
        <w:t xml:space="preserve"> </w:t>
      </w:r>
      <w:r>
        <w:rPr>
          <w:i/>
        </w:rPr>
        <w:t>2016 Report</w:t>
      </w:r>
      <w:r>
        <w:t xml:space="preserve">, 31 FCC Rcd at 707, para. 19;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14-126, 2015 Broadband Progress Report and Notice of Inquiry on Immediate Action to Accelerate Deployment, 30 FCC Rcd 1375, 1391, para. 23 (2015) (</w:t>
      </w:r>
      <w:r w:rsidRPr="009F178E">
        <w:rPr>
          <w:i/>
        </w:rPr>
        <w:t>2015 Report</w:t>
      </w:r>
      <w:r>
        <w:t>).</w:t>
      </w:r>
    </w:p>
  </w:footnote>
  <w:footnote w:id="46">
    <w:p w:rsidR="00B63070" w:rsidRPr="00A0420E" w:rsidP="00C6287D">
      <w:pPr>
        <w:pStyle w:val="FootnoteText"/>
        <w:spacing w:before="120"/>
      </w:pPr>
      <w:r>
        <w:rPr>
          <w:rStyle w:val="FootnoteReference"/>
        </w:rPr>
        <w:footnoteRef/>
      </w:r>
      <w:r>
        <w:t xml:space="preserve"> </w:t>
      </w:r>
      <w:r>
        <w:rPr>
          <w:i/>
        </w:rPr>
        <w:t xml:space="preserve">See infra </w:t>
      </w:r>
      <w:r w:rsidRPr="00D275CC">
        <w:t xml:space="preserve">Section </w:t>
      </w:r>
      <w:r w:rsidRPr="002C21A3">
        <w:t>IV.</w:t>
      </w:r>
    </w:p>
  </w:footnote>
  <w:footnote w:id="47">
    <w:p w:rsidR="00B63070" w:rsidP="00C6287D">
      <w:pPr>
        <w:pStyle w:val="FootnoteText"/>
        <w:spacing w:before="120"/>
      </w:pPr>
      <w:r>
        <w:rPr>
          <w:rStyle w:val="FootnoteReference"/>
        </w:rPr>
        <w:footnoteRef/>
      </w:r>
      <w:r>
        <w:t xml:space="preserve"> </w:t>
      </w:r>
      <w:r w:rsidRPr="00AD268E">
        <w:rPr>
          <w:i/>
        </w:rPr>
        <w:t>2018 Report</w:t>
      </w:r>
      <w:r>
        <w:t xml:space="preserve">, </w:t>
      </w:r>
      <w:r w:rsidRPr="00E55DD8">
        <w:t xml:space="preserve">33 FCC Rcd at </w:t>
      </w:r>
      <w:r>
        <w:t xml:space="preserve">1672, para. 30 (discussing inherent performance variation in a mobile environment due to weather, terrain, movement, and cell-loading, among many other factors); </w:t>
      </w:r>
      <w:r>
        <w:rPr>
          <w:i/>
        </w:rPr>
        <w:t>i</w:t>
      </w:r>
      <w:r w:rsidRPr="00AD268E">
        <w:rPr>
          <w:i/>
        </w:rPr>
        <w:t>d</w:t>
      </w:r>
      <w:r>
        <w:t xml:space="preserve">. at 1672, para. 31, n.92 (discussing how the Form 477 deployment data, while an improvement over the data previously available, is currently subject to a Further Notice of Proposed Rulemaking to seek comment on how the Commission can improve its collections); </w:t>
      </w:r>
      <w:r w:rsidRPr="00AD268E">
        <w:rPr>
          <w:i/>
        </w:rPr>
        <w:t>id</w:t>
      </w:r>
      <w:r>
        <w:t>. at 1673-74, para. 33-34, n.97 (discussing how the combination of Form 477 data with on-the-ground data allows for the most accurate assessment of whether consumers have access to mobile advanced telecommunications capability, consistent with the requirements of 47 U.S.C. § 1302).</w:t>
      </w:r>
    </w:p>
  </w:footnote>
  <w:footnote w:id="48">
    <w:p w:rsidR="00B63070" w:rsidP="00C6287D">
      <w:pPr>
        <w:pStyle w:val="FootnoteText"/>
        <w:spacing w:before="120"/>
      </w:pPr>
      <w:r>
        <w:rPr>
          <w:rStyle w:val="FootnoteReference"/>
        </w:rPr>
        <w:footnoteRef/>
      </w:r>
      <w:r>
        <w:t xml:space="preserve"> </w:t>
      </w:r>
      <w:r>
        <w:rPr>
          <w:i/>
        </w:rPr>
        <w:t>Id.</w:t>
      </w:r>
      <w:r w:rsidRPr="00820DFD">
        <w:rPr>
          <w:i/>
        </w:rPr>
        <w:t xml:space="preserve"> </w:t>
      </w:r>
      <w:r w:rsidRPr="00E55DD8">
        <w:t>at 16</w:t>
      </w:r>
      <w:r>
        <w:t>73-74</w:t>
      </w:r>
      <w:r w:rsidRPr="00E55DD8">
        <w:t xml:space="preserve">, para. </w:t>
      </w:r>
      <w:r>
        <w:t>34.</w:t>
      </w:r>
    </w:p>
  </w:footnote>
  <w:footnote w:id="49">
    <w:p w:rsidR="00B63070" w:rsidP="00C6287D">
      <w:pPr>
        <w:pStyle w:val="FootnoteText"/>
        <w:spacing w:before="120"/>
      </w:pPr>
      <w:r>
        <w:rPr>
          <w:rStyle w:val="FootnoteReference"/>
        </w:rPr>
        <w:footnoteRef/>
      </w:r>
      <w:r>
        <w:t xml:space="preserve"> </w:t>
      </w:r>
      <w:r>
        <w:rPr>
          <w:i/>
        </w:rPr>
        <w:t xml:space="preserve">Id. </w:t>
      </w:r>
      <w:r w:rsidRPr="00E55DD8">
        <w:t>at 16</w:t>
      </w:r>
      <w:r>
        <w:t>70-73</w:t>
      </w:r>
      <w:r w:rsidRPr="00E55DD8">
        <w:t>, para</w:t>
      </w:r>
      <w:r>
        <w:t>s</w:t>
      </w:r>
      <w:r w:rsidRPr="00E55DD8">
        <w:t xml:space="preserve">. </w:t>
      </w:r>
      <w:r>
        <w:t>27-32.</w:t>
      </w:r>
    </w:p>
  </w:footnote>
  <w:footnote w:id="50">
    <w:p w:rsidR="00B63070" w:rsidP="00C6287D">
      <w:pPr>
        <w:pStyle w:val="FootnoteText"/>
        <w:spacing w:before="120"/>
      </w:pPr>
      <w:r>
        <w:rPr>
          <w:rStyle w:val="FootnoteReference"/>
        </w:rPr>
        <w:footnoteRef/>
      </w:r>
      <w:r>
        <w:t xml:space="preserve"> </w:t>
      </w:r>
      <w:r>
        <w:rPr>
          <w:i/>
        </w:rPr>
        <w:t xml:space="preserve">Id. </w:t>
      </w:r>
      <w:r w:rsidRPr="00E55DD8">
        <w:t xml:space="preserve">at </w:t>
      </w:r>
      <w:r>
        <w:t>1672</w:t>
      </w:r>
      <w:r w:rsidRPr="00E55DD8">
        <w:t>,</w:t>
      </w:r>
      <w:r>
        <w:t xml:space="preserve"> n.91.</w:t>
      </w:r>
    </w:p>
  </w:footnote>
  <w:footnote w:id="51">
    <w:p w:rsidR="00B63070" w:rsidP="00C6287D">
      <w:pPr>
        <w:pStyle w:val="FootnoteText"/>
        <w:spacing w:before="120"/>
      </w:pPr>
      <w:r>
        <w:rPr>
          <w:rStyle w:val="FootnoteReference"/>
        </w:rPr>
        <w:footnoteRef/>
      </w:r>
      <w:r>
        <w:t xml:space="preserve"> </w:t>
      </w:r>
      <w:r>
        <w:rPr>
          <w:i/>
        </w:rPr>
        <w:t xml:space="preserve">Id. </w:t>
      </w:r>
      <w:r w:rsidRPr="00E55DD8">
        <w:t xml:space="preserve">at </w:t>
      </w:r>
      <w:r>
        <w:t>1670</w:t>
      </w:r>
      <w:r w:rsidRPr="00E55DD8">
        <w:t xml:space="preserve">, </w:t>
      </w:r>
      <w:r>
        <w:t xml:space="preserve">1672-73, </w:t>
      </w:r>
      <w:r w:rsidRPr="00E55DD8">
        <w:t>para</w:t>
      </w:r>
      <w:r>
        <w:t>s</w:t>
      </w:r>
      <w:r w:rsidRPr="00E55DD8">
        <w:t xml:space="preserve">. </w:t>
      </w:r>
      <w:r>
        <w:t>31-32 (assessing LTE at 5 Mbps/1 Mbps as a starting point for the analysis after analyzing the record and finding that LTE enables use consistent with the requirements of 47 U.S.C. § 1302, and speeds of 5 Mbps/1 Mbps or higher “are accepted by industry as consistent with an LTE network”).</w:t>
      </w:r>
    </w:p>
  </w:footnote>
  <w:footnote w:id="52">
    <w:p w:rsidR="00B63070" w:rsidP="00C6287D">
      <w:pPr>
        <w:pStyle w:val="FootnoteText"/>
        <w:spacing w:before="120"/>
      </w:pPr>
      <w:r>
        <w:rPr>
          <w:rStyle w:val="FootnoteReference"/>
        </w:rPr>
        <w:footnoteRef/>
      </w:r>
      <w:r>
        <w:t xml:space="preserve"> </w:t>
      </w:r>
      <w:r>
        <w:rPr>
          <w:i/>
        </w:rPr>
        <w:t xml:space="preserve">Id. </w:t>
      </w:r>
      <w:r w:rsidRPr="00E55DD8">
        <w:t xml:space="preserve">at </w:t>
      </w:r>
      <w:r>
        <w:t>1670</w:t>
      </w:r>
      <w:r w:rsidRPr="00E55DD8">
        <w:t xml:space="preserve">, para. </w:t>
      </w:r>
      <w:r>
        <w:t xml:space="preserve">27.  Many commenters argued that 10 Mbps was an appropriate download speed for mobile consistent with the requirements of the statute.  </w:t>
      </w:r>
      <w:r w:rsidRPr="00184D32">
        <w:rPr>
          <w:i/>
        </w:rPr>
        <w:t>See</w:t>
      </w:r>
      <w:r>
        <w:t xml:space="preserve"> </w:t>
      </w:r>
      <w:r>
        <w:rPr>
          <w:i/>
        </w:rPr>
        <w:t xml:space="preserve">id. </w:t>
      </w:r>
      <w:r w:rsidRPr="00E55DD8">
        <w:t xml:space="preserve">at </w:t>
      </w:r>
      <w:r>
        <w:t>1671</w:t>
      </w:r>
      <w:r w:rsidRPr="00E55DD8">
        <w:t xml:space="preserve">, </w:t>
      </w:r>
      <w:r>
        <w:t xml:space="preserve">n.82.  </w:t>
      </w:r>
    </w:p>
  </w:footnote>
  <w:footnote w:id="53">
    <w:p w:rsidR="00B63070" w:rsidP="00C6287D">
      <w:pPr>
        <w:pStyle w:val="FootnoteText"/>
        <w:spacing w:before="120"/>
      </w:pPr>
      <w:r>
        <w:rPr>
          <w:rStyle w:val="FootnoteReference"/>
        </w:rPr>
        <w:footnoteRef/>
      </w:r>
      <w:r>
        <w:t xml:space="preserve"> </w:t>
      </w:r>
      <w:r>
        <w:rPr>
          <w:i/>
        </w:rPr>
        <w:t xml:space="preserve">See infra </w:t>
      </w:r>
      <w:r>
        <w:t xml:space="preserve">Section IV.B.2; </w:t>
      </w:r>
      <w:r w:rsidRPr="00184D32">
        <w:rPr>
          <w:i/>
        </w:rPr>
        <w:t>see also</w:t>
      </w:r>
      <w:r>
        <w:t xml:space="preserve"> </w:t>
      </w:r>
      <w:r w:rsidRPr="00E55DD8">
        <w:rPr>
          <w:i/>
        </w:rPr>
        <w:t>2018 Report</w:t>
      </w:r>
      <w:r w:rsidRPr="00E55DD8">
        <w:t>, 33 FCC Rcd at 16</w:t>
      </w:r>
      <w:r>
        <w:t>73-74</w:t>
      </w:r>
      <w:r w:rsidRPr="00E55DD8">
        <w:t xml:space="preserve">, para. </w:t>
      </w:r>
      <w:r>
        <w:t xml:space="preserve">34 (“By using the Form 477 data, and supplementing with Ookla data, however, we can show that, in those geographical areas (counties) where most consumers live, speeds appear to be well above 5 Mbps/1 Mbps, with a median of 10 Mbps/3 Mbps or higher.”); </w:t>
      </w:r>
      <w:r>
        <w:rPr>
          <w:i/>
        </w:rPr>
        <w:t xml:space="preserve">2018 Report, </w:t>
      </w:r>
      <w:r>
        <w:t xml:space="preserve">33 FCC Rcd </w:t>
      </w:r>
      <w:r w:rsidRPr="004B04A5">
        <w:t>at</w:t>
      </w:r>
      <w:r>
        <w:t xml:space="preserve"> 1674, n.97 (“We believe that by reporting these two metrics, we are able to evaluate the extent to which, in the context of the mobile environment, mobile services are providing consumers with ‘high-speed, switched, broadband telecommunications capability that enables users to originate and receive high-quality voice, data, graphics and video telecommunications.’ 47 U.S.C. § 1302(d)(1).”).</w:t>
      </w:r>
    </w:p>
  </w:footnote>
  <w:footnote w:id="54">
    <w:p w:rsidR="00B63070" w:rsidP="00C6287D">
      <w:pPr>
        <w:pStyle w:val="FootnoteText"/>
        <w:spacing w:before="120"/>
      </w:pPr>
      <w:r>
        <w:rPr>
          <w:rStyle w:val="FootnoteReference"/>
        </w:rPr>
        <w:footnoteRef/>
      </w:r>
      <w:r>
        <w:t xml:space="preserve"> </w:t>
      </w:r>
      <w:r>
        <w:rPr>
          <w:i/>
        </w:rPr>
        <w:t>See</w:t>
      </w:r>
      <w:r w:rsidRPr="00820DFD">
        <w:rPr>
          <w:i/>
        </w:rPr>
        <w:t xml:space="preserve"> </w:t>
      </w:r>
      <w:r>
        <w:t>AT&amp;T Comments at 5; CTIA Comments at 17; Free State Foundation Comments at 6-7.</w:t>
      </w:r>
    </w:p>
  </w:footnote>
  <w:footnote w:id="55">
    <w:p w:rsidR="00B63070" w:rsidP="00C6287D">
      <w:pPr>
        <w:pStyle w:val="FootnoteText"/>
        <w:spacing w:before="120"/>
      </w:pPr>
      <w:r>
        <w:rPr>
          <w:rStyle w:val="FootnoteReference"/>
        </w:rPr>
        <w:footnoteRef/>
      </w:r>
      <w:r>
        <w:t xml:space="preserve"> </w:t>
      </w:r>
      <w:r w:rsidRPr="00474A94">
        <w:t>CTIA Comments at 1</w:t>
      </w:r>
      <w:r>
        <w:t>8.</w:t>
      </w:r>
    </w:p>
  </w:footnote>
  <w:footnote w:id="56">
    <w:p w:rsidR="00B63070" w:rsidP="00C6287D">
      <w:pPr>
        <w:pStyle w:val="FootnoteText"/>
        <w:spacing w:before="120"/>
      </w:pPr>
      <w:r>
        <w:rPr>
          <w:rStyle w:val="FootnoteReference"/>
        </w:rPr>
        <w:footnoteRef/>
      </w:r>
      <w:r>
        <w:t xml:space="preserve"> </w:t>
      </w:r>
      <w:r w:rsidRPr="00684A1C">
        <w:rPr>
          <w:i/>
        </w:rPr>
        <w:t>2018 Report</w:t>
      </w:r>
      <w:r w:rsidRPr="00684A1C">
        <w:t>, 33 FCC Rcd at 16</w:t>
      </w:r>
      <w:r>
        <w:t>73</w:t>
      </w:r>
      <w:r w:rsidRPr="00684A1C">
        <w:t>-74, para</w:t>
      </w:r>
      <w:r>
        <w:t>s</w:t>
      </w:r>
      <w:r w:rsidRPr="00684A1C">
        <w:t xml:space="preserve">. </w:t>
      </w:r>
      <w:r>
        <w:t>32-34</w:t>
      </w:r>
      <w:r w:rsidRPr="00684A1C">
        <w:t>.</w:t>
      </w:r>
    </w:p>
  </w:footnote>
  <w:footnote w:id="57">
    <w:p w:rsidR="00B63070" w:rsidRPr="001325E7" w:rsidP="00C6287D">
      <w:pPr>
        <w:pStyle w:val="FootnoteText"/>
        <w:spacing w:before="120"/>
      </w:pPr>
      <w:r w:rsidRPr="001325E7">
        <w:rPr>
          <w:rStyle w:val="FootnoteReference"/>
        </w:rPr>
        <w:footnoteRef/>
      </w:r>
      <w:r w:rsidRPr="001325E7">
        <w:t xml:space="preserve"> </w:t>
      </w:r>
      <w:r w:rsidRPr="001325E7">
        <w:rPr>
          <w:i/>
        </w:rPr>
        <w:t>Notice</w:t>
      </w:r>
      <w:r w:rsidRPr="001325E7">
        <w:t>, 3</w:t>
      </w:r>
      <w:r>
        <w:t>3</w:t>
      </w:r>
      <w:r w:rsidRPr="001325E7">
        <w:t xml:space="preserve"> FCC Rcd at</w:t>
      </w:r>
      <w:r>
        <w:t xml:space="preserve"> 8390</w:t>
      </w:r>
      <w:r w:rsidRPr="001325E7">
        <w:t xml:space="preserve">, para. </w:t>
      </w:r>
      <w:r>
        <w:t>10</w:t>
      </w:r>
      <w:r w:rsidRPr="001325E7">
        <w:t xml:space="preserve">. </w:t>
      </w:r>
    </w:p>
  </w:footnote>
  <w:footnote w:id="58">
    <w:p w:rsidR="00B63070" w:rsidRPr="00FB6AB7" w:rsidP="00C6287D">
      <w:pPr>
        <w:pStyle w:val="FootnoteText"/>
        <w:spacing w:before="120"/>
        <w:rPr>
          <w:rFonts w:eastAsia="Calibri"/>
        </w:rPr>
      </w:pPr>
      <w:r w:rsidRPr="00BF5A34">
        <w:rPr>
          <w:rStyle w:val="FootnoteReference"/>
        </w:rPr>
        <w:footnoteRef/>
      </w:r>
      <w:r w:rsidRPr="00BF5A34">
        <w:t xml:space="preserve"> </w:t>
      </w:r>
      <w:r>
        <w:rPr>
          <w:i/>
        </w:rPr>
        <w:t xml:space="preserve">See </w:t>
      </w:r>
      <w:r>
        <w:t>ADTRAN Comments at 6 (suggesting that the Commission conduct detailed reassessments of benchmarks every three years and “</w:t>
      </w:r>
      <w:r w:rsidRPr="002455FB">
        <w:t>look at both the services/applications that customers are accessing</w:t>
      </w:r>
      <w:r>
        <w:t>”); Fiber Broadband Comments at 2 (</w:t>
      </w:r>
      <w:r w:rsidRPr="00F866D9">
        <w:t>submitting</w:t>
      </w:r>
      <w:r>
        <w:rPr>
          <w:szCs w:val="22"/>
        </w:rPr>
        <w:t xml:space="preserve"> that the Commission should examine progress on both a national and more granular basis and include all-fiber networks); CTIA Comments at 18 (suggesting “rigid benchmarks are not well-suited” for mobile deployment and the Commission should focus on data reflecting consumer demand and use of mobile services); OTI Comments at 30-32 (recommending an increase of the </w:t>
      </w:r>
      <w:r w:rsidRPr="00D74E60">
        <w:t>25 Mbps/3 Mbps</w:t>
      </w:r>
      <w:r>
        <w:t xml:space="preserve"> benchmark to reflect consumer needs and growing markets); NTCA Comments at 6-7 (suggesting a measure of latency, data usage limits and other technical capabilities); R Street Comments at 2-4 (suggesting that the “</w:t>
      </w:r>
      <w:r>
        <w:rPr>
          <w:szCs w:val="24"/>
        </w:rPr>
        <w:t xml:space="preserve">Commission should gather deployment data at [various] benchmarks, analyze the data holistically[,] keep those benchmarks consistent” and report on “latency, price and usage restrictions”); Speedchecker Comments at 1 (suggesting a benchmark that includes speed and a “Quality of Service requirement”); </w:t>
      </w:r>
      <w:r>
        <w:t xml:space="preserve">PK &amp; CC Comments at 3, 4-5 (explaining that maintaining the current benchmark without considering future benchmarks “runs contrary to the Commission’s congressional mandate”); </w:t>
      </w:r>
      <w:r w:rsidRPr="00D652B5">
        <w:t>Leadership Conference</w:t>
      </w:r>
      <w:r>
        <w:t xml:space="preserve"> </w:t>
      </w:r>
      <w:r w:rsidRPr="00D652B5">
        <w:t xml:space="preserve">Feb. 4, 2019 </w:t>
      </w:r>
      <w:r w:rsidRPr="00FD28E0">
        <w:rPr>
          <w:i/>
        </w:rPr>
        <w:t>Ex Parte</w:t>
      </w:r>
      <w:r w:rsidRPr="00E14E95">
        <w:t xml:space="preserve"> Letter</w:t>
      </w:r>
      <w:r>
        <w:t xml:space="preserve"> at 3 (</w:t>
      </w:r>
      <w:r w:rsidRPr="007B7DB8">
        <w:t>“The Commission should take a forward-looking approach and raise the benchmark speed to recognize demand for gigabit networks capable of delivering more data and video-intensive services and applications over the Internet.”</w:t>
      </w:r>
      <w:r>
        <w:t>).</w:t>
      </w:r>
    </w:p>
  </w:footnote>
  <w:footnote w:id="59">
    <w:p w:rsidR="00B63070" w:rsidRPr="002556A8" w:rsidP="00C6287D">
      <w:pPr>
        <w:pStyle w:val="FootnoteText"/>
        <w:spacing w:before="120"/>
      </w:pPr>
      <w:r>
        <w:rPr>
          <w:rStyle w:val="FootnoteReference"/>
        </w:rPr>
        <w:footnoteRef/>
      </w:r>
      <w:r>
        <w:t xml:space="preserve"> FSF Comments at 6, 7-8 (suggesting that “adoption of </w:t>
      </w:r>
      <w:r w:rsidRPr="000D4058">
        <w:t>broadband speed benchmarks should be based on capabilities needed to support online services and applications that enjoy relatively</w:t>
      </w:r>
      <w:r>
        <w:t xml:space="preserve"> wide everyday use by consumers”); </w:t>
      </w:r>
      <w:r>
        <w:rPr>
          <w:i/>
        </w:rPr>
        <w:t xml:space="preserve">see </w:t>
      </w:r>
      <w:r w:rsidRPr="00D74E60">
        <w:rPr>
          <w:i/>
        </w:rPr>
        <w:t>also</w:t>
      </w:r>
      <w:r>
        <w:t xml:space="preserve"> </w:t>
      </w:r>
      <w:r>
        <w:rPr>
          <w:i/>
        </w:rPr>
        <w:t xml:space="preserve">2018 </w:t>
      </w:r>
      <w:r w:rsidRPr="00F9342C">
        <w:rPr>
          <w:i/>
        </w:rPr>
        <w:t>Report</w:t>
      </w:r>
      <w:r>
        <w:t>, 33 FCC Rcd at 1669-70, para. 26.</w:t>
      </w:r>
    </w:p>
  </w:footnote>
  <w:footnote w:id="60">
    <w:p w:rsidR="00B63070" w:rsidRPr="001325E7" w:rsidP="00C6287D">
      <w:pPr>
        <w:pStyle w:val="FootnoteText"/>
        <w:spacing w:before="120"/>
      </w:pPr>
      <w:r w:rsidRPr="001325E7">
        <w:rPr>
          <w:rStyle w:val="FootnoteReference"/>
        </w:rPr>
        <w:footnoteRef/>
      </w:r>
      <w:r w:rsidRPr="001325E7">
        <w:t xml:space="preserve"> </w:t>
      </w:r>
      <w:r>
        <w:rPr>
          <w:i/>
        </w:rPr>
        <w:t xml:space="preserve">2018 </w:t>
      </w:r>
      <w:r w:rsidRPr="00F9342C">
        <w:rPr>
          <w:i/>
        </w:rPr>
        <w:t>Report</w:t>
      </w:r>
      <w:r>
        <w:t>, 33 FCC Rcd at 1669-70, para. 26.</w:t>
      </w:r>
    </w:p>
  </w:footnote>
  <w:footnote w:id="61">
    <w:p w:rsidR="00B63070" w:rsidP="00C6287D">
      <w:pPr>
        <w:pStyle w:val="FootnoteText"/>
        <w:spacing w:before="120"/>
      </w:pPr>
      <w:r>
        <w:rPr>
          <w:rStyle w:val="FootnoteReference"/>
        </w:rPr>
        <w:footnoteRef/>
      </w:r>
      <w:r>
        <w:t xml:space="preserve"> Fiber Broadband Comments at 3; NTCA Comments at 6-7; R Street Comments at 2, 4; UTC Reply at 2-3.  </w:t>
      </w:r>
    </w:p>
  </w:footnote>
  <w:footnote w:id="62">
    <w:p w:rsidR="00B63070" w:rsidP="00C6287D">
      <w:pPr>
        <w:pStyle w:val="FootnoteText"/>
        <w:spacing w:before="120"/>
      </w:pPr>
      <w:r>
        <w:rPr>
          <w:rStyle w:val="FootnoteReference"/>
        </w:rPr>
        <w:footnoteRef/>
      </w:r>
      <w:r>
        <w:t xml:space="preserve"> </w:t>
      </w:r>
      <w:r>
        <w:rPr>
          <w:i/>
        </w:rPr>
        <w:t xml:space="preserve">2018 </w:t>
      </w:r>
      <w:r w:rsidRPr="00F9342C">
        <w:rPr>
          <w:i/>
        </w:rPr>
        <w:t>Report</w:t>
      </w:r>
      <w:r>
        <w:t>, 33 FCC Rcd at 1674-75, para. 36.</w:t>
      </w:r>
    </w:p>
  </w:footnote>
  <w:footnote w:id="63">
    <w:p w:rsidR="00B63070" w:rsidP="00C6287D">
      <w:pPr>
        <w:pStyle w:val="FootnoteText"/>
        <w:spacing w:before="120"/>
      </w:pPr>
      <w:r>
        <w:rPr>
          <w:rStyle w:val="FootnoteReference"/>
        </w:rPr>
        <w:footnoteRef/>
      </w:r>
      <w:r>
        <w:t xml:space="preserve"> </w:t>
      </w:r>
      <w:r>
        <w:rPr>
          <w:i/>
        </w:rPr>
        <w:t xml:space="preserve">Id. </w:t>
      </w:r>
      <w:r>
        <w:t xml:space="preserve">at 1675, para. 37; </w:t>
      </w:r>
      <w:r>
        <w:rPr>
          <w:i/>
        </w:rPr>
        <w:t xml:space="preserve">see also </w:t>
      </w:r>
      <w:r>
        <w:t xml:space="preserve">Hughes Reply at 5-6 (arguing that Common Cause and NTCA fail to refute the Commission’s finding in the </w:t>
      </w:r>
      <w:r w:rsidRPr="00CB13E4">
        <w:rPr>
          <w:i/>
        </w:rPr>
        <w:t>2018 Report</w:t>
      </w:r>
      <w:r>
        <w:t xml:space="preserve"> that “many consumers choose relatively higher latency fixed satellite broadband services that meet the 25 Mbps/3 Mbps speed benchmark and consume services such as Skype, Netflix, and YouTube that fall within the statutory definition of ‘advanced telecommunications capability’”).  </w:t>
      </w:r>
    </w:p>
  </w:footnote>
  <w:footnote w:id="64">
    <w:p w:rsidR="00B63070" w:rsidP="00C6287D">
      <w:pPr>
        <w:pStyle w:val="FootnoteText"/>
        <w:spacing w:before="120"/>
      </w:pPr>
      <w:r>
        <w:rPr>
          <w:rStyle w:val="FootnoteReference"/>
        </w:rPr>
        <w:footnoteRef/>
      </w:r>
      <w:r>
        <w:t xml:space="preserve"> NTCA Comments at 6-7.</w:t>
      </w:r>
    </w:p>
  </w:footnote>
  <w:footnote w:id="65">
    <w:p w:rsidR="00B63070" w:rsidRPr="00E35158" w:rsidP="00C6287D">
      <w:pPr>
        <w:pStyle w:val="FootnoteText"/>
        <w:spacing w:before="120"/>
      </w:pPr>
      <w:r w:rsidRPr="001325E7">
        <w:rPr>
          <w:rStyle w:val="FootnoteReference"/>
        </w:rPr>
        <w:footnoteRef/>
      </w:r>
      <w:r w:rsidRPr="001325E7">
        <w:t xml:space="preserve"> </w:t>
      </w:r>
      <w:r>
        <w:t>FSF Comments at 10 (stating that the Commission “should not change benchmarks based on aspirations that do not reflect widespread consumer demand and that are not grounded in the text of [s]ection 706”); ITTA Comments at 4-5 (explaining that the 25 Mbps/3 Mbps benchmark is “the best vehicle for truly evaluating the progress of broadband deployment”).</w:t>
      </w:r>
    </w:p>
  </w:footnote>
  <w:footnote w:id="66">
    <w:p w:rsidR="00B63070" w:rsidRPr="001325E7" w:rsidP="00C6287D">
      <w:pPr>
        <w:pStyle w:val="FootnoteText"/>
        <w:spacing w:before="120"/>
      </w:pPr>
      <w:r w:rsidRPr="001325E7">
        <w:rPr>
          <w:rStyle w:val="FootnoteReference"/>
        </w:rPr>
        <w:footnoteRef/>
      </w:r>
      <w:r w:rsidRPr="001325E7">
        <w:t xml:space="preserve"> </w:t>
      </w:r>
      <w:r>
        <w:rPr>
          <w:i/>
        </w:rPr>
        <w:t xml:space="preserve">2018 </w:t>
      </w:r>
      <w:r w:rsidRPr="00F9342C">
        <w:rPr>
          <w:i/>
        </w:rPr>
        <w:t>Report</w:t>
      </w:r>
      <w:r>
        <w:t>, 33 FCC Rcd at 1675, para. 39.</w:t>
      </w:r>
    </w:p>
  </w:footnote>
  <w:footnote w:id="67">
    <w:p w:rsidR="00B63070" w:rsidRPr="00CB2FFB" w:rsidP="00C6287D">
      <w:pPr>
        <w:pStyle w:val="FootnoteText"/>
        <w:spacing w:before="120"/>
        <w:rPr>
          <w:i/>
        </w:rPr>
      </w:pPr>
      <w:r w:rsidRPr="001325E7">
        <w:rPr>
          <w:rStyle w:val="FootnoteReference"/>
        </w:rPr>
        <w:footnoteRef/>
      </w:r>
      <w:r w:rsidRPr="001325E7">
        <w:t xml:space="preserve"> </w:t>
      </w:r>
      <w:r>
        <w:t xml:space="preserve">NTCA Comments at 6-7; OTI Comments at 10; PK &amp; CC Comments at 9; UTC Reply at 2-3; </w:t>
      </w:r>
      <w:r w:rsidRPr="009F178E">
        <w:t>Hughes Reply</w:t>
      </w:r>
      <w:r w:rsidRPr="00CB2FFB">
        <w:t xml:space="preserve"> at 5-6</w:t>
      </w:r>
      <w:r>
        <w:t xml:space="preserve"> (“Common Cause and NTCA</w:t>
      </w:r>
      <w:r w:rsidRPr="00DD04CC">
        <w:t xml:space="preserve"> </w:t>
      </w:r>
      <w:r w:rsidRPr="006F78A7">
        <w:t>are unable to identify any data sources or methodologies that would allow the Commission to adopt such benchmarks for its Section 706 analysis.</w:t>
      </w:r>
      <w:r>
        <w:t>”).</w:t>
      </w:r>
    </w:p>
  </w:footnote>
  <w:footnote w:id="68">
    <w:p w:rsidR="00B63070" w:rsidP="00C6287D">
      <w:pPr>
        <w:pStyle w:val="FootnoteText"/>
        <w:spacing w:before="120"/>
      </w:pPr>
      <w:r>
        <w:rPr>
          <w:rStyle w:val="FootnoteReference"/>
        </w:rPr>
        <w:footnoteRef/>
      </w:r>
      <w:r>
        <w:t xml:space="preserve"> 47 U.S.C. § 1302(c</w:t>
      </w:r>
      <w:r w:rsidRPr="003F3635">
        <w:t>).</w:t>
      </w:r>
    </w:p>
  </w:footnote>
  <w:footnote w:id="69">
    <w:p w:rsidR="00B63070" w:rsidP="00C6287D">
      <w:pPr>
        <w:pStyle w:val="FootnoteText"/>
        <w:spacing w:before="120"/>
      </w:pPr>
      <w:r>
        <w:rPr>
          <w:rStyle w:val="FootnoteReference"/>
        </w:rPr>
        <w:footnoteRef/>
      </w:r>
      <w:r>
        <w:t xml:space="preserve"> </w:t>
      </w:r>
      <w:r>
        <w:rPr>
          <w:i/>
        </w:rPr>
        <w:t xml:space="preserve">See infra </w:t>
      </w:r>
      <w:r w:rsidRPr="00D275CC">
        <w:t xml:space="preserve">Section </w:t>
      </w:r>
      <w:r w:rsidRPr="002C21A3">
        <w:t>IV.</w:t>
      </w:r>
      <w:r>
        <w:t>C</w:t>
      </w:r>
      <w:r w:rsidRPr="00D275CC">
        <w:t>.</w:t>
      </w:r>
    </w:p>
  </w:footnote>
  <w:footnote w:id="70">
    <w:p w:rsidR="00B63070" w:rsidRPr="0064554F" w:rsidP="00C6287D">
      <w:pPr>
        <w:pStyle w:val="FootnoteText"/>
        <w:spacing w:before="120"/>
      </w:pPr>
      <w:r>
        <w:rPr>
          <w:rStyle w:val="FootnoteReference"/>
        </w:rPr>
        <w:footnoteRef/>
      </w:r>
      <w:r>
        <w:t xml:space="preserve"> </w:t>
      </w:r>
      <w:r>
        <w:rPr>
          <w:i/>
        </w:rPr>
        <w:t xml:space="preserve">See infra </w:t>
      </w:r>
      <w:r w:rsidRPr="00A96A10">
        <w:t xml:space="preserve">Appendix </w:t>
      </w:r>
      <w:r w:rsidRPr="00FB6AB7">
        <w:t>5</w:t>
      </w:r>
      <w:r>
        <w:t>.</w:t>
      </w:r>
    </w:p>
  </w:footnote>
  <w:footnote w:id="71">
    <w:p w:rsidR="00B63070" w:rsidP="00C6287D">
      <w:pPr>
        <w:pStyle w:val="FootnoteText"/>
        <w:spacing w:before="120"/>
      </w:pPr>
      <w:r>
        <w:rPr>
          <w:rStyle w:val="FootnoteReference"/>
        </w:rPr>
        <w:footnoteRef/>
      </w:r>
      <w:r>
        <w:t xml:space="preserve"> 47 U.S.C. § 1302</w:t>
      </w:r>
      <w:r w:rsidRPr="003F3635">
        <w:t>(b).</w:t>
      </w:r>
    </w:p>
  </w:footnote>
  <w:footnote w:id="72">
    <w:p w:rsidR="00B63070" w:rsidRPr="00A86176" w:rsidP="00C6287D">
      <w:pPr>
        <w:pStyle w:val="FootnoteText"/>
        <w:spacing w:before="120"/>
      </w:pPr>
      <w:r>
        <w:rPr>
          <w:rStyle w:val="FootnoteReference"/>
        </w:rPr>
        <w:footnoteRef/>
      </w:r>
      <w:r>
        <w:t xml:space="preserve"> </w:t>
      </w:r>
      <w:r>
        <w:rPr>
          <w:i/>
        </w:rPr>
        <w:t xml:space="preserve">See infra </w:t>
      </w:r>
      <w:r w:rsidRPr="00D275CC">
        <w:t xml:space="preserve">Section </w:t>
      </w:r>
      <w:r w:rsidRPr="002C21A3">
        <w:t>IV.</w:t>
      </w:r>
      <w:r>
        <w:t xml:space="preserve">F; </w:t>
      </w:r>
      <w:r>
        <w:rPr>
          <w:i/>
        </w:rPr>
        <w:t xml:space="preserve">see also </w:t>
      </w:r>
      <w:r>
        <w:t>ADTRAN comments at 10-11 (supporting use of the short and long term goals).</w:t>
      </w:r>
    </w:p>
  </w:footnote>
  <w:footnote w:id="73">
    <w:p w:rsidR="00B63070" w:rsidP="00C6287D">
      <w:pPr>
        <w:pStyle w:val="FootnoteText"/>
        <w:spacing w:before="120"/>
      </w:pPr>
      <w:r>
        <w:rPr>
          <w:rStyle w:val="FootnoteReference"/>
        </w:rPr>
        <w:footnoteRef/>
      </w:r>
      <w:r>
        <w:t xml:space="preserve"> </w:t>
      </w:r>
      <w:r w:rsidRPr="00360230">
        <w:rPr>
          <w:szCs w:val="22"/>
        </w:rPr>
        <w:t>RAY BAUM’S Act</w:t>
      </w:r>
      <w:r w:rsidRPr="00D51933">
        <w:rPr>
          <w:szCs w:val="22"/>
        </w:rPr>
        <w:t xml:space="preserve"> </w:t>
      </w:r>
      <w:r>
        <w:rPr>
          <w:szCs w:val="22"/>
        </w:rPr>
        <w:t xml:space="preserve">of 2017 </w:t>
      </w:r>
      <w:r w:rsidRPr="00D51933">
        <w:rPr>
          <w:szCs w:val="22"/>
        </w:rPr>
        <w:t>requires the Commission to evaluate and report on broadband coverage on Tribal lands in advance of conducting a proceeding to address unserved Tribal areas.</w:t>
      </w:r>
      <w:r>
        <w:rPr>
          <w:szCs w:val="22"/>
        </w:rPr>
        <w:t xml:space="preserve">  </w:t>
      </w:r>
      <w:r>
        <w:rPr>
          <w:snapToGrid w:val="0"/>
        </w:rPr>
        <w:t>RAY BAUM’S Act of 2018,</w:t>
      </w:r>
      <w:r>
        <w:t xml:space="preserve"> § 508.</w:t>
      </w:r>
    </w:p>
  </w:footnote>
  <w:footnote w:id="74">
    <w:p w:rsidR="00B63070" w:rsidP="00C6287D">
      <w:pPr>
        <w:pStyle w:val="FootnoteText"/>
        <w:spacing w:before="120"/>
      </w:pPr>
      <w:r>
        <w:rPr>
          <w:rStyle w:val="FootnoteReference"/>
        </w:rPr>
        <w:footnoteRef/>
      </w:r>
      <w:r>
        <w:t xml:space="preserve"> </w:t>
      </w:r>
      <w:r w:rsidRPr="001325E7">
        <w:rPr>
          <w:i/>
        </w:rPr>
        <w:t>Notice</w:t>
      </w:r>
      <w:r w:rsidRPr="001325E7">
        <w:t>, 3</w:t>
      </w:r>
      <w:r>
        <w:t>3</w:t>
      </w:r>
      <w:r w:rsidRPr="001325E7">
        <w:t xml:space="preserve"> FCC Rcd at</w:t>
      </w:r>
      <w:r>
        <w:t xml:space="preserve"> 8391</w:t>
      </w:r>
      <w:r w:rsidRPr="001325E7">
        <w:t xml:space="preserve">, para. </w:t>
      </w:r>
      <w:r>
        <w:t xml:space="preserve">14; </w:t>
      </w:r>
      <w:r>
        <w:rPr>
          <w:i/>
        </w:rPr>
        <w:t>2018 Report</w:t>
      </w:r>
      <w:r>
        <w:t>, 33 FCC Rcd at 1681-87, paras. 50-58.</w:t>
      </w:r>
    </w:p>
  </w:footnote>
  <w:footnote w:id="75">
    <w:p w:rsidR="00B63070" w:rsidP="00C6287D">
      <w:pPr>
        <w:pStyle w:val="FootnoteText"/>
        <w:spacing w:before="120"/>
      </w:pPr>
      <w:r>
        <w:rPr>
          <w:rStyle w:val="FootnoteReference"/>
        </w:rPr>
        <w:footnoteRef/>
      </w:r>
      <w:r>
        <w:t xml:space="preserve"> </w:t>
      </w:r>
      <w:r w:rsidRPr="00444AC7">
        <w:rPr>
          <w:i/>
        </w:rPr>
        <w:t>Connect America Fund et al</w:t>
      </w:r>
      <w:r>
        <w:t>., Report and Order and Further Notice of Proposed Rulemaking, 26 FCC Rcd 17663, 17818-19, para. 479 (2011) (</w:t>
      </w:r>
      <w:r w:rsidRPr="00444AC7">
        <w:rPr>
          <w:i/>
        </w:rPr>
        <w:t>USF/ICC Transformation Order), aff’d sub nom</w:t>
      </w:r>
      <w:r>
        <w:rPr>
          <w:i/>
        </w:rPr>
        <w:t>.</w:t>
      </w:r>
      <w:r w:rsidRPr="00444AC7">
        <w:rPr>
          <w:i/>
        </w:rPr>
        <w:t xml:space="preserve"> In re: </w:t>
      </w:r>
      <w:r>
        <w:rPr>
          <w:i/>
        </w:rPr>
        <w:t xml:space="preserve"> </w:t>
      </w:r>
      <w:r w:rsidRPr="00444AC7">
        <w:rPr>
          <w:i/>
        </w:rPr>
        <w:t>FCC 11-161</w:t>
      </w:r>
      <w:r>
        <w:t xml:space="preserve">, 753 F.3d 1015 (10th Cir. 2014); </w:t>
      </w:r>
      <w:r w:rsidRPr="00B05577">
        <w:rPr>
          <w:i/>
        </w:rPr>
        <w:t>see also</w:t>
      </w:r>
      <w:r>
        <w:t xml:space="preserve"> </w:t>
      </w:r>
      <w:r w:rsidRPr="0027077E">
        <w:rPr>
          <w:i/>
        </w:rPr>
        <w:t>Connect America Fund et al.</w:t>
      </w:r>
      <w:r w:rsidRPr="0027627B">
        <w:t>, Report and Order, Order and Order on Reconsideration,</w:t>
      </w:r>
      <w:r>
        <w:t xml:space="preserve"> and Further Notice of </w:t>
      </w:r>
      <w:r w:rsidRPr="00CF5012">
        <w:t>Proposed Rulemaking, 31 FCC Rcd 30</w:t>
      </w:r>
      <w:r>
        <w:t>87 (2016)</w:t>
      </w:r>
      <w:r w:rsidRPr="00CF5012">
        <w:t xml:space="preserve"> (</w:t>
      </w:r>
      <w:r>
        <w:rPr>
          <w:i/>
        </w:rPr>
        <w:t>Rate-of-Return Reform Order</w:t>
      </w:r>
      <w:r w:rsidRPr="00CF5012">
        <w:t>).</w:t>
      </w:r>
    </w:p>
  </w:footnote>
  <w:footnote w:id="76">
    <w:p w:rsidR="00B63070" w:rsidP="00C6287D">
      <w:pPr>
        <w:pStyle w:val="FootnoteText"/>
        <w:spacing w:before="120"/>
      </w:pPr>
      <w:r>
        <w:rPr>
          <w:rStyle w:val="FootnoteReference"/>
        </w:rPr>
        <w:footnoteRef/>
      </w:r>
      <w:r>
        <w:t xml:space="preserve"> </w:t>
      </w:r>
      <w:r>
        <w:rPr>
          <w:i/>
        </w:rPr>
        <w:t xml:space="preserve">See </w:t>
      </w:r>
      <w:r>
        <w:t>NDIA Comments at 5; NRECA Comments at 7-8.</w:t>
      </w:r>
    </w:p>
  </w:footnote>
  <w:footnote w:id="77">
    <w:p w:rsidR="00B63070" w:rsidP="00C6287D">
      <w:pPr>
        <w:pStyle w:val="FootnoteText"/>
        <w:spacing w:before="120"/>
      </w:pPr>
      <w:r>
        <w:rPr>
          <w:rStyle w:val="FootnoteReference"/>
        </w:rPr>
        <w:footnoteRef/>
      </w:r>
      <w:r>
        <w:t xml:space="preserve"> NDIA Comments at 5; NRECA Comments at 7-8.</w:t>
      </w:r>
    </w:p>
  </w:footnote>
  <w:footnote w:id="78">
    <w:p w:rsidR="00B63070" w:rsidP="00C6287D">
      <w:pPr>
        <w:pStyle w:val="FootnoteText"/>
        <w:spacing w:before="120"/>
      </w:pPr>
      <w:r>
        <w:rPr>
          <w:rStyle w:val="FootnoteReference"/>
        </w:rPr>
        <w:footnoteRef/>
      </w:r>
      <w:r>
        <w:t xml:space="preserve"> </w:t>
      </w:r>
      <w:r w:rsidRPr="001325E7">
        <w:rPr>
          <w:i/>
        </w:rPr>
        <w:t>Notice</w:t>
      </w:r>
      <w:r w:rsidRPr="001325E7">
        <w:t>, 3</w:t>
      </w:r>
      <w:r>
        <w:t>3</w:t>
      </w:r>
      <w:r w:rsidRPr="001325E7">
        <w:t xml:space="preserve"> FCC Rcd at</w:t>
      </w:r>
      <w:r>
        <w:t xml:space="preserve"> 8391</w:t>
      </w:r>
      <w:r w:rsidRPr="001325E7">
        <w:t xml:space="preserve">, para. </w:t>
      </w:r>
      <w:r>
        <w:t>15</w:t>
      </w:r>
      <w:r w:rsidRPr="001325E7">
        <w:t>.</w:t>
      </w:r>
    </w:p>
  </w:footnote>
  <w:footnote w:id="79">
    <w:p w:rsidR="00B63070" w:rsidP="00C6287D">
      <w:pPr>
        <w:pStyle w:val="FootnoteText"/>
        <w:spacing w:before="120"/>
      </w:pPr>
      <w:r>
        <w:rPr>
          <w:rStyle w:val="FootnoteReference"/>
        </w:rPr>
        <w:footnoteRef/>
      </w:r>
      <w:r>
        <w:t xml:space="preserve"> Free Press Comments at 2-4; OTI Comments at 33-34; PK &amp; CC Comments at 3. </w:t>
      </w:r>
    </w:p>
  </w:footnote>
  <w:footnote w:id="80">
    <w:p w:rsidR="00B63070" w:rsidP="00C6287D">
      <w:pPr>
        <w:pStyle w:val="FootnoteText"/>
        <w:spacing w:before="120"/>
      </w:pPr>
      <w:r>
        <w:rPr>
          <w:rStyle w:val="FootnoteReference"/>
        </w:rPr>
        <w:footnoteRef/>
      </w:r>
      <w:r>
        <w:t xml:space="preserve"> ADTRAN Comments at ii, 12.</w:t>
      </w:r>
    </w:p>
  </w:footnote>
  <w:footnote w:id="81">
    <w:p w:rsidR="00B63070" w:rsidP="00C6287D">
      <w:pPr>
        <w:pStyle w:val="FootnoteText"/>
        <w:spacing w:before="120"/>
      </w:pPr>
      <w:r>
        <w:rPr>
          <w:rStyle w:val="FootnoteReference"/>
        </w:rPr>
        <w:footnoteRef/>
      </w:r>
      <w:r>
        <w:t xml:space="preserve"> Free Press Comments at 3</w:t>
      </w:r>
      <w:r w:rsidRPr="006F067A">
        <w:t>-4</w:t>
      </w:r>
      <w:r>
        <w:t xml:space="preserve">; </w:t>
      </w:r>
      <w:r w:rsidRPr="006F067A">
        <w:t>PK &amp; CC Comments at 3</w:t>
      </w:r>
      <w:r>
        <w:t xml:space="preserve"> (also suggesting “</w:t>
      </w:r>
      <w:r w:rsidRPr="00043982">
        <w:t>any area that no longer has infrastructure because of flooding or wildfire or other disaster should not be considered served until service is actually restored</w:t>
      </w:r>
      <w:r>
        <w:t xml:space="preserve">”); CC, PK &amp; NHMC Nov. 15, 2018 </w:t>
      </w:r>
      <w:r>
        <w:rPr>
          <w:i/>
        </w:rPr>
        <w:t xml:space="preserve">Ex Parte </w:t>
      </w:r>
      <w:r>
        <w:t>Letter at 4-5</w:t>
      </w:r>
      <w:r w:rsidRPr="006F067A">
        <w:t>.</w:t>
      </w:r>
      <w:r>
        <w:t xml:space="preserve"> </w:t>
      </w:r>
    </w:p>
  </w:footnote>
  <w:footnote w:id="82">
    <w:p w:rsidR="00B63070" w:rsidP="00C6287D">
      <w:pPr>
        <w:pStyle w:val="FootnoteText"/>
        <w:spacing w:before="120"/>
      </w:pPr>
      <w:r>
        <w:rPr>
          <w:rStyle w:val="FootnoteReference"/>
        </w:rPr>
        <w:footnoteRef/>
      </w:r>
      <w:r>
        <w:t xml:space="preserve"> ACA Comments at 9-10 (suggesting the FCC “reasonably account” for disaster-affected areas).</w:t>
      </w:r>
    </w:p>
  </w:footnote>
  <w:footnote w:id="83">
    <w:p w:rsidR="00B63070" w:rsidP="00C6287D">
      <w:pPr>
        <w:pStyle w:val="FootnoteText"/>
        <w:spacing w:before="120"/>
      </w:pPr>
      <w:r>
        <w:rPr>
          <w:rStyle w:val="FootnoteReference"/>
        </w:rPr>
        <w:footnoteRef/>
      </w:r>
      <w:r>
        <w:t xml:space="preserve"> </w:t>
      </w:r>
      <w:r w:rsidRPr="006F067A">
        <w:t>PK &amp; CC Comments at</w:t>
      </w:r>
      <w:r>
        <w:t xml:space="preserve"> 19; OTI Comments at 34.</w:t>
      </w:r>
    </w:p>
  </w:footnote>
  <w:footnote w:id="84">
    <w:p w:rsidR="00B63070" w:rsidP="00C6287D">
      <w:pPr>
        <w:pStyle w:val="FootnoteText"/>
        <w:spacing w:before="120"/>
      </w:pPr>
      <w:r>
        <w:rPr>
          <w:rStyle w:val="FootnoteReference"/>
        </w:rPr>
        <w:footnoteRef/>
      </w:r>
      <w:r>
        <w:t xml:space="preserve"> </w:t>
      </w:r>
      <w:r w:rsidRPr="006F067A">
        <w:t>PK &amp; CC Comments at</w:t>
      </w:r>
      <w:r>
        <w:t xml:space="preserve"> 19; OTI Comments at 34.</w:t>
      </w:r>
    </w:p>
  </w:footnote>
  <w:footnote w:id="85">
    <w:p w:rsidR="00B63070" w:rsidRPr="002C560C" w:rsidP="00C6287D">
      <w:pPr>
        <w:rPr>
          <w:snapToGrid/>
          <w:kern w:val="0"/>
        </w:rPr>
      </w:pPr>
      <w:r>
        <w:rPr>
          <w:rStyle w:val="FootnoteReference"/>
        </w:rPr>
        <w:footnoteRef/>
      </w:r>
      <w:r>
        <w:t xml:space="preserve"> Certain data for past years has been revised since the </w:t>
      </w:r>
      <w:r>
        <w:rPr>
          <w:i/>
          <w:iCs/>
        </w:rPr>
        <w:t>2018 Report</w:t>
      </w:r>
      <w:r>
        <w:t xml:space="preserve"> in light of revised Form 477 data submitted by broadband providers.</w:t>
      </w:r>
    </w:p>
  </w:footnote>
  <w:footnote w:id="86">
    <w:p w:rsidR="00B63070" w:rsidP="00C6287D">
      <w:pPr>
        <w:pStyle w:val="FootnoteText"/>
        <w:spacing w:before="120"/>
      </w:pPr>
      <w:r>
        <w:rPr>
          <w:rStyle w:val="FootnoteReference"/>
        </w:rPr>
        <w:footnoteRef/>
      </w:r>
      <w:r>
        <w:t xml:space="preserve"> ACA Comments at 8; </w:t>
      </w:r>
      <w:r w:rsidRPr="00560498">
        <w:rPr>
          <w:i/>
        </w:rPr>
        <w:t xml:space="preserve">see also </w:t>
      </w:r>
      <w:r w:rsidRPr="00560498">
        <w:t>AT&amp;T Comments at 5 (“AT&amp;T agrees with the Commission’s proposal to use the same methodologies used in the 2018 Report to assess mobile broadband deployment for the next Broadband Deployment Report.”); ITTA Comments at 12 (“[C]ontinuing to utilize Form 477 data presents the analytical advantage of enabling longitudinal comparisons.”).</w:t>
      </w:r>
    </w:p>
  </w:footnote>
  <w:footnote w:id="87">
    <w:p w:rsidR="00B63070" w:rsidRPr="003114CE" w:rsidP="00C6287D">
      <w:pPr>
        <w:pStyle w:val="FootnoteText"/>
        <w:spacing w:before="120"/>
      </w:pPr>
      <w:r>
        <w:rPr>
          <w:rStyle w:val="FootnoteReference"/>
        </w:rPr>
        <w:footnoteRef/>
      </w:r>
      <w:r>
        <w:t xml:space="preserve"> The Commission continues to analyze whether, and how, the </w:t>
      </w:r>
      <w:r w:rsidRPr="00E51B01">
        <w:t xml:space="preserve">Form 477 </w:t>
      </w:r>
      <w:r>
        <w:t xml:space="preserve">data collection might be revised to address concerns about accuracy.  </w:t>
      </w:r>
      <w:r>
        <w:rPr>
          <w:i/>
        </w:rPr>
        <w:t xml:space="preserve">See Modernizing the FCC Form 477 Data </w:t>
      </w:r>
      <w:r w:rsidRPr="006D242C">
        <w:rPr>
          <w:i/>
        </w:rPr>
        <w:t>Program</w:t>
      </w:r>
      <w:r>
        <w:t xml:space="preserve">, Further Notice of Proposed Rulemaking, </w:t>
      </w:r>
      <w:r w:rsidRPr="004A06ED">
        <w:t>32 FCC Rcd 6329</w:t>
      </w:r>
      <w:r>
        <w:t>, 6337, paras. 26-27 (2017) (</w:t>
      </w:r>
      <w:r>
        <w:rPr>
          <w:i/>
        </w:rPr>
        <w:t xml:space="preserve">Modernizing the FCC Form 477 Data </w:t>
      </w:r>
      <w:r w:rsidRPr="006D242C">
        <w:rPr>
          <w:i/>
        </w:rPr>
        <w:t>Program</w:t>
      </w:r>
      <w:r>
        <w:t>).  In this report, we use the best data available while recognizing improvements to the data may be needed.  We note that o</w:t>
      </w:r>
      <w:r w:rsidRPr="00834789">
        <w:t xml:space="preserve">ur </w:t>
      </w:r>
      <w:r>
        <w:t>analysis may understate or overstate consumers’ options for services t</w:t>
      </w:r>
      <w:r w:rsidRPr="00834789">
        <w:t>o the extent that broadband providers fail to report data or misreport data.</w:t>
      </w:r>
      <w:r w:rsidRPr="00375656">
        <w:t xml:space="preserve"> </w:t>
      </w:r>
      <w:r>
        <w:t xml:space="preserve"> </w:t>
      </w:r>
      <w:r w:rsidRPr="00D53B57">
        <w:rPr>
          <w:i/>
        </w:rPr>
        <w:t>See</w:t>
      </w:r>
      <w:r>
        <w:t xml:space="preserve"> FCC, </w:t>
      </w:r>
      <w:r>
        <w:rPr>
          <w:i/>
        </w:rPr>
        <w:t>Explanation of Broadband Deployment Data</w:t>
      </w:r>
      <w:r>
        <w:t xml:space="preserve"> (Nov. 20, 2017), </w:t>
      </w:r>
      <w:hyperlink r:id="rId2" w:history="1">
        <w:r w:rsidRPr="004F3877">
          <w:rPr>
            <w:rStyle w:val="Hyperlink"/>
          </w:rPr>
          <w:t>https://www.fcc.gov/general/explanation-broadband-deployment-data</w:t>
        </w:r>
      </w:hyperlink>
      <w:r>
        <w:t xml:space="preserve"> </w:t>
      </w:r>
      <w:r w:rsidRPr="00834789">
        <w:t>(</w:t>
      </w:r>
      <w:r>
        <w:t xml:space="preserve">describing quality and consistency checks performed on providers’ submitted data and </w:t>
      </w:r>
      <w:r w:rsidRPr="00834789">
        <w:t xml:space="preserve">explaining </w:t>
      </w:r>
      <w:r>
        <w:t xml:space="preserve">any </w:t>
      </w:r>
      <w:r w:rsidRPr="00834789">
        <w:t>adjustments made to the Form 477 data as filed</w:t>
      </w:r>
      <w:r>
        <w:t>).</w:t>
      </w:r>
    </w:p>
  </w:footnote>
  <w:footnote w:id="88">
    <w:p w:rsidR="00B63070" w:rsidP="00C6287D">
      <w:pPr>
        <w:pStyle w:val="FootnoteText"/>
        <w:spacing w:before="120"/>
      </w:pPr>
      <w:r>
        <w:rPr>
          <w:rStyle w:val="FootnoteReference"/>
        </w:rPr>
        <w:footnoteRef/>
      </w:r>
      <w:r>
        <w:t xml:space="preserve"> </w:t>
      </w:r>
      <w:r w:rsidRPr="00230D39">
        <w:rPr>
          <w:i/>
        </w:rPr>
        <w:t>See, e.g.</w:t>
      </w:r>
      <w:r w:rsidRPr="00230D39">
        <w:t>,</w:t>
      </w:r>
      <w:r w:rsidRPr="00230D39">
        <w:rPr>
          <w:i/>
        </w:rPr>
        <w:t xml:space="preserve"> </w:t>
      </w:r>
      <w:r w:rsidRPr="00230D39">
        <w:t>Microsoft Comments at ii; NRECA Comments at 7-8; OTI Comments at 6</w:t>
      </w:r>
      <w:r>
        <w:t>-7</w:t>
      </w:r>
      <w:r w:rsidRPr="00230D39">
        <w:t>; PCCA Comments at 2; PK &amp; CC Comments at 8</w:t>
      </w:r>
      <w:r>
        <w:t xml:space="preserve">; National Associations Reply at 2; CC, PK &amp; NHMC Nov. 15, 2018 </w:t>
      </w:r>
      <w:r>
        <w:rPr>
          <w:i/>
        </w:rPr>
        <w:t xml:space="preserve">Ex Parte </w:t>
      </w:r>
      <w:r>
        <w:t>Letter at 2-3.</w:t>
      </w:r>
    </w:p>
  </w:footnote>
  <w:footnote w:id="89">
    <w:p w:rsidR="00B63070" w:rsidRPr="00230D39" w:rsidP="00C6287D">
      <w:pPr>
        <w:pStyle w:val="FootnoteText"/>
        <w:spacing w:before="120"/>
      </w:pPr>
      <w:r>
        <w:rPr>
          <w:rStyle w:val="FootnoteReference"/>
        </w:rPr>
        <w:footnoteRef/>
      </w:r>
      <w:r>
        <w:t xml:space="preserve"> </w:t>
      </w:r>
      <w:r>
        <w:rPr>
          <w:i/>
        </w:rPr>
        <w:t>See, e.g.</w:t>
      </w:r>
      <w:r>
        <w:t xml:space="preserve">, </w:t>
      </w:r>
      <w:r w:rsidRPr="00230D39">
        <w:t>CWA Comments at 5-6</w:t>
      </w:r>
      <w:r>
        <w:t xml:space="preserve">; </w:t>
      </w:r>
      <w:r w:rsidRPr="00230D39">
        <w:t>CTIA Comments at 3</w:t>
      </w:r>
      <w:r>
        <w:t xml:space="preserve">; </w:t>
      </w:r>
      <w:r w:rsidRPr="00230D39">
        <w:t>MDTC Comments at Attach. at 5</w:t>
      </w:r>
      <w:r>
        <w:t xml:space="preserve">; </w:t>
      </w:r>
      <w:r w:rsidRPr="00230D39">
        <w:t>Free Press Comments at 4-5</w:t>
      </w:r>
      <w:r>
        <w:t xml:space="preserve">; </w:t>
      </w:r>
      <w:r w:rsidRPr="00230D39">
        <w:t>Speedchecker Comments at 4</w:t>
      </w:r>
      <w:r>
        <w:t>.</w:t>
      </w:r>
    </w:p>
  </w:footnote>
  <w:footnote w:id="90">
    <w:p w:rsidR="00B63070" w:rsidP="00C6287D">
      <w:pPr>
        <w:pStyle w:val="FootnoteText"/>
        <w:spacing w:before="120"/>
      </w:pPr>
      <w:r>
        <w:rPr>
          <w:rStyle w:val="FootnoteReference"/>
        </w:rPr>
        <w:footnoteRef/>
      </w:r>
      <w:r>
        <w:t xml:space="preserve"> </w:t>
      </w:r>
      <w:r>
        <w:rPr>
          <w:i/>
        </w:rPr>
        <w:t>2018 Report</w:t>
      </w:r>
      <w:r>
        <w:t>, 31 FCC Rcd at 1677, para. 43.</w:t>
      </w:r>
    </w:p>
  </w:footnote>
  <w:footnote w:id="91">
    <w:p w:rsidR="00B63070" w:rsidRPr="00D41C49" w:rsidP="00C6287D">
      <w:pPr>
        <w:pStyle w:val="FootnoteText"/>
        <w:spacing w:before="120"/>
      </w:pPr>
      <w:r>
        <w:rPr>
          <w:rStyle w:val="FootnoteReference"/>
        </w:rPr>
        <w:footnoteRef/>
      </w:r>
      <w:r>
        <w:t xml:space="preserve"> </w:t>
      </w:r>
      <w:r>
        <w:rPr>
          <w:i/>
        </w:rPr>
        <w:t xml:space="preserve">See </w:t>
      </w:r>
      <w:r w:rsidRPr="001325E7">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1325E7">
        <w:t>, GN Docket No. 11-121, Eighth Broadband Progress Report, 27 FCC Rcd 10342</w:t>
      </w:r>
      <w:r w:rsidRPr="00AD1D69">
        <w:t>,</w:t>
      </w:r>
      <w:r>
        <w:t xml:space="preserve"> 10364-65, para. 28</w:t>
      </w:r>
      <w:r w:rsidRPr="001325E7">
        <w:t xml:space="preserve"> (2012)</w:t>
      </w:r>
      <w:r>
        <w:t xml:space="preserve"> (</w:t>
      </w:r>
      <w:r>
        <w:rPr>
          <w:i/>
        </w:rPr>
        <w:t>2012 Broadband Progress Report</w:t>
      </w:r>
      <w:r>
        <w:t xml:space="preserve">).  The SBI data were collected semi-annually through state-led efforts and maintained by the National Telecommunications and Information Administration for the National Broadband Map, in collaboration with the Commission.  </w:t>
      </w:r>
      <w:r>
        <w:rPr>
          <w:i/>
        </w:rPr>
        <w:t xml:space="preserve">Id. </w:t>
      </w:r>
      <w:r>
        <w:t>at 10365, para. 28.</w:t>
      </w:r>
    </w:p>
  </w:footnote>
  <w:footnote w:id="92">
    <w:p w:rsidR="00B63070" w:rsidP="00C6287D">
      <w:pPr>
        <w:pStyle w:val="FootnoteText"/>
        <w:spacing w:before="120"/>
      </w:pPr>
      <w:r>
        <w:rPr>
          <w:rStyle w:val="FootnoteReference"/>
        </w:rPr>
        <w:footnoteRef/>
      </w:r>
      <w:r>
        <w:t xml:space="preserve"> </w:t>
      </w:r>
      <w:r w:rsidRPr="008867CC">
        <w:t>For purposes of this form, fixed broadband connections are available in a census block if the provider does, or could, within a service interval that is typical for that type of connection—that is, without an extraordinary commitment of resources—provision two-way data transmission to and from the Internet with advertised speeds exceeding 200 kbps in at least one direction to end-user premises in the census block.  FCC, FCC Form 477 Local Telephone Competition and Broadband Report Instructions at 17 (201</w:t>
      </w:r>
      <w:r>
        <w:t>6</w:t>
      </w:r>
      <w:r w:rsidRPr="008867CC">
        <w:t xml:space="preserve">), </w:t>
      </w:r>
      <w:hyperlink r:id="rId3" w:history="1">
        <w:r w:rsidRPr="00BC6F1A">
          <w:rPr>
            <w:rStyle w:val="Hyperlink"/>
          </w:rPr>
          <w:t>https://transition.fcc.gov/form477/477inst.pdf</w:t>
        </w:r>
      </w:hyperlink>
      <w:r w:rsidRPr="008867CC">
        <w:t>.</w:t>
      </w:r>
    </w:p>
  </w:footnote>
  <w:footnote w:id="93">
    <w:p w:rsidR="00B63070" w:rsidP="00C6287D">
      <w:pPr>
        <w:pStyle w:val="FootnoteText"/>
        <w:spacing w:before="120"/>
        <w:rPr>
          <w:i/>
          <w:lang w:eastAsia="ko-KR"/>
        </w:rPr>
      </w:pPr>
      <w:r>
        <w:rPr>
          <w:rStyle w:val="FootnoteReference"/>
        </w:rPr>
        <w:footnoteRef/>
      </w:r>
      <w:r>
        <w:t xml:space="preserve"> A household consists of all the people who occupy a housing unit.  A house, an apartment or other group of rooms, or a single room, is regarded as a housing unit when it is occupied or intended for occupancy as separate living quarters; that is, when the occupants do not live with any other persons in the structure and there is direct access from the outside or through a common hall.  U.S. Census, Current Population Survey Subject Definitions (Aug. 25, 2015), </w:t>
      </w:r>
      <w:hyperlink r:id="rId4" w:history="1">
        <w:r>
          <w:rPr>
            <w:rStyle w:val="Hyperlink"/>
          </w:rPr>
          <w:t>https://www.census.gov/programs-surveys/cps/technical-documentation/subject-definitions.html#household</w:t>
        </w:r>
      </w:hyperlink>
      <w:r>
        <w:t>.</w:t>
      </w:r>
    </w:p>
  </w:footnote>
  <w:footnote w:id="94">
    <w:p w:rsidR="00B63070" w:rsidP="00C6287D">
      <w:pPr>
        <w:pStyle w:val="FootnoteText"/>
        <w:spacing w:before="120"/>
      </w:pPr>
      <w:r>
        <w:rPr>
          <w:rStyle w:val="FootnoteReference"/>
        </w:rPr>
        <w:footnoteRef/>
      </w:r>
      <w:r>
        <w:t xml:space="preserve">  We note that these coverage estimates represent deployment of networks to consumers and do not indicate the extent to which service providers affirmatively offer service to residents in the covered areas.  Further, this analysis likely overstates the coverage experienced by some consumers, especially in large or irregularly shaped census blocks.  We therefore acknowledge that this analysis may overstate or understate the deployment of fixed and mobile services.  </w:t>
      </w:r>
      <w:r>
        <w:rPr>
          <w:i/>
        </w:rPr>
        <w:t>See 2018 Report</w:t>
      </w:r>
      <w:r>
        <w:t>, 33 FCC Rcd at 1677, para. 43.</w:t>
      </w:r>
    </w:p>
  </w:footnote>
  <w:footnote w:id="95">
    <w:p w:rsidR="00B63070" w:rsidP="00C6287D">
      <w:pPr>
        <w:pStyle w:val="FootnoteText"/>
        <w:spacing w:before="120"/>
      </w:pPr>
      <w:r>
        <w:rPr>
          <w:rStyle w:val="FootnoteReference"/>
        </w:rPr>
        <w:footnoteRef/>
      </w:r>
      <w:r>
        <w:rPr>
          <w:i/>
        </w:rPr>
        <w:t xml:space="preserve"> </w:t>
      </w:r>
      <w:r w:rsidRPr="00D53B57">
        <w:rPr>
          <w:i/>
        </w:rPr>
        <w:t>See</w:t>
      </w:r>
      <w:r>
        <w:t xml:space="preserve"> Federal Communications Commission, </w:t>
      </w:r>
      <w:r>
        <w:rPr>
          <w:i/>
        </w:rPr>
        <w:t>Explanation of Broadband Deployment Data</w:t>
      </w:r>
      <w:r>
        <w:t xml:space="preserve"> (Dec. 12, 2018), </w:t>
      </w:r>
      <w:hyperlink r:id="rId2" w:history="1">
        <w:r w:rsidRPr="004F3877">
          <w:rPr>
            <w:rStyle w:val="Hyperlink"/>
          </w:rPr>
          <w:t>https://www.fcc.gov/general/explanation-broadband-deployment-data</w:t>
        </w:r>
      </w:hyperlink>
      <w:r>
        <w:t xml:space="preserve"> </w:t>
      </w:r>
      <w:r w:rsidRPr="00834789">
        <w:t>(</w:t>
      </w:r>
      <w:r>
        <w:t xml:space="preserve">describing quality and consistency checks performed on providers’ submitted data and </w:t>
      </w:r>
      <w:r w:rsidRPr="00834789">
        <w:t xml:space="preserve">explaining </w:t>
      </w:r>
      <w:r>
        <w:t xml:space="preserve">any </w:t>
      </w:r>
      <w:r w:rsidRPr="00834789">
        <w:t>adjustments made to the Form 477 data as filed</w:t>
      </w:r>
      <w:r>
        <w:t>).</w:t>
      </w:r>
    </w:p>
  </w:footnote>
  <w:footnote w:id="96">
    <w:p w:rsidR="00B63070" w:rsidP="00C6287D">
      <w:pPr>
        <w:pStyle w:val="FootnoteText"/>
        <w:spacing w:before="120"/>
      </w:pPr>
      <w:r>
        <w:rPr>
          <w:rStyle w:val="FootnoteReference"/>
        </w:rPr>
        <w:footnoteRef/>
      </w:r>
      <w:r>
        <w:t xml:space="preserve"> Commission Staff developed population estimates for 2011-2017 by updating the 2010 census block population estimates.  These estimates are based upon annual U.S. Census mid-year county (or county-equivalent) level population and housing unit estimates for the fifty states, the District of Columbia, and Puerto Rico.  These data are used in conjunction with U.S. Census Bureau Tiger data to indicate new roads, i.e., new housing development, to distribute population amongst the census blocks comprising each county (or county-equivalent).</w:t>
      </w:r>
      <w:r w:rsidRPr="00D6562F">
        <w:t xml:space="preserve"> </w:t>
      </w:r>
      <w:r>
        <w:t xml:space="preserve">Federal Communications Commission, Staff Block Estimates, </w:t>
      </w:r>
      <w:hyperlink r:id="rId5" w:history="1">
        <w:r w:rsidRPr="00CC104F">
          <w:rPr>
            <w:rStyle w:val="Hyperlink"/>
          </w:rPr>
          <w:t>https://www.fcc.gov/reports-research/data/staff-block-estimates</w:t>
        </w:r>
      </w:hyperlink>
      <w:r>
        <w:rPr>
          <w:rStyle w:val="Hyperlink"/>
        </w:rPr>
        <w:t>.</w:t>
      </w:r>
    </w:p>
  </w:footnote>
  <w:footnote w:id="97">
    <w:p w:rsidR="00B63070" w:rsidP="00C6287D">
      <w:pPr>
        <w:pStyle w:val="FootnoteText"/>
        <w:spacing w:before="120"/>
      </w:pPr>
      <w:r>
        <w:rPr>
          <w:rStyle w:val="FootnoteReference"/>
        </w:rPr>
        <w:footnoteRef/>
      </w:r>
      <w:r>
        <w:t xml:space="preserve"> The fixed terrestrial estimates using the SBI data are based upon deployment data for the following services:  Asymmetric xDSL, Symmetric xDSL, Other Wireline (all copper-wire based technologies other than xDSL), Cable Modem—DOCSIS 3.0, Cable Modem—Other, optical carrier (fiber to the home or FTTH), Fixed Terrestrial Wireless (provisioned/equipped over licensed spectrum or over spectrum used on an unlicensed basis), Electric Power Line, and All Other.  For 2013, we exclude the satellite deployment data from our analysis because the December 2013 SBI data for satellite show significant inconsistencies in the data.  </w:t>
      </w:r>
      <w:r>
        <w:rPr>
          <w:i/>
        </w:rPr>
        <w:t>2015 Report</w:t>
      </w:r>
      <w:r>
        <w:t>, 30 FCC Rcd at 1416, para.76.</w:t>
      </w:r>
    </w:p>
  </w:footnote>
  <w:footnote w:id="98">
    <w:p w:rsidR="00B63070" w:rsidP="00C6287D">
      <w:pPr>
        <w:pStyle w:val="FootnoteText"/>
        <w:spacing w:before="120"/>
      </w:pPr>
      <w:r>
        <w:rPr>
          <w:rStyle w:val="FootnoteReference"/>
        </w:rPr>
        <w:footnoteRef/>
      </w:r>
      <w:r>
        <w:t xml:space="preserve"> </w:t>
      </w:r>
      <w:r w:rsidRPr="00034CE4">
        <w:rPr>
          <w:i/>
        </w:rPr>
        <w:t>See</w:t>
      </w:r>
      <w:r>
        <w:rPr>
          <w:i/>
        </w:rPr>
        <w:t xml:space="preserve"> infra</w:t>
      </w:r>
      <w:r>
        <w:t xml:space="preserve"> Appendix 9 (Deployment (Millions) of Fixed Services at Different Speed Tiers (2014-2017)).</w:t>
      </w:r>
    </w:p>
  </w:footnote>
  <w:footnote w:id="99">
    <w:p w:rsidR="00B63070" w:rsidP="00C6287D">
      <w:pPr>
        <w:pStyle w:val="FootnoteText"/>
        <w:spacing w:before="120"/>
      </w:pPr>
      <w:r>
        <w:rPr>
          <w:rStyle w:val="FootnoteReference"/>
        </w:rPr>
        <w:footnoteRef/>
      </w:r>
      <w:r>
        <w:t xml:space="preserve"> More specifically, the data indicate that </w:t>
      </w:r>
      <w:r>
        <w:rPr>
          <w:snapToGrid w:val="0"/>
        </w:rPr>
        <w:t>satellite service offering 25 Mbps/3 Mbps speeds is available to all but 0.03% of the population.</w:t>
      </w:r>
    </w:p>
  </w:footnote>
  <w:footnote w:id="100">
    <w:p w:rsidR="00B63070" w:rsidP="00C6287D">
      <w:pPr>
        <w:pStyle w:val="FootnoteText"/>
        <w:spacing w:before="120"/>
      </w:pPr>
      <w:r>
        <w:rPr>
          <w:rStyle w:val="FootnoteReference"/>
        </w:rPr>
        <w:footnoteRef/>
      </w:r>
      <w:r>
        <w:t xml:space="preserve"> </w:t>
      </w:r>
      <w:r w:rsidRPr="004B0A43">
        <w:t xml:space="preserve">While satellite </w:t>
      </w:r>
      <w:r>
        <w:t>signal coverage</w:t>
      </w:r>
      <w:r w:rsidRPr="004B0A43">
        <w:t xml:space="preserve"> may </w:t>
      </w:r>
      <w:r>
        <w:t xml:space="preserve">enable operators </w:t>
      </w:r>
      <w:r w:rsidRPr="004B0A43">
        <w:t>to offer services to wide swaths of the country, overall satellite capacity may limit the number of consumers that can actually</w:t>
      </w:r>
      <w:r>
        <w:t xml:space="preserve"> </w:t>
      </w:r>
      <w:r w:rsidRPr="004B0A43">
        <w:t>subscribe to satellite service at any one time</w:t>
      </w:r>
      <w:r>
        <w:t xml:space="preserve">.  </w:t>
      </w:r>
      <w:r w:rsidRPr="00D61250">
        <w:rPr>
          <w:i/>
        </w:rPr>
        <w:t>Notice</w:t>
      </w:r>
      <w:r>
        <w:t xml:space="preserve">, 33 FCC Rcd at 8392, </w:t>
      </w:r>
      <w:r w:rsidRPr="004B0A43">
        <w:t xml:space="preserve">para. 17, n.46; </w:t>
      </w:r>
      <w:r w:rsidRPr="00D61250">
        <w:rPr>
          <w:i/>
        </w:rPr>
        <w:t>2018</w:t>
      </w:r>
      <w:r w:rsidRPr="004B0A43">
        <w:rPr>
          <w:i/>
        </w:rPr>
        <w:t xml:space="preserve"> Report</w:t>
      </w:r>
      <w:r>
        <w:t>,</w:t>
      </w:r>
      <w:r w:rsidRPr="004B0A43">
        <w:t xml:space="preserve"> </w:t>
      </w:r>
      <w:r>
        <w:t>33 FCC Rcd</w:t>
      </w:r>
      <w:r w:rsidRPr="004B0A43">
        <w:t xml:space="preserve"> at </w:t>
      </w:r>
      <w:r>
        <w:t xml:space="preserve">1681, </w:t>
      </w:r>
      <w:r w:rsidRPr="004B0A43">
        <w:t>para.</w:t>
      </w:r>
      <w:r>
        <w:t xml:space="preserve"> </w:t>
      </w:r>
      <w:r w:rsidRPr="004B0A43">
        <w:t>51, n.148</w:t>
      </w:r>
      <w:r w:rsidRPr="00DB358A">
        <w:t>.</w:t>
      </w:r>
    </w:p>
  </w:footnote>
  <w:footnote w:id="101">
    <w:p w:rsidR="00B63070" w:rsidRPr="007E0F7E" w:rsidP="00C6287D">
      <w:pPr>
        <w:pStyle w:val="FootnoteText"/>
        <w:spacing w:before="120"/>
      </w:pPr>
      <w:r w:rsidRPr="007E0F7E">
        <w:rPr>
          <w:rStyle w:val="FootnoteReference"/>
        </w:rPr>
        <w:footnoteRef/>
      </w:r>
      <w:r w:rsidRPr="007E0F7E">
        <w:t xml:space="preserve"> </w:t>
      </w:r>
      <w:r w:rsidRPr="007E0F7E">
        <w:rPr>
          <w:i/>
        </w:rPr>
        <w:t>See</w:t>
      </w:r>
      <w:r w:rsidRPr="007E0F7E">
        <w:t xml:space="preserve"> </w:t>
      </w:r>
      <w:r w:rsidRPr="007E0F7E">
        <w:rPr>
          <w:i/>
        </w:rPr>
        <w:t>infra</w:t>
      </w:r>
      <w:r w:rsidRPr="007E0F7E">
        <w:t xml:space="preserve"> Appendix </w:t>
      </w:r>
      <w:r>
        <w:t>9</w:t>
      </w:r>
      <w:r w:rsidRPr="007E0F7E">
        <w:t xml:space="preserve"> (Deployment (Millions) of Fixed Services at Different Speed Tiers (2014-2017)).</w:t>
      </w:r>
    </w:p>
  </w:footnote>
  <w:footnote w:id="102">
    <w:p w:rsidR="00B63070" w:rsidP="00C6287D">
      <w:pPr>
        <w:pStyle w:val="FootnoteText"/>
        <w:spacing w:before="120"/>
      </w:pPr>
      <w:r>
        <w:rPr>
          <w:rStyle w:val="FootnoteReference"/>
        </w:rPr>
        <w:footnoteRef/>
      </w:r>
      <w:r>
        <w:t xml:space="preserve"> For fixed services, the Commission has been able to rely upon FCC Form 477 reported maximum advertised speeds to track actual speeds.  However, we note that the relationship between actual speeds and the advertised speed reported in the FCC Form 477 for mobile services is more complex because minimum advertised speed is reported by the mobile providers, and different mobile providers estimate their minimum advertised speed based on various points of their actual speed distribution.  </w:t>
      </w:r>
      <w:r>
        <w:rPr>
          <w:i/>
        </w:rPr>
        <w:t>2018 Report</w:t>
      </w:r>
      <w:r>
        <w:t>, 33 FCC Rcd at 1678, para. 46 &amp; n.133.  By contrast, the Ookla data provide us with the actual speeds that consumers experience.</w:t>
      </w:r>
    </w:p>
  </w:footnote>
  <w:footnote w:id="103">
    <w:p w:rsidR="00B63070" w:rsidP="00C6287D">
      <w:pPr>
        <w:pStyle w:val="FootnoteText"/>
        <w:spacing w:before="120"/>
      </w:pPr>
      <w:r>
        <w:rPr>
          <w:rStyle w:val="FootnoteReference"/>
        </w:rPr>
        <w:footnoteRef/>
      </w:r>
      <w:r>
        <w:t xml:space="preserve"> </w:t>
      </w:r>
      <w:bookmarkStart w:id="163" w:name="_Hlk503190208"/>
      <w:r>
        <w:t xml:space="preserve">The SBI data for mobile services are not directly comparable to the Form 477 data.  First, we are unable to limit the SBI data to LTE technology because the SBI data do not identify mobile services by technology.  Second, the SBI data include mobile coverage area boundaries by </w:t>
      </w:r>
      <w:r>
        <w:rPr>
          <w:i/>
        </w:rPr>
        <w:t>maximum</w:t>
      </w:r>
      <w:r>
        <w:t xml:space="preserve"> advertised download/upload speeds whereas the Form 477 collects data for mobile services by </w:t>
      </w:r>
      <w:r>
        <w:rPr>
          <w:i/>
        </w:rPr>
        <w:t xml:space="preserve">minimum </w:t>
      </w:r>
      <w:r>
        <w:t xml:space="preserve">advertised speeds.  </w:t>
      </w:r>
      <w:r>
        <w:rPr>
          <w:i/>
        </w:rPr>
        <w:t>2018 Report</w:t>
      </w:r>
      <w:r>
        <w:t>, 33 FCC Rcd at 1678-79, paras. 46-47.</w:t>
      </w:r>
      <w:bookmarkEnd w:id="163"/>
    </w:p>
  </w:footnote>
  <w:footnote w:id="104">
    <w:p w:rsidR="00B63070" w:rsidP="00C6287D">
      <w:pPr>
        <w:pStyle w:val="FootnoteText"/>
        <w:spacing w:before="120"/>
      </w:pPr>
      <w:r>
        <w:rPr>
          <w:rStyle w:val="FootnoteReference"/>
        </w:rPr>
        <w:footnoteRef/>
      </w:r>
      <w:r>
        <w:t xml:space="preserve"> </w:t>
      </w:r>
      <w:r>
        <w:rPr>
          <w:i/>
        </w:rPr>
        <w:t>See, e.g.</w:t>
      </w:r>
      <w:r>
        <w:t>,</w:t>
      </w:r>
      <w:r>
        <w:rPr>
          <w:i/>
        </w:rPr>
        <w:t xml:space="preserve"> 2018 Report</w:t>
      </w:r>
      <w:r>
        <w:t>, 33 FCC Rcd at 1678, para. 46.</w:t>
      </w:r>
    </w:p>
  </w:footnote>
  <w:footnote w:id="105">
    <w:p w:rsidR="00B63070" w:rsidRPr="00353E4C" w:rsidP="00C6287D">
      <w:pPr>
        <w:spacing w:after="120"/>
        <w:rPr>
          <w:sz w:val="20"/>
        </w:rPr>
      </w:pPr>
      <w:r w:rsidRPr="00344953">
        <w:rPr>
          <w:rStyle w:val="FootnoteReference"/>
        </w:rPr>
        <w:footnoteRef/>
      </w:r>
      <w:r w:rsidRPr="00344953">
        <w:rPr>
          <w:sz w:val="20"/>
        </w:rPr>
        <w:t xml:space="preserve"> We note </w:t>
      </w:r>
      <w:r w:rsidRPr="00522605">
        <w:rPr>
          <w:sz w:val="20"/>
        </w:rPr>
        <w:t>that w</w:t>
      </w:r>
      <w:r w:rsidRPr="00344953">
        <w:rPr>
          <w:sz w:val="20"/>
        </w:rPr>
        <w:t xml:space="preserve">hile the current Form 477 deployment data is an improvement over the deployment data previously available on a national scale, the Commission has initiated a rulemaking to consider further improvements in the Form 477 data collection process, as noted above.  </w:t>
      </w:r>
      <w:r w:rsidRPr="00344953">
        <w:rPr>
          <w:i/>
          <w:sz w:val="20"/>
        </w:rPr>
        <w:t xml:space="preserve">See generally </w:t>
      </w:r>
      <w:r w:rsidRPr="00C72198">
        <w:rPr>
          <w:i/>
          <w:sz w:val="20"/>
        </w:rPr>
        <w:t xml:space="preserve">Modernizing the FCC Form 477 Data Program, </w:t>
      </w:r>
      <w:r w:rsidRPr="00C72198">
        <w:rPr>
          <w:sz w:val="20"/>
        </w:rPr>
        <w:t xml:space="preserve">32 FCC Rcd 6329.  </w:t>
      </w:r>
      <w:r w:rsidRPr="00344953">
        <w:rPr>
          <w:sz w:val="20"/>
        </w:rPr>
        <w:t xml:space="preserve">Also, we note that questions have arisen in various contexts regarding the bases for certain filings.  For example, in the context of the Mobility Fund Phase II (MF-II) proceeding, the Commission determined that a separate, one-time data collection was necessary to ensure that all mobile LTE providers were using a consistent standard when generating maps of their deployment of 5 Mbps downstream 4G LTE coverage.  </w:t>
      </w:r>
      <w:r w:rsidRPr="00C72198">
        <w:rPr>
          <w:i/>
          <w:iCs/>
          <w:sz w:val="20"/>
        </w:rPr>
        <w:t>Connect America Fund, Universal Service Reform—Mobility Fund</w:t>
      </w:r>
      <w:r w:rsidRPr="00C72198">
        <w:rPr>
          <w:sz w:val="20"/>
        </w:rPr>
        <w:t xml:space="preserve">, Order on Reconsideration and Second Report and Order, 32 FCC Rcd 6282, 6287, 6298, paras. 7, 10, 34 (2017).  </w:t>
      </w:r>
      <w:r w:rsidRPr="00344953">
        <w:rPr>
          <w:sz w:val="20"/>
        </w:rPr>
        <w:t>No final conclusions regarding those data and MF-II eligibility have yet been drawn since, in December 2018, the Commission launched an investigation into potential violations of MF-II mapping rules by service providers in submitting the data and the MF-II challenge process has not yet concluded.</w:t>
      </w:r>
      <w:r>
        <w:rPr>
          <w:sz w:val="20"/>
        </w:rPr>
        <w:t xml:space="preserve">  </w:t>
      </w:r>
      <w:r>
        <w:rPr>
          <w:i/>
          <w:sz w:val="20"/>
        </w:rPr>
        <w:t xml:space="preserve">See </w:t>
      </w:r>
      <w:r>
        <w:rPr>
          <w:sz w:val="20"/>
        </w:rPr>
        <w:t xml:space="preserve">News Release, FCC, FCC Launches Investigation Into Potential Violations of Mobility Fund Phase II Mapping Rules (Dec. 7, 2018), </w:t>
      </w:r>
      <w:hyperlink r:id="rId6" w:history="1">
        <w:r w:rsidRPr="004179BA">
          <w:rPr>
            <w:rStyle w:val="Hyperlink"/>
            <w:sz w:val="20"/>
          </w:rPr>
          <w:t>https://docs.fcc.gov/public/attachments/DOC-355447A1.pdf</w:t>
        </w:r>
      </w:hyperlink>
      <w:r>
        <w:rPr>
          <w:sz w:val="20"/>
        </w:rPr>
        <w:t>.</w:t>
      </w:r>
    </w:p>
  </w:footnote>
  <w:footnote w:id="106">
    <w:p w:rsidR="00B63070" w:rsidP="00C6287D">
      <w:pPr>
        <w:pStyle w:val="FootnoteText"/>
        <w:spacing w:before="120"/>
      </w:pPr>
      <w:r>
        <w:rPr>
          <w:rStyle w:val="FootnoteReference"/>
        </w:rPr>
        <w:footnoteRef/>
      </w:r>
      <w:r>
        <w:t xml:space="preserve"> We note that generally, crowd-sourced data can provide the benefit of generating a large volume of data at a very low cost and of measuring actual consumer experience on a network in a wide variety of locations, indoor and outdoor.  Crowd-sourced data, however, are often not collected pursuant to statistical sampling techniques, and may require adjustments to construct a representative sample from the raw data.  For instance, crowd-sourced mobile data come from a self-selected group of users, and there often is little control for most tests regarding such parameters as when people implement the test, whether the test is performed indoors or outdoors, the geographic location of the tester, and the vintage of the consumer’s device.  </w:t>
      </w:r>
      <w:r>
        <w:rPr>
          <w:i/>
        </w:rPr>
        <w:t>2018 Report</w:t>
      </w:r>
      <w:r>
        <w:t xml:space="preserve">, 33 FCC Rcd at 1679, para. 47, n.139.  </w:t>
      </w:r>
    </w:p>
  </w:footnote>
  <w:footnote w:id="107">
    <w:p w:rsidR="00B63070" w:rsidP="00C6287D">
      <w:pPr>
        <w:pStyle w:val="FootnoteText"/>
        <w:spacing w:before="120"/>
      </w:pPr>
      <w:r>
        <w:rPr>
          <w:rStyle w:val="FootnoteReference"/>
        </w:rPr>
        <w:footnoteRef/>
      </w:r>
      <w:r>
        <w:t xml:space="preserve"> The data collected by the Ookla Speedtest mobile app include test results for download speed, upload speed, and latency, as well as other information, such as the location of the test and operating system of the handset.  The results presented in this Report are based on tests that were executed in the second half of the year for 2014, 2015, 2016 and 2017 on the smartphone’s cellular connection, and using LTE technology.  Test data was excluded if it had missing GPS location data or if the reported download or upload speed was less than zero or greater than 100 Mbps.  Multiple tests by a single phone in the same locality and in the same day were averaged (using the median).</w:t>
      </w:r>
    </w:p>
  </w:footnote>
  <w:footnote w:id="108">
    <w:p w:rsidR="00B63070" w:rsidP="00C6287D">
      <w:pPr>
        <w:pStyle w:val="FootnoteText"/>
        <w:spacing w:before="120"/>
      </w:pPr>
      <w:r>
        <w:rPr>
          <w:rStyle w:val="FootnoteReference"/>
        </w:rPr>
        <w:footnoteRef/>
      </w:r>
      <w:r>
        <w:t xml:space="preserve"> </w:t>
      </w:r>
      <w:r>
        <w:rPr>
          <w:i/>
        </w:rPr>
        <w:t>2018 Report</w:t>
      </w:r>
      <w:r>
        <w:t xml:space="preserve">, 32 FCC Rcd at 1679, para. 47.  This sample size threshold applies to each county for each time frame (2H2014, 2H2015, 2H2016, and 2H2017):  if a county does not have at least 300 observations during any of these time frames, it is not included in the actual speed analysis. </w:t>
      </w:r>
      <w:r>
        <w:rPr>
          <w:sz w:val="18"/>
        </w:rPr>
        <w:t xml:space="preserve"> </w:t>
      </w:r>
      <w:r>
        <w:t>The 300 observations threshold is a conservative threshold, and is based on a general mean and median sample size analysis.  We consider a county to have a sufficient sample size if there are at least 300 total observations in each of the four years after the cleaning and trimming rules have been applied.  County geography is assigned using the latitude and longitude coordinates that are collected during each Ookla speed test, via the device’s GPS.  This allows us to evaluate actual median upload and download speeds at the county level, in each year of the four-year time period, for counties in which approximately 93% of the U.S. population live (not including the U.S. Territories).  If a census block has LTE coverage of at least 5 Mbps/1 Mbps based on the Form 477 minimum advertised speeds, it is assigned the median upload and download</w:t>
      </w:r>
      <w:r>
        <w:rPr>
          <w:b/>
        </w:rPr>
        <w:t xml:space="preserve"> </w:t>
      </w:r>
      <w:r>
        <w:t>speeds that are calculated for the county in which it is located, which allows us to evaluate the mobile broadband speeds for each census block within the United States.</w:t>
      </w:r>
    </w:p>
  </w:footnote>
  <w:footnote w:id="109">
    <w:p w:rsidR="00B63070" w:rsidP="00C6287D">
      <w:pPr>
        <w:pStyle w:val="FootnoteText"/>
        <w:spacing w:before="120"/>
      </w:pPr>
      <w:r>
        <w:rPr>
          <w:rStyle w:val="FootnoteReference"/>
        </w:rPr>
        <w:footnoteRef/>
      </w:r>
      <w:r>
        <w:t xml:space="preserve"> The percentage of the population in our analysis is based on the total U.S. population, not including the U.S. Territories, for which we separately report our results.  The Ookla speed data population in Figure 2b is a subset of the total U.S. population evaluated in Figure 2a, and refers to the population in the counties for which we believe there are a statistically significant number of on-the-ground speed test observations.  We do not have Ookla speed data for the U.S. Territories.  In 2017, for example, the U.S. population, not including the U.S. territories, was 325.716 million, whereas in Figure 2b, we use 302.940 million as the basis for our 2017 calculations.  The population evaluated figure, 302.940 million, is the population for the U.S., excluding the U.S. Territories and the population in the counties without a sufficient number of reliable on-the-ground speed test data observations.</w:t>
      </w:r>
    </w:p>
  </w:footnote>
  <w:footnote w:id="110">
    <w:p w:rsidR="00B63070" w:rsidP="00C6287D">
      <w:pPr>
        <w:pStyle w:val="FootnoteText"/>
        <w:spacing w:before="120"/>
      </w:pPr>
      <w:r>
        <w:rPr>
          <w:rStyle w:val="FootnoteReference"/>
        </w:rPr>
        <w:footnoteRef/>
      </w:r>
      <w:r>
        <w:t xml:space="preserve"> </w:t>
      </w:r>
      <w:r w:rsidRPr="00707DF9">
        <w:rPr>
          <w:i/>
          <w:iCs/>
        </w:rPr>
        <w:t xml:space="preserve">See </w:t>
      </w:r>
      <w:r>
        <w:rPr>
          <w:iCs/>
        </w:rPr>
        <w:t xml:space="preserve">EducationSuperHighway, </w:t>
      </w:r>
      <w:r>
        <w:rPr>
          <w:i/>
          <w:iCs/>
        </w:rPr>
        <w:t>2018 State of the States Report</w:t>
      </w:r>
      <w:r>
        <w:rPr>
          <w:iCs/>
        </w:rPr>
        <w:t xml:space="preserve"> (Oct. 2018) </w:t>
      </w:r>
      <w:hyperlink r:id="rId7" w:history="1">
        <w:r w:rsidRPr="00A319E4">
          <w:rPr>
            <w:rStyle w:val="Hyperlink"/>
          </w:rPr>
          <w:t>https://s3-us-west-1.amazonaws.com/esh-sots-pdfs/2018%20State%20of%20the%20States.pdf</w:t>
        </w:r>
      </w:hyperlink>
      <w:r>
        <w:rPr>
          <w:iCs/>
        </w:rPr>
        <w:t xml:space="preserve">; Consortium for School Networking, </w:t>
      </w:r>
      <w:r w:rsidRPr="00AD07A8">
        <w:rPr>
          <w:i/>
          <w:iCs/>
        </w:rPr>
        <w:t>CoSN’s 2018-2019 Annual Infrastructure Report</w:t>
      </w:r>
      <w:r>
        <w:rPr>
          <w:iCs/>
        </w:rPr>
        <w:t xml:space="preserve"> (Jan. 2019) </w:t>
      </w:r>
      <w:hyperlink r:id="rId8" w:history="1">
        <w:r w:rsidRPr="00AD67F8">
          <w:rPr>
            <w:rStyle w:val="Hyperlink"/>
            <w:iCs/>
          </w:rPr>
          <w:t>https://www.cosn.org/sites/default/files/CoSNs%202018%202019%20Annual%20Infrastructure%20Survey%20Report%20final_0.pdf</w:t>
        </w:r>
      </w:hyperlink>
      <w:r>
        <w:t>.</w:t>
      </w:r>
    </w:p>
  </w:footnote>
  <w:footnote w:id="111">
    <w:p w:rsidR="00B63070" w:rsidP="00C6287D">
      <w:pPr>
        <w:pStyle w:val="FootnoteText"/>
        <w:spacing w:before="120"/>
      </w:pPr>
      <w:r>
        <w:rPr>
          <w:rStyle w:val="FootnoteReference"/>
        </w:rPr>
        <w:footnoteRef/>
      </w:r>
      <w:r>
        <w:t xml:space="preserve"> </w:t>
      </w:r>
      <w:r>
        <w:rPr>
          <w:i/>
        </w:rPr>
        <w:t xml:space="preserve">See </w:t>
      </w:r>
      <w:r>
        <w:rPr>
          <w:iCs/>
        </w:rPr>
        <w:t xml:space="preserve">EducationSuperHighway, </w:t>
      </w:r>
      <w:r>
        <w:rPr>
          <w:i/>
          <w:iCs/>
        </w:rPr>
        <w:t xml:space="preserve">2018 State of the States Report:  About the Data, </w:t>
      </w:r>
      <w:r>
        <w:rPr>
          <w:iCs/>
        </w:rPr>
        <w:t xml:space="preserve">at 28 (Oct. 2018); </w:t>
      </w:r>
      <w:r w:rsidRPr="00A323FF">
        <w:rPr>
          <w:i/>
          <w:iCs/>
        </w:rPr>
        <w:t>s</w:t>
      </w:r>
      <w:r>
        <w:rPr>
          <w:i/>
          <w:iCs/>
        </w:rPr>
        <w:t xml:space="preserve">ee also </w:t>
      </w:r>
      <w:r>
        <w:rPr>
          <w:iCs/>
        </w:rPr>
        <w:t xml:space="preserve">EducationSuperHighway:  Methodology (Oct. 2018) </w:t>
      </w:r>
      <w:hyperlink r:id="rId9" w:history="1">
        <w:r w:rsidRPr="00B13EF6">
          <w:rPr>
            <w:rStyle w:val="Hyperlink"/>
            <w:iCs/>
          </w:rPr>
          <w:t>https://s3-us-west-1.amazonaws.com/esh-sots-pdfs/methodology_2018_state_of_the_states.pdf</w:t>
        </w:r>
      </w:hyperlink>
      <w:r>
        <w:rPr>
          <w:iCs/>
        </w:rPr>
        <w:t xml:space="preserve">.  EducationSuperHighway uses a sample of public school districts receiving broadband services including, but not limited to, fiber services in funding year 2018 in its dataset.  </w:t>
      </w:r>
      <w:r>
        <w:rPr>
          <w:i/>
          <w:iCs/>
        </w:rPr>
        <w:t>See id</w:t>
      </w:r>
      <w:r w:rsidRPr="001E7517">
        <w:t>.</w:t>
      </w:r>
      <w:r>
        <w:rPr>
          <w:iCs/>
        </w:rPr>
        <w:t xml:space="preserve">  </w:t>
      </w:r>
    </w:p>
  </w:footnote>
  <w:footnote w:id="112">
    <w:p w:rsidR="00B63070" w:rsidRPr="00951C85" w:rsidP="00C6287D">
      <w:pPr>
        <w:pStyle w:val="FootnoteText"/>
        <w:spacing w:before="120"/>
      </w:pPr>
      <w:r>
        <w:rPr>
          <w:rStyle w:val="FootnoteReference"/>
        </w:rPr>
        <w:footnoteRef/>
      </w:r>
      <w:r>
        <w:t xml:space="preserve"> </w:t>
      </w:r>
      <w:r>
        <w:rPr>
          <w:i/>
        </w:rPr>
        <w:t xml:space="preserve">See </w:t>
      </w:r>
      <w:r>
        <w:t xml:space="preserve">ADTRAN Comments at 11.  </w:t>
      </w:r>
      <w:r>
        <w:rPr>
          <w:i/>
        </w:rPr>
        <w:t xml:space="preserve">See </w:t>
      </w:r>
      <w:r>
        <w:t>EducationSuperHighway Methodology at 4.</w:t>
      </w:r>
    </w:p>
  </w:footnote>
  <w:footnote w:id="113">
    <w:p w:rsidR="00B63070" w:rsidP="00C6287D">
      <w:pPr>
        <w:pStyle w:val="FootnoteText"/>
        <w:spacing w:before="120"/>
      </w:pPr>
      <w:r>
        <w:rPr>
          <w:rStyle w:val="FootnoteReference"/>
        </w:rPr>
        <w:footnoteRef/>
      </w:r>
      <w:r>
        <w:t xml:space="preserve"> </w:t>
      </w:r>
      <w:r>
        <w:rPr>
          <w:i/>
        </w:rPr>
        <w:t xml:space="preserve">CoSN’s </w:t>
      </w:r>
      <w:r w:rsidRPr="00912DC7">
        <w:rPr>
          <w:i/>
        </w:rPr>
        <w:t>201</w:t>
      </w:r>
      <w:r>
        <w:rPr>
          <w:i/>
        </w:rPr>
        <w:t>8-2019</w:t>
      </w:r>
      <w:r w:rsidRPr="00912DC7">
        <w:rPr>
          <w:i/>
        </w:rPr>
        <w:t xml:space="preserve"> Annual Infrastructure Survey Report</w:t>
      </w:r>
      <w:r w:rsidRPr="005F7338">
        <w:rPr>
          <w:i/>
        </w:rPr>
        <w:t xml:space="preserve"> </w:t>
      </w:r>
      <w:r>
        <w:t>at 3.</w:t>
      </w:r>
    </w:p>
  </w:footnote>
  <w:footnote w:id="114">
    <w:p w:rsidR="00B63070" w:rsidRPr="00BE3771" w:rsidP="00C6287D">
      <w:pPr>
        <w:pStyle w:val="FootnoteText"/>
        <w:spacing w:before="120"/>
        <w:rPr>
          <w:bCs/>
          <w:szCs w:val="22"/>
        </w:rPr>
      </w:pPr>
      <w:r w:rsidRPr="00BE3771">
        <w:rPr>
          <w:rStyle w:val="FootnoteReference"/>
        </w:rPr>
        <w:footnoteRef/>
      </w:r>
      <w:r w:rsidRPr="00BE3771">
        <w:t xml:space="preserve"> Unless otherwise noted, </w:t>
      </w:r>
      <w:r w:rsidRPr="00BE3771">
        <w:rPr>
          <w:snapToGrid w:val="0"/>
        </w:rPr>
        <w:t>the deployment percentage estimate for fixed terrestrial services and/or mobile services is the population in the census blocks with coverage for the service divided by the total population in the area being considered (e.g., United States, all rural areas, all urban areas).  We present additional deployment data for each state</w:t>
      </w:r>
      <w:r>
        <w:rPr>
          <w:snapToGrid w:val="0"/>
        </w:rPr>
        <w:t>,</w:t>
      </w:r>
      <w:r w:rsidRPr="00BE3771">
        <w:rPr>
          <w:snapToGrid w:val="0"/>
        </w:rPr>
        <w:t xml:space="preserve"> the District of Columbia</w:t>
      </w:r>
      <w:r>
        <w:rPr>
          <w:snapToGrid w:val="0"/>
        </w:rPr>
        <w:t>, and the U.S. Territories</w:t>
      </w:r>
      <w:r w:rsidRPr="00BE3771">
        <w:rPr>
          <w:snapToGrid w:val="0"/>
        </w:rPr>
        <w:t xml:space="preserve"> in </w:t>
      </w:r>
      <w:r>
        <w:rPr>
          <w:snapToGrid w:val="0"/>
        </w:rPr>
        <w:t>the Appendices</w:t>
      </w:r>
      <w:r w:rsidRPr="00BE3771">
        <w:rPr>
          <w:snapToGrid w:val="0"/>
        </w:rPr>
        <w:t xml:space="preserve">.  </w:t>
      </w:r>
      <w:r w:rsidRPr="00BE3771">
        <w:rPr>
          <w:i/>
          <w:snapToGrid w:val="0"/>
        </w:rPr>
        <w:t xml:space="preserve">See infra </w:t>
      </w:r>
      <w:r w:rsidRPr="00BE3771">
        <w:rPr>
          <w:snapToGrid w:val="0"/>
        </w:rPr>
        <w:t>Appendi</w:t>
      </w:r>
      <w:r>
        <w:rPr>
          <w:snapToGrid w:val="0"/>
        </w:rPr>
        <w:t>ces</w:t>
      </w:r>
      <w:r w:rsidRPr="00BE3771">
        <w:rPr>
          <w:snapToGrid w:val="0"/>
        </w:rPr>
        <w:t xml:space="preserve"> </w:t>
      </w:r>
      <w:r>
        <w:rPr>
          <w:snapToGrid w:val="0"/>
        </w:rPr>
        <w:t xml:space="preserve">1, 2 and </w:t>
      </w:r>
      <w:r w:rsidRPr="00BE3771">
        <w:rPr>
          <w:snapToGrid w:val="0"/>
        </w:rPr>
        <w:t>3</w:t>
      </w:r>
      <w:r>
        <w:rPr>
          <w:snapToGrid w:val="0"/>
        </w:rPr>
        <w:t xml:space="preserve"> (reporting figures for </w:t>
      </w:r>
      <w:r w:rsidRPr="00BE3771">
        <w:rPr>
          <w:snapToGrid w:val="0"/>
        </w:rPr>
        <w:t>each state and the District of Columbia</w:t>
      </w:r>
      <w:r>
        <w:rPr>
          <w:snapToGrid w:val="0"/>
        </w:rPr>
        <w:t>) and Appendix 4 (reporting figures for each U.S. Territory).  We present additional deployment data for each Tribal lands and state in Appendix 7.</w:t>
      </w:r>
    </w:p>
  </w:footnote>
  <w:footnote w:id="115">
    <w:p w:rsidR="00B63070" w:rsidRPr="00BE3771" w:rsidP="00C6287D">
      <w:pPr>
        <w:pStyle w:val="FootnoteText"/>
        <w:spacing w:before="120"/>
      </w:pPr>
      <w:r w:rsidRPr="00BE3771">
        <w:rPr>
          <w:rStyle w:val="FootnoteReference"/>
        </w:rPr>
        <w:footnoteRef/>
      </w:r>
      <w:r w:rsidRPr="00BE3771">
        <w:t xml:space="preserve"> These areas include: </w:t>
      </w:r>
      <w:r>
        <w:t xml:space="preserve"> </w:t>
      </w:r>
      <w:r w:rsidRPr="00BE3771">
        <w:t>(1)</w:t>
      </w:r>
      <w:r>
        <w:t> </w:t>
      </w:r>
      <w:r w:rsidRPr="00BE3771">
        <w:t>Joint Use Areas; (2)</w:t>
      </w:r>
      <w:r>
        <w:t> </w:t>
      </w:r>
      <w:r w:rsidRPr="00BE3771">
        <w:t>legal</w:t>
      </w:r>
      <w:r>
        <w:t>,</w:t>
      </w:r>
      <w:r w:rsidRPr="00BE3771">
        <w:t xml:space="preserve"> federally</w:t>
      </w:r>
      <w:r>
        <w:t>-</w:t>
      </w:r>
      <w:r w:rsidRPr="00BE3771">
        <w:t>recognized American Indian area consisting of reservation and associated off-reservation trust land; (3)</w:t>
      </w:r>
      <w:r>
        <w:t> </w:t>
      </w:r>
      <w:r w:rsidRPr="00BE3771">
        <w:t>legal</w:t>
      </w:r>
      <w:r>
        <w:t>,</w:t>
      </w:r>
      <w:r w:rsidRPr="00BE3771">
        <w:t xml:space="preserve"> federally</w:t>
      </w:r>
      <w:r>
        <w:t>-</w:t>
      </w:r>
      <w:r w:rsidRPr="00BE3771">
        <w:t>recognized American Indian area consisting of reservation only; and (4)</w:t>
      </w:r>
      <w:r>
        <w:t> </w:t>
      </w:r>
      <w:r w:rsidRPr="00BE3771">
        <w:t>legal</w:t>
      </w:r>
      <w:r>
        <w:t>,</w:t>
      </w:r>
      <w:r w:rsidRPr="00BE3771">
        <w:t xml:space="preserve"> federally</w:t>
      </w:r>
      <w:r>
        <w:t>-</w:t>
      </w:r>
      <w:r w:rsidRPr="00BE3771">
        <w:t>recognized American Indian area consisting of off-reservation trust land only.</w:t>
      </w:r>
    </w:p>
  </w:footnote>
  <w:footnote w:id="116">
    <w:p w:rsidR="00B63070" w:rsidRPr="00BE3771" w:rsidP="00C6287D">
      <w:pPr>
        <w:pStyle w:val="FootnoteText"/>
        <w:spacing w:before="120"/>
      </w:pPr>
      <w:r w:rsidRPr="00BE3771">
        <w:rPr>
          <w:rStyle w:val="FootnoteReference"/>
        </w:rPr>
        <w:footnoteRef/>
      </w:r>
      <w:r w:rsidRPr="00BE3771">
        <w:t xml:space="preserve"> Tribal </w:t>
      </w:r>
      <w:r>
        <w:t>s</w:t>
      </w:r>
      <w:r w:rsidRPr="00BE3771">
        <w:t xml:space="preserve">tatistical areas are </w:t>
      </w:r>
      <w:r>
        <w:t>s</w:t>
      </w:r>
      <w:r w:rsidRPr="00BE3771">
        <w:t xml:space="preserve">tatistical American Indian areas.  These are defined for a federally recognized Tribe that does not have reservation or off-reservation trust land, specifically a Tribal designated statistical area (TDSA) or Oklahoma Tribal </w:t>
      </w:r>
      <w:r>
        <w:t>s</w:t>
      </w:r>
      <w:r w:rsidRPr="00BE3771">
        <w:t xml:space="preserve">tatistical </w:t>
      </w:r>
      <w:r>
        <w:t>a</w:t>
      </w:r>
      <w:r w:rsidRPr="00BE3771">
        <w:t>rea (OTSA).</w:t>
      </w:r>
    </w:p>
  </w:footnote>
  <w:footnote w:id="117">
    <w:p w:rsidR="00B63070" w:rsidRPr="00BE3771" w:rsidP="00C6287D">
      <w:pPr>
        <w:pStyle w:val="FootnoteText"/>
        <w:spacing w:before="120"/>
      </w:pPr>
      <w:r w:rsidRPr="00BE3771">
        <w:rPr>
          <w:rStyle w:val="FootnoteReference"/>
        </w:rPr>
        <w:footnoteRef/>
      </w:r>
      <w:r w:rsidRPr="00BE3771">
        <w:t xml:space="preserve"> Alaskan Native village statistical area.</w:t>
      </w:r>
    </w:p>
  </w:footnote>
  <w:footnote w:id="118">
    <w:p w:rsidR="00B63070" w:rsidRPr="00BE3771" w:rsidP="00C6287D">
      <w:pPr>
        <w:pStyle w:val="FootnoteText"/>
        <w:spacing w:before="120"/>
      </w:pPr>
      <w:r w:rsidRPr="00BE3771">
        <w:rPr>
          <w:rStyle w:val="FootnoteReference"/>
        </w:rPr>
        <w:footnoteRef/>
      </w:r>
      <w:r w:rsidRPr="00BE3771">
        <w:t xml:space="preserve"> Hawaiian Home Lands established by the Hawaiian Homes Commission Act of 1921.</w:t>
      </w:r>
    </w:p>
  </w:footnote>
  <w:footnote w:id="119">
    <w:p w:rsidR="00B63070" w:rsidP="00C6287D">
      <w:pPr>
        <w:pStyle w:val="FootnoteText"/>
        <w:spacing w:before="120"/>
      </w:pPr>
      <w:bookmarkStart w:id="188" w:name="_Hlk790627"/>
      <w:r>
        <w:rPr>
          <w:rStyle w:val="FootnoteReference"/>
        </w:rPr>
        <w:footnoteRef/>
      </w:r>
      <w:r>
        <w:t xml:space="preserve"> </w:t>
      </w:r>
      <w:r>
        <w:rPr>
          <w:snapToGrid w:val="0"/>
        </w:rPr>
        <w:t xml:space="preserve">Data reported in this Report differs from data reported in the Broadband Deployment section of the December 2018 </w:t>
      </w:r>
      <w:r>
        <w:rPr>
          <w:i/>
          <w:snapToGrid w:val="0"/>
        </w:rPr>
        <w:t>Communications Marketplace Report</w:t>
      </w:r>
      <w:r>
        <w:rPr>
          <w:snapToGrid w:val="0"/>
        </w:rPr>
        <w:t xml:space="preserve"> in two minor respects.  </w:t>
      </w:r>
      <w:r>
        <w:rPr>
          <w:i/>
          <w:snapToGrid w:val="0"/>
        </w:rPr>
        <w:t xml:space="preserve">See Communications Marketplace Report </w:t>
      </w:r>
      <w:r>
        <w:rPr>
          <w:snapToGrid w:val="0"/>
        </w:rPr>
        <w:t xml:space="preserve">at paras. 247-64.  First, data reported at speeds of 10 Mbps/1 Mbps or greater in this Report are slightly different because of corrected Form 477 providers’ data  that were recently submitted and thus not included in the </w:t>
      </w:r>
      <w:r>
        <w:rPr>
          <w:i/>
          <w:snapToGrid w:val="0"/>
        </w:rPr>
        <w:t>Communications Marketplace Report</w:t>
      </w:r>
      <w:r>
        <w:rPr>
          <w:snapToGrid w:val="0"/>
        </w:rPr>
        <w:t xml:space="preserve">.  Second, the demographic data presented in this Report relies upon recently released income and poverty measures from the </w:t>
      </w:r>
      <w:r w:rsidRPr="00BE3771">
        <w:rPr>
          <w:snapToGrid w:val="0"/>
        </w:rPr>
        <w:t xml:space="preserve">American Community Survey (ACS) Five-Year Estimates </w:t>
      </w:r>
      <w:r>
        <w:rPr>
          <w:snapToGrid w:val="0"/>
        </w:rPr>
        <w:t xml:space="preserve">for </w:t>
      </w:r>
      <w:r w:rsidRPr="00BE3771">
        <w:rPr>
          <w:snapToGrid w:val="0"/>
        </w:rPr>
        <w:t>201</w:t>
      </w:r>
      <w:r>
        <w:rPr>
          <w:snapToGrid w:val="0"/>
        </w:rPr>
        <w:t>3-</w:t>
      </w:r>
      <w:r w:rsidRPr="00BE3771">
        <w:rPr>
          <w:snapToGrid w:val="0"/>
        </w:rPr>
        <w:t>201</w:t>
      </w:r>
      <w:r>
        <w:rPr>
          <w:snapToGrid w:val="0"/>
        </w:rPr>
        <w:t>7</w:t>
      </w:r>
      <w:r w:rsidRPr="00BE3771">
        <w:rPr>
          <w:snapToGrid w:val="0"/>
        </w:rPr>
        <w:t xml:space="preserve"> </w:t>
      </w:r>
      <w:r>
        <w:rPr>
          <w:snapToGrid w:val="0"/>
        </w:rPr>
        <w:t xml:space="preserve">whereas the </w:t>
      </w:r>
      <w:r w:rsidRPr="00D61250">
        <w:rPr>
          <w:i/>
        </w:rPr>
        <w:t xml:space="preserve">Communications Marketplace </w:t>
      </w:r>
      <w:r>
        <w:rPr>
          <w:i/>
          <w:snapToGrid w:val="0"/>
        </w:rPr>
        <w:t>R</w:t>
      </w:r>
      <w:r w:rsidRPr="004A65E1">
        <w:rPr>
          <w:i/>
          <w:snapToGrid w:val="0"/>
        </w:rPr>
        <w:t>eport</w:t>
      </w:r>
      <w:r>
        <w:rPr>
          <w:snapToGrid w:val="0"/>
        </w:rPr>
        <w:t xml:space="preserve"> relied upon the ACS Five-Year Estimates for 2012-2016</w:t>
      </w:r>
      <w:bookmarkEnd w:id="188"/>
      <w:r>
        <w:rPr>
          <w:snapToGrid w:val="0"/>
        </w:rPr>
        <w:t>.</w:t>
      </w:r>
    </w:p>
  </w:footnote>
  <w:footnote w:id="120">
    <w:p w:rsidR="00B63070" w:rsidRPr="00BE3771" w:rsidP="00C6287D">
      <w:pPr>
        <w:pStyle w:val="FootnoteText"/>
        <w:spacing w:before="120"/>
      </w:pPr>
      <w:r w:rsidRPr="00BE3771">
        <w:rPr>
          <w:rStyle w:val="FootnoteReference"/>
        </w:rPr>
        <w:footnoteRef/>
      </w:r>
      <w:r w:rsidRPr="00BE3771">
        <w:t xml:space="preserve"> </w:t>
      </w:r>
      <w:r w:rsidRPr="00BE3771">
        <w:rPr>
          <w:i/>
        </w:rPr>
        <w:t>2018 Report</w:t>
      </w:r>
      <w:r w:rsidRPr="00BE3771">
        <w:t>, 32 FCC Rcd at 1681, para. 51.</w:t>
      </w:r>
    </w:p>
  </w:footnote>
  <w:footnote w:id="121">
    <w:p w:rsidR="00B63070" w:rsidRPr="00BE3771" w:rsidP="00C6287D">
      <w:pPr>
        <w:pStyle w:val="FootnoteText"/>
        <w:spacing w:before="120"/>
      </w:pPr>
      <w:r w:rsidRPr="00BE3771">
        <w:rPr>
          <w:rStyle w:val="FootnoteReference"/>
        </w:rPr>
        <w:footnoteRef/>
      </w:r>
      <w:r w:rsidRPr="00BE3771">
        <w:t xml:space="preserve"> </w:t>
      </w:r>
      <w:r w:rsidRPr="00BE3771">
        <w:rPr>
          <w:i/>
        </w:rPr>
        <w:t>Id.</w:t>
      </w:r>
      <w:r w:rsidRPr="00BE3771">
        <w:t xml:space="preserve"> at 1681, para. 51, n.148</w:t>
      </w:r>
      <w:r w:rsidRPr="00A96A10">
        <w:t>;</w:t>
      </w:r>
      <w:r w:rsidRPr="00A96A10">
        <w:rPr>
          <w:i/>
        </w:rPr>
        <w:t xml:space="preserve"> </w:t>
      </w:r>
      <w:r>
        <w:rPr>
          <w:i/>
        </w:rPr>
        <w:t>see infra</w:t>
      </w:r>
      <w:r w:rsidRPr="00A96A10">
        <w:rPr>
          <w:i/>
        </w:rPr>
        <w:t xml:space="preserve"> </w:t>
      </w:r>
      <w:r w:rsidRPr="00A96A10">
        <w:t>Appendix 9 (Deployment (Millions) of Fixed Services at Different Speed Tiers (2014-2017)).</w:t>
      </w:r>
      <w:r w:rsidRPr="00BE3771">
        <w:t xml:space="preserve">  These data could overstate the deployment of these services.  The data indicate that fixed 25 Mbps/3 Mbps services are deployed to 93% of Americans residing in the U.S. Territories.</w:t>
      </w:r>
    </w:p>
  </w:footnote>
  <w:footnote w:id="122">
    <w:p w:rsidR="00B63070" w:rsidP="00C6287D">
      <w:pPr>
        <w:pStyle w:val="FootnoteText"/>
        <w:spacing w:before="120"/>
      </w:pPr>
      <w:r>
        <w:rPr>
          <w:rStyle w:val="FootnoteReference"/>
        </w:rPr>
        <w:footnoteRef/>
      </w:r>
      <w:r>
        <w:t xml:space="preserve"> </w:t>
      </w:r>
      <w:r w:rsidRPr="00BE3771">
        <w:rPr>
          <w:snapToGrid w:val="0"/>
        </w:rPr>
        <w:t xml:space="preserve">We present </w:t>
      </w:r>
      <w:r>
        <w:rPr>
          <w:snapToGrid w:val="0"/>
        </w:rPr>
        <w:t xml:space="preserve">additional </w:t>
      </w:r>
      <w:r w:rsidRPr="00BE3771">
        <w:rPr>
          <w:snapToGrid w:val="0"/>
        </w:rPr>
        <w:t xml:space="preserve">deployment data for </w:t>
      </w:r>
      <w:r>
        <w:rPr>
          <w:snapToGrid w:val="0"/>
        </w:rPr>
        <w:t xml:space="preserve">Mobile LTE services </w:t>
      </w:r>
      <w:r w:rsidRPr="00BE3771">
        <w:rPr>
          <w:snapToGrid w:val="0"/>
        </w:rPr>
        <w:t>for each state</w:t>
      </w:r>
      <w:r>
        <w:rPr>
          <w:snapToGrid w:val="0"/>
        </w:rPr>
        <w:t>,</w:t>
      </w:r>
      <w:r w:rsidRPr="00BE3771">
        <w:rPr>
          <w:snapToGrid w:val="0"/>
        </w:rPr>
        <w:t xml:space="preserve"> the District of Columbia</w:t>
      </w:r>
      <w:r>
        <w:rPr>
          <w:snapToGrid w:val="0"/>
        </w:rPr>
        <w:t>, the U.S. Territories</w:t>
      </w:r>
      <w:r w:rsidRPr="00BE3771">
        <w:rPr>
          <w:snapToGrid w:val="0"/>
        </w:rPr>
        <w:t xml:space="preserve"> in </w:t>
      </w:r>
      <w:r>
        <w:rPr>
          <w:snapToGrid w:val="0"/>
        </w:rPr>
        <w:t>the Appendices and each category of Tribal land in the appendix</w:t>
      </w:r>
      <w:r w:rsidRPr="00BE3771">
        <w:rPr>
          <w:snapToGrid w:val="0"/>
        </w:rPr>
        <w:t xml:space="preserve">.  </w:t>
      </w:r>
      <w:r w:rsidRPr="00A96A10">
        <w:rPr>
          <w:i/>
          <w:snapToGrid w:val="0"/>
        </w:rPr>
        <w:t xml:space="preserve">See infra </w:t>
      </w:r>
      <w:r w:rsidRPr="00A96A10">
        <w:rPr>
          <w:snapToGrid w:val="0"/>
        </w:rPr>
        <w:t>Appendices 1, 2 and 3 (reporting figures for each state and the District of Columbia), Appendix 4 (reporting figures for each U.S. Territory), and Appendix 7 (reporting figures for Tribal lands and states).</w:t>
      </w:r>
    </w:p>
  </w:footnote>
  <w:footnote w:id="123">
    <w:p w:rsidR="00B63070" w:rsidRPr="00BE3771" w:rsidP="00C6287D">
      <w:pPr>
        <w:pStyle w:val="FootnoteText"/>
        <w:spacing w:before="120"/>
      </w:pPr>
      <w:r w:rsidRPr="00BE3771">
        <w:rPr>
          <w:rStyle w:val="FootnoteReference"/>
        </w:rPr>
        <w:footnoteRef/>
      </w:r>
      <w:r w:rsidRPr="00BE3771">
        <w:t xml:space="preserve"> The results reported in </w:t>
      </w:r>
      <w:r>
        <w:t xml:space="preserve">Figure </w:t>
      </w:r>
      <w:r w:rsidRPr="00BE3771">
        <w:t xml:space="preserve">2a for 2013 are based upon SBI data for mobile services at </w:t>
      </w:r>
      <w:r w:rsidRPr="00BE3771">
        <w:rPr>
          <w:i/>
        </w:rPr>
        <w:t xml:space="preserve">maximum </w:t>
      </w:r>
      <w:r w:rsidRPr="00BE3771">
        <w:t xml:space="preserve">advertised speeds of 6 Mbps/768 kbps as compared to the Form 477 data for mobile services which are based on </w:t>
      </w:r>
      <w:r w:rsidRPr="00BE3771">
        <w:rPr>
          <w:i/>
        </w:rPr>
        <w:t xml:space="preserve">minimum </w:t>
      </w:r>
      <w:r w:rsidRPr="00BE3771">
        <w:t xml:space="preserve">advertised speeds of 5 Mbps/1 Mbps. </w:t>
      </w:r>
    </w:p>
  </w:footnote>
  <w:footnote w:id="124">
    <w:p w:rsidR="00B63070" w:rsidRPr="00BE3771" w:rsidP="00C6287D">
      <w:pPr>
        <w:pStyle w:val="FootnoteText"/>
        <w:spacing w:before="120"/>
      </w:pPr>
      <w:r w:rsidRPr="00BE3771">
        <w:rPr>
          <w:rStyle w:val="FootnoteReference"/>
        </w:rPr>
        <w:footnoteRef/>
      </w:r>
      <w:r w:rsidRPr="00BE3771">
        <w:t xml:space="preserve"> The analyses in Figures 2a, 3a and 3c include all areas of the United States</w:t>
      </w:r>
      <w:r>
        <w:t xml:space="preserve"> and are based on Form 477 data</w:t>
      </w:r>
      <w:r w:rsidRPr="00BE3771">
        <w:t>.  In contrast, the analyses in Figures 2b, 3b and 3d</w:t>
      </w:r>
      <w:r>
        <w:t xml:space="preserve"> are based on Ookla data and</w:t>
      </w:r>
      <w:r w:rsidRPr="00BE3771">
        <w:t xml:space="preserve"> exclude any county (and its associated census blocks) for which there is insufficient Ookla data.  In addition, we do not report results for Tribal lands in Figures 2b, 3b, and 3d because we have concerns with the </w:t>
      </w:r>
      <w:r w:rsidRPr="00BE3771">
        <w:rPr>
          <w:snapToGrid w:val="0"/>
        </w:rPr>
        <w:t>representativeness of the Ookla data for these areas.  Tribal areas not only typically have fewer speed tests, but there are also fewer of these areas relative to urban and rural areas.  Thus, deployment estimates for tribal areas are more sensitive to sample variance.</w:t>
      </w:r>
      <w:r w:rsidRPr="00BE3771">
        <w:t xml:space="preserve">  The population figure reported in the bottom row of these figures is the population evaluated for the reported time period and the percentage is the percentage of the U.S. population evaluated.  Accordingly, the 302.94 population evaluated figure for 2017 in Figure 2b represents 9</w:t>
      </w:r>
      <w:r>
        <w:t>3</w:t>
      </w:r>
      <w:r w:rsidRPr="00BE3771">
        <w:t>% of the overall population in the 50 U.S. states (i.e., 302.94/325.716=0.93).  Regardless of our deployment estimates for mobile LTE with a median speed of 10 Mbps/3 Mbps, Americans residing in the counties without sufficient Ookla data to create a statistically significant county sample to be included in Figures 2b, 3b, and 3d, receive minimum advertised or expected speeds of 5 Mbps/1 Mbps, and likely receive mobile services with speeds higher than 5 Mbps/1 Mbps.</w:t>
      </w:r>
    </w:p>
  </w:footnote>
  <w:footnote w:id="125">
    <w:p w:rsidR="00B63070" w:rsidP="00C6287D">
      <w:pPr>
        <w:pStyle w:val="FootnoteText"/>
        <w:spacing w:before="120"/>
      </w:pPr>
      <w:r>
        <w:rPr>
          <w:rStyle w:val="FootnoteReference"/>
        </w:rPr>
        <w:footnoteRef/>
      </w:r>
      <w:r>
        <w:t xml:space="preserve"> </w:t>
      </w:r>
      <w:r w:rsidRPr="00BE3771">
        <w:rPr>
          <w:snapToGrid w:val="0"/>
        </w:rPr>
        <w:t xml:space="preserve">We present </w:t>
      </w:r>
      <w:r>
        <w:rPr>
          <w:snapToGrid w:val="0"/>
        </w:rPr>
        <w:t xml:space="preserve">additional </w:t>
      </w:r>
      <w:r w:rsidRPr="00BE3771">
        <w:rPr>
          <w:snapToGrid w:val="0"/>
        </w:rPr>
        <w:t xml:space="preserve">deployment data </w:t>
      </w:r>
      <w:r>
        <w:rPr>
          <w:snapToGrid w:val="0"/>
        </w:rPr>
        <w:t>for terrestrial fixed 25 Mbps/3 Mbps and/or Mobile LTE services in an appendix.</w:t>
      </w:r>
      <w:r w:rsidRPr="00BE3771">
        <w:rPr>
          <w:snapToGrid w:val="0"/>
        </w:rPr>
        <w:t xml:space="preserve">  </w:t>
      </w:r>
      <w:r w:rsidRPr="00B87E8B">
        <w:rPr>
          <w:i/>
          <w:snapToGrid w:val="0"/>
        </w:rPr>
        <w:t xml:space="preserve">See infra </w:t>
      </w:r>
      <w:r w:rsidRPr="00B87E8B">
        <w:rPr>
          <w:snapToGrid w:val="0"/>
        </w:rPr>
        <w:t>Appendi</w:t>
      </w:r>
      <w:r w:rsidRPr="00C4361C">
        <w:rPr>
          <w:snapToGrid w:val="0"/>
        </w:rPr>
        <w:t>ces</w:t>
      </w:r>
      <w:r w:rsidRPr="00A96A10">
        <w:rPr>
          <w:snapToGrid w:val="0"/>
        </w:rPr>
        <w:t xml:space="preserve"> </w:t>
      </w:r>
      <w:r w:rsidRPr="00FB6AB7">
        <w:rPr>
          <w:snapToGrid w:val="0"/>
        </w:rPr>
        <w:t>1,</w:t>
      </w:r>
      <w:r>
        <w:rPr>
          <w:snapToGrid w:val="0"/>
        </w:rPr>
        <w:t xml:space="preserve"> </w:t>
      </w:r>
      <w:r w:rsidRPr="00A96A10">
        <w:rPr>
          <w:snapToGrid w:val="0"/>
        </w:rPr>
        <w:t>2 and 3</w:t>
      </w:r>
      <w:r>
        <w:rPr>
          <w:snapToGrid w:val="0"/>
        </w:rPr>
        <w:t xml:space="preserve"> (reporting figures for </w:t>
      </w:r>
      <w:r w:rsidRPr="00BE3771">
        <w:rPr>
          <w:snapToGrid w:val="0"/>
        </w:rPr>
        <w:t>each state and the District of Columbia</w:t>
      </w:r>
      <w:r>
        <w:rPr>
          <w:snapToGrid w:val="0"/>
        </w:rPr>
        <w:t xml:space="preserve">), Appendix 4 (reporting figures for each U.S. Territory), </w:t>
      </w:r>
      <w:r w:rsidRPr="00B87E8B">
        <w:rPr>
          <w:snapToGrid w:val="0"/>
        </w:rPr>
        <w:t>Appendix 5</w:t>
      </w:r>
      <w:r>
        <w:rPr>
          <w:snapToGrid w:val="0"/>
        </w:rPr>
        <w:t xml:space="preserve"> (reporting figures for each state, the District of Columbia, and each county), </w:t>
      </w:r>
      <w:r w:rsidRPr="00A96A10">
        <w:rPr>
          <w:snapToGrid w:val="0"/>
        </w:rPr>
        <w:t>Appendix 6</w:t>
      </w:r>
      <w:r>
        <w:rPr>
          <w:snapToGrid w:val="0"/>
        </w:rPr>
        <w:t xml:space="preserve"> (reporting figures by urban and rural areas within each state, the District of Columbia and each county), and Appendix 7 (reporting figures for each U.S. Tribal lands).</w:t>
      </w:r>
    </w:p>
  </w:footnote>
  <w:footnote w:id="126">
    <w:p w:rsidR="00B63070" w:rsidRPr="00BE3771" w:rsidP="00C6287D">
      <w:pPr>
        <w:pStyle w:val="FootnoteText"/>
        <w:spacing w:before="120"/>
      </w:pPr>
      <w:r w:rsidRPr="00BE3771">
        <w:rPr>
          <w:rStyle w:val="FootnoteReference"/>
        </w:rPr>
        <w:footnoteRef/>
      </w:r>
      <w:r w:rsidRPr="00BE3771">
        <w:t xml:space="preserve"> The results reported for 2013 are based upon SBI data for mobile services at </w:t>
      </w:r>
      <w:r w:rsidRPr="00BE3771">
        <w:rPr>
          <w:i/>
        </w:rPr>
        <w:t xml:space="preserve">maximum </w:t>
      </w:r>
      <w:r w:rsidRPr="00BE3771">
        <w:t xml:space="preserve">advertised speeds of 6 Mbps/768 kbps as compared to the Form 477 data which are based on </w:t>
      </w:r>
      <w:r w:rsidRPr="00BE3771">
        <w:rPr>
          <w:i/>
        </w:rPr>
        <w:t xml:space="preserve">minimum </w:t>
      </w:r>
      <w:r w:rsidRPr="00BE3771">
        <w:t>advertised speeds of 5 Mbps/1 Mbps.</w:t>
      </w:r>
    </w:p>
  </w:footnote>
  <w:footnote w:id="127">
    <w:p w:rsidR="00B63070" w:rsidRPr="00BE3771" w:rsidP="00C6287D">
      <w:pPr>
        <w:pStyle w:val="FootnoteText"/>
        <w:spacing w:before="120"/>
      </w:pPr>
      <w:r w:rsidRPr="00BE3771">
        <w:rPr>
          <w:rStyle w:val="FootnoteReference"/>
        </w:rPr>
        <w:footnoteRef/>
      </w:r>
      <w:r w:rsidRPr="00BE3771">
        <w:t xml:space="preserve"> We present deployment estimates for all fixed services including satellite broadband in an appendix.  </w:t>
      </w:r>
      <w:r w:rsidRPr="00B87E8B">
        <w:rPr>
          <w:i/>
        </w:rPr>
        <w:t>See infra</w:t>
      </w:r>
      <w:r w:rsidRPr="00B87E8B">
        <w:t xml:space="preserve"> Appendix 9</w:t>
      </w:r>
      <w:r w:rsidRPr="00C4361C">
        <w:t xml:space="preserve"> (</w:t>
      </w:r>
      <w:r w:rsidRPr="00BE3771">
        <w:rPr>
          <w:szCs w:val="22"/>
        </w:rPr>
        <w:t>Deployment (Millions) of Fixed Services at Different Speed Tiers (2014-2017)</w:t>
      </w:r>
      <w:r>
        <w:rPr>
          <w:szCs w:val="22"/>
        </w:rPr>
        <w:t>)</w:t>
      </w:r>
      <w:r w:rsidRPr="00BE3771">
        <w:rPr>
          <w:szCs w:val="22"/>
        </w:rPr>
        <w:t>.</w:t>
      </w:r>
    </w:p>
  </w:footnote>
  <w:footnote w:id="128">
    <w:p w:rsidR="00B63070" w:rsidRPr="00BE3771" w:rsidP="00C6287D">
      <w:pPr>
        <w:pStyle w:val="FootnoteText"/>
        <w:spacing w:before="120"/>
      </w:pPr>
      <w:r w:rsidRPr="00BE3771">
        <w:rPr>
          <w:rStyle w:val="FootnoteReference"/>
        </w:rPr>
        <w:footnoteRef/>
      </w:r>
      <w:r w:rsidRPr="00BE3771">
        <w:t xml:space="preserve"> We present additional deployment data on the territories in </w:t>
      </w:r>
      <w:r>
        <w:t>the</w:t>
      </w:r>
      <w:r w:rsidRPr="00BE3771">
        <w:t xml:space="preserve"> Appendix.  </w:t>
      </w:r>
      <w:r w:rsidRPr="00C4361C">
        <w:rPr>
          <w:i/>
        </w:rPr>
        <w:t>See infra</w:t>
      </w:r>
      <w:r w:rsidRPr="00C4361C">
        <w:t xml:space="preserve"> Appendix 4</w:t>
      </w:r>
      <w:r w:rsidRPr="00BE3771">
        <w:t xml:space="preserve"> (Deployment of Fixed Terrestrial 25 Mbps/3 Mbps Services and</w:t>
      </w:r>
      <w:r>
        <w:t xml:space="preserve"> </w:t>
      </w:r>
      <w:r w:rsidRPr="00BE3771">
        <w:t xml:space="preserve">Mobile LTE 5 Mbps/1 Mbps </w:t>
      </w:r>
      <w:r>
        <w:t>by</w:t>
      </w:r>
      <w:r w:rsidRPr="00BE3771">
        <w:t xml:space="preserve"> U.S. Territor</w:t>
      </w:r>
      <w:r>
        <w:t>y</w:t>
      </w:r>
      <w:r w:rsidRPr="00BE3771">
        <w:t>).</w:t>
      </w:r>
    </w:p>
  </w:footnote>
  <w:footnote w:id="129">
    <w:p w:rsidR="00B63070" w:rsidRPr="00BE3771" w:rsidP="00C6287D">
      <w:pPr>
        <w:pStyle w:val="FootnoteText"/>
        <w:spacing w:before="120"/>
      </w:pPr>
      <w:r w:rsidRPr="00BE3771">
        <w:rPr>
          <w:rStyle w:val="FootnoteReference"/>
        </w:rPr>
        <w:footnoteRef/>
      </w:r>
      <w:r w:rsidRPr="00BE3771">
        <w:t xml:space="preserve"> For instance, the data in 2015 appears to show a significant drop in deployment for fixed and mobile services that is not continued in 2016.</w:t>
      </w:r>
    </w:p>
  </w:footnote>
  <w:footnote w:id="130">
    <w:p w:rsidR="00B63070" w:rsidRPr="00BE3771" w:rsidP="00C6287D">
      <w:pPr>
        <w:pStyle w:val="FootnoteText"/>
        <w:spacing w:before="120"/>
      </w:pPr>
      <w:r w:rsidRPr="00BE3771">
        <w:rPr>
          <w:rStyle w:val="FootnoteReference"/>
        </w:rPr>
        <w:footnoteRef/>
      </w:r>
      <w:r w:rsidRPr="00BE3771">
        <w:t xml:space="preserve"> To compare the demographic data between areas where these services are and are not deployed, we aggregate the census block data up to the census block group level, the lowest aggregation level for which demographic information is available.  This aggregation can result in census blocks being grouped together that may not be uniformly deployed or be uniformly categorized as urban, rural, or on Tribal lands.  We designate a census block group as without deployment if more than 5% of the population in the census block group is without services; we designate a census block group as rural if more than 50% of the population in the census block group resides in census blocks designated as rural, and we designate a census block group as Tribal lands if more than 50% of the land area in the census block group is designated as Tribal lands.  Population Density is the total population residing in the census block group divided by the square miles of land in the census block group.  The estimate of land area is based upon the 2010 Census.  </w:t>
      </w:r>
      <w:r w:rsidRPr="00BE3771">
        <w:rPr>
          <w:snapToGrid w:val="0"/>
        </w:rPr>
        <w:t>We use the ACS Five-Year Estimates 201</w:t>
      </w:r>
      <w:r>
        <w:rPr>
          <w:snapToGrid w:val="0"/>
        </w:rPr>
        <w:t>3</w:t>
      </w:r>
      <w:r w:rsidRPr="00BE3771">
        <w:rPr>
          <w:snapToGrid w:val="0"/>
        </w:rPr>
        <w:t>–201</w:t>
      </w:r>
      <w:r>
        <w:rPr>
          <w:snapToGrid w:val="0"/>
        </w:rPr>
        <w:t>7</w:t>
      </w:r>
      <w:r w:rsidRPr="00BE3771">
        <w:rPr>
          <w:snapToGrid w:val="0"/>
        </w:rPr>
        <w:t xml:space="preserve"> for income and poverty measures.  </w:t>
      </w:r>
      <w:r w:rsidRPr="00BE3771">
        <w:t>Per capita income and median household income in the past twelve months are measured in 201</w:t>
      </w:r>
      <w:r>
        <w:t>7</w:t>
      </w:r>
      <w:r w:rsidRPr="00BE3771">
        <w:t xml:space="preserve"> Inflation-Adjusted Dollars.  The poverty rate is the proportion of households living below the poverty level.</w:t>
      </w:r>
    </w:p>
  </w:footnote>
  <w:footnote w:id="131">
    <w:p w:rsidR="00B63070" w:rsidRPr="00BE3771" w:rsidP="00C6287D">
      <w:pPr>
        <w:pStyle w:val="FootnoteText"/>
        <w:spacing w:before="120"/>
      </w:pPr>
      <w:r w:rsidRPr="00BE3771">
        <w:rPr>
          <w:rStyle w:val="FootnoteReference"/>
        </w:rPr>
        <w:footnoteRef/>
      </w:r>
      <w:r w:rsidRPr="00BE3771">
        <w:t xml:space="preserve"> We provide more granular state-by-state and county-by-county deployment information in an Appendix.  </w:t>
      </w:r>
      <w:r w:rsidRPr="00BE3771">
        <w:rPr>
          <w:i/>
        </w:rPr>
        <w:t>See</w:t>
      </w:r>
      <w:r w:rsidRPr="00BE3771">
        <w:t xml:space="preserve"> </w:t>
      </w:r>
      <w:r w:rsidRPr="00BE3771">
        <w:rPr>
          <w:i/>
        </w:rPr>
        <w:t>infra</w:t>
      </w:r>
      <w:r w:rsidRPr="00BE3771">
        <w:t xml:space="preserve"> </w:t>
      </w:r>
      <w:r w:rsidRPr="00506593">
        <w:t>Appendi</w:t>
      </w:r>
      <w:r w:rsidRPr="00106338">
        <w:t>ces 5 and 6</w:t>
      </w:r>
      <w:r w:rsidRPr="00BE3771">
        <w:t>.</w:t>
      </w:r>
    </w:p>
  </w:footnote>
  <w:footnote w:id="132">
    <w:p w:rsidR="00B63070" w:rsidRPr="00BE3771" w:rsidP="00C6287D">
      <w:pPr>
        <w:pStyle w:val="FootnoteText"/>
        <w:spacing w:before="120"/>
      </w:pPr>
      <w:r w:rsidRPr="00BE3771">
        <w:rPr>
          <w:rStyle w:val="FootnoteReference"/>
        </w:rPr>
        <w:footnoteRef/>
      </w:r>
      <w:r w:rsidRPr="00BE3771">
        <w:t xml:space="preserve"> As is the case with other 10 Mbps/3 Mbps Ookla data for Tribal lands, </w:t>
      </w:r>
      <w:r w:rsidRPr="00BE3771">
        <w:rPr>
          <w:szCs w:val="22"/>
        </w:rPr>
        <w:t xml:space="preserve">we do not report results because of concerns with the representativeness of the Ookla data for these areas.  </w:t>
      </w:r>
      <w:r w:rsidRPr="00BE3771">
        <w:rPr>
          <w:i/>
          <w:szCs w:val="22"/>
        </w:rPr>
        <w:t xml:space="preserve">See supra </w:t>
      </w:r>
      <w:r w:rsidRPr="00BE3771">
        <w:rPr>
          <w:szCs w:val="22"/>
        </w:rPr>
        <w:t>Section</w:t>
      </w:r>
      <w:r>
        <w:rPr>
          <w:szCs w:val="22"/>
        </w:rPr>
        <w:t>s</w:t>
      </w:r>
      <w:r w:rsidRPr="00BE3771">
        <w:rPr>
          <w:szCs w:val="22"/>
        </w:rPr>
        <w:t xml:space="preserve"> </w:t>
      </w:r>
      <w:r>
        <w:rPr>
          <w:szCs w:val="22"/>
        </w:rPr>
        <w:t>IV.B.2 and IV.B.3.</w:t>
      </w:r>
    </w:p>
  </w:footnote>
  <w:footnote w:id="133">
    <w:p w:rsidR="00B63070" w:rsidRPr="00BE3771" w:rsidP="00C6287D">
      <w:pPr>
        <w:pStyle w:val="CommentText"/>
        <w:spacing w:before="120" w:after="120"/>
      </w:pPr>
      <w:r w:rsidRPr="00BE3771">
        <w:rPr>
          <w:rStyle w:val="FootnoteReference"/>
        </w:rPr>
        <w:footnoteRef/>
      </w:r>
      <w:r w:rsidRPr="00BE3771">
        <w:t xml:space="preserve"> We present these results at the census block group, the smallest geographic areas for which income data is available, to accurately examine how the deployment rate varies with income measures in the geographic area.</w:t>
      </w:r>
    </w:p>
  </w:footnote>
  <w:footnote w:id="134">
    <w:p w:rsidR="00B63070" w:rsidRPr="00BE3771" w:rsidP="00C6287D">
      <w:pPr>
        <w:pStyle w:val="FootnoteText"/>
        <w:spacing w:before="120"/>
      </w:pPr>
      <w:r w:rsidRPr="00BE3771">
        <w:rPr>
          <w:rStyle w:val="FootnoteReference"/>
        </w:rPr>
        <w:footnoteRef/>
      </w:r>
      <w:r w:rsidRPr="00BE3771">
        <w:t xml:space="preserve"> We group tribal lands as designated by their 2010 census block delineations.  Alaskan Villages include census blocks that are designated as Alaskan Native village statistical areas.  Hawaiian Home Lands include census blocks that were established by the Hawaiian Homes Commission Act of 1921.  Tribal </w:t>
      </w:r>
      <w:r>
        <w:t>s</w:t>
      </w:r>
      <w:r w:rsidRPr="00BE3771">
        <w:t xml:space="preserve">tatistical areas are </w:t>
      </w:r>
      <w:r>
        <w:t>s</w:t>
      </w:r>
      <w:r w:rsidRPr="00BE3771">
        <w:t>tatistical American Indian areas.  These are defined for a federally</w:t>
      </w:r>
      <w:r>
        <w:t>-</w:t>
      </w:r>
      <w:r w:rsidRPr="00BE3771">
        <w:t>recognized Tribe that does not have reservation or off-reservation trust land</w:t>
      </w:r>
      <w:r>
        <w:t>;</w:t>
      </w:r>
      <w:r w:rsidRPr="00BE3771">
        <w:t xml:space="preserve"> specifically</w:t>
      </w:r>
      <w:r>
        <w:t>,</w:t>
      </w:r>
      <w:r w:rsidRPr="00BE3771">
        <w:t xml:space="preserve"> a Tribal designated statistical area (TDSA) or Oklahoma Tribal </w:t>
      </w:r>
      <w:r>
        <w:t>s</w:t>
      </w:r>
      <w:r w:rsidRPr="00BE3771">
        <w:t xml:space="preserve">tatistical </w:t>
      </w:r>
      <w:r>
        <w:t>a</w:t>
      </w:r>
      <w:r w:rsidRPr="00BE3771">
        <w:t>rea (OTSA).  The Lower 48 States category includes census blocks designated as:</w:t>
      </w:r>
      <w:r>
        <w:t xml:space="preserve"> </w:t>
      </w:r>
      <w:r w:rsidRPr="00BE3771">
        <w:t>(1)</w:t>
      </w:r>
      <w:r>
        <w:t> </w:t>
      </w:r>
      <w:r w:rsidRPr="00BE3771">
        <w:t>Joint Use Areas; (2)</w:t>
      </w:r>
      <w:r>
        <w:t> </w:t>
      </w:r>
      <w:r w:rsidRPr="00BE3771">
        <w:t>legal</w:t>
      </w:r>
      <w:r>
        <w:t>,</w:t>
      </w:r>
      <w:r w:rsidRPr="00BE3771">
        <w:t xml:space="preserve"> federally</w:t>
      </w:r>
      <w:r>
        <w:t>-</w:t>
      </w:r>
      <w:r w:rsidRPr="00BE3771">
        <w:t>recognized American Indian area consisting of reservation and associated off-reservation trust land; (3)</w:t>
      </w:r>
      <w:r>
        <w:t> </w:t>
      </w:r>
      <w:r w:rsidRPr="00BE3771">
        <w:t>legal</w:t>
      </w:r>
      <w:r>
        <w:t>,</w:t>
      </w:r>
      <w:r w:rsidRPr="00BE3771">
        <w:t xml:space="preserve"> federally</w:t>
      </w:r>
      <w:r>
        <w:t>-</w:t>
      </w:r>
      <w:r w:rsidRPr="00BE3771">
        <w:t>recognized American Indian area consisting of reservation only; and (4)</w:t>
      </w:r>
      <w:r>
        <w:t> </w:t>
      </w:r>
      <w:r w:rsidRPr="00BE3771">
        <w:t>legal</w:t>
      </w:r>
      <w:r>
        <w:t>,</w:t>
      </w:r>
      <w:r w:rsidRPr="00BE3771">
        <w:t xml:space="preserve"> federally</w:t>
      </w:r>
      <w:r>
        <w:t>-</w:t>
      </w:r>
      <w:r w:rsidRPr="00BE3771">
        <w:t xml:space="preserve">recognized American Indian area consisting of off-reservation trust land only.  We present more granular state-by-state Tribal lands data in an appendix.  </w:t>
      </w:r>
      <w:r w:rsidRPr="00BE3771">
        <w:rPr>
          <w:i/>
        </w:rPr>
        <w:t>See infra</w:t>
      </w:r>
      <w:r w:rsidRPr="00BE3771">
        <w:t xml:space="preserve"> </w:t>
      </w:r>
      <w:r w:rsidRPr="00C558BC">
        <w:t>Appendix 7</w:t>
      </w:r>
      <w:r w:rsidRPr="00BE3771">
        <w:t xml:space="preserve"> (</w:t>
      </w:r>
      <w:r w:rsidRPr="00BE3771">
        <w:rPr>
          <w:szCs w:val="22"/>
        </w:rPr>
        <w:t xml:space="preserve">Deployment of Fixed Terrestrial 25 Mbps/3 Mbps Services and/or Mobile LTE with a Minimum Advertised Speed of 5 Mbps/1 Mbps </w:t>
      </w:r>
      <w:r>
        <w:rPr>
          <w:szCs w:val="22"/>
        </w:rPr>
        <w:t>by</w:t>
      </w:r>
      <w:r w:rsidRPr="00BE3771">
        <w:rPr>
          <w:szCs w:val="22"/>
        </w:rPr>
        <w:t xml:space="preserve"> Tribal Lands </w:t>
      </w:r>
      <w:r>
        <w:rPr>
          <w:szCs w:val="22"/>
        </w:rPr>
        <w:t>and</w:t>
      </w:r>
      <w:r w:rsidRPr="00BE3771">
        <w:rPr>
          <w:szCs w:val="22"/>
        </w:rPr>
        <w:t xml:space="preserve"> State).</w:t>
      </w:r>
    </w:p>
  </w:footnote>
  <w:footnote w:id="135">
    <w:p w:rsidR="00B63070" w:rsidRPr="00BE3771" w:rsidP="00C6287D">
      <w:pPr>
        <w:pStyle w:val="FootnoteText"/>
        <w:spacing w:before="120"/>
      </w:pPr>
      <w:r w:rsidRPr="00BE3771">
        <w:rPr>
          <w:rStyle w:val="FootnoteReference"/>
        </w:rPr>
        <w:footnoteRef/>
      </w:r>
      <w:r w:rsidRPr="00BE3771">
        <w:t xml:space="preserve"> We present adoption data for each state and the District of Columbia in an Appendix.  </w:t>
      </w:r>
      <w:r w:rsidRPr="00BE3771">
        <w:rPr>
          <w:i/>
        </w:rPr>
        <w:t xml:space="preserve">See </w:t>
      </w:r>
      <w:r w:rsidRPr="00C558BC">
        <w:rPr>
          <w:i/>
        </w:rPr>
        <w:t xml:space="preserve">infra </w:t>
      </w:r>
      <w:r w:rsidRPr="0055572A">
        <w:t>Appendix 8 (</w:t>
      </w:r>
      <w:r w:rsidRPr="00BE3771">
        <w:t xml:space="preserve">Adoption Rate for Fixed Terrestrial Services </w:t>
      </w:r>
      <w:r>
        <w:t>in the United States and District of Columbia (Data as of December 2017)).</w:t>
      </w:r>
    </w:p>
  </w:footnote>
  <w:footnote w:id="136">
    <w:p w:rsidR="00B63070" w:rsidRPr="00BE3771" w:rsidP="00C6287D">
      <w:pPr>
        <w:pStyle w:val="FootnoteText"/>
        <w:spacing w:before="120"/>
      </w:pPr>
      <w:r w:rsidRPr="00BE3771">
        <w:rPr>
          <w:rStyle w:val="FootnoteReference"/>
        </w:rPr>
        <w:footnoteRef/>
      </w:r>
      <w:r w:rsidRPr="00BE3771">
        <w:t xml:space="preserve"> The subscriber data is reported for the census tract, not census block.  Thus, we aggregate the deployment data up to the census tract.  We calculate adoption rates for the following geographic areas: </w:t>
      </w:r>
      <w:r>
        <w:t xml:space="preserve"> </w:t>
      </w:r>
      <w:r w:rsidRPr="00BE3771">
        <w:t>the U.S. as a whole, all urban core census tracts, all non-urban core census tracts, the county (or county equivalent), and for each state and the District of Columbia.  A census tract is designated as “Urban Core” if it has a land area less than three square miles and a population density of at least 1,000 people per square mile.  A census tract is designated as “Non-Urban Core” if we have not designated the census tract as Urban Core.  A census tract is designated Tribal lands if more than 50% of the land area is Tribal land.</w:t>
      </w:r>
    </w:p>
  </w:footnote>
  <w:footnote w:id="137">
    <w:p w:rsidR="00B63070" w:rsidRPr="00BE3771" w:rsidP="00C6287D">
      <w:pPr>
        <w:pStyle w:val="FootnoteText"/>
        <w:spacing w:before="120"/>
      </w:pPr>
      <w:r w:rsidRPr="00BE3771">
        <w:rPr>
          <w:rStyle w:val="FootnoteReference"/>
        </w:rPr>
        <w:footnoteRef/>
      </w:r>
      <w:r w:rsidRPr="00BE3771">
        <w:t xml:space="preserve"> We have insufficient information to determine the proportion of the population for which 50 Mbps/5 Mbps service is deployed prior to December 31, 2014.  </w:t>
      </w:r>
      <w:r w:rsidRPr="00BE3771">
        <w:rPr>
          <w:i/>
        </w:rPr>
        <w:t>See</w:t>
      </w:r>
      <w:r w:rsidRPr="00BE3771">
        <w:t xml:space="preserve"> </w:t>
      </w:r>
      <w:r w:rsidRPr="00BE3771">
        <w:rPr>
          <w:i/>
        </w:rPr>
        <w:t>2015 Report</w:t>
      </w:r>
      <w:r w:rsidRPr="00BE3771">
        <w:t>, 30 FCC Rcd at 1413, para. 69</w:t>
      </w:r>
      <w:r>
        <w:t>,</w:t>
      </w:r>
      <w:r w:rsidRPr="00BE3771">
        <w:t xml:space="preserve"> n.278.  The reported adoption rates for 2014 to 2017 are based upon the Form 477 deployment data and subscriber data as of December 31, 2014, December 31, 2015, December 31, 2016, and December 31, 2017.  The reported adoption rates for 2013 are based upon the SBI Deployment data as of December 31, 2013, and the Form 477 subscriber data as of December 31, 2013.  For the 2013</w:t>
      </w:r>
      <w:r>
        <w:t xml:space="preserve"> data</w:t>
      </w:r>
      <w:r w:rsidRPr="00BE3771">
        <w:t xml:space="preserve">, a 768 kbps upload speed is used as a proxy for a 1 Mbps upload speed because this is the speed closest to 1 Mbps that was collected in the SBI data collection and the FCC’s Form 477 data collection during this time period.  </w:t>
      </w:r>
      <w:r w:rsidRPr="00BE3771">
        <w:rPr>
          <w:i/>
        </w:rPr>
        <w:t>See id</w:t>
      </w:r>
      <w:r>
        <w:rPr>
          <w:i/>
        </w:rPr>
        <w:t>.</w:t>
      </w:r>
      <w:r w:rsidRPr="00BE3771">
        <w:t xml:space="preserve"> at 1413.  </w:t>
      </w:r>
    </w:p>
  </w:footnote>
  <w:footnote w:id="138">
    <w:p w:rsidR="00B63070" w:rsidRPr="00BE3771" w:rsidP="00C6287D">
      <w:pPr>
        <w:pStyle w:val="FootnoteText"/>
        <w:spacing w:before="120"/>
      </w:pPr>
      <w:r w:rsidRPr="00BE3771">
        <w:rPr>
          <w:rStyle w:val="FootnoteReference"/>
        </w:rPr>
        <w:footnoteRef/>
      </w:r>
      <w:r w:rsidRPr="00BE3771">
        <w:t xml:space="preserve"> Prior to the Commission’s revision of the Form 477 data collection, which is reflected for the first time in the 2014 data, Form 477 filers did not report subscribers specifically at the 50 Mbps/5 Mbps or the 250 Mbps/25 Mbps service tiers.  This does not indicate there were no subscribers to these services in 2013. </w:t>
      </w:r>
    </w:p>
  </w:footnote>
  <w:footnote w:id="139">
    <w:p w:rsidR="00B63070" w:rsidP="00C6287D">
      <w:pPr>
        <w:pStyle w:val="FootnoteText"/>
        <w:spacing w:before="120"/>
      </w:pPr>
      <w:r>
        <w:rPr>
          <w:rStyle w:val="FootnoteReference"/>
        </w:rPr>
        <w:footnoteRef/>
      </w:r>
      <w:r>
        <w:t xml:space="preserve"> 47 U.S.C. § 1302(b).</w:t>
      </w:r>
    </w:p>
  </w:footnote>
  <w:footnote w:id="140">
    <w:p w:rsidR="00B63070" w:rsidP="00C6287D">
      <w:pPr>
        <w:pStyle w:val="FootnoteText"/>
        <w:spacing w:before="120"/>
      </w:pPr>
      <w:r>
        <w:rPr>
          <w:rStyle w:val="FootnoteReference"/>
        </w:rPr>
        <w:footnoteRef/>
      </w:r>
      <w:r>
        <w:t xml:space="preserve"> </w:t>
      </w:r>
      <w:r>
        <w:rPr>
          <w:i/>
        </w:rPr>
        <w:t>See Modernizing the E-rate Program for Schools and Libraries</w:t>
      </w:r>
      <w:r>
        <w:t>, WC Docket No. 13-184, Report and Order and Further Notice of Proposed Rulemaking, 29 FCC Rcd 8870, 8885, para. 34 (2014) (</w:t>
      </w:r>
      <w:r w:rsidRPr="00D92CB4">
        <w:rPr>
          <w:i/>
        </w:rPr>
        <w:t>2014 E-rate Order</w:t>
      </w:r>
      <w:r>
        <w:t>).</w:t>
      </w:r>
    </w:p>
  </w:footnote>
  <w:footnote w:id="141">
    <w:p w:rsidR="00B63070" w:rsidP="00C6287D">
      <w:pPr>
        <w:pStyle w:val="FootnoteText"/>
        <w:spacing w:before="120"/>
      </w:pPr>
      <w:r>
        <w:rPr>
          <w:rStyle w:val="FootnoteReference"/>
        </w:rPr>
        <w:footnoteRef/>
      </w:r>
      <w:r>
        <w:t xml:space="preserve"> </w:t>
      </w:r>
      <w:r w:rsidRPr="00707DF9">
        <w:rPr>
          <w:i/>
          <w:iCs/>
        </w:rPr>
        <w:t xml:space="preserve">See </w:t>
      </w:r>
      <w:r>
        <w:rPr>
          <w:i/>
          <w:iCs/>
        </w:rPr>
        <w:t>2018 State of the States Report</w:t>
      </w:r>
      <w:r>
        <w:rPr>
          <w:iCs/>
        </w:rPr>
        <w:t xml:space="preserve"> at 7.</w:t>
      </w:r>
      <w:r>
        <w:rPr>
          <w:i/>
          <w:iCs/>
        </w:rPr>
        <w:t xml:space="preserve">  </w:t>
      </w:r>
      <w:r w:rsidRPr="00912DC7">
        <w:t xml:space="preserve">EducationSuperHighway </w:t>
      </w:r>
      <w:r>
        <w:t xml:space="preserve">reports the Commission’s short-term goal in terms of 100 kbps per user rather than 100 Mbps per 1,000 users.  </w:t>
      </w:r>
      <w:r>
        <w:rPr>
          <w:i/>
        </w:rPr>
        <w:t>2014 E-rate Order</w:t>
      </w:r>
      <w:r>
        <w:t>, 29 FCC Rcd at 8885, para. 34.</w:t>
      </w:r>
    </w:p>
  </w:footnote>
  <w:footnote w:id="142">
    <w:p w:rsidR="00B63070" w:rsidP="00C6287D">
      <w:pPr>
        <w:pStyle w:val="FootnoteText"/>
        <w:spacing w:before="120"/>
      </w:pPr>
      <w:r>
        <w:rPr>
          <w:rStyle w:val="FootnoteReference"/>
        </w:rPr>
        <w:footnoteRef/>
      </w:r>
      <w:r>
        <w:t xml:space="preserve"> </w:t>
      </w:r>
      <w:r>
        <w:rPr>
          <w:i/>
          <w:iCs/>
        </w:rPr>
        <w:t>2018 State of the States Report</w:t>
      </w:r>
      <w:r>
        <w:rPr>
          <w:i/>
        </w:rPr>
        <w:t xml:space="preserve"> </w:t>
      </w:r>
      <w:r>
        <w:t>at 12.</w:t>
      </w:r>
    </w:p>
  </w:footnote>
  <w:footnote w:id="143">
    <w:p w:rsidR="00B63070" w:rsidP="00C6287D">
      <w:pPr>
        <w:pStyle w:val="FootnoteText"/>
        <w:spacing w:before="120"/>
        <w:jc w:val="both"/>
      </w:pPr>
      <w:r>
        <w:rPr>
          <w:rStyle w:val="FootnoteReference"/>
        </w:rPr>
        <w:footnoteRef/>
      </w:r>
      <w:r>
        <w:t xml:space="preserve"> </w:t>
      </w:r>
      <w:r>
        <w:rPr>
          <w:i/>
          <w:iCs/>
        </w:rPr>
        <w:t>Id.</w:t>
      </w:r>
      <w:r>
        <w:rPr>
          <w:i/>
        </w:rPr>
        <w:t xml:space="preserve"> </w:t>
      </w:r>
      <w:r>
        <w:t xml:space="preserve">at 20.  </w:t>
      </w:r>
    </w:p>
  </w:footnote>
  <w:footnote w:id="144">
    <w:p w:rsidR="00B63070" w:rsidP="00C6287D">
      <w:pPr>
        <w:pStyle w:val="FootnoteText"/>
        <w:spacing w:before="120"/>
      </w:pPr>
      <w:r>
        <w:rPr>
          <w:rStyle w:val="FootnoteReference"/>
        </w:rPr>
        <w:footnoteRef/>
      </w:r>
      <w:r>
        <w:t xml:space="preserve"> </w:t>
      </w:r>
      <w:r>
        <w:rPr>
          <w:i/>
        </w:rPr>
        <w:t xml:space="preserve">CoSN’s </w:t>
      </w:r>
      <w:r w:rsidRPr="00912DC7">
        <w:rPr>
          <w:i/>
        </w:rPr>
        <w:t>201</w:t>
      </w:r>
      <w:r>
        <w:rPr>
          <w:i/>
        </w:rPr>
        <w:t>8-2019</w:t>
      </w:r>
      <w:r w:rsidRPr="00912DC7">
        <w:rPr>
          <w:i/>
        </w:rPr>
        <w:t xml:space="preserve"> Annual Infrastructure Survey Report</w:t>
      </w:r>
      <w:r w:rsidRPr="005F7338">
        <w:rPr>
          <w:i/>
        </w:rPr>
        <w:t xml:space="preserve"> </w:t>
      </w:r>
      <w:r>
        <w:t>at 3.</w:t>
      </w:r>
    </w:p>
  </w:footnote>
  <w:footnote w:id="145">
    <w:p w:rsidR="00B63070" w:rsidRPr="00636F48" w:rsidP="00C6287D">
      <w:pPr>
        <w:pStyle w:val="FootnoteText"/>
        <w:spacing w:before="120"/>
      </w:pPr>
      <w:r>
        <w:rPr>
          <w:rStyle w:val="FootnoteReference"/>
        </w:rPr>
        <w:footnoteRef/>
      </w:r>
      <w:r>
        <w:t xml:space="preserve"> </w:t>
      </w:r>
      <w:r>
        <w:rPr>
          <w:i/>
          <w:iCs/>
        </w:rPr>
        <w:t>2018 State of the States Report</w:t>
      </w:r>
      <w:r>
        <w:rPr>
          <w:i/>
        </w:rPr>
        <w:t xml:space="preserve"> </w:t>
      </w:r>
      <w:r>
        <w:t>at 20.</w:t>
      </w:r>
    </w:p>
  </w:footnote>
  <w:footnote w:id="146">
    <w:p w:rsidR="00B63070" w:rsidRPr="00057F15" w:rsidP="00C6287D">
      <w:pPr>
        <w:pStyle w:val="FootnoteText"/>
        <w:spacing w:before="120"/>
      </w:pPr>
      <w:r>
        <w:rPr>
          <w:rStyle w:val="FootnoteReference"/>
        </w:rPr>
        <w:footnoteRef/>
      </w:r>
      <w:r>
        <w:t xml:space="preserve"> </w:t>
      </w:r>
      <w:r>
        <w:rPr>
          <w:i/>
          <w:iCs/>
        </w:rPr>
        <w:t xml:space="preserve">Id. </w:t>
      </w:r>
      <w:r>
        <w:t xml:space="preserve">at 12.  </w:t>
      </w:r>
    </w:p>
  </w:footnote>
  <w:footnote w:id="147">
    <w:p w:rsidR="00B63070" w:rsidP="00C6287D">
      <w:pPr>
        <w:pStyle w:val="FootnoteText"/>
        <w:spacing w:before="120"/>
      </w:pPr>
      <w:r>
        <w:rPr>
          <w:rStyle w:val="FootnoteReference"/>
        </w:rPr>
        <w:footnoteRef/>
      </w:r>
      <w:r>
        <w:t xml:space="preserve"> </w:t>
      </w:r>
      <w:r>
        <w:rPr>
          <w:i/>
        </w:rPr>
        <w:t>See 2018 Report</w:t>
      </w:r>
      <w:r>
        <w:t>, 33 FCC Rcd at 1703-08, paras. 80-93.</w:t>
      </w:r>
    </w:p>
  </w:footnote>
  <w:footnote w:id="148">
    <w:p w:rsidR="00B63070" w:rsidRPr="00BE3771" w:rsidP="00C6287D">
      <w:pPr>
        <w:autoSpaceDE w:val="0"/>
        <w:autoSpaceDN w:val="0"/>
        <w:adjustRightInd w:val="0"/>
        <w:spacing w:before="120" w:after="120"/>
        <w:rPr>
          <w:i/>
          <w:iCs/>
        </w:rPr>
      </w:pPr>
      <w:r w:rsidRPr="00BE3771">
        <w:rPr>
          <w:rStyle w:val="FootnoteReference"/>
        </w:rPr>
        <w:footnoteRef/>
      </w:r>
      <w:r w:rsidRPr="00BE3771">
        <w:t xml:space="preserve"> </w:t>
      </w:r>
      <w:r>
        <w:rPr>
          <w:i/>
          <w:sz w:val="20"/>
        </w:rPr>
        <w:t>Accelerating Wireless Broadband Deployment by Removing Barriers to Infrastructure Deployment</w:t>
      </w:r>
      <w:r>
        <w:rPr>
          <w:sz w:val="20"/>
        </w:rPr>
        <w:t xml:space="preserve">, Second </w:t>
      </w:r>
      <w:r w:rsidRPr="00184D32">
        <w:rPr>
          <w:sz w:val="20"/>
        </w:rPr>
        <w:t>Report and Order, FCC 18-30, 3, para. 4. (Mar. 30, 2018)</w:t>
      </w:r>
      <w:r w:rsidRPr="00184D32">
        <w:rPr>
          <w:i/>
          <w:iCs/>
          <w:sz w:val="20"/>
        </w:rPr>
        <w:t>.</w:t>
      </w:r>
    </w:p>
  </w:footnote>
  <w:footnote w:id="149">
    <w:p w:rsidR="00B63070" w:rsidRPr="00BE3771" w:rsidP="00C6287D">
      <w:pPr>
        <w:pStyle w:val="FootnoteText"/>
        <w:spacing w:before="120"/>
      </w:pPr>
      <w:r w:rsidRPr="00BE3771">
        <w:rPr>
          <w:rStyle w:val="FootnoteReference"/>
        </w:rPr>
        <w:footnoteRef/>
      </w:r>
      <w:r w:rsidRPr="00BE3771">
        <w:t xml:space="preserve"> </w:t>
      </w:r>
      <w:r w:rsidRPr="00BE3771">
        <w:rPr>
          <w:i/>
          <w:iCs/>
        </w:rPr>
        <w:t>Id.</w:t>
      </w:r>
      <w:r w:rsidRPr="00BE3771">
        <w:t xml:space="preserve"> at 3, para. 6.</w:t>
      </w:r>
    </w:p>
  </w:footnote>
  <w:footnote w:id="150">
    <w:p w:rsidR="00B63070" w:rsidRPr="00BE3771" w:rsidP="00C6287D">
      <w:pPr>
        <w:pStyle w:val="FootnoteText"/>
        <w:spacing w:before="120"/>
      </w:pPr>
      <w:r w:rsidRPr="00BE3771">
        <w:rPr>
          <w:rStyle w:val="FootnoteReference"/>
        </w:rPr>
        <w:footnoteRef/>
      </w:r>
      <w:r w:rsidRPr="00BE3771">
        <w:t xml:space="preserve"> </w:t>
      </w:r>
      <w:r w:rsidRPr="00BE3771">
        <w:rPr>
          <w:i/>
          <w:iCs/>
        </w:rPr>
        <w:t xml:space="preserve">Id. </w:t>
      </w:r>
      <w:r w:rsidRPr="00BE3771">
        <w:t>at 4, para. 8.</w:t>
      </w:r>
    </w:p>
  </w:footnote>
  <w:footnote w:id="151">
    <w:p w:rsidR="00B63070" w:rsidRPr="00BE3771" w:rsidP="00C6287D">
      <w:pPr>
        <w:pStyle w:val="FootnoteText"/>
        <w:spacing w:before="120"/>
      </w:pPr>
      <w:r w:rsidRPr="00BE3771">
        <w:rPr>
          <w:rStyle w:val="FootnoteReference"/>
        </w:rPr>
        <w:footnoteRef/>
      </w:r>
      <w:r w:rsidRPr="00BE3771">
        <w:t xml:space="preserve"> Accenture Strategy, “Impact of Federal Regulatory Reviews on Small Cell Deployment,” March 12, 2018, </w:t>
      </w:r>
      <w:hyperlink r:id="rId10" w:history="1">
        <w:r w:rsidRPr="00BE3771">
          <w:rPr>
            <w:rStyle w:val="Hyperlink"/>
          </w:rPr>
          <w:t>https://api.ctia.org/docs/default-source/default-document-library/small-cell-deployment-regulatory-review-costs_3-12-2018.pdf</w:t>
        </w:r>
      </w:hyperlink>
      <w:r w:rsidRPr="00BE3771">
        <w:t>.</w:t>
      </w:r>
    </w:p>
  </w:footnote>
  <w:footnote w:id="152">
    <w:p w:rsidR="00B63070" w:rsidRPr="00BE3771" w:rsidP="00C6287D">
      <w:pPr>
        <w:pStyle w:val="FootnoteText"/>
        <w:spacing w:before="120"/>
      </w:pPr>
      <w:r w:rsidRPr="00BE3771">
        <w:rPr>
          <w:rStyle w:val="FootnoteReference"/>
        </w:rPr>
        <w:footnoteRef/>
      </w:r>
      <w:r w:rsidRPr="00BE3771">
        <w:t xml:space="preserve"> </w:t>
      </w:r>
      <w:r w:rsidRPr="00BE3771">
        <w:rPr>
          <w:i/>
          <w:iCs/>
        </w:rPr>
        <w:t xml:space="preserve">See </w:t>
      </w:r>
      <w:r>
        <w:rPr>
          <w:i/>
          <w:iCs/>
        </w:rPr>
        <w:t xml:space="preserve">generally </w:t>
      </w:r>
      <w:r w:rsidRPr="00640FB2">
        <w:rPr>
          <w:i/>
        </w:rPr>
        <w:t>Accelerating Wireless Broadband Deployment by Removing Barriers to Infrastructure Investment</w:t>
      </w:r>
      <w:r w:rsidRPr="00640FB2">
        <w:t xml:space="preserve">, WT Docket No. 17-79, Declaratory Ruling and Third Report and Order, </w:t>
      </w:r>
      <w:r>
        <w:t>33 FCC Rcd 9088, 9098-99, para. 27</w:t>
      </w:r>
      <w:r w:rsidRPr="00640FB2">
        <w:t xml:space="preserve"> (2018) (</w:t>
      </w:r>
      <w:r w:rsidRPr="00640FB2">
        <w:rPr>
          <w:i/>
        </w:rPr>
        <w:t>Wireless Infrastructure Third Report and Order)</w:t>
      </w:r>
      <w:r w:rsidRPr="00BE3771">
        <w:t>.</w:t>
      </w:r>
    </w:p>
  </w:footnote>
  <w:footnote w:id="153">
    <w:p w:rsidR="00B63070" w:rsidRPr="00BE3771" w:rsidP="00C6287D">
      <w:pPr>
        <w:pStyle w:val="FootnoteText"/>
        <w:spacing w:before="120"/>
      </w:pPr>
      <w:r w:rsidRPr="00BE3771">
        <w:rPr>
          <w:rStyle w:val="FootnoteReference"/>
        </w:rPr>
        <w:footnoteRef/>
      </w:r>
      <w:r w:rsidRPr="00BE3771">
        <w:t xml:space="preserve"> </w:t>
      </w:r>
      <w:r w:rsidRPr="00BE3771">
        <w:rPr>
          <w:i/>
        </w:rPr>
        <w:t>Implementation of Section 6002(b) of the Omnibus Budget Reconciliation Act of 1993; Annual Report and Analysis of Competitive Market Conditions With Respect to Mobile Wireless, Including Commercial Mobile Services</w:t>
      </w:r>
      <w:r w:rsidRPr="00BE3771">
        <w:t xml:space="preserve">, </w:t>
      </w:r>
      <w:r w:rsidRPr="00BE3771">
        <w:rPr>
          <w:iCs/>
        </w:rPr>
        <w:t>Sixteenth Report</w:t>
      </w:r>
      <w:r w:rsidRPr="00BE3771">
        <w:t xml:space="preserve">, 28 FCC Rcd 3700, </w:t>
      </w:r>
      <w:r w:rsidRPr="007270A6">
        <w:t>3765, para.76 (2013).</w:t>
      </w:r>
    </w:p>
  </w:footnote>
  <w:footnote w:id="154">
    <w:p w:rsidR="00B63070" w:rsidRPr="00304D79" w:rsidP="00C6287D">
      <w:pPr>
        <w:autoSpaceDE w:val="0"/>
        <w:autoSpaceDN w:val="0"/>
        <w:adjustRightInd w:val="0"/>
        <w:spacing w:before="120" w:after="120"/>
      </w:pPr>
      <w:r w:rsidRPr="00BE3771">
        <w:rPr>
          <w:rStyle w:val="FootnoteReference"/>
        </w:rPr>
        <w:footnoteRef/>
      </w:r>
      <w:r w:rsidRPr="00BE3771">
        <w:t xml:space="preserve"> </w:t>
      </w:r>
      <w:r>
        <w:rPr>
          <w:i/>
          <w:sz w:val="20"/>
        </w:rPr>
        <w:t>Accelerating Wireless Broadband Deployment by Removing Barriers to Infrastructure Deployment</w:t>
      </w:r>
      <w:r>
        <w:rPr>
          <w:sz w:val="20"/>
        </w:rPr>
        <w:t>, Notice of</w:t>
      </w:r>
      <w:r w:rsidRPr="00CA5F7C">
        <w:rPr>
          <w:sz w:val="20"/>
        </w:rPr>
        <w:t xml:space="preserve"> </w:t>
      </w:r>
      <w:r w:rsidRPr="00D61250">
        <w:rPr>
          <w:sz w:val="20"/>
        </w:rPr>
        <w:t>Proposed Rulemaking and Notice of Inquiry, 32 FCC Rcd 3330, 3343, paras. 32-34 (2017).</w:t>
      </w:r>
    </w:p>
  </w:footnote>
  <w:footnote w:id="155">
    <w:p w:rsidR="00B63070" w:rsidRPr="00BE3771" w:rsidP="00C6287D">
      <w:pPr>
        <w:pStyle w:val="FootnoteText"/>
        <w:spacing w:before="120"/>
      </w:pPr>
      <w:r w:rsidRPr="00BE3771">
        <w:rPr>
          <w:rStyle w:val="FootnoteReference"/>
        </w:rPr>
        <w:footnoteRef/>
      </w:r>
      <w:r w:rsidRPr="00BE3771">
        <w:rPr>
          <w:i/>
          <w:iCs/>
        </w:rPr>
        <w:t xml:space="preserve"> </w:t>
      </w:r>
      <w:r w:rsidRPr="00BE3771">
        <w:t xml:space="preserve">An estimated 100,000 to 150,000 small cells will be constructed by the end of 2018, and these numbers are projected to reach 455,000 by 2020, and 800,000 by 2026.  </w:t>
      </w:r>
      <w:r>
        <w:rPr>
          <w:i/>
        </w:rPr>
        <w:t>Accelerating Wireline Broadband Deployment by Removing Barriers to Infrastructure Investment</w:t>
      </w:r>
      <w:r>
        <w:t>, WC Docket No. 17-84, Third Report and Order and Declaratory Ruling, 33 FCC Rcd 7705, 7706, para. 1 (2018) (</w:t>
      </w:r>
      <w:r w:rsidRPr="00202257">
        <w:rPr>
          <w:i/>
        </w:rPr>
        <w:t>Wireline Infrastructure Third Report and Order</w:t>
      </w:r>
      <w:r>
        <w:t>)</w:t>
      </w:r>
      <w:r w:rsidRPr="00BE3771">
        <w:t xml:space="preserve">.  </w:t>
      </w:r>
    </w:p>
  </w:footnote>
  <w:footnote w:id="156">
    <w:p w:rsidR="00B63070" w:rsidRPr="00BE3771" w:rsidP="00C6287D">
      <w:pPr>
        <w:pStyle w:val="FootnoteText"/>
        <w:spacing w:before="120"/>
      </w:pPr>
      <w:r w:rsidRPr="00BE3771">
        <w:rPr>
          <w:rStyle w:val="FootnoteReference"/>
        </w:rPr>
        <w:footnoteRef/>
      </w:r>
      <w:r w:rsidRPr="00BE3771">
        <w:t xml:space="preserve"> </w:t>
      </w:r>
      <w:r w:rsidRPr="00BE3771">
        <w:rPr>
          <w:i/>
          <w:iCs/>
        </w:rPr>
        <w:t>Wireless Infrastructure Third Report and Order</w:t>
      </w:r>
      <w:r>
        <w:rPr>
          <w:iCs/>
        </w:rPr>
        <w:t>, 33 FCC Rcd</w:t>
      </w:r>
      <w:r w:rsidRPr="00BE3771">
        <w:rPr>
          <w:b/>
          <w:bCs/>
        </w:rPr>
        <w:t xml:space="preserve"> </w:t>
      </w:r>
      <w:r w:rsidRPr="00BE3771">
        <w:t xml:space="preserve">at </w:t>
      </w:r>
      <w:r>
        <w:t>9089</w:t>
      </w:r>
      <w:r w:rsidRPr="00BE3771">
        <w:t>, para. 3.</w:t>
      </w:r>
    </w:p>
  </w:footnote>
  <w:footnote w:id="157">
    <w:p w:rsidR="00B63070" w:rsidRPr="00BE3771" w:rsidP="00C6287D">
      <w:pPr>
        <w:pStyle w:val="FootnoteText"/>
        <w:spacing w:before="120"/>
      </w:pPr>
      <w:r w:rsidRPr="00BE3771">
        <w:rPr>
          <w:rStyle w:val="FootnoteReference"/>
        </w:rPr>
        <w:footnoteRef/>
      </w:r>
      <w:r w:rsidRPr="00BE3771">
        <w:t xml:space="preserve"> </w:t>
      </w:r>
      <w:r>
        <w:rPr>
          <w:i/>
          <w:iCs/>
        </w:rPr>
        <w:t>Id.</w:t>
      </w:r>
      <w:r w:rsidRPr="00BE3771">
        <w:rPr>
          <w:b/>
          <w:bCs/>
        </w:rPr>
        <w:t xml:space="preserve"> </w:t>
      </w:r>
      <w:r w:rsidRPr="00BE3771">
        <w:t xml:space="preserve">at </w:t>
      </w:r>
      <w:r>
        <w:t>9130-34</w:t>
      </w:r>
      <w:r w:rsidRPr="00BE3771">
        <w:t>, paras. 84-91.</w:t>
      </w:r>
    </w:p>
  </w:footnote>
  <w:footnote w:id="158">
    <w:p w:rsidR="00B63070" w:rsidRPr="00BE3771" w:rsidP="00C6287D">
      <w:pPr>
        <w:pStyle w:val="FootnoteText"/>
        <w:spacing w:before="120"/>
      </w:pPr>
      <w:r w:rsidRPr="00BE3771">
        <w:rPr>
          <w:rStyle w:val="FootnoteReference"/>
        </w:rPr>
        <w:footnoteRef/>
      </w:r>
      <w:r w:rsidRPr="00BE3771">
        <w:t xml:space="preserve"> </w:t>
      </w:r>
      <w:r>
        <w:rPr>
          <w:i/>
          <w:iCs/>
        </w:rPr>
        <w:t>Id.</w:t>
      </w:r>
      <w:r w:rsidRPr="00BE3771">
        <w:rPr>
          <w:b/>
          <w:bCs/>
        </w:rPr>
        <w:t xml:space="preserve"> </w:t>
      </w:r>
      <w:r w:rsidRPr="00BE3771">
        <w:t xml:space="preserve">at </w:t>
      </w:r>
      <w:r>
        <w:t>9102-03</w:t>
      </w:r>
      <w:r w:rsidRPr="00BE3771">
        <w:t>, para. 35.</w:t>
      </w:r>
    </w:p>
  </w:footnote>
  <w:footnote w:id="159">
    <w:p w:rsidR="00B63070" w:rsidRPr="00BE3771" w:rsidP="00C6287D">
      <w:pPr>
        <w:pStyle w:val="FootnoteText"/>
        <w:spacing w:before="120"/>
      </w:pPr>
      <w:r w:rsidRPr="00BE3771">
        <w:rPr>
          <w:rStyle w:val="FootnoteReference"/>
        </w:rPr>
        <w:footnoteRef/>
      </w:r>
      <w:r w:rsidRPr="00BE3771">
        <w:rPr>
          <w:i/>
          <w:iCs/>
        </w:rPr>
        <w:t xml:space="preserve"> </w:t>
      </w:r>
      <w:r>
        <w:rPr>
          <w:i/>
          <w:iCs/>
        </w:rPr>
        <w:t>Id.</w:t>
      </w:r>
      <w:r w:rsidRPr="00BE3771">
        <w:rPr>
          <w:b/>
          <w:bCs/>
        </w:rPr>
        <w:t xml:space="preserve"> </w:t>
      </w:r>
      <w:r w:rsidRPr="00BE3771">
        <w:t xml:space="preserve">at </w:t>
      </w:r>
      <w:r>
        <w:t>9100-01</w:t>
      </w:r>
      <w:r w:rsidRPr="00BE3771">
        <w:t xml:space="preserve">, para. </w:t>
      </w:r>
      <w:r>
        <w:t>32</w:t>
      </w:r>
      <w:r w:rsidRPr="00BE3771">
        <w:t>.</w:t>
      </w:r>
    </w:p>
  </w:footnote>
  <w:footnote w:id="160">
    <w:p w:rsidR="00B63070" w:rsidP="00C6287D">
      <w:pPr>
        <w:pStyle w:val="FootnoteText"/>
      </w:pPr>
      <w:r>
        <w:rPr>
          <w:rStyle w:val="FootnoteReference"/>
        </w:rPr>
        <w:footnoteRef/>
      </w:r>
      <w:r>
        <w:t xml:space="preserve"> </w:t>
      </w:r>
      <w:r>
        <w:rPr>
          <w:i/>
          <w:iCs/>
        </w:rPr>
        <w:t>Id.</w:t>
      </w:r>
      <w:r w:rsidRPr="00BE3771">
        <w:rPr>
          <w:b/>
          <w:bCs/>
        </w:rPr>
        <w:t xml:space="preserve"> </w:t>
      </w:r>
      <w:r>
        <w:t>a</w:t>
      </w:r>
      <w:r w:rsidRPr="00BE3771">
        <w:t>t</w:t>
      </w:r>
      <w:r>
        <w:t xml:space="preserve"> 9142-47, paras. 104-112.</w:t>
      </w:r>
    </w:p>
  </w:footnote>
  <w:footnote w:id="161">
    <w:p w:rsidR="00B63070" w:rsidP="00C6287D">
      <w:pPr>
        <w:pStyle w:val="FootnoteText"/>
        <w:rPr>
          <w:rFonts w:ascii="TimesNewRomanPSMT" w:hAnsi="TimesNewRomanPSMT" w:cs="TimesNewRomanPSMT"/>
          <w:szCs w:val="22"/>
        </w:rPr>
      </w:pPr>
      <w:r>
        <w:rPr>
          <w:rStyle w:val="FootnoteReference"/>
        </w:rPr>
        <w:footnoteRef/>
      </w:r>
      <w:r>
        <w:t xml:space="preserve"> </w:t>
      </w:r>
      <w:r>
        <w:rPr>
          <w:i/>
        </w:rPr>
        <w:t>Accelerating Wireline Broadband Deployment by Removing Barriers to Infrastructure Investment</w:t>
      </w:r>
      <w:r>
        <w:t>, WC Docket No. 17-84, Second Report and Order, 33 FCC Rcd 5660 (2018)</w:t>
      </w:r>
      <w:r w:rsidRPr="00D61250">
        <w:t>.</w:t>
      </w:r>
      <w:r>
        <w:rPr>
          <w:rFonts w:ascii="TimesNewRomanPSMT" w:hAnsi="TimesNewRomanPSMT" w:cs="TimesNewRomanPSMT"/>
        </w:rPr>
        <w:t xml:space="preserve"> </w:t>
      </w:r>
    </w:p>
  </w:footnote>
  <w:footnote w:id="162">
    <w:p w:rsidR="00B63070" w:rsidP="00C6287D">
      <w:pPr>
        <w:pStyle w:val="FootnoteText"/>
        <w:spacing w:before="120"/>
      </w:pPr>
      <w:r>
        <w:rPr>
          <w:rStyle w:val="FootnoteReference"/>
        </w:rPr>
        <w:footnoteRef/>
      </w:r>
      <w:r>
        <w:t xml:space="preserve"> </w:t>
      </w:r>
      <w:r w:rsidRPr="00673134">
        <w:rPr>
          <w:i/>
        </w:rPr>
        <w:t>A</w:t>
      </w:r>
      <w:r w:rsidRPr="007B1224">
        <w:rPr>
          <w:i/>
        </w:rPr>
        <w:t>ccelerating Wireline Broadband Deployment by Removing Barriers to Infrastructure Investment</w:t>
      </w:r>
      <w:r w:rsidRPr="007B1224">
        <w:t>, WC Docket No. 17-84, Report and Order, Declaratory Ruling, and Further Notice of Proposed Rulemaking,</w:t>
      </w:r>
      <w:r>
        <w:t xml:space="preserve"> </w:t>
      </w:r>
      <w:r w:rsidRPr="00555748">
        <w:t>32 FCC Rcd 11128</w:t>
      </w:r>
      <w:r>
        <w:t>, 11187-94, paras. 156-79</w:t>
      </w:r>
      <w:r w:rsidRPr="00555748">
        <w:t xml:space="preserve"> (</w:t>
      </w:r>
      <w:r w:rsidRPr="007B1224">
        <w:t>2017) (</w:t>
      </w:r>
      <w:r w:rsidRPr="007B1224">
        <w:rPr>
          <w:i/>
        </w:rPr>
        <w:t>Wireline Infrastructure Order and FNPRM</w:t>
      </w:r>
      <w:r w:rsidRPr="007B1224">
        <w:t>).</w:t>
      </w:r>
    </w:p>
  </w:footnote>
  <w:footnote w:id="163">
    <w:p w:rsidR="00B63070" w:rsidP="00C6287D">
      <w:pPr>
        <w:pStyle w:val="FootnoteText"/>
        <w:spacing w:before="120"/>
      </w:pPr>
      <w:r>
        <w:rPr>
          <w:rStyle w:val="FootnoteReference"/>
        </w:rPr>
        <w:footnoteRef/>
      </w:r>
      <w:r>
        <w:t xml:space="preserve"> </w:t>
      </w:r>
      <w:r>
        <w:rPr>
          <w:i/>
        </w:rPr>
        <w:t>Petition of NTCA–The Rural Broadband Association and the United States Telecom Association for Forbearance Pursuant to 47 U.S.C. § 160(c) from Application of Contribution Obligations on Broadband Internet Access Transmission Services</w:t>
      </w:r>
      <w:r>
        <w:t>, Order, WC Docket No. 17-206, Order, 33 FCC 18-75 (June 8, Rcd 5712</w:t>
      </w:r>
      <w:r w:rsidRPr="00BE3771">
        <w:t xml:space="preserve"> (2018)</w:t>
      </w:r>
      <w:r>
        <w:t xml:space="preserve"> (</w:t>
      </w:r>
      <w:r w:rsidRPr="005E2662">
        <w:rPr>
          <w:i/>
        </w:rPr>
        <w:t>NTCA Contribution Obligations Forbearance Order</w:t>
      </w:r>
      <w:r>
        <w:t>).</w:t>
      </w:r>
    </w:p>
  </w:footnote>
  <w:footnote w:id="164">
    <w:p w:rsidR="00B63070" w:rsidRPr="00A33879" w:rsidP="00C6287D">
      <w:pPr>
        <w:pStyle w:val="FootnoteText"/>
        <w:spacing w:before="120"/>
      </w:pPr>
      <w:r>
        <w:rPr>
          <w:rStyle w:val="FootnoteReference"/>
        </w:rPr>
        <w:footnoteRef/>
      </w:r>
      <w:r>
        <w:t xml:space="preserve"> </w:t>
      </w:r>
      <w:r w:rsidRPr="00EE5B01">
        <w:rPr>
          <w:i/>
        </w:rPr>
        <w:t>See</w:t>
      </w:r>
      <w:r w:rsidRPr="00EE5B01">
        <w:t xml:space="preserve"> 47 U.S.C. § 254(d), 47 </w:t>
      </w:r>
      <w:r w:rsidRPr="00A33879">
        <w:rPr>
          <w:snapToGrid w:val="0"/>
          <w:kern w:val="28"/>
        </w:rPr>
        <w:t>CFR</w:t>
      </w:r>
      <w:r w:rsidRPr="00EE5B01">
        <w:t xml:space="preserve"> § 54.706.</w:t>
      </w:r>
    </w:p>
  </w:footnote>
  <w:footnote w:id="165">
    <w:p w:rsidR="00B63070" w:rsidRPr="00640FB2" w:rsidP="00C6287D">
      <w:pPr>
        <w:pStyle w:val="FootnoteText"/>
        <w:spacing w:before="120"/>
      </w:pPr>
      <w:r>
        <w:rPr>
          <w:rStyle w:val="FootnoteReference"/>
        </w:rPr>
        <w:footnoteRef/>
      </w:r>
      <w:r w:rsidRPr="00640FB2">
        <w:rPr>
          <w:kern w:val="28"/>
        </w:rPr>
        <w:t xml:space="preserve"> </w:t>
      </w:r>
      <w:r w:rsidRPr="00915D67">
        <w:rPr>
          <w:i/>
        </w:rPr>
        <w:t xml:space="preserve">NTCA Contribution Obligations Forbearance </w:t>
      </w:r>
      <w:r w:rsidRPr="00640FB2">
        <w:rPr>
          <w:i/>
        </w:rPr>
        <w:t>Order</w:t>
      </w:r>
      <w:r>
        <w:t xml:space="preserve">, 33 FCC Rcd at </w:t>
      </w:r>
      <w:r w:rsidRPr="00640FB2">
        <w:t>5712, 5716-17</w:t>
      </w:r>
      <w:r>
        <w:t>, paras. 2, 15-18.</w:t>
      </w:r>
    </w:p>
  </w:footnote>
  <w:footnote w:id="166">
    <w:p w:rsidR="00B63070" w:rsidP="00C6287D">
      <w:pPr>
        <w:pStyle w:val="FootnoteText"/>
        <w:spacing w:before="120"/>
      </w:pPr>
      <w:r>
        <w:rPr>
          <w:rStyle w:val="FootnoteReference"/>
        </w:rPr>
        <w:footnoteRef/>
      </w:r>
      <w:r w:rsidRPr="00820DFD">
        <w:t xml:space="preserve"> </w:t>
      </w:r>
      <w:r w:rsidRPr="00202257">
        <w:rPr>
          <w:i/>
        </w:rPr>
        <w:t xml:space="preserve">Wireline Infrastructure </w:t>
      </w:r>
      <w:r w:rsidRPr="00820DFD">
        <w:rPr>
          <w:i/>
        </w:rPr>
        <w:t>Third Report and Order</w:t>
      </w:r>
      <w:r>
        <w:t>, 33 FCC Rcd at 7711-74, paras. 13-136.</w:t>
      </w:r>
    </w:p>
  </w:footnote>
  <w:footnote w:id="167">
    <w:p w:rsidR="00B63070" w:rsidRPr="0019766F" w:rsidP="00C6287D">
      <w:pPr>
        <w:pStyle w:val="FootnoteText"/>
        <w:spacing w:before="120"/>
      </w:pPr>
      <w:r w:rsidRPr="0019766F">
        <w:rPr>
          <w:rStyle w:val="FootnoteReference"/>
        </w:rPr>
        <w:footnoteRef/>
      </w:r>
      <w:r w:rsidRPr="0019766F">
        <w:t xml:space="preserve"> </w:t>
      </w:r>
      <w:r w:rsidRPr="0019766F">
        <w:rPr>
          <w:i/>
        </w:rPr>
        <w:t>See</w:t>
      </w:r>
      <w:r>
        <w:t xml:space="preserve"> </w:t>
      </w:r>
      <w:r w:rsidRPr="00BE3771">
        <w:t xml:space="preserve">Letter from Paul D’Ari, Designated Federal Officer, Broadband Deployment Advisory Committee, FCC, to Marlene H. Dortch, Secretary, FCC, WC Docket No. 17-84 (filed July 3, 2018), at Attach. Broadband Deployment Advisory Committee, FCC, Report of the Competitive Access to Broadband Infrastructure Working Group, at </w:t>
      </w:r>
      <w:r>
        <w:t>18-31</w:t>
      </w:r>
      <w:r w:rsidRPr="00BE3771">
        <w:t xml:space="preserve"> (2018)</w:t>
      </w:r>
      <w:r>
        <w:t xml:space="preserve"> </w:t>
      </w:r>
      <w:r w:rsidRPr="00BE3771">
        <w:t xml:space="preserve">(BDAC January 2018 Recommendations), </w:t>
      </w:r>
      <w:hyperlink r:id="rId11" w:history="1">
        <w:r w:rsidRPr="00BE3771">
          <w:rPr>
            <w:rStyle w:val="Hyperlink"/>
          </w:rPr>
          <w:t>https://ecfsapi.fcc.gov/file/107030255502405/Competitive%20Access%20to%20Broadband%20Infrastructure%20Report.pdf</w:t>
        </w:r>
      </w:hyperlink>
      <w:r>
        <w:t>.</w:t>
      </w:r>
    </w:p>
  </w:footnote>
  <w:footnote w:id="168">
    <w:p w:rsidR="00B63070" w:rsidP="00C6287D">
      <w:pPr>
        <w:pStyle w:val="FootnoteText"/>
        <w:spacing w:before="120"/>
      </w:pPr>
      <w:r>
        <w:rPr>
          <w:rStyle w:val="FootnoteReference"/>
        </w:rPr>
        <w:footnoteRef/>
      </w:r>
      <w:r>
        <w:t xml:space="preserve"> </w:t>
      </w:r>
      <w:r w:rsidRPr="00002ADD">
        <w:rPr>
          <w:i/>
        </w:rPr>
        <w:t>Wireline Infrastructure Third Report and Order</w:t>
      </w:r>
      <w:r>
        <w:t>, 33 FCC Rcd at 7706, para. 2.</w:t>
      </w:r>
    </w:p>
  </w:footnote>
  <w:footnote w:id="169">
    <w:p w:rsidR="00B63070" w:rsidP="00C6287D">
      <w:pPr>
        <w:pStyle w:val="FootnoteText"/>
        <w:spacing w:before="120"/>
      </w:pPr>
      <w:r>
        <w:rPr>
          <w:rStyle w:val="FootnoteReference"/>
        </w:rPr>
        <w:footnoteRef/>
      </w:r>
      <w:r>
        <w:t xml:space="preserve"> </w:t>
      </w:r>
      <w:r>
        <w:rPr>
          <w:i/>
        </w:rPr>
        <w:t>Id</w:t>
      </w:r>
      <w:r>
        <w:t>. at 7706, 7714-25, paras. 2, 16-35.</w:t>
      </w:r>
    </w:p>
  </w:footnote>
  <w:footnote w:id="170">
    <w:p w:rsidR="00B63070" w:rsidP="00C6287D">
      <w:pPr>
        <w:pStyle w:val="FootnoteText"/>
        <w:spacing w:before="120"/>
      </w:pPr>
      <w:r>
        <w:rPr>
          <w:rStyle w:val="FootnoteReference"/>
        </w:rPr>
        <w:footnoteRef/>
      </w:r>
      <w:r>
        <w:t xml:space="preserve"> </w:t>
      </w:r>
      <w:r>
        <w:rPr>
          <w:i/>
        </w:rPr>
        <w:t>Id</w:t>
      </w:r>
      <w:r>
        <w:t xml:space="preserve">.  </w:t>
      </w:r>
    </w:p>
  </w:footnote>
  <w:footnote w:id="171">
    <w:p w:rsidR="00B63070" w:rsidP="00C6287D">
      <w:pPr>
        <w:pStyle w:val="FootnoteText"/>
        <w:spacing w:before="120"/>
      </w:pPr>
      <w:r>
        <w:rPr>
          <w:rStyle w:val="FootnoteReference"/>
        </w:rPr>
        <w:footnoteRef/>
      </w:r>
      <w:r>
        <w:t xml:space="preserve"> </w:t>
      </w:r>
      <w:r>
        <w:rPr>
          <w:i/>
        </w:rPr>
        <w:t>Id</w:t>
      </w:r>
      <w:r>
        <w:t xml:space="preserve">. at 7706, para. 2.  </w:t>
      </w:r>
    </w:p>
  </w:footnote>
  <w:footnote w:id="172">
    <w:p w:rsidR="00B63070" w:rsidP="00C6287D">
      <w:pPr>
        <w:pStyle w:val="FootnoteText"/>
        <w:spacing w:before="120"/>
      </w:pPr>
      <w:r>
        <w:rPr>
          <w:rStyle w:val="FootnoteReference"/>
        </w:rPr>
        <w:footnoteRef/>
      </w:r>
      <w:r>
        <w:t xml:space="preserve"> </w:t>
      </w:r>
      <w:r>
        <w:rPr>
          <w:i/>
        </w:rPr>
        <w:t>Id</w:t>
      </w:r>
      <w:r>
        <w:t xml:space="preserve">. at 7706-07, 7761-66, paras. 3, 115-22.  </w:t>
      </w:r>
    </w:p>
  </w:footnote>
  <w:footnote w:id="173">
    <w:p w:rsidR="00B63070" w:rsidP="00C6287D">
      <w:pPr>
        <w:pStyle w:val="FootnoteText"/>
        <w:spacing w:before="120"/>
      </w:pPr>
      <w:r>
        <w:rPr>
          <w:rStyle w:val="FootnoteReference"/>
        </w:rPr>
        <w:footnoteRef/>
      </w:r>
      <w:r>
        <w:t xml:space="preserve"> </w:t>
      </w:r>
      <w:r>
        <w:rPr>
          <w:i/>
        </w:rPr>
        <w:t>Id</w:t>
      </w:r>
      <w:r>
        <w:t>. at 7707, 7774-75, paras. 4, 137-39.</w:t>
      </w:r>
    </w:p>
  </w:footnote>
  <w:footnote w:id="174">
    <w:p w:rsidR="00B63070" w:rsidRPr="00BE3771" w:rsidP="00C6287D">
      <w:pPr>
        <w:pStyle w:val="FootnoteText"/>
        <w:spacing w:before="120"/>
      </w:pPr>
      <w:r w:rsidRPr="00BE3771">
        <w:rPr>
          <w:rStyle w:val="FootnoteReference"/>
        </w:rPr>
        <w:footnoteRef/>
      </w:r>
      <w:r w:rsidRPr="00BE3771">
        <w:t xml:space="preserve"> </w:t>
      </w:r>
      <w:r w:rsidRPr="00BE3771">
        <w:rPr>
          <w:i/>
        </w:rPr>
        <w:t>Connect America Fund et al</w:t>
      </w:r>
      <w:r w:rsidRPr="00BE3771">
        <w:t>., Report and Order and Further Notice of Proposed Rulemaking, 26 FCC Rcd 17663, 17668-69, paras. 1-5 (2011) (</w:t>
      </w:r>
      <w:r w:rsidRPr="00BE3771">
        <w:rPr>
          <w:i/>
        </w:rPr>
        <w:t>USF/ICC Transformation Order), aff’d sub nom</w:t>
      </w:r>
      <w:r>
        <w:rPr>
          <w:i/>
        </w:rPr>
        <w:t>.</w:t>
      </w:r>
      <w:r w:rsidRPr="00BE3771">
        <w:rPr>
          <w:i/>
        </w:rPr>
        <w:t xml:space="preserve"> In re: </w:t>
      </w:r>
      <w:r>
        <w:rPr>
          <w:i/>
        </w:rPr>
        <w:t xml:space="preserve"> </w:t>
      </w:r>
      <w:r w:rsidRPr="00BE3771">
        <w:rPr>
          <w:i/>
        </w:rPr>
        <w:t>FCC 11-161</w:t>
      </w:r>
      <w:r w:rsidRPr="00BE3771">
        <w:t>, 753 F.3d 1015 (10th Cir. 2014).</w:t>
      </w:r>
    </w:p>
  </w:footnote>
  <w:footnote w:id="175">
    <w:p w:rsidR="00B63070" w:rsidRPr="00BE3771" w:rsidP="00C6287D">
      <w:pPr>
        <w:pStyle w:val="FootnoteText"/>
        <w:spacing w:before="120"/>
      </w:pPr>
      <w:r w:rsidRPr="00BE3771">
        <w:rPr>
          <w:rStyle w:val="FootnoteReference"/>
        </w:rPr>
        <w:footnoteRef/>
      </w:r>
      <w:r w:rsidRPr="00BE3771">
        <w:t xml:space="preserve"> </w:t>
      </w:r>
      <w:r w:rsidRPr="00BE3771">
        <w:rPr>
          <w:i/>
        </w:rPr>
        <w:t>Connect America Fund, et al.</w:t>
      </w:r>
      <w:r w:rsidRPr="00BE3771">
        <w:t xml:space="preserve">, Report and Order, Third Order on Reconsideration and Notice of Proposed Rulemaking, FCC 18-29, </w:t>
      </w:r>
      <w:r>
        <w:t xml:space="preserve">at 3, </w:t>
      </w:r>
      <w:r w:rsidRPr="00BE3771">
        <w:t xml:space="preserve">para. 4 (Mar. 23, 2018) (taking several steps to increase broadband deployment in rural areas through the High Cost program, including maximizing available funding for broadband networks); </w:t>
      </w:r>
      <w:r w:rsidRPr="00BE3771">
        <w:rPr>
          <w:i/>
        </w:rPr>
        <w:t>Promoting Telehealth in Rural America</w:t>
      </w:r>
      <w:r w:rsidRPr="00BE3771">
        <w:t xml:space="preserve">, </w:t>
      </w:r>
      <w:r>
        <w:t xml:space="preserve">WC Docket No. 17-310, </w:t>
      </w:r>
      <w:r w:rsidRPr="00BE3771">
        <w:t>Report and Order,</w:t>
      </w:r>
      <w:r>
        <w:t xml:space="preserve"> 33 FCC Rcd 6574, para. 1</w:t>
      </w:r>
      <w:r w:rsidRPr="00BE3771">
        <w:t xml:space="preserve"> (2018)</w:t>
      </w:r>
      <w:r>
        <w:t xml:space="preserve"> (</w:t>
      </w:r>
      <w:r>
        <w:rPr>
          <w:i/>
        </w:rPr>
        <w:t>Telehealth Report and Order</w:t>
      </w:r>
      <w:r>
        <w:t>)</w:t>
      </w:r>
      <w:r w:rsidRPr="00BE3771">
        <w:t xml:space="preserve"> (increas</w:t>
      </w:r>
      <w:r>
        <w:t>ing</w:t>
      </w:r>
      <w:r w:rsidRPr="00BE3771">
        <w:t xml:space="preserve"> the funding cap for the Rural Healthcare program to $571 million to prevent pro-rata funding reductions that could have disproportionally impacted rural health care providers, especially those in Alaska). </w:t>
      </w:r>
    </w:p>
  </w:footnote>
  <w:footnote w:id="176">
    <w:p w:rsidR="00B63070" w:rsidRPr="00D61250" w:rsidP="00C6287D">
      <w:pPr>
        <w:pStyle w:val="FootnoteText"/>
        <w:spacing w:before="120"/>
        <w:rPr>
          <w:shd w:val="clear" w:color="auto" w:fill="FFFFFF"/>
        </w:rPr>
      </w:pPr>
      <w:r w:rsidRPr="00BE3771">
        <w:rPr>
          <w:rStyle w:val="FootnoteReference"/>
        </w:rPr>
        <w:footnoteRef/>
      </w:r>
      <w:r w:rsidRPr="00BE3771">
        <w:t xml:space="preserve"> </w:t>
      </w:r>
      <w:r w:rsidRPr="00BE3771">
        <w:rPr>
          <w:i/>
        </w:rPr>
        <w:t>Connect America Fund et al.</w:t>
      </w:r>
      <w:r w:rsidRPr="00BE3771">
        <w:t>, WC Docket Nos. 10-90 et al., Report and Order and Order on Reconsideration,</w:t>
      </w:r>
      <w:r w:rsidRPr="00D61250">
        <w:rPr>
          <w:i/>
          <w:shd w:val="clear" w:color="auto" w:fill="FFFFFF"/>
        </w:rPr>
        <w:t xml:space="preserve"> </w:t>
      </w:r>
      <w:r w:rsidRPr="00D61250">
        <w:rPr>
          <w:shd w:val="clear" w:color="auto" w:fill="FFFFFF"/>
        </w:rPr>
        <w:t>32 FCC Rcd 1624 (2017).</w:t>
      </w:r>
    </w:p>
  </w:footnote>
  <w:footnote w:id="177">
    <w:p w:rsidR="00B63070" w:rsidRPr="00BE3771" w:rsidP="00C6287D">
      <w:pPr>
        <w:pStyle w:val="FootnoteText"/>
        <w:spacing w:before="120"/>
      </w:pPr>
      <w:r w:rsidRPr="00BE3771">
        <w:rPr>
          <w:rStyle w:val="FootnoteReference"/>
        </w:rPr>
        <w:footnoteRef/>
      </w:r>
      <w:r w:rsidRPr="00BE3771">
        <w:t xml:space="preserve"> </w:t>
      </w:r>
      <w:r w:rsidRPr="00BE3771">
        <w:rPr>
          <w:i/>
        </w:rPr>
        <w:t xml:space="preserve">Connect America Fund Phase II Auction Scheduled for July 24, 2018 Notice and Filing Requirements and Other Procedures for Auction </w:t>
      </w:r>
      <w:r w:rsidRPr="00BE3771">
        <w:t>903, AU Docket No. 17-182, WC Docket No. 1</w:t>
      </w:r>
      <w:r>
        <w:t>0-90, Public Notice, 33 FCC Rcd</w:t>
      </w:r>
      <w:r w:rsidRPr="00BE3771">
        <w:t xml:space="preserve"> 1428 (2018); </w:t>
      </w:r>
      <w:r w:rsidRPr="00BE3771">
        <w:rPr>
          <w:i/>
        </w:rPr>
        <w:t>220 Applicants Qualified to Bid in the Connect America Fund Phase II Auction (Auction 903); Bidding to Begin on July 24, 2018</w:t>
      </w:r>
      <w:r w:rsidRPr="00BE3771">
        <w:t xml:space="preserve">, AU Docket No. 17-182, WC Docket No. 10-90, Public Notice, </w:t>
      </w:r>
      <w:r>
        <w:t>33 FCC Rcd 6171</w:t>
      </w:r>
      <w:r w:rsidRPr="00BE3771">
        <w:t xml:space="preserve"> (2018) (announcing the qualified bidders for the auction and confirming timing); </w:t>
      </w:r>
      <w:r w:rsidRPr="00BE3771">
        <w:rPr>
          <w:i/>
        </w:rPr>
        <w:t>Connect America Fund Phase II Auction (Auction 903) Closes; Winning Bidders Announced</w:t>
      </w:r>
      <w:r w:rsidRPr="00BE3771">
        <w:t xml:space="preserve">, AU Docket No. 17-182, WC Docket No. 10-90, Public Notice, </w:t>
      </w:r>
      <w:r>
        <w:t>33 FCC Rcd 8257</w:t>
      </w:r>
      <w:r w:rsidRPr="00BE3771">
        <w:t xml:space="preserve"> (2018).</w:t>
      </w:r>
    </w:p>
  </w:footnote>
  <w:footnote w:id="178">
    <w:p w:rsidR="00B63070" w:rsidRPr="00BE3771" w:rsidP="00C6287D">
      <w:pPr>
        <w:pStyle w:val="FootnoteText"/>
        <w:spacing w:before="120"/>
      </w:pPr>
      <w:r w:rsidRPr="00BE3771">
        <w:rPr>
          <w:rStyle w:val="FootnoteReference"/>
        </w:rPr>
        <w:footnoteRef/>
      </w:r>
      <w:r w:rsidRPr="00BE3771">
        <w:t xml:space="preserve"> News Release, FCC, Connect America Fund Auction to Expand Broadband to Over 700,000 Rural Homes and Businesses (Aug. 28, 2018), </w:t>
      </w:r>
      <w:hyperlink r:id="rId12" w:history="1">
        <w:r w:rsidRPr="00BE3771">
          <w:rPr>
            <w:rStyle w:val="Hyperlink"/>
          </w:rPr>
          <w:t>https://docs.fcc.gov/public/attachments/DOC-353840A1.pdf</w:t>
        </w:r>
      </w:hyperlink>
      <w:r w:rsidRPr="00BE3771">
        <w:t xml:space="preserve">. </w:t>
      </w:r>
    </w:p>
  </w:footnote>
  <w:footnote w:id="179">
    <w:p w:rsidR="00B63070" w:rsidRPr="00BE3771" w:rsidP="00C6287D">
      <w:pPr>
        <w:pStyle w:val="FootnoteText"/>
        <w:spacing w:before="120"/>
      </w:pPr>
      <w:r w:rsidRPr="00BE3771">
        <w:rPr>
          <w:rStyle w:val="FootnoteReference"/>
        </w:rPr>
        <w:footnoteRef/>
      </w:r>
      <w:r w:rsidRPr="00BE3771">
        <w:t xml:space="preserve"> </w:t>
      </w:r>
      <w:r w:rsidRPr="00BE3771">
        <w:rPr>
          <w:i/>
        </w:rPr>
        <w:t>Connect America Fund, et al.</w:t>
      </w:r>
      <w:r w:rsidRPr="00BE3771">
        <w:t xml:space="preserve">, WC Docket Nos. 10-90, 14-58, 07-135, CC Docket No. 01-92, Report and Order, Third Order on Reconsideration, and Notice of Proposed Rulemaking, FCC 18-29, </w:t>
      </w:r>
      <w:r>
        <w:t xml:space="preserve">at 3, </w:t>
      </w:r>
      <w:r w:rsidRPr="00BE3771">
        <w:t>para. 4 (Mar. 23, 2018).</w:t>
      </w:r>
    </w:p>
  </w:footnote>
  <w:footnote w:id="180">
    <w:p w:rsidR="00B63070" w:rsidRPr="00EC5267" w:rsidP="00C6287D">
      <w:pPr>
        <w:pStyle w:val="FootnoteText"/>
        <w:spacing w:before="120"/>
      </w:pPr>
      <w:r>
        <w:rPr>
          <w:rStyle w:val="FootnoteReference"/>
        </w:rPr>
        <w:footnoteRef/>
      </w:r>
      <w:r>
        <w:t xml:space="preserve"> </w:t>
      </w:r>
      <w:r>
        <w:rPr>
          <w:i/>
        </w:rPr>
        <w:t>Connect America Fund, et al.</w:t>
      </w:r>
      <w:r>
        <w:t>, WC Docket Nos. 10-90 et al., Report and Order, Further Notice of Proposed Rulemaking, and Order on Reconsideration, FCC 18-176 (Dec. 13, 2018).</w:t>
      </w:r>
    </w:p>
  </w:footnote>
  <w:footnote w:id="181">
    <w:p w:rsidR="00B63070" w:rsidP="00C6287D">
      <w:pPr>
        <w:pStyle w:val="FootnoteText"/>
      </w:pPr>
      <w:r>
        <w:rPr>
          <w:rStyle w:val="FootnoteReference"/>
        </w:rPr>
        <w:footnoteRef/>
      </w:r>
      <w:r>
        <w:t xml:space="preserve"> </w:t>
      </w:r>
      <w:r w:rsidRPr="00FB2A21">
        <w:rPr>
          <w:i/>
        </w:rPr>
        <w:t>Promoting Telehealth in Rural America</w:t>
      </w:r>
      <w:r w:rsidRPr="00FB2A21">
        <w:t>, WC Docket No. 17-310, Notice of Proposed Rulemaking and Order, 32 FCC Rcd 10631</w:t>
      </w:r>
      <w:r>
        <w:t xml:space="preserve">, 10639-67, paras. 15-106 </w:t>
      </w:r>
      <w:r w:rsidRPr="00FB2A21">
        <w:t>(2017).</w:t>
      </w:r>
    </w:p>
  </w:footnote>
  <w:footnote w:id="182">
    <w:p w:rsidR="00B63070" w:rsidRPr="008568A3" w:rsidP="00C6287D">
      <w:pPr>
        <w:pStyle w:val="FootnoteText"/>
        <w:spacing w:before="120"/>
      </w:pPr>
      <w:r w:rsidRPr="00BE3771">
        <w:rPr>
          <w:rStyle w:val="FootnoteReference"/>
        </w:rPr>
        <w:footnoteRef/>
      </w:r>
      <w:r w:rsidRPr="00BE3771">
        <w:t xml:space="preserve"> </w:t>
      </w:r>
      <w:r>
        <w:rPr>
          <w:i/>
        </w:rPr>
        <w:t xml:space="preserve">Id. </w:t>
      </w:r>
      <w:r>
        <w:t>at 10667-71, paras. 107-117.</w:t>
      </w:r>
    </w:p>
  </w:footnote>
  <w:footnote w:id="183">
    <w:p w:rsidR="00B63070" w:rsidRPr="00F2666D" w:rsidP="00C6287D">
      <w:pPr>
        <w:pStyle w:val="FootnoteText"/>
        <w:spacing w:before="120"/>
      </w:pPr>
      <w:r w:rsidRPr="00BE3771">
        <w:rPr>
          <w:rStyle w:val="FootnoteReference"/>
        </w:rPr>
        <w:footnoteRef/>
      </w:r>
      <w:r>
        <w:t xml:space="preserve"> </w:t>
      </w:r>
      <w:r>
        <w:rPr>
          <w:i/>
        </w:rPr>
        <w:t>Promoting Telehealth in Rural America</w:t>
      </w:r>
      <w:r>
        <w:t>, WC Docket No. 17-310, Report and Order, 33 FCC Rcd 6574, 6578-82, paras. 10-19 (2018).</w:t>
      </w:r>
    </w:p>
  </w:footnote>
  <w:footnote w:id="184">
    <w:p w:rsidR="00B63070" w:rsidP="00C6287D">
      <w:pPr>
        <w:pStyle w:val="FootnoteText"/>
      </w:pPr>
      <w:r>
        <w:rPr>
          <w:rStyle w:val="FootnoteReference"/>
        </w:rPr>
        <w:footnoteRef/>
      </w:r>
      <w:r>
        <w:t xml:space="preserve"> </w:t>
      </w:r>
      <w:r w:rsidRPr="00D22573">
        <w:rPr>
          <w:i/>
        </w:rPr>
        <w:t>Id</w:t>
      </w:r>
      <w:r>
        <w:t xml:space="preserve">. at 6582-85, paras. 20-28. </w:t>
      </w:r>
    </w:p>
  </w:footnote>
  <w:footnote w:id="185">
    <w:p w:rsidR="00B63070" w:rsidRPr="00D61250" w:rsidP="00C6287D">
      <w:pPr>
        <w:pStyle w:val="FootnoteText"/>
      </w:pPr>
      <w:r>
        <w:rPr>
          <w:rStyle w:val="FootnoteReference"/>
        </w:rPr>
        <w:footnoteRef/>
      </w:r>
      <w:r>
        <w:t xml:space="preserve"> </w:t>
      </w:r>
      <w:r>
        <w:rPr>
          <w:i/>
        </w:rPr>
        <w:t xml:space="preserve">See </w:t>
      </w:r>
      <w:r w:rsidRPr="00246FEB">
        <w:rPr>
          <w:i/>
        </w:rPr>
        <w:t>E-Rate Program Amortization Requirement</w:t>
      </w:r>
      <w:r>
        <w:rPr>
          <w:i/>
        </w:rPr>
        <w:t xml:space="preserve">, </w:t>
      </w:r>
      <w:r w:rsidRPr="00246FEB">
        <w:rPr>
          <w:i/>
        </w:rPr>
        <w:t>Modernizing the E-Rate Program for Schools and Libraries</w:t>
      </w:r>
      <w:r w:rsidRPr="00246FEB">
        <w:t>, WC Docket Nos. 19-2, 13-184,</w:t>
      </w:r>
      <w:r>
        <w:t xml:space="preserve"> Notice of Proposed Rulemaking and Order, FCC 19-5 (Jan. 31, 2019) (</w:t>
      </w:r>
      <w:r>
        <w:rPr>
          <w:i/>
        </w:rPr>
        <w:t>Amortization NPRM and Order</w:t>
      </w:r>
      <w:r>
        <w:t xml:space="preserve">).  The components of special construction costs eligible for E-Rate discounts </w:t>
      </w:r>
      <w:r w:rsidRPr="006D7BE8">
        <w:t xml:space="preserve">include costs for design and engineering, project management, digging trenches, and laying fiber.  </w:t>
      </w:r>
      <w:r>
        <w:rPr>
          <w:i/>
        </w:rPr>
        <w:t>See Modernizing the E-rate Program for Schools and Libraries</w:t>
      </w:r>
      <w:r>
        <w:t xml:space="preserve">, WC Docket No. 13-184, Order, 31 FCC Rcd 9767, 9775 (2016); </w:t>
      </w:r>
      <w:r w:rsidRPr="00883B31">
        <w:rPr>
          <w:i/>
        </w:rPr>
        <w:t>Schools and Libraries Universal Service Support Mechanism, A National Broadband Plan for our Future</w:t>
      </w:r>
      <w:r w:rsidRPr="006D7BE8">
        <w:t>, CC Docket No. 02-6, GN Docket No. 09-51, Order, 25 FCC Rcd 18762,</w:t>
      </w:r>
      <w:r>
        <w:t xml:space="preserve"> </w:t>
      </w:r>
      <w:r w:rsidRPr="006D7BE8">
        <w:t>187</w:t>
      </w:r>
      <w:r>
        <w:t>73</w:t>
      </w:r>
      <w:r w:rsidRPr="006D7BE8">
        <w:t xml:space="preserve">, </w:t>
      </w:r>
      <w:r>
        <w:t xml:space="preserve">n.54 </w:t>
      </w:r>
      <w:r w:rsidRPr="006D7BE8">
        <w:t>(2010</w:t>
      </w:r>
      <w:r>
        <w:t>).</w:t>
      </w:r>
    </w:p>
  </w:footnote>
  <w:footnote w:id="186">
    <w:p w:rsidR="00B63070" w:rsidRPr="0010384E" w:rsidP="00C6287D">
      <w:pPr>
        <w:pStyle w:val="FootnoteText"/>
      </w:pPr>
      <w:r>
        <w:rPr>
          <w:rStyle w:val="FootnoteReference"/>
        </w:rPr>
        <w:footnoteRef/>
      </w:r>
      <w:r>
        <w:t xml:space="preserve"> </w:t>
      </w:r>
      <w:r>
        <w:rPr>
          <w:i/>
        </w:rPr>
        <w:t>See Amortization NPRM and Order</w:t>
      </w:r>
      <w:r>
        <w:t xml:space="preserve"> at para. 12.</w:t>
      </w:r>
    </w:p>
  </w:footnote>
  <w:footnote w:id="187">
    <w:p w:rsidR="00B63070" w:rsidRPr="00BF2D15" w:rsidP="00C6287D">
      <w:pPr>
        <w:pStyle w:val="FootnoteText"/>
      </w:pPr>
      <w:r>
        <w:rPr>
          <w:rStyle w:val="FootnoteReference"/>
        </w:rPr>
        <w:footnoteRef/>
      </w:r>
      <w:r>
        <w:t xml:space="preserve"> </w:t>
      </w:r>
      <w:r>
        <w:rPr>
          <w:i/>
        </w:rPr>
        <w:t>See id.</w:t>
      </w:r>
      <w:r>
        <w:t xml:space="preserve"> at para. 4.</w:t>
      </w:r>
    </w:p>
  </w:footnote>
  <w:footnote w:id="188">
    <w:p w:rsidR="00B63070" w:rsidRPr="00BF2D15" w:rsidP="00C6287D">
      <w:pPr>
        <w:pStyle w:val="FootnoteText"/>
      </w:pPr>
      <w:r>
        <w:rPr>
          <w:rStyle w:val="FootnoteReference"/>
        </w:rPr>
        <w:footnoteRef/>
      </w:r>
      <w:r>
        <w:t xml:space="preserve"> </w:t>
      </w:r>
      <w:r>
        <w:rPr>
          <w:i/>
        </w:rPr>
        <w:t>See id.</w:t>
      </w:r>
      <w:r>
        <w:t xml:space="preserve"> at para. 6.  </w:t>
      </w:r>
    </w:p>
  </w:footnote>
  <w:footnote w:id="189">
    <w:p w:rsidR="00B63070" w:rsidRPr="00326BC6" w:rsidP="00C6287D">
      <w:pPr>
        <w:pStyle w:val="FootnoteText"/>
      </w:pPr>
      <w:r>
        <w:rPr>
          <w:rStyle w:val="FootnoteReference"/>
        </w:rPr>
        <w:footnoteRef/>
      </w:r>
      <w:r>
        <w:t xml:space="preserve"> </w:t>
      </w:r>
      <w:r>
        <w:rPr>
          <w:i/>
        </w:rPr>
        <w:t>Promoting Telehealth for Low-Income Consumers</w:t>
      </w:r>
      <w:r>
        <w:t>, WC Docket No. 18-213, Notice of Inquiry, 33 FCC Rcd 7825 (2018).</w:t>
      </w:r>
    </w:p>
  </w:footnote>
  <w:footnote w:id="190">
    <w:p w:rsidR="00B63070" w:rsidRPr="00326BC6" w:rsidP="00C6287D">
      <w:pPr>
        <w:pStyle w:val="FootnoteText"/>
      </w:pPr>
      <w:r>
        <w:rPr>
          <w:rStyle w:val="FootnoteReference"/>
        </w:rPr>
        <w:footnoteRef/>
      </w:r>
      <w:r>
        <w:t xml:space="preserve"> </w:t>
      </w:r>
      <w:r>
        <w:rPr>
          <w:i/>
        </w:rPr>
        <w:t>Id.</w:t>
      </w:r>
      <w:r>
        <w:t xml:space="preserve"> at 7830, para. 10.</w:t>
      </w:r>
    </w:p>
  </w:footnote>
  <w:footnote w:id="191">
    <w:p w:rsidR="00B63070" w:rsidRPr="00326BC6" w:rsidP="00C6287D">
      <w:pPr>
        <w:pStyle w:val="FootnoteText"/>
      </w:pPr>
      <w:r>
        <w:rPr>
          <w:rStyle w:val="FootnoteReference"/>
        </w:rPr>
        <w:footnoteRef/>
      </w:r>
      <w:r>
        <w:t xml:space="preserve"> </w:t>
      </w:r>
      <w:r>
        <w:rPr>
          <w:i/>
        </w:rPr>
        <w:t>Id.</w:t>
      </w:r>
      <w:r>
        <w:t xml:space="preserve"> at 7834, para. 25.</w:t>
      </w:r>
    </w:p>
  </w:footnote>
  <w:footnote w:id="192">
    <w:p w:rsidR="00B63070" w:rsidRPr="00BE3771" w:rsidP="00C6287D">
      <w:pPr>
        <w:pStyle w:val="FootnoteText"/>
        <w:spacing w:before="120"/>
      </w:pPr>
      <w:r w:rsidRPr="00BE3771">
        <w:rPr>
          <w:rStyle w:val="FootnoteReference"/>
        </w:rPr>
        <w:footnoteRef/>
      </w:r>
      <w:r w:rsidRPr="00BE3771">
        <w:t xml:space="preserve"> </w:t>
      </w:r>
      <w:r w:rsidRPr="00BE3771">
        <w:rPr>
          <w:i/>
        </w:rPr>
        <w:t>Connect America Fund</w:t>
      </w:r>
      <w:r w:rsidRPr="00BE3771">
        <w:t xml:space="preserve">, WC Docket No. 10-90, Order, 32 FCC Rcd 7981 (2017). </w:t>
      </w:r>
    </w:p>
  </w:footnote>
  <w:footnote w:id="193">
    <w:p w:rsidR="00B63070" w:rsidRPr="003D2604" w:rsidP="00C6287D">
      <w:pPr>
        <w:pStyle w:val="FootnoteText"/>
        <w:spacing w:before="120"/>
      </w:pPr>
      <w:r>
        <w:rPr>
          <w:rStyle w:val="FootnoteReference"/>
        </w:rPr>
        <w:footnoteRef/>
      </w:r>
      <w:r>
        <w:t xml:space="preserve"> </w:t>
      </w:r>
      <w:r w:rsidRPr="004948A2">
        <w:rPr>
          <w:i/>
        </w:rPr>
        <w:t>The Uniendo a Puerto Rico Fund and the Connect USVI Fund</w:t>
      </w:r>
      <w:r w:rsidRPr="004948A2">
        <w:t xml:space="preserve">, Order and Notice of Proposed Rulemaking, WC Docket No. 18-143, </w:t>
      </w:r>
      <w:r>
        <w:t>33 FCC Rcd 5404</w:t>
      </w:r>
      <w:r w:rsidRPr="004948A2">
        <w:t xml:space="preserve"> </w:t>
      </w:r>
      <w:r>
        <w:t>(</w:t>
      </w:r>
      <w:r w:rsidRPr="004948A2">
        <w:t>2018)</w:t>
      </w:r>
      <w:r>
        <w:t xml:space="preserve"> (</w:t>
      </w:r>
      <w:r w:rsidRPr="00431A5F">
        <w:rPr>
          <w:i/>
        </w:rPr>
        <w:t>Uniendo PR and Connect USVI Funds Order and NPRM</w:t>
      </w:r>
      <w:r>
        <w:t>)</w:t>
      </w:r>
      <w:r w:rsidRPr="004948A2">
        <w:t>.</w:t>
      </w:r>
    </w:p>
  </w:footnote>
  <w:footnote w:id="194">
    <w:p w:rsidR="00B63070" w:rsidRPr="00555748" w:rsidP="00C6287D">
      <w:pPr>
        <w:pStyle w:val="FootnoteText"/>
        <w:spacing w:before="120"/>
        <w:rPr>
          <w:color w:val="212121"/>
          <w:szCs w:val="25"/>
        </w:rPr>
      </w:pPr>
      <w:r>
        <w:rPr>
          <w:rStyle w:val="FootnoteReference"/>
        </w:rPr>
        <w:footnoteRef/>
      </w:r>
      <w:r>
        <w:t xml:space="preserve"> </w:t>
      </w:r>
      <w:r w:rsidRPr="003B7FB6">
        <w:rPr>
          <w:i/>
        </w:rPr>
        <w:t>Id.</w:t>
      </w:r>
      <w:r w:rsidRPr="003B7FB6">
        <w:t xml:space="preserve"> at 5405, paras. 3-5.  </w:t>
      </w:r>
      <w:r w:rsidRPr="00820DFD">
        <w:t xml:space="preserve">The Commission will make available up to $750 million of funding to carriers in Puerto Rico through the Uniendo a Puerto Rico Fund, and up to $204 million of funding to carriers in the U.S. Virgin Islands through the Connect USVI Fund.  This funding includes both immediate infusions of funds for restoration efforts in 2018, and proposals to provide additional funding over the next ten years.  </w:t>
      </w:r>
      <w:r w:rsidRPr="00820DFD">
        <w:rPr>
          <w:i/>
        </w:rPr>
        <w:t>Id</w:t>
      </w:r>
      <w:r w:rsidRPr="00820DFD">
        <w:t>.</w:t>
      </w:r>
      <w:r>
        <w:t xml:space="preserve"> </w:t>
      </w:r>
    </w:p>
  </w:footnote>
  <w:footnote w:id="195">
    <w:p w:rsidR="00B63070" w:rsidP="00C6287D">
      <w:pPr>
        <w:pStyle w:val="FootnoteText"/>
        <w:spacing w:before="120"/>
      </w:pPr>
      <w:r>
        <w:rPr>
          <w:rStyle w:val="FootnoteReference"/>
        </w:rPr>
        <w:footnoteRef/>
      </w:r>
      <w:r>
        <w:t xml:space="preserve"> </w:t>
      </w:r>
      <w:r>
        <w:rPr>
          <w:i/>
        </w:rPr>
        <w:t>Id.</w:t>
      </w:r>
      <w:r>
        <w:t xml:space="preserve"> at 5413, paras. 30-33.</w:t>
      </w:r>
    </w:p>
  </w:footnote>
  <w:footnote w:id="196">
    <w:p w:rsidR="00B63070" w:rsidP="00C6287D">
      <w:pPr>
        <w:pStyle w:val="FootnoteText"/>
        <w:spacing w:before="120"/>
      </w:pPr>
      <w:r>
        <w:rPr>
          <w:rStyle w:val="FootnoteReference"/>
        </w:rPr>
        <w:footnoteRef/>
      </w:r>
      <w:r>
        <w:t xml:space="preserve"> </w:t>
      </w:r>
      <w:r>
        <w:rPr>
          <w:i/>
          <w:snapToGrid w:val="0"/>
          <w:kern w:val="28"/>
        </w:rPr>
        <w:t>Auctions of Upper Microwave Flexible Use Licenses for Next-Generation Wireless Services</w:t>
      </w:r>
      <w:r>
        <w:rPr>
          <w:snapToGrid w:val="0"/>
          <w:kern w:val="28"/>
        </w:rPr>
        <w:t>, Public Notice, AU Docket No. 18-85, 33 FCC Rcd 7575 (2018).</w:t>
      </w:r>
    </w:p>
  </w:footnote>
  <w:footnote w:id="197">
    <w:p w:rsidR="00B63070" w:rsidP="00C6287D">
      <w:pPr>
        <w:pStyle w:val="FootnoteText"/>
        <w:spacing w:before="120"/>
        <w:rPr>
          <w:snapToGrid w:val="0"/>
          <w:kern w:val="28"/>
        </w:rPr>
      </w:pPr>
      <w:r>
        <w:rPr>
          <w:rStyle w:val="FootnoteReference"/>
        </w:rPr>
        <w:footnoteRef/>
      </w:r>
      <w:r>
        <w:t xml:space="preserve"> </w:t>
      </w:r>
      <w:r>
        <w:rPr>
          <w:i/>
        </w:rPr>
        <w:t>Id.</w:t>
      </w:r>
    </w:p>
  </w:footnote>
  <w:footnote w:id="198">
    <w:p w:rsidR="00B63070" w:rsidRPr="00D41518" w:rsidP="00C6287D">
      <w:pPr>
        <w:pStyle w:val="FootnoteText"/>
        <w:spacing w:before="120"/>
      </w:pPr>
      <w:r w:rsidRPr="00D36750">
        <w:rPr>
          <w:rStyle w:val="FootnoteReference"/>
        </w:rPr>
        <w:footnoteRef/>
      </w:r>
      <w:r w:rsidRPr="00D36750">
        <w:t xml:space="preserve"> </w:t>
      </w:r>
      <w:r w:rsidRPr="00D41518">
        <w:rPr>
          <w:i/>
        </w:rPr>
        <w:t>Amendment of Parts 2 and 25 of the Commission’s Rules to Facilitate the Use of Earth Stations in Motion Communicating with Geostationary Orbit Space Stations in Frequency Bands Allocated to the Fixed Satellite Service</w:t>
      </w:r>
      <w:r w:rsidRPr="00D41518">
        <w:t xml:space="preserve">, </w:t>
      </w:r>
      <w:r>
        <w:t xml:space="preserve">IB Docket No. 17-95, </w:t>
      </w:r>
      <w:r w:rsidRPr="00D41518">
        <w:t xml:space="preserve">Report and Order and Further Notice of Proposed Rulemaking, </w:t>
      </w:r>
      <w:r>
        <w:t>33 FCC Rcd 9327</w:t>
      </w:r>
      <w:r w:rsidRPr="00D41518">
        <w:t xml:space="preserve"> (2018).</w:t>
      </w:r>
    </w:p>
  </w:footnote>
  <w:footnote w:id="199">
    <w:p w:rsidR="00B63070" w:rsidRPr="00D41518" w:rsidP="00C6287D">
      <w:pPr>
        <w:pStyle w:val="FootnoteText"/>
        <w:spacing w:before="120"/>
        <w:rPr>
          <w:i/>
        </w:rPr>
      </w:pPr>
      <w:r w:rsidRPr="00D36750">
        <w:rPr>
          <w:rStyle w:val="FootnoteReference"/>
        </w:rPr>
        <w:footnoteRef/>
      </w:r>
      <w:r w:rsidRPr="00D36750">
        <w:t xml:space="preserve"> </w:t>
      </w:r>
      <w:r w:rsidRPr="00D41518">
        <w:rPr>
          <w:i/>
        </w:rPr>
        <w:t>Id.</w:t>
      </w:r>
    </w:p>
  </w:footnote>
  <w:footnote w:id="200">
    <w:p w:rsidR="00B63070" w:rsidRPr="00D41518" w:rsidP="00C6287D">
      <w:pPr>
        <w:pStyle w:val="FootnoteText"/>
        <w:spacing w:before="120"/>
      </w:pPr>
      <w:r w:rsidRPr="00D36750">
        <w:rPr>
          <w:rStyle w:val="FootnoteReference"/>
        </w:rPr>
        <w:footnoteRef/>
      </w:r>
      <w:r w:rsidRPr="00D36750">
        <w:t xml:space="preserve"> </w:t>
      </w:r>
      <w:r w:rsidRPr="00D41518">
        <w:rPr>
          <w:i/>
        </w:rPr>
        <w:t>Further Streamlining Part 25 Rules Governing Satellite Services</w:t>
      </w:r>
      <w:r w:rsidRPr="00D41518">
        <w:t xml:space="preserve">, IB Docket No. 18-314, Notice of Proposed Rulemaking, FCC </w:t>
      </w:r>
      <w:r>
        <w:t>18-165</w:t>
      </w:r>
      <w:r w:rsidRPr="00D41518">
        <w:t xml:space="preserve"> (Nov. </w:t>
      </w:r>
      <w:r>
        <w:t>15, 2018)</w:t>
      </w:r>
      <w:r w:rsidRPr="00D41518">
        <w:t>.</w:t>
      </w:r>
    </w:p>
  </w:footnote>
  <w:footnote w:id="201">
    <w:p w:rsidR="00B63070" w:rsidP="00C6287D">
      <w:pPr>
        <w:pStyle w:val="FootnoteText"/>
        <w:spacing w:before="120"/>
      </w:pPr>
      <w:r>
        <w:rPr>
          <w:rStyle w:val="FootnoteReference"/>
        </w:rPr>
        <w:footnoteRef/>
      </w:r>
      <w:r>
        <w:t xml:space="preserve"> </w:t>
      </w:r>
      <w:r>
        <w:rPr>
          <w:i/>
        </w:rPr>
        <w:t>Amendment of Parts 1, 21, 73, 74 and 101 of the Commission’s Rules to Facilitate the Provision of Fixed and Mobile Broadband Access, Educational and Other Advanced Services in the 2150-2162 and 2500-2690 MHz Bands; Transforming the 2.5 GHz Band</w:t>
      </w:r>
      <w:r>
        <w:t xml:space="preserve">, WT Docket No. 03-66 (Terminated) and WT Docket No. 18-120, Notice of Proposed Rulemaking, 33 FCC Rcd 4687 (2018); </w:t>
      </w:r>
      <w:r>
        <w:rPr>
          <w:i/>
          <w:iCs/>
        </w:rPr>
        <w:t>Use of Spectrum Bands Above 24 GHz for Mobile Radio Services</w:t>
      </w:r>
      <w:r>
        <w:rPr>
          <w:i/>
        </w:rPr>
        <w:t xml:space="preserve">, </w:t>
      </w:r>
      <w:r>
        <w:rPr>
          <w:i/>
          <w:iCs/>
        </w:rPr>
        <w:t>et al</w:t>
      </w:r>
      <w:r>
        <w:rPr>
          <w:iCs/>
        </w:rPr>
        <w:t>.</w:t>
      </w:r>
      <w:r>
        <w:t xml:space="preserve">, GN Docket No. 14-177, Third Report and Order, Memorandum Opinion and Order, and Third Further Notice of Proposed Rulemaking, 33 FCC Rcd 5576 (2018). </w:t>
      </w:r>
    </w:p>
  </w:footnote>
  <w:footnote w:id="202">
    <w:p w:rsidR="00B63070" w:rsidP="00C6287D">
      <w:pPr>
        <w:pStyle w:val="FootnoteText"/>
        <w:spacing w:before="120"/>
      </w:pPr>
      <w:r>
        <w:rPr>
          <w:rStyle w:val="FootnoteReference"/>
        </w:rPr>
        <w:footnoteRef/>
      </w:r>
      <w:r>
        <w:t xml:space="preserve"> </w:t>
      </w:r>
      <w:r>
        <w:rPr>
          <w:i/>
        </w:rPr>
        <w:t xml:space="preserve">Expanding Flexible Use of the 3.7 to 4.2 GHz Band; Expanding Flexible Use in Mid-Band Spectrum Between 3.7 and 24 GHz; Petition for Rulemaking to Amend and Modernize Parts 25 and 101 of the Commission’s Rules to Authorize and Facilitate the Deployment of Licensed Point-to-Multipoint Fixed Wireless Broadband Service in the 3.7-4.2 GHz Band; Fixed Wireless Communications Coalition, Inc., Request for Modified Coordination Procedures in Band Shared Between the Fixed Service and the Fixed Satellite Service, </w:t>
      </w:r>
      <w:r>
        <w:t>GN Docket No. 18-122, GN Docket No. 17-183 (Terminated), RM 11791, RM-11778, Order and Notice of Proposed Rulemaking, 33 FCC Rcd 6915, 6916-17, 6964, paras. 1-2, 5, and 148 (2018) (noting that mid-band spectrum is well-suited for next generation wireless broadband services and seeking comment on whether this band should be included in the Commission’s spectrum screen).</w:t>
      </w:r>
    </w:p>
  </w:footnote>
  <w:footnote w:id="203">
    <w:p w:rsidR="00B63070" w:rsidP="00C6287D">
      <w:pPr>
        <w:pStyle w:val="FootnoteText"/>
        <w:spacing w:before="120"/>
      </w:pPr>
      <w:r>
        <w:rPr>
          <w:rStyle w:val="FootnoteReference"/>
        </w:rPr>
        <w:footnoteRef/>
      </w:r>
      <w:r>
        <w:t xml:space="preserve"> </w:t>
      </w:r>
      <w:r>
        <w:rPr>
          <w:i/>
        </w:rPr>
        <w:t>Space Exploration Holdings, LLC; Application For Approval for Orbital Deployment and Operating Authority for the SpaceX NGSO Satellite System; Application For Approval For Orbital Deployment And Operating Authority for the SpaceX NGSO Satellite System Supplement</w:t>
      </w:r>
      <w:r>
        <w:t xml:space="preserve">, Memorandum Opinion, Order and Authorization, </w:t>
      </w:r>
      <w:r>
        <w:rPr>
          <w:snapToGrid w:val="0"/>
        </w:rPr>
        <w:t>33 FCC Rcd 3391</w:t>
      </w:r>
      <w:r>
        <w:t xml:space="preserve"> (2018)</w:t>
      </w:r>
      <w:r w:rsidRPr="00D768DC">
        <w:rPr>
          <w:iCs/>
          <w:snapToGrid w:val="0"/>
        </w:rPr>
        <w:t>;</w:t>
      </w:r>
      <w:r>
        <w:rPr>
          <w:i/>
          <w:iCs/>
          <w:snapToGrid w:val="0"/>
        </w:rPr>
        <w:t xml:space="preserve"> see also WorldVu Satellites Limited</w:t>
      </w:r>
      <w:r w:rsidRPr="009B2EFF">
        <w:rPr>
          <w:iCs/>
          <w:snapToGrid w:val="0"/>
        </w:rPr>
        <w:t>;</w:t>
      </w:r>
      <w:r>
        <w:rPr>
          <w:i/>
          <w:iCs/>
          <w:snapToGrid w:val="0"/>
        </w:rPr>
        <w:t xml:space="preserve"> Petition for a Declaratory Ruling Granting Access to the U.S. Market for the OneWeb NGSO FSS System, </w:t>
      </w:r>
      <w:r>
        <w:rPr>
          <w:snapToGrid w:val="0"/>
        </w:rPr>
        <w:t>Order and Declaratory Ruling, 32 FCC Rcd 5366 (2017)</w:t>
      </w:r>
      <w:r w:rsidRPr="00D768DC">
        <w:rPr>
          <w:snapToGrid w:val="0"/>
        </w:rPr>
        <w:t xml:space="preserve">; </w:t>
      </w:r>
      <w:r>
        <w:rPr>
          <w:i/>
          <w:iCs/>
          <w:snapToGrid w:val="0"/>
        </w:rPr>
        <w:t>Space Norway AS</w:t>
      </w:r>
      <w:r w:rsidRPr="009B2EFF">
        <w:rPr>
          <w:iCs/>
          <w:snapToGrid w:val="0"/>
        </w:rPr>
        <w:t>;</w:t>
      </w:r>
      <w:r>
        <w:rPr>
          <w:i/>
          <w:iCs/>
          <w:snapToGrid w:val="0"/>
        </w:rPr>
        <w:t xml:space="preserve"> Petition for a Declaratory Ruling Granting Access to the U.S. Market for the Arctic Satellite Broadband Mission</w:t>
      </w:r>
      <w:r>
        <w:rPr>
          <w:snapToGrid w:val="0"/>
        </w:rPr>
        <w:t>, Order and Declaratory Ruling</w:t>
      </w:r>
      <w:r>
        <w:rPr>
          <w:i/>
          <w:iCs/>
          <w:snapToGrid w:val="0"/>
        </w:rPr>
        <w:t>,</w:t>
      </w:r>
      <w:r>
        <w:rPr>
          <w:snapToGrid w:val="0"/>
        </w:rPr>
        <w:t xml:space="preserve"> </w:t>
      </w:r>
      <w:r>
        <w:t>32 FCC Rcd 9649</w:t>
      </w:r>
      <w:r>
        <w:rPr>
          <w:snapToGrid w:val="0"/>
        </w:rPr>
        <w:t xml:space="preserve"> (2017); </w:t>
      </w:r>
      <w:r>
        <w:rPr>
          <w:i/>
          <w:iCs/>
          <w:snapToGrid w:val="0"/>
        </w:rPr>
        <w:t>Telesat Canada</w:t>
      </w:r>
      <w:r w:rsidRPr="009B2EFF">
        <w:rPr>
          <w:iCs/>
          <w:snapToGrid w:val="0"/>
        </w:rPr>
        <w:t>;</w:t>
      </w:r>
      <w:r>
        <w:rPr>
          <w:i/>
          <w:iCs/>
          <w:snapToGrid w:val="0"/>
        </w:rPr>
        <w:t xml:space="preserve"> Petition for Declaratory Ruling to Grant Access to the U.S. Market for Telesat’s NGSO Constellation</w:t>
      </w:r>
      <w:r>
        <w:rPr>
          <w:snapToGrid w:val="0"/>
        </w:rPr>
        <w:t>, Order and Declaratory Ruling</w:t>
      </w:r>
      <w:r>
        <w:rPr>
          <w:i/>
          <w:iCs/>
          <w:snapToGrid w:val="0"/>
        </w:rPr>
        <w:t xml:space="preserve">, </w:t>
      </w:r>
      <w:r>
        <w:t>32 FCC Rcd 9663</w:t>
      </w:r>
      <w:r>
        <w:rPr>
          <w:snapToGrid w:val="0"/>
        </w:rPr>
        <w:t xml:space="preserve"> (2017).</w:t>
      </w:r>
    </w:p>
  </w:footnote>
  <w:footnote w:id="204">
    <w:p w:rsidR="00B63070" w:rsidP="00C6287D">
      <w:pPr>
        <w:pStyle w:val="FootnoteText"/>
        <w:spacing w:before="120"/>
      </w:pPr>
      <w:r>
        <w:rPr>
          <w:rStyle w:val="FootnoteReference"/>
        </w:rPr>
        <w:footnoteRef/>
      </w:r>
      <w:bookmarkStart w:id="411" w:name="_Hlk516671970"/>
      <w:r>
        <w:rPr>
          <w:i/>
          <w:snapToGrid w:val="0"/>
          <w:kern w:val="28"/>
        </w:rPr>
        <w:t xml:space="preserve"> O3b Limited; Request for Modification </w:t>
      </w:r>
      <w:r>
        <w:rPr>
          <w:i/>
        </w:rPr>
        <w:t>of U.S. Market Access for O3b Limited’s Non-Geostationary Satellite Orbit System in the Fixed-Satellite Service and in the Mobile-Satellite Service</w:t>
      </w:r>
      <w:r>
        <w:rPr>
          <w:snapToGrid w:val="0"/>
          <w:kern w:val="28"/>
        </w:rPr>
        <w:t>, Order and Declaratory Ruling, 33 FCC Rcd 5508 (2018)</w:t>
      </w:r>
      <w:r>
        <w:t xml:space="preserve">.  </w:t>
      </w:r>
      <w:bookmarkEnd w:id="411"/>
    </w:p>
  </w:footnote>
  <w:footnote w:id="205">
    <w:p w:rsidR="00B63070" w:rsidRPr="00B4273F" w:rsidP="00C6287D">
      <w:pPr>
        <w:pStyle w:val="FootnoteText"/>
        <w:spacing w:before="120"/>
      </w:pPr>
      <w:r w:rsidRPr="00D36750">
        <w:rPr>
          <w:rStyle w:val="FootnoteReference"/>
        </w:rPr>
        <w:footnoteRef/>
      </w:r>
      <w:r w:rsidRPr="00D36750">
        <w:t xml:space="preserve"> </w:t>
      </w:r>
      <w:r w:rsidRPr="00D41518">
        <w:rPr>
          <w:i/>
        </w:rPr>
        <w:t>Telesat Canada Petition for Declaratory Ruling to Grant Access to the U.S. Market for Telesat’s V-Band NGSO Constellation</w:t>
      </w:r>
      <w:r w:rsidRPr="00D41518">
        <w:t xml:space="preserve">, Order and Declaratory Ruling, FCC </w:t>
      </w:r>
      <w:r>
        <w:t>18-163</w:t>
      </w:r>
      <w:r w:rsidRPr="00D41518">
        <w:t xml:space="preserve"> </w:t>
      </w:r>
      <w:r w:rsidRPr="00B4273F">
        <w:t xml:space="preserve">(Nov. </w:t>
      </w:r>
      <w:r>
        <w:t>19</w:t>
      </w:r>
      <w:r w:rsidRPr="00B4273F">
        <w:t>, 2018).</w:t>
      </w:r>
    </w:p>
  </w:footnote>
  <w:footnote w:id="206">
    <w:p w:rsidR="00B63070" w:rsidRPr="00D36750" w:rsidP="00C6287D">
      <w:pPr>
        <w:pStyle w:val="FootnoteText"/>
        <w:spacing w:before="120"/>
      </w:pPr>
      <w:r w:rsidRPr="00D36750">
        <w:rPr>
          <w:rStyle w:val="FootnoteReference"/>
        </w:rPr>
        <w:footnoteRef/>
      </w:r>
      <w:r w:rsidRPr="00D36750">
        <w:t xml:space="preserve"> </w:t>
      </w:r>
      <w:r w:rsidRPr="00D41518">
        <w:rPr>
          <w:i/>
        </w:rPr>
        <w:t>LeoSat MA, Inc. Petition for Declaratory Ruling Concerning U.S. Market Access for the LeoSat Ka-band Low-Earth Orbit Satellite System</w:t>
      </w:r>
      <w:r w:rsidRPr="00B4273F">
        <w:t xml:space="preserve">, Order and Declaratory Ruling, FCC </w:t>
      </w:r>
      <w:r>
        <w:t>18-164</w:t>
      </w:r>
      <w:r w:rsidRPr="00B4273F">
        <w:t xml:space="preserve"> (Nov. </w:t>
      </w:r>
      <w:r>
        <w:t>19</w:t>
      </w:r>
      <w:r w:rsidRPr="00B4273F">
        <w:t xml:space="preserve">, 2018). </w:t>
      </w:r>
      <w:r w:rsidRPr="00D36750">
        <w:t xml:space="preserve"> In its petition for declaratory ruling, LeoSat stated that it will “ensure access to new broadband services for remote and underserved communities in Alaska, Hawaii, Puerto Rico, and the U.S. Virgin Islands” and that its network will deliver “enterprise-to-enterprise communications, Internet and 5G/4G cellular backhaul, video content delivery, oil field services and operations, and maritime communications.”  LeoSat</w:t>
      </w:r>
      <w:r>
        <w:t xml:space="preserve"> MA, Inc.</w:t>
      </w:r>
      <w:r w:rsidRPr="00D36750">
        <w:t xml:space="preserve">, </w:t>
      </w:r>
      <w:r w:rsidRPr="00D259EE">
        <w:t xml:space="preserve">Petition for Declaratory Ruling to Permit U.S. Market Access for the LeoSat Ka-band Low-Earth Orbit Satellite System, </w:t>
      </w:r>
      <w:r w:rsidRPr="00D36750">
        <w:t>IBFS File No. SAT-PDR-20161115-00112, Narrative at 1-4 (filed Nov. 15, 2016).</w:t>
      </w:r>
    </w:p>
  </w:footnote>
  <w:footnote w:id="207">
    <w:p w:rsidR="00B63070" w:rsidP="00C6287D">
      <w:pPr>
        <w:pStyle w:val="FootnoteText"/>
        <w:spacing w:before="120"/>
      </w:pPr>
      <w:r>
        <w:rPr>
          <w:rStyle w:val="FootnoteReference"/>
        </w:rPr>
        <w:footnoteRef/>
      </w:r>
      <w:r>
        <w:t xml:space="preserve"> </w:t>
      </w:r>
      <w:r w:rsidRPr="00C8078B">
        <w:rPr>
          <w:i/>
        </w:rPr>
        <w:t>Space Exploration Holdings, LLC; Application for Approval for Orbital Deployment and Operating Authority for the SpaceX V-band NGSO Satellite System</w:t>
      </w:r>
      <w:r>
        <w:t>, Memorandum Opinion, Order and Authorization</w:t>
      </w:r>
      <w:r w:rsidRPr="00D41518">
        <w:t xml:space="preserve">, FCC </w:t>
      </w:r>
      <w:r>
        <w:t>18-161</w:t>
      </w:r>
      <w:r w:rsidRPr="00B4273F">
        <w:t xml:space="preserve"> (Nov. </w:t>
      </w:r>
      <w:r>
        <w:t>19</w:t>
      </w:r>
      <w:r w:rsidRPr="00B4273F">
        <w:t>, 2018).</w:t>
      </w:r>
    </w:p>
  </w:footnote>
  <w:footnote w:id="208">
    <w:p w:rsidR="00B63070" w:rsidP="00C6287D">
      <w:pPr>
        <w:pStyle w:val="FootnoteText"/>
        <w:spacing w:before="120"/>
      </w:pPr>
      <w:r>
        <w:rPr>
          <w:rStyle w:val="FootnoteReference"/>
        </w:rPr>
        <w:footnoteRef/>
      </w:r>
      <w:r>
        <w:t xml:space="preserve"> R Street Comments at 7-8.</w:t>
      </w:r>
    </w:p>
  </w:footnote>
  <w:footnote w:id="209">
    <w:p w:rsidR="00B63070" w:rsidP="00C6287D">
      <w:pPr>
        <w:pStyle w:val="FootnoteText"/>
        <w:spacing w:before="120"/>
      </w:pPr>
      <w:r>
        <w:rPr>
          <w:rStyle w:val="FootnoteReference"/>
        </w:rPr>
        <w:footnoteRef/>
      </w:r>
      <w:r>
        <w:t xml:space="preserve"> FCC, </w:t>
      </w:r>
      <w:r w:rsidRPr="00B66599">
        <w:rPr>
          <w:i/>
        </w:rPr>
        <w:t>Broadband Deployment Advisory Committee Charter, Committee’s Objective and Scope of its Activities</w:t>
      </w:r>
      <w:r>
        <w:t xml:space="preserve"> (Mar. 1, 2017), </w:t>
      </w:r>
      <w:r w:rsidRPr="00C14D2D">
        <w:t>https://www.fcc.gov/sites/default/files/bdac-charter.pdf</w:t>
      </w:r>
      <w:r>
        <w:t>.</w:t>
      </w:r>
    </w:p>
  </w:footnote>
  <w:footnote w:id="210">
    <w:p w:rsidR="00B63070" w:rsidP="00C6287D">
      <w:pPr>
        <w:pStyle w:val="FootnoteText"/>
        <w:spacing w:before="120"/>
      </w:pPr>
      <w:r>
        <w:rPr>
          <w:rStyle w:val="FootnoteReference"/>
        </w:rPr>
        <w:footnoteRef/>
      </w:r>
      <w:r>
        <w:t xml:space="preserve"> FCC, </w:t>
      </w:r>
      <w:r w:rsidRPr="00B66599">
        <w:rPr>
          <w:i/>
        </w:rPr>
        <w:t>Broadband Deployment Advisory Committee Charter, Committee’s Objective and Scope of its Activities</w:t>
      </w:r>
      <w:r>
        <w:t xml:space="preserve"> (Mar. 1, 2017), </w:t>
      </w:r>
      <w:r w:rsidRPr="00C14D2D">
        <w:t>https://www.fcc.gov/sites/default/files/bdac-charter.pdf</w:t>
      </w:r>
      <w:r>
        <w:t xml:space="preserve">. </w:t>
      </w:r>
      <w:r>
        <w:rPr>
          <w:i/>
        </w:rPr>
        <w:t>Id.</w:t>
      </w:r>
    </w:p>
  </w:footnote>
  <w:footnote w:id="211">
    <w:p w:rsidR="00B63070" w:rsidRPr="006A3E19" w:rsidP="00C6287D">
      <w:pPr>
        <w:pStyle w:val="FootnoteText"/>
        <w:spacing w:before="120"/>
      </w:pPr>
      <w:r>
        <w:rPr>
          <w:rStyle w:val="FootnoteReference"/>
        </w:rPr>
        <w:footnoteRef/>
      </w:r>
      <w:r>
        <w:t xml:space="preserve"> </w:t>
      </w:r>
      <w:r w:rsidRPr="00876B4C">
        <w:rPr>
          <w:i/>
        </w:rPr>
        <w:t xml:space="preserve">FCC Announces the </w:t>
      </w:r>
      <w:r w:rsidRPr="006A3E19">
        <w:rPr>
          <w:i/>
        </w:rPr>
        <w:t>Next</w:t>
      </w:r>
      <w:r w:rsidRPr="00876B4C">
        <w:rPr>
          <w:i/>
        </w:rPr>
        <w:t xml:space="preserve"> Meeting of the Broadband Deployment Advisory Committee</w:t>
      </w:r>
      <w:r w:rsidRPr="00876B4C">
        <w:t>, GN Docket No. 17-83, Public Notice,</w:t>
      </w:r>
      <w:r>
        <w:t xml:space="preserve"> 33 FCC Rcd 1760 (</w:t>
      </w:r>
      <w:r w:rsidRPr="00876B4C">
        <w:t>2018).</w:t>
      </w:r>
    </w:p>
  </w:footnote>
  <w:footnote w:id="212">
    <w:p w:rsidR="00B63070" w:rsidRPr="006A3E19" w:rsidP="00C6287D">
      <w:pPr>
        <w:pStyle w:val="FootnoteText"/>
        <w:spacing w:before="120"/>
      </w:pPr>
      <w:r>
        <w:rPr>
          <w:rStyle w:val="FootnoteReference"/>
        </w:rPr>
        <w:footnoteRef/>
      </w:r>
      <w:r>
        <w:t xml:space="preserve"> </w:t>
      </w:r>
      <w:r w:rsidRPr="00876B4C">
        <w:rPr>
          <w:i/>
        </w:rPr>
        <w:t>FCC Announces the Next Meeting of the Broadband Deployment Advisory Committee</w:t>
      </w:r>
      <w:r w:rsidRPr="00876B4C">
        <w:t>, GN Docket No. 17-83, Public Notice,</w:t>
      </w:r>
      <w:r>
        <w:t xml:space="preserve"> 33 FCC Rcd 6495 (</w:t>
      </w:r>
      <w:r w:rsidRPr="00876B4C">
        <w:t>2018).</w:t>
      </w:r>
    </w:p>
  </w:footnote>
  <w:footnote w:id="213">
    <w:p w:rsidR="00B63070" w:rsidRPr="00BE3771" w:rsidP="00C6287D">
      <w:pPr>
        <w:pStyle w:val="FootnoteText"/>
        <w:spacing w:before="120"/>
      </w:pPr>
      <w:r w:rsidRPr="00BE3771">
        <w:rPr>
          <w:rStyle w:val="FootnoteReference"/>
        </w:rPr>
        <w:footnoteRef/>
      </w:r>
      <w:r w:rsidRPr="00BE3771">
        <w:t xml:space="preserve"> </w:t>
      </w:r>
      <w:r w:rsidRPr="00BE3771">
        <w:rPr>
          <w:i/>
        </w:rPr>
        <w:t>FCC Announces the Next Meeting of the Broadband Deployment Advisory Committee</w:t>
      </w:r>
      <w:r w:rsidRPr="00BE3771">
        <w:t>, GN Docket No. 17-83, Public Notice, DA 18-</w:t>
      </w:r>
      <w:r>
        <w:t>1160</w:t>
      </w:r>
      <w:r w:rsidRPr="00BE3771">
        <w:t xml:space="preserve"> (</w:t>
      </w:r>
      <w:r>
        <w:t>Nov. 14</w:t>
      </w:r>
      <w:r w:rsidRPr="00BE3771">
        <w:t>, 2018</w:t>
      </w:r>
      <w:r w:rsidRPr="00876B4C">
        <w:t>)</w:t>
      </w:r>
      <w:r>
        <w:t>.</w:t>
      </w:r>
    </w:p>
  </w:footnote>
  <w:footnote w:id="214">
    <w:p w:rsidR="00B63070" w:rsidRPr="00BE3771" w:rsidP="00C6287D">
      <w:pPr>
        <w:pStyle w:val="FootnoteText"/>
        <w:spacing w:before="120"/>
      </w:pPr>
      <w:r w:rsidRPr="00BE3771">
        <w:rPr>
          <w:rStyle w:val="FootnoteReference"/>
        </w:rPr>
        <w:footnoteRef/>
      </w:r>
      <w:r w:rsidRPr="00BE3771">
        <w:t xml:space="preserve"> </w:t>
      </w:r>
      <w:r>
        <w:t>BDAC</w:t>
      </w:r>
      <w:r w:rsidRPr="00BE3771">
        <w:t xml:space="preserve"> Model Code for States Working Group</w:t>
      </w:r>
      <w:r>
        <w:t xml:space="preserve">, State Model Code for Accelerating Broadband Infrastructure Deployment and Investment, Final Approved Sections (Dec. 6, 2018), </w:t>
      </w:r>
      <w:hyperlink r:id="rId13" w:history="1">
        <w:r w:rsidRPr="00B23E4D">
          <w:rPr>
            <w:rStyle w:val="Hyperlink"/>
          </w:rPr>
          <w:t>https://www.fcc.gov/sites/default/files/bdac-12-0607-2018-model-code-states-final-approved-sections.pdf</w:t>
        </w:r>
      </w:hyperlink>
      <w:r>
        <w:t xml:space="preserve">; </w:t>
      </w:r>
      <w:r w:rsidRPr="00BE3771">
        <w:t>BDAC Model Code for States Working Group</w:t>
      </w:r>
      <w:r>
        <w:t xml:space="preserve">, State Model Code for Accelerating Broadband Infrastructure Deployment and Investment, Discussion Draft (Dec. 6, 2018), </w:t>
      </w:r>
      <w:hyperlink r:id="rId14" w:history="1">
        <w:r w:rsidRPr="00BA71BB">
          <w:rPr>
            <w:rStyle w:val="Hyperlink"/>
          </w:rPr>
          <w:t>https://www.fcc.gov/sites/default/files/bdac-12-0607-2018-model-code-states-discussion-doc.pdf</w:t>
        </w:r>
      </w:hyperlink>
      <w:r>
        <w:t>;</w:t>
      </w:r>
      <w:r w:rsidRPr="00BE3771">
        <w:t xml:space="preserve"> BDAC Model Code for States Working Group, State Model Code for Accelerating Broadband Infrastructure Deployment and Investment (July 19, 2018), </w:t>
      </w:r>
      <w:hyperlink r:id="rId15" w:history="1">
        <w:r w:rsidRPr="00BE3771">
          <w:rPr>
            <w:rStyle w:val="Hyperlink"/>
          </w:rPr>
          <w:t>https://www.fcc.gov/sites/default/files/bdac-07-2627-2018-harmonization-wg-model-code-states.pdf</w:t>
        </w:r>
      </w:hyperlink>
      <w:r w:rsidRPr="00BE3771">
        <w:t xml:space="preserve">; BDAC Model Code for Municipalities Working Group, Model Code for Municipalities (July 19, 2018), </w:t>
      </w:r>
      <w:hyperlink r:id="rId16" w:history="1">
        <w:r w:rsidRPr="00BE3771">
          <w:rPr>
            <w:rStyle w:val="Hyperlink"/>
          </w:rPr>
          <w:t>https://www.fcc.gov/sites/default/files/bdac-07-2627-2018-harmonization-wg-model-code-muni.pdf</w:t>
        </w:r>
      </w:hyperlink>
      <w:r w:rsidRPr="00BE3771">
        <w:t xml:space="preserve">. </w:t>
      </w:r>
    </w:p>
  </w:footnote>
  <w:footnote w:id="215">
    <w:p w:rsidR="00B63070" w:rsidP="00C6287D">
      <w:pPr>
        <w:pStyle w:val="FootnoteText"/>
        <w:spacing w:before="120"/>
      </w:pPr>
      <w:r>
        <w:rPr>
          <w:rStyle w:val="FootnoteReference"/>
        </w:rPr>
        <w:footnoteRef/>
      </w:r>
      <w:r>
        <w:t xml:space="preserve"> </w:t>
      </w:r>
      <w:r w:rsidRPr="00D74E60">
        <w:rPr>
          <w:i/>
        </w:rPr>
        <w:t xml:space="preserve">FCC </w:t>
      </w:r>
      <w:r>
        <w:rPr>
          <w:i/>
        </w:rPr>
        <w:t xml:space="preserve">Announces Membership of the </w:t>
      </w:r>
      <w:r w:rsidRPr="00D74E60">
        <w:rPr>
          <w:i/>
        </w:rPr>
        <w:t>Broadband Deployment Advisory Committee</w:t>
      </w:r>
      <w:r>
        <w:rPr>
          <w:i/>
        </w:rPr>
        <w:t>’s</w:t>
      </w:r>
      <w:r w:rsidRPr="00D74E60">
        <w:rPr>
          <w:i/>
        </w:rPr>
        <w:t xml:space="preserve"> Disaster Response and Recovery Working Group</w:t>
      </w:r>
      <w:r>
        <w:t>, GN Docket No. 17-83. Public Notice, DA 18-1121 (Nov. 1, 2018).</w:t>
      </w:r>
    </w:p>
  </w:footnote>
  <w:footnote w:id="216">
    <w:p w:rsidR="00B63070" w:rsidRPr="00BE3771" w:rsidP="00C6287D">
      <w:pPr>
        <w:pStyle w:val="FootnoteText"/>
        <w:spacing w:before="120"/>
      </w:pPr>
      <w:r w:rsidRPr="00BE3771">
        <w:rPr>
          <w:rStyle w:val="FootnoteReference"/>
        </w:rPr>
        <w:footnoteRef/>
      </w:r>
      <w:r>
        <w:t xml:space="preserve"> </w:t>
      </w:r>
      <w:r w:rsidRPr="00BE3771">
        <w:rPr>
          <w:i/>
        </w:rPr>
        <w:t>FCC Solicits Nominations for New Disaster Response and Recovery Working Group of the Broadband Deployment Advisory Committee</w:t>
      </w:r>
      <w:r w:rsidRPr="00BE3771">
        <w:t xml:space="preserve">, Public Notice, GN Docket No. 17-83, </w:t>
      </w:r>
      <w:r>
        <w:t>33 FCC Rcd 8096</w:t>
      </w:r>
      <w:r w:rsidRPr="00BE3771">
        <w:t xml:space="preserve"> (2018).</w:t>
      </w:r>
    </w:p>
  </w:footnote>
  <w:footnote w:id="217">
    <w:p w:rsidR="00B63070" w:rsidP="00C6287D">
      <w:pPr>
        <w:pStyle w:val="FootnoteText"/>
        <w:spacing w:before="120"/>
      </w:pPr>
      <w:r>
        <w:rPr>
          <w:rStyle w:val="FootnoteReference"/>
        </w:rPr>
        <w:footnoteRef/>
      </w:r>
      <w:r>
        <w:t xml:space="preserve"> </w:t>
      </w:r>
      <w:r>
        <w:rPr>
          <w:i/>
        </w:rPr>
        <w:t>See FCC Announces the Re-Charter of the Broadband Deployment Advisory Committee and Solicits Nominations for Membership</w:t>
      </w:r>
      <w:r>
        <w:t>, GN Docket No. 17-83, Public Notice, DA 18-1239 (Dec. 10, 2018).</w:t>
      </w:r>
    </w:p>
  </w:footnote>
  <w:footnote w:id="218">
    <w:p w:rsidR="00B63070" w:rsidRPr="00BE3771" w:rsidP="00C6287D">
      <w:pPr>
        <w:pStyle w:val="FootnoteText"/>
        <w:spacing w:before="120"/>
      </w:pPr>
      <w:r w:rsidRPr="00BE3771">
        <w:rPr>
          <w:rStyle w:val="FootnoteReference"/>
        </w:rPr>
        <w:footnoteRef/>
      </w:r>
      <w:r>
        <w:t xml:space="preserve"> </w:t>
      </w:r>
      <w:r w:rsidRPr="0019766F">
        <w:rPr>
          <w:i/>
        </w:rPr>
        <w:t>See</w:t>
      </w:r>
      <w:r>
        <w:rPr>
          <w:i/>
        </w:rPr>
        <w:t>, e.g.</w:t>
      </w:r>
      <w:r w:rsidRPr="00CC4311">
        <w:t xml:space="preserve">, </w:t>
      </w:r>
      <w:r w:rsidRPr="0019766F">
        <w:t>BDAC Jan</w:t>
      </w:r>
      <w:r>
        <w:t>uary 2018 Recommendations at 19-</w:t>
      </w:r>
      <w:r w:rsidRPr="0019766F">
        <w:t>2</w:t>
      </w:r>
      <w:r>
        <w:t>2, 26-27, 29, 37, 39,</w:t>
      </w:r>
      <w:r w:rsidRPr="00BE3771">
        <w:t xml:space="preserve"> </w:t>
      </w:r>
      <w:hyperlink r:id="rId11" w:history="1">
        <w:r w:rsidRPr="00BE3771">
          <w:rPr>
            <w:rStyle w:val="Hyperlink"/>
          </w:rPr>
          <w:t>https://ecfsapi.fcc.gov/file/107030255502405/Competitive%20Access%20to%20Broadband%20Infrastructure%20Report.pdf</w:t>
        </w:r>
      </w:hyperlink>
      <w:r w:rsidRPr="00BE3771">
        <w:t xml:space="preserve"> ; BDAC, Addendum to the Report of the Competitive Access to Broadband Infrastructure Working Group (April 25,</w:t>
      </w:r>
      <w:r>
        <w:t xml:space="preserve"> </w:t>
      </w:r>
      <w:r w:rsidRPr="00BE3771">
        <w:t xml:space="preserve">2018), </w:t>
      </w:r>
      <w:hyperlink r:id="rId17" w:history="1">
        <w:r w:rsidRPr="00BE3771">
          <w:rPr>
            <w:rStyle w:val="Hyperlink"/>
          </w:rPr>
          <w:t>https://www.fcc.gov/sites/default/files/bdac-cabi-report-04252018.pdf</w:t>
        </w:r>
      </w:hyperlink>
      <w:r w:rsidRPr="00BE3771">
        <w:t xml:space="preserve">. </w:t>
      </w:r>
    </w:p>
  </w:footnote>
  <w:footnote w:id="219">
    <w:p w:rsidR="00B63070" w:rsidRPr="00412DBA" w:rsidP="00C6287D">
      <w:pPr>
        <w:pStyle w:val="FootnoteText"/>
      </w:pPr>
      <w:r>
        <w:rPr>
          <w:rStyle w:val="FootnoteReference"/>
        </w:rPr>
        <w:footnoteRef/>
      </w:r>
      <w:r>
        <w:t xml:space="preserve"> </w:t>
      </w:r>
      <w:r>
        <w:rPr>
          <w:i/>
          <w:iCs/>
        </w:rPr>
        <w:t>See Wireline Infrastructure Third Report and Order</w:t>
      </w:r>
      <w:r>
        <w:t>, 33 FCC Rcd at 7706, para. 2.</w:t>
      </w:r>
    </w:p>
  </w:footnote>
  <w:footnote w:id="220">
    <w:p w:rsidR="00B63070" w:rsidRPr="00BE3771" w:rsidP="00C6287D">
      <w:pPr>
        <w:pStyle w:val="FootnoteText"/>
        <w:spacing w:before="120"/>
      </w:pPr>
      <w:r w:rsidRPr="00BE3771">
        <w:rPr>
          <w:rStyle w:val="FootnoteReference"/>
        </w:rPr>
        <w:footnoteRef/>
      </w:r>
      <w:r w:rsidRPr="0019766F">
        <w:t xml:space="preserve"> </w:t>
      </w:r>
      <w:r w:rsidRPr="0019766F">
        <w:rPr>
          <w:i/>
        </w:rPr>
        <w:t xml:space="preserve">See </w:t>
      </w:r>
      <w:r w:rsidRPr="0019766F">
        <w:t xml:space="preserve">BDAC January 2018 Recommendations at 18-31, </w:t>
      </w:r>
      <w:hyperlink r:id="rId11" w:history="1">
        <w:r w:rsidRPr="0019766F">
          <w:rPr>
            <w:rStyle w:val="Hyperlink"/>
          </w:rPr>
          <w:t>https://ecfsapi.fcc.gov/file/107030255502405/Competitive%20Access%20to%20Broadband%20Infrastructure%20Report.pdf</w:t>
        </w:r>
      </w:hyperlink>
      <w:r w:rsidRPr="0019766F">
        <w:t xml:space="preserve"> </w:t>
      </w:r>
      <w:r w:rsidRPr="00BE3771">
        <w:t xml:space="preserve">.  </w:t>
      </w:r>
      <w:r w:rsidRPr="00BE3771">
        <w:rPr>
          <w:szCs w:val="22"/>
        </w:rPr>
        <w:t>By some estimates, OTMR alone could result in approximately 8.3 million incremental premises passed with fiber</w:t>
      </w:r>
      <w:r w:rsidRPr="00BE3771">
        <w:t>,</w:t>
      </w:r>
      <w:r w:rsidRPr="00BE3771">
        <w:rPr>
          <w:szCs w:val="22"/>
        </w:rPr>
        <w:t xml:space="preserve"> and about $12.6 billion in incremental fiber capital expenditures.  </w:t>
      </w:r>
      <w:r w:rsidRPr="00BE3771">
        <w:rPr>
          <w:i/>
        </w:rPr>
        <w:t xml:space="preserve">See </w:t>
      </w:r>
      <w:r w:rsidRPr="00BE3771">
        <w:t xml:space="preserve">Letter from Thomas J. Navin, Counsel to Corning, to Marlene H. Dortch, Secretary, FCC, WT Docket No. 17-84, at Attach. A; Ed Naef and Alex King, CMA Strategy Consulting, </w:t>
      </w:r>
      <w:r w:rsidRPr="00BE3771">
        <w:rPr>
          <w:i/>
        </w:rPr>
        <w:t>Assessing the Impact of Removing Regulatory Barriers on Next Generation Wireless and Wireline Broadband Infrastructure Investment:</w:t>
      </w:r>
      <w:r>
        <w:rPr>
          <w:i/>
        </w:rPr>
        <w:t xml:space="preserve"> </w:t>
      </w:r>
      <w:r w:rsidRPr="00BE3771">
        <w:rPr>
          <w:i/>
        </w:rPr>
        <w:t xml:space="preserve"> Annex 1, Model Sensitivities</w:t>
      </w:r>
      <w:r w:rsidRPr="00BE3771">
        <w:t xml:space="preserve"> at 5-6 (filed Feb. 26, 2018).</w:t>
      </w:r>
    </w:p>
  </w:footnote>
  <w:footnote w:id="221">
    <w:p w:rsidR="00B63070" w:rsidP="00C6287D">
      <w:pPr>
        <w:pStyle w:val="FootnoteText"/>
        <w:spacing w:before="120"/>
      </w:pPr>
      <w:r>
        <w:rPr>
          <w:rStyle w:val="FootnoteReference"/>
        </w:rPr>
        <w:footnoteRef/>
      </w:r>
      <w:r>
        <w:t xml:space="preserve"> </w:t>
      </w:r>
      <w:r w:rsidRPr="008E2AB9">
        <w:rPr>
          <w:i/>
        </w:rPr>
        <w:t>See, e.g</w:t>
      </w:r>
      <w:r>
        <w:t>.,</w:t>
      </w:r>
      <w:r w:rsidRPr="00176C55">
        <w:t xml:space="preserve"> </w:t>
      </w:r>
      <w:r>
        <w:t xml:space="preserve">BDAC, Model Code for Municipalities Working Group, </w:t>
      </w:r>
      <w:r w:rsidRPr="00F43947">
        <w:t>Model Code for Municipalities</w:t>
      </w:r>
      <w:r>
        <w:t xml:space="preserve"> (July 19, 2018), </w:t>
      </w:r>
      <w:hyperlink r:id="rId16" w:history="1">
        <w:r>
          <w:rPr>
            <w:rStyle w:val="Hyperlink"/>
          </w:rPr>
          <w:t>https://www.fcc.gov/sites/default/files/bdac-07-2627-2018-harmonization-wg-model-code-muni.pdf</w:t>
        </w:r>
      </w:hyperlink>
      <w:r>
        <w:t xml:space="preserve">; </w:t>
      </w:r>
      <w:r w:rsidRPr="00992C93">
        <w:t xml:space="preserve">BDAC, </w:t>
      </w:r>
      <w:r w:rsidRPr="00F43947">
        <w:t>Report of the Removal of State and Local Regulatory Barriers Working Group (</w:t>
      </w:r>
      <w:r w:rsidRPr="00992C93">
        <w:t>Jan. 10</w:t>
      </w:r>
      <w:r>
        <w:t>,</w:t>
      </w:r>
      <w:r w:rsidRPr="00992C93">
        <w:t xml:space="preserve"> 2018),</w:t>
      </w:r>
      <w:r>
        <w:t xml:space="preserve"> </w:t>
      </w:r>
      <w:hyperlink r:id="rId18" w:history="1">
        <w:r w:rsidRPr="00992C93">
          <w:rPr>
            <w:rStyle w:val="Hyperlink"/>
          </w:rPr>
          <w:t>https://www.fcc.gov/sites/default/files/bdac-regulatorybarriers-01232018.pdf</w:t>
        </w:r>
      </w:hyperlink>
      <w:r>
        <w:t xml:space="preserve">; BDAC, Rates and Fees Committee, </w:t>
      </w:r>
      <w:r w:rsidRPr="00F43947">
        <w:t>Draft Final Report to the BDAC (v 2.5)</w:t>
      </w:r>
      <w:r>
        <w:t xml:space="preserve"> (July 24, 2018), </w:t>
      </w:r>
      <w:hyperlink r:id="rId19" w:history="1">
        <w:r>
          <w:rPr>
            <w:rStyle w:val="Hyperlink"/>
          </w:rPr>
          <w:t>https://www.fcc.gov/sites/default/files/bdac-07-2627-2018-rates-fees-wg-report-07242018.pdf</w:t>
        </w:r>
      </w:hyperlink>
      <w:r>
        <w:rPr>
          <w:rStyle w:val="Hyperlink"/>
        </w:rPr>
        <w:t>.</w:t>
      </w:r>
    </w:p>
  </w:footnote>
  <w:footnote w:id="222">
    <w:p w:rsidR="00B63070" w:rsidRPr="00640FB2" w:rsidP="00C6287D">
      <w:pPr>
        <w:autoSpaceDE w:val="0"/>
        <w:autoSpaceDN w:val="0"/>
        <w:adjustRightInd w:val="0"/>
        <w:spacing w:before="120" w:after="120"/>
        <w:rPr>
          <w:iCs/>
        </w:rPr>
      </w:pPr>
      <w:r w:rsidRPr="00BE3771">
        <w:rPr>
          <w:rStyle w:val="FootnoteReference"/>
        </w:rPr>
        <w:footnoteRef/>
      </w:r>
      <w:r w:rsidRPr="00BE3771">
        <w:t xml:space="preserve"> </w:t>
      </w:r>
      <w:r>
        <w:rPr>
          <w:i/>
          <w:sz w:val="20"/>
        </w:rPr>
        <w:t>See</w:t>
      </w:r>
      <w:r w:rsidRPr="00640FB2">
        <w:rPr>
          <w:i/>
          <w:sz w:val="20"/>
        </w:rPr>
        <w:t xml:space="preserve"> Wireless Infrastructure Third Report and Order</w:t>
      </w:r>
      <w:r>
        <w:rPr>
          <w:sz w:val="20"/>
        </w:rPr>
        <w:t>, 33 FCC Rcd 9088, 8098-99, para. 27</w:t>
      </w:r>
      <w:r w:rsidRPr="00640FB2">
        <w:rPr>
          <w:sz w:val="20"/>
        </w:rPr>
        <w:t>.</w:t>
      </w:r>
    </w:p>
  </w:footnote>
  <w:footnote w:id="223">
    <w:p w:rsidR="00B63070" w:rsidP="00C6287D">
      <w:pPr>
        <w:pStyle w:val="FootnoteText"/>
        <w:spacing w:before="120"/>
      </w:pPr>
      <w:r>
        <w:rPr>
          <w:rStyle w:val="FootnoteReference"/>
        </w:rPr>
        <w:footnoteRef/>
      </w:r>
      <w:r>
        <w:t xml:space="preserve"> </w:t>
      </w:r>
      <w:r w:rsidRPr="004C05A8">
        <w:rPr>
          <w:i/>
        </w:rPr>
        <w:t>See</w:t>
      </w:r>
      <w:r>
        <w:t xml:space="preserve"> </w:t>
      </w:r>
      <w:r>
        <w:rPr>
          <w:i/>
        </w:rPr>
        <w:t xml:space="preserve">supra </w:t>
      </w:r>
      <w:r>
        <w:t>Sections V.A.-D.</w:t>
      </w:r>
    </w:p>
  </w:footnote>
  <w:footnote w:id="224">
    <w:p w:rsidR="00B63070" w:rsidRPr="00DE1ACE" w:rsidP="00C6287D">
      <w:pPr>
        <w:pStyle w:val="FootnoteText"/>
        <w:spacing w:before="120"/>
      </w:pPr>
      <w:r>
        <w:rPr>
          <w:rStyle w:val="FootnoteReference"/>
        </w:rPr>
        <w:footnoteRef/>
      </w:r>
      <w:r>
        <w:t xml:space="preserve"> 47 U.S.C. § 1302(a</w:t>
      </w:r>
      <w:r w:rsidRPr="001325E7">
        <w:t>).</w:t>
      </w:r>
      <w:r>
        <w:t xml:space="preserve">  </w:t>
      </w:r>
    </w:p>
  </w:footnote>
  <w:footnote w:id="225">
    <w:p w:rsidR="00B63070" w:rsidP="00C6287D">
      <w:pPr>
        <w:pStyle w:val="FootnoteText"/>
      </w:pPr>
      <w:r>
        <w:rPr>
          <w:rStyle w:val="FootnoteReference"/>
        </w:rPr>
        <w:footnoteRef/>
      </w:r>
      <w:r>
        <w:t xml:space="preserve"> </w:t>
      </w:r>
      <w:r>
        <w:rPr>
          <w:i/>
        </w:rPr>
        <w:t xml:space="preserve">See generally </w:t>
      </w:r>
      <w:r>
        <w:t xml:space="preserve">Patrick Brogan, Vice President for Industry Analysis, USTelecom, U.S. Broadband Investment Rebounded in 2017 (2018), </w:t>
      </w:r>
      <w:hyperlink r:id="rId1" w:history="1">
        <w:r w:rsidRPr="00BE5592">
          <w:rPr>
            <w:rStyle w:val="Hyperlink"/>
          </w:rPr>
          <w:t>https://www.ustelecom.org/ustelecom-broadband-capital-expenditures-once-again-on-upward-trajectory</w:t>
        </w:r>
      </w:hyperlink>
      <w:r>
        <w:t>.</w:t>
      </w:r>
    </w:p>
  </w:footnote>
  <w:footnote w:id="226">
    <w:p w:rsidR="00B63070" w:rsidP="00C6287D">
      <w:pPr>
        <w:pStyle w:val="FootnoteText"/>
      </w:pPr>
      <w:r>
        <w:rPr>
          <w:rStyle w:val="FootnoteReference"/>
        </w:rPr>
        <w:footnoteRef/>
      </w:r>
      <w:r>
        <w:t xml:space="preserve"> </w:t>
      </w:r>
      <w:r>
        <w:rPr>
          <w:i/>
        </w:rPr>
        <w:t>See</w:t>
      </w:r>
      <w:r w:rsidRPr="00034CE4">
        <w:rPr>
          <w:i/>
        </w:rPr>
        <w:t xml:space="preserve"> </w:t>
      </w:r>
      <w:r>
        <w:t>Fiber Broadband Association, North American 2018 Advanced Broadband Report (2018).</w:t>
      </w:r>
    </w:p>
  </w:footnote>
  <w:footnote w:id="227">
    <w:p w:rsidR="00B63070" w:rsidRPr="005D0E9F" w:rsidP="00C6287D">
      <w:pPr>
        <w:pStyle w:val="FootnoteText"/>
        <w:spacing w:before="120"/>
      </w:pPr>
      <w:r>
        <w:rPr>
          <w:rStyle w:val="FootnoteReference"/>
        </w:rPr>
        <w:footnoteRef/>
      </w:r>
      <w:r>
        <w:t xml:space="preserve"> </w:t>
      </w:r>
      <w:r w:rsidRPr="009C0478">
        <w:rPr>
          <w:i/>
        </w:rPr>
        <w:t>See</w:t>
      </w:r>
      <w:r w:rsidRPr="009C0478">
        <w:t xml:space="preserve"> Press Release, AT&amp;T, AT&amp;T Makes World’s First Standards-Based Mobile 5G Millimeter Wave Connection (Sept. 10, 2018), </w:t>
      </w:r>
      <w:hyperlink r:id="rId20" w:history="1">
        <w:r w:rsidRPr="009C0478">
          <w:rPr>
            <w:rStyle w:val="Hyperlink"/>
          </w:rPr>
          <w:t>http://about.att.com/story/2018/5g_cities_2018_2019.html</w:t>
        </w:r>
      </w:hyperlink>
      <w:r w:rsidRPr="009C0478">
        <w:t xml:space="preserve"> (describing a </w:t>
      </w:r>
      <w:r w:rsidRPr="009C0478">
        <w:rPr>
          <w:color w:val="191919"/>
        </w:rPr>
        <w:t xml:space="preserve">wireless 5G data transfer test using production equipment, </w:t>
      </w:r>
      <w:r w:rsidRPr="002859CA">
        <w:t>announcing</w:t>
      </w:r>
      <w:r w:rsidRPr="009C0478">
        <w:rPr>
          <w:color w:val="191919"/>
        </w:rPr>
        <w:t xml:space="preserve"> plans to introduce mobile 5G in parts of </w:t>
      </w:r>
      <w:r w:rsidRPr="009C0478">
        <w:rPr>
          <w:color w:val="191919"/>
          <w:bdr w:val="none" w:sz="0" w:space="0" w:color="auto" w:frame="1"/>
        </w:rPr>
        <w:t xml:space="preserve">Atlanta, Charlotte, Dallas, </w:t>
      </w:r>
      <w:r w:rsidRPr="009C0478">
        <w:rPr>
          <w:color w:val="191919"/>
        </w:rPr>
        <w:t xml:space="preserve">Houston, </w:t>
      </w:r>
      <w:r w:rsidRPr="009C0478">
        <w:rPr>
          <w:color w:val="191919"/>
          <w:bdr w:val="none" w:sz="0" w:space="0" w:color="auto" w:frame="1"/>
        </w:rPr>
        <w:t xml:space="preserve">Indianapolis, </w:t>
      </w:r>
      <w:r w:rsidRPr="009C0478">
        <w:rPr>
          <w:color w:val="191919"/>
        </w:rPr>
        <w:t xml:space="preserve">Jacksonville, Louisville, New Orleans, Oklahoma City, Raleigh, San Antonio, and Waco this year, with expansion to Las Vegas, Los Angeles, Nashville, Orlando, San Diego, San Francisco, and San Jose in early 2019); </w:t>
      </w:r>
      <w:r w:rsidRPr="009C0478">
        <w:t xml:space="preserve">Nicholas Rossolillo, </w:t>
      </w:r>
      <w:r w:rsidRPr="009C0478">
        <w:rPr>
          <w:i/>
          <w:color w:val="222222"/>
          <w:spacing w:val="-15"/>
        </w:rPr>
        <w:t>What to Expect When Verizon Launches Its 5G Network</w:t>
      </w:r>
      <w:r w:rsidRPr="009C0478">
        <w:rPr>
          <w:color w:val="222222"/>
          <w:spacing w:val="-15"/>
        </w:rPr>
        <w:t xml:space="preserve"> (</w:t>
      </w:r>
      <w:r w:rsidRPr="009C0478">
        <w:t xml:space="preserve">Aug. 18, 2018), </w:t>
      </w:r>
      <w:hyperlink r:id="rId21" w:history="1">
        <w:r w:rsidRPr="009C0478">
          <w:rPr>
            <w:rStyle w:val="Hyperlink"/>
          </w:rPr>
          <w:t>https://www.fool.com/investing/2018/08/18/what-to-expect-when-verizon-launches-its-5g-networ.aspx</w:t>
        </w:r>
      </w:hyperlink>
      <w:r w:rsidRPr="009C0478">
        <w:t xml:space="preserve"> (describing Verizon’s roll out of fixed and wireless 5G service in Houston, Indianapolis, Los Angeles, and Sacramento, including planned service offerings, costs, and timing); Monica Alleven, </w:t>
      </w:r>
      <w:r w:rsidRPr="009C0478">
        <w:rPr>
          <w:i/>
        </w:rPr>
        <w:t>Sprint CTO Explains How Carrier Plans to Win the 5G Race</w:t>
      </w:r>
      <w:r w:rsidRPr="009C0478">
        <w:t xml:space="preserve"> (May 24, 2018), </w:t>
      </w:r>
      <w:hyperlink r:id="rId22" w:history="1">
        <w:r w:rsidRPr="009C0478">
          <w:rPr>
            <w:rStyle w:val="Hyperlink"/>
          </w:rPr>
          <w:t>https://www.fiercewireless.com/wireless/sprint-cto-explains-how-it-plans-to-win-5g-race</w:t>
        </w:r>
      </w:hyperlink>
      <w:r w:rsidRPr="009C0478">
        <w:t xml:space="preserve"> (discussing Sprint’s plans to launch 5G initially across Atlanta, Chicago, Dallas, Houston, Kansas City, Los Angeles, New York, Phoenix, and Washington, with nationwide roll-out expected in the first half of 2019, and delivering LTE and 5G simultaneously on the same spectrum band).</w:t>
      </w:r>
    </w:p>
  </w:footnote>
  <w:footnote w:id="228">
    <w:p w:rsidR="00B63070" w:rsidP="00C6287D">
      <w:pPr>
        <w:pStyle w:val="FootnoteText"/>
        <w:spacing w:before="120"/>
      </w:pPr>
      <w:r>
        <w:rPr>
          <w:rStyle w:val="FootnoteReference"/>
        </w:rPr>
        <w:footnoteRef/>
      </w:r>
      <w:r w:rsidRPr="3838696A">
        <w:t xml:space="preserve"> </w:t>
      </w:r>
      <w:r w:rsidRPr="00D61250">
        <w:rPr>
          <w:kern w:val="36"/>
        </w:rPr>
        <w:t xml:space="preserve">Christine Book, </w:t>
      </w:r>
      <w:r w:rsidRPr="00D61250">
        <w:rPr>
          <w:i/>
          <w:kern w:val="36"/>
        </w:rPr>
        <w:t>Delaware Announces RFP For Broadband Expansion</w:t>
      </w:r>
      <w:r w:rsidRPr="00D61250">
        <w:rPr>
          <w:kern w:val="36"/>
        </w:rPr>
        <w:t xml:space="preserve"> (July 31, 2018),</w:t>
      </w:r>
      <w:r w:rsidRPr="005E0B9B">
        <w:rPr>
          <w:color w:val="333333"/>
          <w:kern w:val="36"/>
        </w:rPr>
        <w:t xml:space="preserve"> </w:t>
      </w:r>
      <w:hyperlink r:id="rId23" w:history="1">
        <w:r w:rsidRPr="00FC17AE">
          <w:rPr>
            <w:rStyle w:val="Hyperlink"/>
            <w:kern w:val="36"/>
          </w:rPr>
          <w:t>https://www.smartresilient.com/delaware-announces-rfp-broadband-expansion</w:t>
        </w:r>
      </w:hyperlink>
      <w:r w:rsidRPr="00FC17AE">
        <w:rPr>
          <w:color w:val="333333"/>
          <w:kern w:val="36"/>
        </w:rPr>
        <w:t xml:space="preserve"> </w:t>
      </w:r>
      <w:r w:rsidRPr="00D61250">
        <w:rPr>
          <w:kern w:val="36"/>
        </w:rPr>
        <w:t>(discussing state efforts to encourage</w:t>
      </w:r>
      <w:r w:rsidRPr="00D61250">
        <w:rPr>
          <w:shd w:val="clear" w:color="auto" w:fill="FFFFFF"/>
        </w:rPr>
        <w:t xml:space="preserve"> public-private partnerships to improve broadband availability in rural areas, building on broadband pilot program monetized through legislative negotiations during telecommunications deregulation);</w:t>
      </w:r>
      <w:r>
        <w:rPr>
          <w:color w:val="333333"/>
          <w:shd w:val="clear" w:color="auto" w:fill="FFFFFF"/>
        </w:rPr>
        <w:t xml:space="preserve"> </w:t>
      </w:r>
      <w:r>
        <w:t xml:space="preserve">Christine Book, </w:t>
      </w:r>
      <w:r w:rsidRPr="4322E018">
        <w:rPr>
          <w:i/>
          <w:iCs/>
        </w:rPr>
        <w:t>Broadband Expansion Gains Momentum Across U.S.</w:t>
      </w:r>
      <w:r>
        <w:t xml:space="preserve"> (Aug. 1 2018), </w:t>
      </w:r>
      <w:hyperlink r:id="rId24" w:history="1">
        <w:r w:rsidRPr="00EE6C9C">
          <w:rPr>
            <w:rStyle w:val="Hyperlink"/>
          </w:rPr>
          <w:t>https://www.smartresilient.com/broadband-expansion-gains-momentum-across-us</w:t>
        </w:r>
      </w:hyperlink>
      <w:r>
        <w:t xml:space="preserve"> (describing initiatives and plans in Virginia, Kansas, Ohio, and Indiana to upgrade existing infrastructure and expand access to broadband across underserved areas in those states); Lightwave Staff, </w:t>
      </w:r>
      <w:r w:rsidRPr="4322E018">
        <w:rPr>
          <w:i/>
          <w:iCs/>
        </w:rPr>
        <w:t>Middle Tennessee Electric, United Communications Pair for Broadband Expansion</w:t>
      </w:r>
      <w:r>
        <w:t xml:space="preserve"> (Aug. 27, 2018), </w:t>
      </w:r>
      <w:hyperlink r:id="rId25" w:history="1">
        <w:r w:rsidRPr="00EE6C9C">
          <w:rPr>
            <w:rStyle w:val="Hyperlink"/>
          </w:rPr>
          <w:t>https://www.lightwaveonline.com/articles/2018/08/middle-tennessee-electric-united-communications-pair-for-broadband-expansion.html</w:t>
        </w:r>
      </w:hyperlink>
      <w:r>
        <w:t xml:space="preserve"> (discussing partnership between an electric co-op and an ISP to </w:t>
      </w:r>
      <w:r w:rsidRPr="00E562DB">
        <w:rPr>
          <w:shd w:val="clear" w:color="auto" w:fill="FFFFFF"/>
        </w:rPr>
        <w:t>expand the availability of high-speed broadband in seven Tennessee counties</w:t>
      </w:r>
      <w:r w:rsidRPr="3838696A">
        <w:t>).</w:t>
      </w:r>
    </w:p>
  </w:footnote>
  <w:footnote w:id="229">
    <w:p w:rsidR="00B63070" w:rsidP="00C6287D">
      <w:pPr>
        <w:pStyle w:val="FootnoteText"/>
        <w:spacing w:before="120"/>
      </w:pPr>
      <w:r>
        <w:rPr>
          <w:rStyle w:val="FootnoteReference"/>
        </w:rPr>
        <w:footnoteRef/>
      </w:r>
      <w:r>
        <w:t xml:space="preserve"> FSF Comments at 2, 4-6.</w:t>
      </w:r>
    </w:p>
  </w:footnote>
  <w:footnote w:id="230">
    <w:p w:rsidR="00B63070" w:rsidRPr="0024001F" w:rsidP="00C6287D">
      <w:pPr>
        <w:pStyle w:val="FootnoteText"/>
        <w:spacing w:before="120"/>
      </w:pPr>
      <w:r>
        <w:rPr>
          <w:rStyle w:val="FootnoteReference"/>
        </w:rPr>
        <w:footnoteRef/>
      </w:r>
      <w:r>
        <w:t xml:space="preserve"> </w:t>
      </w:r>
      <w:r>
        <w:rPr>
          <w:i/>
        </w:rPr>
        <w:t xml:space="preserve">See supra </w:t>
      </w:r>
      <w:r>
        <w:t>Fig. 1.</w:t>
      </w:r>
    </w:p>
  </w:footnote>
  <w:footnote w:id="231">
    <w:p w:rsidR="00B63070" w:rsidRPr="0024001F" w:rsidP="00C6287D">
      <w:pPr>
        <w:pStyle w:val="FootnoteText"/>
        <w:spacing w:before="120"/>
      </w:pPr>
      <w:r>
        <w:rPr>
          <w:rStyle w:val="FootnoteReference"/>
        </w:rPr>
        <w:footnoteRef/>
      </w:r>
      <w:r>
        <w:t xml:space="preserve"> </w:t>
      </w:r>
      <w:r>
        <w:rPr>
          <w:i/>
        </w:rPr>
        <w:t xml:space="preserve">See supra </w:t>
      </w:r>
      <w:r>
        <w:t>Fig. 2b.</w:t>
      </w:r>
    </w:p>
  </w:footnote>
  <w:footnote w:id="232">
    <w:p w:rsidR="00B63070" w:rsidRPr="0024001F" w:rsidP="00C6287D">
      <w:pPr>
        <w:pStyle w:val="FootnoteText"/>
        <w:spacing w:before="120"/>
      </w:pPr>
      <w:r>
        <w:rPr>
          <w:rStyle w:val="FootnoteReference"/>
        </w:rPr>
        <w:footnoteRef/>
      </w:r>
      <w:r>
        <w:t xml:space="preserve"> </w:t>
      </w:r>
      <w:r>
        <w:rPr>
          <w:i/>
        </w:rPr>
        <w:t xml:space="preserve">See supra </w:t>
      </w:r>
      <w:r>
        <w:t>Figs. 1, 2a, 2b, 3c, 3d.</w:t>
      </w:r>
    </w:p>
  </w:footnote>
  <w:footnote w:id="233">
    <w:p w:rsidR="00B63070" w:rsidRPr="0024001F" w:rsidP="00C6287D">
      <w:pPr>
        <w:pStyle w:val="FootnoteText"/>
        <w:spacing w:before="120"/>
      </w:pPr>
      <w:r>
        <w:rPr>
          <w:rStyle w:val="FootnoteReference"/>
        </w:rPr>
        <w:footnoteRef/>
      </w:r>
      <w:r>
        <w:t xml:space="preserve"> </w:t>
      </w:r>
      <w:r>
        <w:rPr>
          <w:i/>
        </w:rPr>
        <w:t xml:space="preserve">See supra </w:t>
      </w:r>
      <w:r>
        <w:t>Fig. 4.</w:t>
      </w:r>
    </w:p>
  </w:footnote>
  <w:footnote w:id="234">
    <w:p w:rsidR="00B63070" w:rsidP="00C6287D">
      <w:pPr>
        <w:pStyle w:val="FootnoteText"/>
        <w:spacing w:before="120"/>
      </w:pPr>
      <w:r>
        <w:rPr>
          <w:rStyle w:val="FootnoteReference"/>
        </w:rPr>
        <w:footnoteRef/>
      </w:r>
      <w:r>
        <w:t xml:space="preserve"> </w:t>
      </w:r>
      <w:r w:rsidRPr="007545D5">
        <w:rPr>
          <w:i/>
        </w:rPr>
        <w:t>See</w:t>
      </w:r>
      <w:r w:rsidRPr="007545D5">
        <w:t xml:space="preserve"> </w:t>
      </w:r>
      <w:r w:rsidRPr="00034CE4">
        <w:t xml:space="preserve">para. </w:t>
      </w:r>
      <w:r w:rsidRPr="00950C39">
        <w:t>77,</w:t>
      </w:r>
      <w:r w:rsidRPr="00034CE4">
        <w:t xml:space="preserve"> </w:t>
      </w:r>
      <w:r w:rsidRPr="00034CE4">
        <w:rPr>
          <w:i/>
        </w:rPr>
        <w:t>supra</w:t>
      </w:r>
      <w:r>
        <w:t>;</w:t>
      </w:r>
      <w:r w:rsidRPr="007545D5">
        <w:t xml:space="preserve"> </w:t>
      </w:r>
      <w:r>
        <w:rPr>
          <w:i/>
        </w:rPr>
        <w:t>s</w:t>
      </w:r>
      <w:r w:rsidRPr="007545D5">
        <w:rPr>
          <w:i/>
        </w:rPr>
        <w:t>ee</w:t>
      </w:r>
      <w:r w:rsidRPr="000C37BA">
        <w:rPr>
          <w:i/>
        </w:rPr>
        <w:t xml:space="preserve"> also</w:t>
      </w:r>
      <w:r>
        <w:t xml:space="preserve"> ACA Comments at 5 (</w:t>
      </w:r>
      <w:r w:rsidRPr="00172EB6">
        <w:t>“[T]he Commission’s pursuit of a regulatory agenda that minimizes the costs and burdens of deployment is a major factor that has driven and continues to drive ACA members’ substantial broadband investments.</w:t>
      </w:r>
      <w:r>
        <w:t>”); ACA Reply at 2-3 (“</w:t>
      </w:r>
      <w:r w:rsidRPr="006D2767">
        <w:t>Indeed, the investments of the cable industry</w:t>
      </w:r>
      <w:r>
        <w:t xml:space="preserve"> . . . </w:t>
      </w:r>
      <w:r w:rsidRPr="006D2767">
        <w:t>are exp</w:t>
      </w:r>
      <w:r>
        <w:t>ected to bestow ‘</w:t>
      </w:r>
      <w:r w:rsidRPr="006D2767">
        <w:t>at least 70 to 75</w:t>
      </w:r>
      <w:r>
        <w:t>%</w:t>
      </w:r>
      <w:r w:rsidRPr="006D2767">
        <w:t xml:space="preserve"> of American households [with] access to cable gigabit services by the end of 2018.</w:t>
      </w:r>
      <w:r>
        <w:t>’</w:t>
      </w:r>
      <w:r w:rsidRPr="006D2767">
        <w:t>”</w:t>
      </w:r>
      <w:r>
        <w:t>).</w:t>
      </w:r>
    </w:p>
  </w:footnote>
  <w:footnote w:id="235">
    <w:p w:rsidR="00B63070" w:rsidP="00C6287D">
      <w:pPr>
        <w:pStyle w:val="FootnoteText"/>
        <w:spacing w:before="120"/>
      </w:pPr>
      <w:r>
        <w:rPr>
          <w:rStyle w:val="FootnoteReference"/>
        </w:rPr>
        <w:footnoteRef/>
      </w:r>
      <w:r>
        <w:t xml:space="preserve"> </w:t>
      </w:r>
      <w:r w:rsidRPr="005D4CE8">
        <w:rPr>
          <w:i/>
        </w:rPr>
        <w:t>See, e.g</w:t>
      </w:r>
      <w:r>
        <w:t>., CWA Comments at 2 (</w:t>
      </w:r>
      <w:r w:rsidRPr="00EE5DA8">
        <w:t>Broadband is not being deployed in a reasonable and timely fashion, and the Commission was wrong to conclude so</w:t>
      </w:r>
      <w:r>
        <w:t xml:space="preserve"> . . .”); PK &amp; CC Comments at 3, 19-23 (</w:t>
      </w:r>
      <w:r w:rsidRPr="00C3758A">
        <w:t xml:space="preserve">“[T]he Commission’s actions on a number of broadband related issues from copper retirement, to </w:t>
      </w:r>
      <w:r w:rsidRPr="00095ECD">
        <w:t>Lifeline, to spectrum have all widened the digital divide or unnecessaril</w:t>
      </w:r>
      <w:r>
        <w:t>y slowed broadband deployment”; elimination of copper retirement rules puts vulnerable Americans at risk for service downgrades, spectrum policies have delayed CBRS deployment and created potential for spectrum warehousing, and proposed cuts to Lifeline will widen the digital divide</w:t>
      </w:r>
      <w:r w:rsidRPr="00095ECD">
        <w:t>)</w:t>
      </w:r>
      <w:r>
        <w:t>; National Associations Reply at 3 (“</w:t>
      </w:r>
      <w:r w:rsidRPr="00F24205">
        <w:t>By focusing on progress rather than those left unserved, the Commission seems to have lowered the bar for assessing broadband deployment at a time when we should be reaching for a higher standard. This progress based standard effectively tells those still waiting for broadband that it is reasonable for them to have been left behind.”</w:t>
      </w:r>
      <w:r>
        <w:t xml:space="preserve">); CC, PK &amp; NHMC Nov. 15, 2018 </w:t>
      </w:r>
      <w:r>
        <w:rPr>
          <w:i/>
        </w:rPr>
        <w:t xml:space="preserve">Ex Parte </w:t>
      </w:r>
      <w:r>
        <w:t>Letter at 5.</w:t>
      </w:r>
    </w:p>
  </w:footnote>
  <w:footnote w:id="236">
    <w:p w:rsidR="00B63070" w:rsidRPr="00702D7F" w:rsidP="00C6287D">
      <w:pPr>
        <w:pStyle w:val="FootnoteText"/>
        <w:spacing w:before="120"/>
      </w:pPr>
      <w:r>
        <w:rPr>
          <w:rStyle w:val="FootnoteReference"/>
        </w:rPr>
        <w:footnoteRef/>
      </w:r>
      <w:r>
        <w:t xml:space="preserve"> </w:t>
      </w:r>
      <w:r w:rsidRPr="000104F4">
        <w:t xml:space="preserve">For example, in the </w:t>
      </w:r>
      <w:r w:rsidRPr="000104F4">
        <w:rPr>
          <w:i/>
          <w:iCs/>
        </w:rPr>
        <w:t>Wireline Infrastructure First Report and Order</w:t>
      </w:r>
      <w:r w:rsidRPr="000104F4">
        <w:t>, the Commission largely returned its copper retirement rules to their pre-2015 state based on a record in that proceeding demonstrating that the copper retirement rules adopted in 2015 were overly burdensome and unnecessary, and caused certain incumbent LECs to delay plans to deploy fiber “and, in some instances, to even consider foregoing fiber deployment altogether.”</w:t>
      </w:r>
      <w:r>
        <w:t xml:space="preserve"> </w:t>
      </w:r>
      <w:r w:rsidRPr="000104F4">
        <w:t xml:space="preserve"> </w:t>
      </w:r>
      <w:r w:rsidRPr="000104F4">
        <w:rPr>
          <w:i/>
          <w:iCs/>
        </w:rPr>
        <w:t>Wireline Infrastructure First Report and Order</w:t>
      </w:r>
      <w:r w:rsidRPr="000104F4">
        <w:t>, 32 FCC Rcd at 11141, para. 31.</w:t>
      </w:r>
      <w:r>
        <w:t xml:space="preserve"> </w:t>
      </w:r>
      <w:r w:rsidRPr="000104F4">
        <w:t xml:space="preserve"> The currently effective copper retirement rules afford incumbent LECs transitioning to next-generation networks greater flexibility, “eliminating the delays and additional costs imposed by” the rules adopted in 2015.  </w:t>
      </w:r>
      <w:r w:rsidRPr="000104F4">
        <w:rPr>
          <w:i/>
          <w:iCs/>
        </w:rPr>
        <w:t>Id</w:t>
      </w:r>
      <w:r w:rsidRPr="000104F4">
        <w:t xml:space="preserve">. at 11145, para. 41.  </w:t>
      </w:r>
      <w:r>
        <w:t xml:space="preserve"> In addition, r</w:t>
      </w:r>
      <w:r w:rsidRPr="000104F4">
        <w:t xml:space="preserve">ecent </w:t>
      </w:r>
      <w:r w:rsidRPr="00C12AA7">
        <w:t xml:space="preserve">Commission actions have made additional spectrum available in the 600 MHz band, the 3.5 GHz band, and the millimeter wave bands.  </w:t>
      </w:r>
      <w:r w:rsidRPr="00C12AA7">
        <w:rPr>
          <w:i/>
        </w:rPr>
        <w:t xml:space="preserve">See Incentive Auction Closing and Channel Reassignment Public Notice; The Broadcast Television Incentive Auction Closes; Reverse Auction and Forward Auction Results Announced; Final Television Band Channel Assignments Announced; Post-Auction Deadlines Announced, </w:t>
      </w:r>
      <w:r w:rsidRPr="00C12AA7">
        <w:t>Public Notice, 32</w:t>
      </w:r>
      <w:r w:rsidRPr="00C12AA7">
        <w:rPr>
          <w:i/>
        </w:rPr>
        <w:t xml:space="preserve"> </w:t>
      </w:r>
      <w:r w:rsidRPr="00C12AA7">
        <w:t xml:space="preserve">FCC Rcd 2786 (MB, WTB 2017); </w:t>
      </w:r>
      <w:r w:rsidRPr="00C12AA7">
        <w:rPr>
          <w:i/>
        </w:rPr>
        <w:t>Use of Spectrum Bands Above 24 GHz For Mobile Radio Services</w:t>
      </w:r>
      <w:r w:rsidRPr="00C12AA7">
        <w:t>, Third Report and Order, Memorandum Opinion and Order, and Third Further Notice of Proposed Rulema</w:t>
      </w:r>
      <w:r>
        <w:t>king, FCC 18-73 (Jun. 8, 2018)</w:t>
      </w:r>
      <w:r w:rsidRPr="00C12AA7">
        <w:t xml:space="preserve">.  The Commission is also attempting to make additional spectrum available in other bands, including </w:t>
      </w:r>
      <w:r>
        <w:t>making more mid-band spectrum available between</w:t>
      </w:r>
      <w:r w:rsidRPr="00C12AA7">
        <w:t xml:space="preserve"> 3.7-4.2 GHz </w:t>
      </w:r>
      <w:r w:rsidRPr="001A0C30">
        <w:t xml:space="preserve">for new terrestrial wireless uses while balancing desired speed to the market, efficiency of use, and effectively accommodating incumbent FSS and FS operations in the band.  </w:t>
      </w:r>
      <w:r w:rsidRPr="001A0C30">
        <w:rPr>
          <w:i/>
        </w:rPr>
        <w:t xml:space="preserve">See 3.7 to 4.2 GHz Band Order and NPRM </w:t>
      </w:r>
      <w:r w:rsidRPr="001A0C30">
        <w:t xml:space="preserve">at paras. 1-2.  The Commission </w:t>
      </w:r>
      <w:r w:rsidRPr="00C12AA7">
        <w:t xml:space="preserve">has proposed rules that will allow more efficient and effective use of the 2.5 GHz band.  </w:t>
      </w:r>
      <w:r w:rsidRPr="00C12AA7">
        <w:rPr>
          <w:i/>
        </w:rPr>
        <w:t>See Amendment of Parts 1, 21, 73, and 101 of the Commission’s Rules to Facilitate the Provision of Fixed and Mobile Broadband Access, Education and Other Advanced Services in the 2150-2162 and 2500-2690 Bands</w:t>
      </w:r>
      <w:r w:rsidRPr="00C12AA7">
        <w:t xml:space="preserve">; </w:t>
      </w:r>
      <w:r w:rsidRPr="00C12AA7">
        <w:rPr>
          <w:i/>
        </w:rPr>
        <w:t>Transforming the 2.5 GHz Band</w:t>
      </w:r>
      <w:r w:rsidRPr="00C12AA7">
        <w:t>, Notice of Proposed Rulemaking, FCC 18-59 (May 10, 2018).</w:t>
      </w:r>
    </w:p>
  </w:footnote>
  <w:footnote w:id="237">
    <w:p w:rsidR="00B63070" w:rsidP="00C6287D">
      <w:pPr>
        <w:pStyle w:val="FootnoteText"/>
        <w:spacing w:before="120"/>
      </w:pPr>
      <w:r>
        <w:rPr>
          <w:rStyle w:val="FootnoteReference"/>
        </w:rPr>
        <w:footnoteRef/>
      </w:r>
      <w:r>
        <w:t xml:space="preserve"> </w:t>
      </w:r>
      <w:r w:rsidRPr="00A45EE4">
        <w:rPr>
          <w:i/>
        </w:rPr>
        <w:t>2018 Report</w:t>
      </w:r>
      <w:r>
        <w:t xml:space="preserve">, 33 FCC Rcd at 1663, para. 12; </w:t>
      </w:r>
      <w:r w:rsidRPr="0007784C">
        <w:rPr>
          <w:i/>
        </w:rPr>
        <w:t>see also</w:t>
      </w:r>
      <w:r>
        <w:t xml:space="preserve"> ADTRAN Reply at 5-6 (“</w:t>
      </w:r>
      <w:r w:rsidRPr="00AC0B9B">
        <w:t>OTI and Common Cause/Public Knowledge suggest that the Commission should abandon it</w:t>
      </w:r>
      <w:r>
        <w:t>s</w:t>
      </w:r>
      <w:r w:rsidRPr="00AC0B9B">
        <w:t xml:space="preserve"> use of looking at year-over-year progress</w:t>
      </w:r>
      <w:r>
        <w:t xml:space="preserve"> . . . [b]</w:t>
      </w:r>
      <w:r w:rsidRPr="00AC0B9B">
        <w:t>ut that position ignores the language that Congress specified in the statute – the Commission is directed to assess ‘whether advanced telecommunications capability is being deployed to all Americans in a reasonable and timely fashion</w:t>
      </w:r>
      <w:r>
        <w:t>.’”); Comcast Reply at 12 (“</w:t>
      </w:r>
      <w:r w:rsidRPr="00484BF1">
        <w:t>The undisputed trend toward faster speed tiers supports a finding that deployment of advanced communications capability has been reasonable and timely.”)</w:t>
      </w:r>
      <w:r>
        <w:t>.</w:t>
      </w:r>
    </w:p>
  </w:footnote>
  <w:footnote w:id="238">
    <w:p w:rsidR="00B63070" w:rsidP="00C6287D">
      <w:pPr>
        <w:pStyle w:val="FootnoteText"/>
        <w:spacing w:before="120"/>
      </w:pPr>
      <w:r>
        <w:rPr>
          <w:rStyle w:val="FootnoteReference"/>
        </w:rPr>
        <w:footnoteRef/>
      </w:r>
      <w:r>
        <w:t xml:space="preserve"> </w:t>
      </w:r>
      <w:r w:rsidRPr="00581170">
        <w:rPr>
          <w:i/>
        </w:rPr>
        <w:t>2018 Report</w:t>
      </w:r>
      <w:r>
        <w:t xml:space="preserve">, 33 FCC Rcd at 1663, para 12; </w:t>
      </w:r>
      <w:r w:rsidRPr="00BB7A5C">
        <w:rPr>
          <w:i/>
        </w:rPr>
        <w:t>see also</w:t>
      </w:r>
      <w:r>
        <w:t xml:space="preserve"> ITTA Comments at 4 (“Section 706’s definition of ‘</w:t>
      </w:r>
      <w:r w:rsidRPr="004025F5">
        <w:t>advanced telecommunications capability</w:t>
      </w:r>
      <w:r>
        <w:t>’</w:t>
      </w:r>
      <w:r w:rsidRPr="004025F5">
        <w:t xml:space="preserve"> to </w:t>
      </w:r>
      <w:r>
        <w:t>encompass</w:t>
      </w:r>
      <w:r w:rsidRPr="004025F5">
        <w:t xml:space="preserve"> </w:t>
      </w:r>
      <w:r>
        <w:t>‘</w:t>
      </w:r>
      <w:r w:rsidRPr="004025F5">
        <w:t>high-quality</w:t>
      </w:r>
      <w:r>
        <w:t>’</w:t>
      </w:r>
      <w:r w:rsidRPr="004025F5">
        <w:t xml:space="preserve"> telecommunications does not require a failing grade if the broadband service is not capable of providing each and every new function and application to reach the market. </w:t>
      </w:r>
      <w:r>
        <w:t xml:space="preserve"> </w:t>
      </w:r>
      <w:r w:rsidRPr="004025F5">
        <w:t xml:space="preserve">Nor does it command an assessment of whether the </w:t>
      </w:r>
      <w:r>
        <w:t>‘</w:t>
      </w:r>
      <w:r w:rsidRPr="004025F5">
        <w:t>most</w:t>
      </w:r>
      <w:r>
        <w:t>’</w:t>
      </w:r>
      <w:r w:rsidRPr="004025F5">
        <w:t xml:space="preserve"> advanced telecommunications capability is being deployed o</w:t>
      </w:r>
      <w:r>
        <w:t>n a reasonable and timely basis</w:t>
      </w:r>
      <w:r w:rsidRPr="001F35B7">
        <w:t>.”</w:t>
      </w:r>
      <w:r>
        <w:t>).</w:t>
      </w:r>
    </w:p>
  </w:footnote>
  <w:footnote w:id="239">
    <w:p w:rsidR="00B63070" w:rsidP="00C6287D">
      <w:pPr>
        <w:pStyle w:val="FootnoteText"/>
        <w:spacing w:before="120"/>
      </w:pPr>
      <w:r>
        <w:rPr>
          <w:rStyle w:val="FootnoteReference"/>
        </w:rPr>
        <w:footnoteRef/>
      </w:r>
      <w:r>
        <w:t xml:space="preserve"> </w:t>
      </w:r>
      <w:r w:rsidRPr="00A94C06">
        <w:rPr>
          <w:i/>
        </w:rPr>
        <w:t xml:space="preserve">See </w:t>
      </w:r>
      <w:r>
        <w:rPr>
          <w:i/>
        </w:rPr>
        <w:t xml:space="preserve">supra </w:t>
      </w:r>
      <w:r>
        <w:t xml:space="preserve">Section V. </w:t>
      </w:r>
    </w:p>
  </w:footnote>
  <w:footnote w:id="240">
    <w:p w:rsidR="00B63070" w:rsidP="00C6287D">
      <w:pPr>
        <w:pStyle w:val="FootnoteText"/>
        <w:spacing w:before="120"/>
      </w:pPr>
      <w:r>
        <w:rPr>
          <w:rStyle w:val="FootnoteReference"/>
        </w:rPr>
        <w:footnoteRef/>
      </w:r>
      <w:r>
        <w:t xml:space="preserve"> </w:t>
      </w:r>
      <w:r w:rsidRPr="00A94C06">
        <w:rPr>
          <w:i/>
        </w:rPr>
        <w:t>See</w:t>
      </w:r>
      <w:r>
        <w:t xml:space="preserve"> </w:t>
      </w:r>
      <w:r>
        <w:rPr>
          <w:i/>
        </w:rPr>
        <w:t xml:space="preserve">supra </w:t>
      </w:r>
      <w:r>
        <w:t>Section IV.</w:t>
      </w:r>
    </w:p>
  </w:footnote>
  <w:footnote w:id="241">
    <w:p w:rsidR="00B63070" w:rsidRPr="004E4376" w:rsidP="00C6287D">
      <w:pPr>
        <w:pStyle w:val="FootnoteText"/>
        <w:spacing w:before="120"/>
      </w:pPr>
      <w:r>
        <w:rPr>
          <w:rStyle w:val="FootnoteReference"/>
        </w:rPr>
        <w:footnoteRef/>
      </w:r>
      <w:r>
        <w:t xml:space="preserve"> </w:t>
      </w:r>
      <w:r>
        <w:rPr>
          <w:i/>
        </w:rPr>
        <w:t xml:space="preserve">See supra </w:t>
      </w:r>
      <w:r>
        <w:t>Fig. 1.</w:t>
      </w:r>
    </w:p>
  </w:footnote>
  <w:footnote w:id="242">
    <w:p w:rsidR="00B63070" w:rsidRPr="004B051F" w:rsidP="00C6287D">
      <w:pPr>
        <w:pStyle w:val="FootnoteText"/>
        <w:spacing w:before="120"/>
      </w:pPr>
      <w:r>
        <w:rPr>
          <w:rStyle w:val="FootnoteReference"/>
        </w:rPr>
        <w:footnoteRef/>
      </w:r>
      <w:r>
        <w:t xml:space="preserve"> </w:t>
      </w:r>
      <w:r>
        <w:rPr>
          <w:i/>
        </w:rPr>
        <w:t>See Communications Marketplace Report</w:t>
      </w:r>
      <w:r>
        <w:t xml:space="preserve"> at paras. 326-38, 347.</w:t>
      </w:r>
    </w:p>
  </w:footnote>
  <w:footnote w:id="243">
    <w:p w:rsidR="00B63070" w:rsidP="006A7E96">
      <w:pPr>
        <w:pStyle w:val="FootnoteText"/>
      </w:pPr>
      <w:r>
        <w:rPr>
          <w:rStyle w:val="FootnoteReference"/>
        </w:rPr>
        <w:footnoteRef/>
      </w:r>
      <w:r>
        <w:t xml:space="preserve"> * Withheld to maintain confidentiality.</w:t>
      </w:r>
    </w:p>
  </w:footnote>
  <w:footnote w:id="244">
    <w:p w:rsidR="00EF56F2" w:rsidP="00EF56F2">
      <w:pPr>
        <w:pStyle w:val="FootnoteText"/>
      </w:pPr>
      <w:r>
        <w:rPr>
          <w:rStyle w:val="FootnoteReference"/>
        </w:rPr>
        <w:footnoteRef/>
      </w:r>
      <w:r>
        <w:t xml:space="preserve"> Aaron Smith, </w:t>
      </w:r>
      <w:r>
        <w:rPr>
          <w:i/>
        </w:rPr>
        <w:t>Declining Majority of Online Adults Say the Internet Has Been Good for Society</w:t>
      </w:r>
      <w:r>
        <w:t>, Pew Research Center (April 30, 2018), http://www.pewinternet.org/2018/04/30/declining-majority-of-online-adults-say-the-internet-has-been-good-for-society/.</w:t>
      </w:r>
    </w:p>
  </w:footnote>
  <w:footnote w:id="245">
    <w:p w:rsidR="004E6EC3" w:rsidP="004E6EC3">
      <w:pPr>
        <w:pStyle w:val="FootnoteText"/>
      </w:pPr>
      <w:r>
        <w:rPr>
          <w:rStyle w:val="FootnoteReference"/>
        </w:rPr>
        <w:footnoteRef/>
      </w:r>
      <w:r>
        <w:t xml:space="preserve"> </w:t>
      </w:r>
      <w:r w:rsidRPr="0081686E">
        <w:t>https://twitter.com/BrendanCarrFCC/status/991762618028306434</w:t>
      </w:r>
      <w:r>
        <w:t>.</w:t>
      </w:r>
    </w:p>
  </w:footnote>
  <w:footnote w:id="246">
    <w:p w:rsidR="004E6EC3" w:rsidP="004E6EC3">
      <w:pPr>
        <w:pStyle w:val="FootnoteText"/>
      </w:pPr>
      <w:r>
        <w:rPr>
          <w:rStyle w:val="FootnoteReference"/>
        </w:rPr>
        <w:footnoteRef/>
      </w:r>
      <w:r>
        <w:t xml:space="preserve"> </w:t>
      </w:r>
      <w:r w:rsidRPr="00CC4F01">
        <w:t>https://twitter.com/BrendanCarrFCC/status/1001932141805137920</w:t>
      </w:r>
      <w:r>
        <w:t>.</w:t>
      </w:r>
    </w:p>
  </w:footnote>
  <w:footnote w:id="247">
    <w:p w:rsidR="004E6EC3" w:rsidP="004E6EC3">
      <w:pPr>
        <w:pStyle w:val="FootnoteText"/>
      </w:pPr>
      <w:r>
        <w:rPr>
          <w:rStyle w:val="FootnoteReference"/>
        </w:rPr>
        <w:footnoteRef/>
      </w:r>
      <w:r>
        <w:t xml:space="preserve"> </w:t>
      </w:r>
      <w:r w:rsidRPr="001C6FA9">
        <w:t>https://twitter.com/BrendanCarrFCC/status/1092551275466633218</w:t>
      </w:r>
      <w:r>
        <w:t>.</w:t>
      </w:r>
    </w:p>
  </w:footnote>
  <w:footnote w:id="248">
    <w:p w:rsidR="00364220" w:rsidRPr="008E5D7D" w:rsidP="00364220">
      <w:pPr>
        <w:pStyle w:val="FootnoteText"/>
      </w:pPr>
      <w:r w:rsidRPr="008E5D7D">
        <w:rPr>
          <w:rStyle w:val="FootnoteReference"/>
        </w:rPr>
        <w:footnoteRef/>
      </w:r>
      <w:r w:rsidRPr="008E5D7D">
        <w:t xml:space="preserve"> </w:t>
      </w:r>
      <w:r w:rsidRPr="008E5D7D">
        <w:rPr>
          <w:i/>
        </w:rPr>
        <w:t>See</w:t>
      </w:r>
      <w:r w:rsidRPr="008E5D7D">
        <w:t xml:space="preserve"> </w:t>
      </w:r>
      <w:r w:rsidRPr="008E5D7D">
        <w:rPr>
          <w:i/>
        </w:rPr>
        <w:t>Report:  America’s Digital Divide Narrows Substantially</w:t>
      </w:r>
      <w:r w:rsidRPr="008E5D7D">
        <w:t xml:space="preserve">, FCC News Release, February 19, 2019, </w:t>
      </w:r>
      <w:hyperlink r:id="rId26" w:history="1">
        <w:r w:rsidRPr="008E5D7D">
          <w:rPr>
            <w:rStyle w:val="Hyperlink"/>
          </w:rPr>
          <w:t>https://docs.fcc.gov/public/attachments/DOC-356271A1.pdf</w:t>
        </w:r>
      </w:hyperlink>
      <w:r w:rsidRPr="008E5D7D">
        <w:t xml:space="preserve">.  </w:t>
      </w:r>
    </w:p>
  </w:footnote>
  <w:footnote w:id="249">
    <w:p w:rsidR="00364220" w:rsidRPr="008E5D7D" w:rsidP="00364220">
      <w:pPr>
        <w:pStyle w:val="FootnoteText"/>
      </w:pPr>
      <w:r w:rsidRPr="008E5D7D">
        <w:rPr>
          <w:rStyle w:val="FootnoteReference"/>
        </w:rPr>
        <w:footnoteRef/>
      </w:r>
      <w:r w:rsidRPr="008E5D7D">
        <w:t xml:space="preserve"> </w:t>
      </w:r>
      <w:r w:rsidRPr="008E5D7D">
        <w:rPr>
          <w:i/>
        </w:rPr>
        <w:t>Letter from Derek Turner, Research Director, Free Press, to Marlene H. Dortch, Secretary, Federal Communications Commission</w:t>
      </w:r>
      <w:r w:rsidRPr="008E5D7D">
        <w:t xml:space="preserve">, March 5, 2019.  GN Docket 18,-238, </w:t>
      </w:r>
      <w:hyperlink r:id="rId27" w:history="1">
        <w:r w:rsidRPr="008E5D7D">
          <w:rPr>
            <w:rStyle w:val="Hyperlink"/>
          </w:rPr>
          <w:t>https://www.freepress.net/sites/default/files/2019-03/free_press_706_report_form_477_erroneous_data_ex_parte.pdf</w:t>
        </w:r>
      </w:hyperlink>
      <w:r w:rsidRPr="008E5D7D">
        <w:t xml:space="preserve"> (“</w:t>
      </w:r>
      <w:r w:rsidRPr="008E5D7D">
        <w:rPr>
          <w:i/>
        </w:rPr>
        <w:t>Free Press Letter</w:t>
      </w:r>
      <w:r w:rsidRPr="008E5D7D">
        <w:t>”).  The Free Press letter points out that Barrier Free submitted, as its coverage area for 940 Mbps download / 880 Mbps upload service, a list of “every single census block in each of the eight states where it claimed service: CT, DC, MD, NJ, NY, PA, RI, and VA”, an area containing nearly 62 million people. That claim, if true, would make Barrier Free the 4</w:t>
      </w:r>
      <w:r w:rsidRPr="008E5D7D">
        <w:rPr>
          <w:vertAlign w:val="superscript"/>
        </w:rPr>
        <w:t>th</w:t>
      </w:r>
      <w:r w:rsidRPr="008E5D7D">
        <w:t xml:space="preserve"> largest internet service provider in the U.S.  The letter notes that this speed combination is unique to Verizon’s Fiber-to-the-Home service, that Verizon is the only other filer to claim offering service at that speed, and that Barrier Free, according to its Website, does not market Fiber-to-the-Home at any speed.  The Free Press letter then describes the role Barrier Free’s over reporting played in the claims the FCC made in its press release announcing the 2019 Broadband Progress Report.  Most notably, the Barrier Free over reporting accounted for 2 million of the approximately 6.4 million new homes served by fixed 25/3 broadband during 2017.</w:t>
      </w:r>
    </w:p>
  </w:footnote>
  <w:footnote w:id="250">
    <w:p w:rsidR="00364220" w:rsidRPr="008E5D7D" w:rsidP="00364220">
      <w:pPr>
        <w:pStyle w:val="FootnoteText"/>
      </w:pPr>
      <w:r w:rsidRPr="008E5D7D">
        <w:rPr>
          <w:rStyle w:val="FootnoteReference"/>
        </w:rPr>
        <w:footnoteRef/>
      </w:r>
      <w:r w:rsidRPr="008E5D7D">
        <w:t xml:space="preserve"> </w:t>
      </w:r>
      <w:r w:rsidRPr="008E5D7D">
        <w:rPr>
          <w:i/>
        </w:rPr>
        <w:t xml:space="preserve">See </w:t>
      </w:r>
      <w:r w:rsidRPr="008E5D7D">
        <w:t xml:space="preserve">Eggerton, J, (2018, August 16). Sen. Tester: FCC’s Broadband Maps ‘Stink’, </w:t>
      </w:r>
      <w:hyperlink r:id="rId28" w:history="1">
        <w:r w:rsidRPr="008E5D7D">
          <w:rPr>
            <w:rStyle w:val="Hyperlink"/>
          </w:rPr>
          <w:t>https://www.multichannel.com/news/sen-tester-fccs-broadband-maps-stink</w:t>
        </w:r>
      </w:hyperlink>
      <w:r w:rsidRPr="008E5D7D">
        <w:t>; Implementing the Agriculture Improvement Act of 2018:  Hearing Before the S. Committee on Agriculture, Nutrition, and Forestry, 116</w:t>
      </w:r>
      <w:r w:rsidRPr="008E5D7D">
        <w:rPr>
          <w:vertAlign w:val="superscript"/>
        </w:rPr>
        <w:t>th</w:t>
      </w:r>
      <w:r w:rsidRPr="008E5D7D">
        <w:t xml:space="preserve"> Cong. At 1:24:25 (statement of Sonny Perdue, Secretary, United States Department of Agriculture), </w:t>
      </w:r>
      <w:hyperlink r:id="rId29" w:history="1">
        <w:r w:rsidRPr="008E5D7D">
          <w:rPr>
            <w:rStyle w:val="Hyperlink"/>
          </w:rPr>
          <w:t>https://www.agriculture.senate.gov/hearings/implementing-the-agriculture-improvement-act-of-2018</w:t>
        </w:r>
      </w:hyperlink>
      <w:r w:rsidRPr="008E5D7D">
        <w:t>.</w:t>
      </w:r>
    </w:p>
  </w:footnote>
  <w:footnote w:id="251">
    <w:p w:rsidR="00364220" w:rsidRPr="008E5D7D" w:rsidP="00364220">
      <w:pPr>
        <w:pStyle w:val="FootnoteText"/>
      </w:pPr>
      <w:r w:rsidRPr="008E5D7D">
        <w:rPr>
          <w:rStyle w:val="FootnoteReference"/>
        </w:rPr>
        <w:footnoteRef/>
      </w:r>
      <w:r w:rsidRPr="008E5D7D">
        <w:t xml:space="preserve"> </w:t>
      </w:r>
      <w:r w:rsidRPr="008E5D7D">
        <w:rPr>
          <w:i/>
        </w:rPr>
        <w:t>See</w:t>
      </w:r>
      <w:r w:rsidRPr="008E5D7D">
        <w:t xml:space="preserve"> FCC, FCC Form 477 Local Telephone Competition and Broadband Reporting Instructions, Section 5.3, “Fixed Broadband Deployment” at 17 (Dec. 5, 2016), https://transition.fcc.gov/form477/477inst.pdf (</w:t>
      </w:r>
      <w:r w:rsidRPr="008E5D7D">
        <w:rPr>
          <w:i/>
        </w:rPr>
        <w:t>Form 477 Instructions</w:t>
      </w:r>
      <w:r w:rsidRPr="008E5D7D">
        <w:t>).</w:t>
      </w:r>
    </w:p>
  </w:footnote>
  <w:footnote w:id="252">
    <w:p w:rsidR="00B77606" w:rsidRPr="008E5D7D" w:rsidP="00B77606">
      <w:pPr>
        <w:pStyle w:val="FootnoteText"/>
      </w:pPr>
      <w:r w:rsidRPr="008E5D7D">
        <w:rPr>
          <w:rStyle w:val="FootnoteReference"/>
        </w:rPr>
        <w:footnoteRef/>
      </w:r>
      <w:r w:rsidRPr="008E5D7D">
        <w:t xml:space="preserve"> </w:t>
      </w:r>
      <w:r w:rsidRPr="002E6977">
        <w:rPr>
          <w:i/>
        </w:rPr>
        <w:t>See</w:t>
      </w:r>
      <w:r w:rsidRPr="002E6977">
        <w:t xml:space="preserve"> </w:t>
      </w:r>
      <w:hyperlink r:id="rId30" w:history="1">
        <w:r w:rsidRPr="002E6977">
          <w:t>https://www.census.gov/prod/cen2010/doc/sf1.pdf</w:t>
        </w:r>
      </w:hyperlink>
      <w:r w:rsidRPr="002E6977">
        <w:t xml:space="preserve"> at A-10.</w:t>
      </w:r>
    </w:p>
  </w:footnote>
  <w:footnote w:id="253">
    <w:p w:rsidR="00364220" w:rsidRPr="008E5D7D" w:rsidP="00364220">
      <w:pPr>
        <w:pStyle w:val="FootnoteText"/>
      </w:pPr>
      <w:r w:rsidRPr="008E5D7D">
        <w:rPr>
          <w:rStyle w:val="FootnoteReference"/>
        </w:rPr>
        <w:footnoteRef/>
      </w:r>
      <w:r w:rsidRPr="008E5D7D">
        <w:t xml:space="preserve"> </w:t>
      </w:r>
      <w:r w:rsidRPr="008E5D7D">
        <w:rPr>
          <w:i/>
        </w:rPr>
        <w:t>See</w:t>
      </w:r>
      <w:r w:rsidRPr="008E5D7D">
        <w:t xml:space="preserve"> </w:t>
      </w:r>
      <w:r w:rsidRPr="008E5D7D">
        <w:rPr>
          <w:i/>
        </w:rPr>
        <w:t>Form 477 Instructions</w:t>
      </w:r>
      <w:r w:rsidRPr="008E5D7D">
        <w:t xml:space="preserve"> at 17, Section 5.3, “Fixed Broadband Deployment” (emphasis added). </w:t>
      </w:r>
    </w:p>
  </w:footnote>
  <w:footnote w:id="254">
    <w:p w:rsidR="00364220" w:rsidP="00364220">
      <w:pPr>
        <w:pStyle w:val="FootnoteText"/>
      </w:pPr>
      <w:r w:rsidRPr="008E5D7D">
        <w:rPr>
          <w:rStyle w:val="FootnoteReference"/>
        </w:rPr>
        <w:footnoteRef/>
      </w:r>
      <w:r w:rsidRPr="008E5D7D">
        <w:t xml:space="preserve"> </w:t>
      </w:r>
      <w:r w:rsidRPr="008E5D7D">
        <w:rPr>
          <w:i/>
        </w:rPr>
        <w:t>See</w:t>
      </w:r>
      <w:r w:rsidRPr="008E5D7D">
        <w:t xml:space="preserve"> </w:t>
      </w:r>
      <w:r w:rsidRPr="008E5D7D">
        <w:rPr>
          <w:i/>
        </w:rPr>
        <w:t>Form 477 Instructions</w:t>
      </w:r>
      <w:r w:rsidRPr="008E5D7D">
        <w:t xml:space="preserve"> at 24, Section 5.8 “Mobile Broadband Deployment” (emphasis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070" w:rsidP="00810B6F">
    <w:pPr>
      <w:pStyle w:val="Header"/>
      <w:rPr>
        <w:b w:val="0"/>
      </w:rPr>
    </w:pPr>
    <w:r>
      <w:tab/>
      <w:t>Federal Communications Commission</w:t>
    </w:r>
    <w:r>
      <w:tab/>
      <w:t>FCC 19-44</w:t>
    </w:r>
  </w:p>
  <w:p w:rsidR="00B63070">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B63070">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070"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120F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3130F94"/>
    <w:multiLevelType w:val="hybridMultilevel"/>
    <w:tmpl w:val="A8D22D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BA091E"/>
    <w:multiLevelType w:val="hybridMultilevel"/>
    <w:tmpl w:val="4CF81EEE"/>
    <w:lvl w:ilvl="0">
      <w:start w:val="1"/>
      <w:numFmt w:val="decimal"/>
      <w:pStyle w:val="OutlineNumb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9A36C38"/>
    <w:multiLevelType w:val="multilevel"/>
    <w:tmpl w:val="BB6C9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D444BC9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6A5DEA"/>
    <w:multiLevelType w:val="multilevel"/>
    <w:tmpl w:val="11067E04"/>
    <w:lvl w:ilvl="0">
      <w:start w:val="1"/>
      <w:numFmt w:val="upperRoman"/>
      <w:pStyle w:val="StyleParaNumCondensedby01ptCharCharCharCharCharCharCharCharCharChar"/>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Times New Roman Bold" w:hAnsi="Times New Roman Bold" w:hint="default"/>
        <w:b/>
        <w:i w:val="0"/>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12233B9"/>
    <w:multiLevelType w:val="hybridMultilevel"/>
    <w:tmpl w:val="DC5A0910"/>
    <w:lvl w:ilvl="0">
      <w:start w:val="1"/>
      <w:numFmt w:val="bullet"/>
      <w:lvlText w:val=""/>
      <w:lvlJc w:val="left"/>
      <w:pPr>
        <w:ind w:left="1710" w:hanging="360"/>
      </w:pPr>
      <w:rPr>
        <w:rFonts w:ascii="Wingdings" w:hAnsi="Wingdings" w:hint="default"/>
      </w:rPr>
    </w:lvl>
    <w:lvl w:ilvl="1" w:tentative="1">
      <w:start w:val="1"/>
      <w:numFmt w:val="bullet"/>
      <w:lvlText w:val="o"/>
      <w:lvlJc w:val="left"/>
      <w:pPr>
        <w:ind w:left="2430" w:hanging="360"/>
      </w:pPr>
      <w:rPr>
        <w:rFonts w:ascii="Courier New" w:hAnsi="Courier New" w:cs="Courier New" w:hint="default"/>
      </w:rPr>
    </w:lvl>
    <w:lvl w:ilvl="2" w:tentative="1">
      <w:start w:val="1"/>
      <w:numFmt w:val="bullet"/>
      <w:lvlText w:val=""/>
      <w:lvlJc w:val="left"/>
      <w:pPr>
        <w:ind w:left="3150" w:hanging="360"/>
      </w:pPr>
      <w:rPr>
        <w:rFonts w:ascii="Wingdings" w:hAnsi="Wingdings" w:hint="default"/>
      </w:rPr>
    </w:lvl>
    <w:lvl w:ilvl="3" w:tentative="1">
      <w:start w:val="1"/>
      <w:numFmt w:val="bullet"/>
      <w:lvlText w:val=""/>
      <w:lvlJc w:val="left"/>
      <w:pPr>
        <w:ind w:left="3870" w:hanging="360"/>
      </w:pPr>
      <w:rPr>
        <w:rFonts w:ascii="Symbol" w:hAnsi="Symbol" w:hint="default"/>
      </w:rPr>
    </w:lvl>
    <w:lvl w:ilvl="4" w:tentative="1">
      <w:start w:val="1"/>
      <w:numFmt w:val="bullet"/>
      <w:lvlText w:val="o"/>
      <w:lvlJc w:val="left"/>
      <w:pPr>
        <w:ind w:left="4590" w:hanging="360"/>
      </w:pPr>
      <w:rPr>
        <w:rFonts w:ascii="Courier New" w:hAnsi="Courier New" w:cs="Courier New" w:hint="default"/>
      </w:rPr>
    </w:lvl>
    <w:lvl w:ilvl="5" w:tentative="1">
      <w:start w:val="1"/>
      <w:numFmt w:val="bullet"/>
      <w:lvlText w:val=""/>
      <w:lvlJc w:val="left"/>
      <w:pPr>
        <w:ind w:left="5310" w:hanging="360"/>
      </w:pPr>
      <w:rPr>
        <w:rFonts w:ascii="Wingdings" w:hAnsi="Wingdings" w:hint="default"/>
      </w:rPr>
    </w:lvl>
    <w:lvl w:ilvl="6" w:tentative="1">
      <w:start w:val="1"/>
      <w:numFmt w:val="bullet"/>
      <w:lvlText w:val=""/>
      <w:lvlJc w:val="left"/>
      <w:pPr>
        <w:ind w:left="6030" w:hanging="360"/>
      </w:pPr>
      <w:rPr>
        <w:rFonts w:ascii="Symbol" w:hAnsi="Symbol" w:hint="default"/>
      </w:rPr>
    </w:lvl>
    <w:lvl w:ilvl="7" w:tentative="1">
      <w:start w:val="1"/>
      <w:numFmt w:val="bullet"/>
      <w:lvlText w:val="o"/>
      <w:lvlJc w:val="left"/>
      <w:pPr>
        <w:ind w:left="6750" w:hanging="360"/>
      </w:pPr>
      <w:rPr>
        <w:rFonts w:ascii="Courier New" w:hAnsi="Courier New" w:cs="Courier New" w:hint="default"/>
      </w:rPr>
    </w:lvl>
    <w:lvl w:ilvl="8" w:tentative="1">
      <w:start w:val="1"/>
      <w:numFmt w:val="bullet"/>
      <w:lvlText w:val=""/>
      <w:lvlJc w:val="left"/>
      <w:pPr>
        <w:ind w:left="7470" w:hanging="360"/>
      </w:pPr>
      <w:rPr>
        <w:rFonts w:ascii="Wingdings" w:hAnsi="Wingdings" w:hint="default"/>
      </w:rPr>
    </w:lvl>
  </w:abstractNum>
  <w:abstractNum w:abstractNumId="10">
    <w:nsid w:val="3AF62961"/>
    <w:multiLevelType w:val="multilevel"/>
    <w:tmpl w:val="E37CCD60"/>
    <w:lvl w:ilvl="0">
      <w:start w:val="1"/>
      <w:numFmt w:val="upperRoman"/>
      <w:pStyle w:val="StyleParaNum"/>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3CD217C1"/>
    <w:multiLevelType w:val="hybridMultilevel"/>
    <w:tmpl w:val="8F9CC9FE"/>
    <w:lvl w:ilvl="0">
      <w:start w:val="0"/>
      <w:numFmt w:val="none"/>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3">
    <w:nsid w:val="42113D12"/>
    <w:multiLevelType w:val="hybridMultilevel"/>
    <w:tmpl w:val="226E33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83427E7"/>
    <w:multiLevelType w:val="hybridMultilevel"/>
    <w:tmpl w:val="27AECA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A044405"/>
    <w:multiLevelType w:val="hybridMultilevel"/>
    <w:tmpl w:val="67E40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B6F2B33"/>
    <w:multiLevelType w:val="hybridMultilevel"/>
    <w:tmpl w:val="EB70B92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4DB97C6E"/>
    <w:multiLevelType w:val="hybridMultilevel"/>
    <w:tmpl w:val="A5AE84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D41454F"/>
    <w:multiLevelType w:val="hybridMultilevel"/>
    <w:tmpl w:val="6A629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7EF178F"/>
    <w:multiLevelType w:val="multilevel"/>
    <w:tmpl w:val="87009A04"/>
    <w:lvl w:ilvl="0">
      <w:start w:val="1"/>
      <w:numFmt w:val="upperRoman"/>
      <w:pStyle w:val="TopHeaderStyle"/>
      <w:lvlText w:val="%1."/>
      <w:lvlJc w:val="right"/>
      <w:pPr>
        <w:tabs>
          <w:tab w:val="num" w:pos="180"/>
        </w:tabs>
        <w:ind w:left="180" w:hanging="180"/>
      </w:pPr>
      <w:rPr>
        <w:rFonts w:cs="Times New Roman"/>
        <w:b/>
        <w:i w:val="0"/>
        <w:sz w:val="24"/>
      </w:rPr>
    </w:lvl>
    <w:lvl w:ilvl="1">
      <w:start w:val="1"/>
      <w:numFmt w:val="upperLetter"/>
      <w:lvlText w:val="%2."/>
      <w:lvlJc w:val="left"/>
      <w:pPr>
        <w:tabs>
          <w:tab w:val="num" w:pos="1080"/>
        </w:tabs>
        <w:ind w:left="720" w:firstLine="0"/>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340"/>
        </w:tabs>
        <w:ind w:left="2340" w:hanging="720"/>
      </w:pPr>
      <w:rPr>
        <w:rFonts w:ascii="Times New Roman" w:hAnsi="Times New Roman" w:cs="Times New Roman" w:hint="default"/>
        <w:b/>
        <w:i w:val="0"/>
        <w:sz w:val="24"/>
      </w:rPr>
    </w:lvl>
    <w:lvl w:ilvl="3">
      <w:start w:val="1"/>
      <w:numFmt w:val="lowerLetter"/>
      <w:lvlText w:val="%4."/>
      <w:lvlJc w:val="left"/>
      <w:pPr>
        <w:tabs>
          <w:tab w:val="num" w:pos="2610"/>
        </w:tabs>
        <w:ind w:left="2250" w:firstLine="0"/>
      </w:pPr>
      <w:rPr>
        <w:rFonts w:ascii="Times New Roman" w:hAnsi="Times New Roman" w:cs="Times New Roman" w:hint="default"/>
        <w:b/>
        <w:i w:val="0"/>
        <w:sz w:val="24"/>
      </w:rPr>
    </w:lvl>
    <w:lvl w:ilvl="4">
      <w:start w:val="1"/>
      <w:numFmt w:val="lowerRoman"/>
      <w:lvlText w:val="(%5)"/>
      <w:lvlJc w:val="left"/>
      <w:pPr>
        <w:tabs>
          <w:tab w:val="num" w:pos="3600"/>
        </w:tabs>
        <w:ind w:left="2880" w:firstLine="0"/>
      </w:pPr>
      <w:rPr>
        <w:rFonts w:ascii="Times New Roman" w:hAnsi="Times New Roman" w:cs="Times New Roman" w:hint="default"/>
        <w:b/>
        <w:i w:val="0"/>
        <w:sz w:val="24"/>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3">
    <w:nsid w:val="71F75CB6"/>
    <w:multiLevelType w:val="hybridMultilevel"/>
    <w:tmpl w:val="DA4C46F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7566235E"/>
    <w:multiLevelType w:val="hybridMultilevel"/>
    <w:tmpl w:val="D4A8A8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762F3753"/>
    <w:multiLevelType w:val="hybridMultilevel"/>
    <w:tmpl w:val="742651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7AF26D24"/>
    <w:multiLevelType w:val="hybridMultilevel"/>
    <w:tmpl w:val="A3D81FF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5"/>
  </w:num>
  <w:num w:numId="2">
    <w:abstractNumId w:val="21"/>
  </w:num>
  <w:num w:numId="3">
    <w:abstractNumId w:val="7"/>
  </w:num>
  <w:num w:numId="4">
    <w:abstractNumId w:val="18"/>
  </w:num>
  <w:num w:numId="5">
    <w:abstractNumId w:val="6"/>
  </w:num>
  <w:num w:numId="6">
    <w:abstractNumId w:val="3"/>
  </w:num>
  <w:num w:numId="7">
    <w:abstractNumId w:val="11"/>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2"/>
  </w:num>
  <w:num w:numId="13">
    <w:abstractNumId w:val="8"/>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25"/>
  </w:num>
  <w:num w:numId="20">
    <w:abstractNumId w:val="23"/>
  </w:num>
  <w:num w:numId="21">
    <w:abstractNumId w:val="26"/>
  </w:num>
  <w:num w:numId="22">
    <w:abstractNumId w:val="14"/>
  </w:num>
  <w:num w:numId="23">
    <w:abstractNumId w:val="13"/>
  </w:num>
  <w:num w:numId="24">
    <w:abstractNumId w:val="24"/>
  </w:num>
  <w:num w:numId="25">
    <w:abstractNumId w:val="1"/>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num>
  <w:num w:numId="28">
    <w:abstractNumId w:val="20"/>
  </w:num>
  <w:num w:numId="29">
    <w:abstractNumId w:val="21"/>
    <w:lvlOverride w:ilvl="0">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7D"/>
    <w:rsid w:val="00002ADD"/>
    <w:rsid w:val="000104F4"/>
    <w:rsid w:val="00025316"/>
    <w:rsid w:val="0003307A"/>
    <w:rsid w:val="00033F67"/>
    <w:rsid w:val="00034CE4"/>
    <w:rsid w:val="00036039"/>
    <w:rsid w:val="00037F90"/>
    <w:rsid w:val="00043982"/>
    <w:rsid w:val="00057F15"/>
    <w:rsid w:val="0007784C"/>
    <w:rsid w:val="000875BF"/>
    <w:rsid w:val="000918D3"/>
    <w:rsid w:val="00095ECD"/>
    <w:rsid w:val="00096D8C"/>
    <w:rsid w:val="000C0B65"/>
    <w:rsid w:val="000C37BA"/>
    <w:rsid w:val="000C752A"/>
    <w:rsid w:val="000D4058"/>
    <w:rsid w:val="000E05FE"/>
    <w:rsid w:val="000E3D42"/>
    <w:rsid w:val="0010384E"/>
    <w:rsid w:val="00106338"/>
    <w:rsid w:val="00120D54"/>
    <w:rsid w:val="00122BD5"/>
    <w:rsid w:val="001325E7"/>
    <w:rsid w:val="00133F79"/>
    <w:rsid w:val="00155C27"/>
    <w:rsid w:val="001616B7"/>
    <w:rsid w:val="00172EB6"/>
    <w:rsid w:val="00176C55"/>
    <w:rsid w:val="00184D32"/>
    <w:rsid w:val="00194A11"/>
    <w:rsid w:val="00194A66"/>
    <w:rsid w:val="0019766F"/>
    <w:rsid w:val="001A0C30"/>
    <w:rsid w:val="001C6FA9"/>
    <w:rsid w:val="001D0BEE"/>
    <w:rsid w:val="001D37BF"/>
    <w:rsid w:val="001D6BCF"/>
    <w:rsid w:val="001E01CA"/>
    <w:rsid w:val="001E7517"/>
    <w:rsid w:val="001F35B7"/>
    <w:rsid w:val="00202257"/>
    <w:rsid w:val="00205829"/>
    <w:rsid w:val="00230D39"/>
    <w:rsid w:val="0024001F"/>
    <w:rsid w:val="00242F2A"/>
    <w:rsid w:val="002455FB"/>
    <w:rsid w:val="00246FEB"/>
    <w:rsid w:val="002556A8"/>
    <w:rsid w:val="0027077E"/>
    <w:rsid w:val="00275CF5"/>
    <w:rsid w:val="0027627B"/>
    <w:rsid w:val="00281A4B"/>
    <w:rsid w:val="0028301F"/>
    <w:rsid w:val="00283EBC"/>
    <w:rsid w:val="00285017"/>
    <w:rsid w:val="002859CA"/>
    <w:rsid w:val="00294E34"/>
    <w:rsid w:val="002A2D2E"/>
    <w:rsid w:val="002C00E8"/>
    <w:rsid w:val="002C21A3"/>
    <w:rsid w:val="002C560C"/>
    <w:rsid w:val="002D12B2"/>
    <w:rsid w:val="002E395E"/>
    <w:rsid w:val="002E6977"/>
    <w:rsid w:val="002F1986"/>
    <w:rsid w:val="003009B6"/>
    <w:rsid w:val="00304D79"/>
    <w:rsid w:val="003114CE"/>
    <w:rsid w:val="00326BC6"/>
    <w:rsid w:val="00332EEE"/>
    <w:rsid w:val="00333D4A"/>
    <w:rsid w:val="00343749"/>
    <w:rsid w:val="00344953"/>
    <w:rsid w:val="00353E4C"/>
    <w:rsid w:val="00360230"/>
    <w:rsid w:val="00364220"/>
    <w:rsid w:val="003660ED"/>
    <w:rsid w:val="003745CC"/>
    <w:rsid w:val="00375656"/>
    <w:rsid w:val="00375774"/>
    <w:rsid w:val="00394C17"/>
    <w:rsid w:val="003A4EB5"/>
    <w:rsid w:val="003B0550"/>
    <w:rsid w:val="003B1309"/>
    <w:rsid w:val="003B694F"/>
    <w:rsid w:val="003B7FB6"/>
    <w:rsid w:val="003D2604"/>
    <w:rsid w:val="003D5C9A"/>
    <w:rsid w:val="003D74E4"/>
    <w:rsid w:val="003D7C6E"/>
    <w:rsid w:val="003E0698"/>
    <w:rsid w:val="003F171C"/>
    <w:rsid w:val="003F3635"/>
    <w:rsid w:val="004025F5"/>
    <w:rsid w:val="00412DBA"/>
    <w:rsid w:val="00412FC5"/>
    <w:rsid w:val="004179BA"/>
    <w:rsid w:val="00422276"/>
    <w:rsid w:val="004242F1"/>
    <w:rsid w:val="00427582"/>
    <w:rsid w:val="00431A5F"/>
    <w:rsid w:val="00444AC7"/>
    <w:rsid w:val="00445A00"/>
    <w:rsid w:val="00451B0F"/>
    <w:rsid w:val="00454022"/>
    <w:rsid w:val="004656EC"/>
    <w:rsid w:val="00474A94"/>
    <w:rsid w:val="00484BF1"/>
    <w:rsid w:val="00485531"/>
    <w:rsid w:val="004874CD"/>
    <w:rsid w:val="004948A2"/>
    <w:rsid w:val="004A06ED"/>
    <w:rsid w:val="004A65E1"/>
    <w:rsid w:val="004B04A5"/>
    <w:rsid w:val="004B051F"/>
    <w:rsid w:val="004B0A43"/>
    <w:rsid w:val="004C05A8"/>
    <w:rsid w:val="004C2EE3"/>
    <w:rsid w:val="004E1AF3"/>
    <w:rsid w:val="004E4376"/>
    <w:rsid w:val="004E4A22"/>
    <w:rsid w:val="004E6EC3"/>
    <w:rsid w:val="004F3877"/>
    <w:rsid w:val="004F635E"/>
    <w:rsid w:val="00506593"/>
    <w:rsid w:val="00511968"/>
    <w:rsid w:val="005130A0"/>
    <w:rsid w:val="00522605"/>
    <w:rsid w:val="00525353"/>
    <w:rsid w:val="00525475"/>
    <w:rsid w:val="0054298A"/>
    <w:rsid w:val="00544DC6"/>
    <w:rsid w:val="0055572A"/>
    <w:rsid w:val="00555748"/>
    <w:rsid w:val="0055614C"/>
    <w:rsid w:val="005577AD"/>
    <w:rsid w:val="00560498"/>
    <w:rsid w:val="00566D06"/>
    <w:rsid w:val="00581170"/>
    <w:rsid w:val="00590429"/>
    <w:rsid w:val="005945A7"/>
    <w:rsid w:val="005B36BB"/>
    <w:rsid w:val="005C242C"/>
    <w:rsid w:val="005D0E9F"/>
    <w:rsid w:val="005D4CE8"/>
    <w:rsid w:val="005D70E6"/>
    <w:rsid w:val="005E0B9B"/>
    <w:rsid w:val="005E14C2"/>
    <w:rsid w:val="005E2662"/>
    <w:rsid w:val="005F7338"/>
    <w:rsid w:val="0060284D"/>
    <w:rsid w:val="00605D19"/>
    <w:rsid w:val="00607BA5"/>
    <w:rsid w:val="0061180A"/>
    <w:rsid w:val="0061293B"/>
    <w:rsid w:val="00626EB6"/>
    <w:rsid w:val="00632DD3"/>
    <w:rsid w:val="00636F48"/>
    <w:rsid w:val="00640FB2"/>
    <w:rsid w:val="0064554F"/>
    <w:rsid w:val="00655275"/>
    <w:rsid w:val="00655D03"/>
    <w:rsid w:val="00673134"/>
    <w:rsid w:val="00682BEB"/>
    <w:rsid w:val="00683388"/>
    <w:rsid w:val="00683F84"/>
    <w:rsid w:val="00684A1C"/>
    <w:rsid w:val="006A3E19"/>
    <w:rsid w:val="006A6A81"/>
    <w:rsid w:val="006A7E96"/>
    <w:rsid w:val="006B02E9"/>
    <w:rsid w:val="006D242C"/>
    <w:rsid w:val="006D2767"/>
    <w:rsid w:val="006D605C"/>
    <w:rsid w:val="006D7BE8"/>
    <w:rsid w:val="006E1965"/>
    <w:rsid w:val="006F067A"/>
    <w:rsid w:val="006F7393"/>
    <w:rsid w:val="006F78A7"/>
    <w:rsid w:val="0070224F"/>
    <w:rsid w:val="00702D7F"/>
    <w:rsid w:val="00707DF9"/>
    <w:rsid w:val="007115F7"/>
    <w:rsid w:val="007270A6"/>
    <w:rsid w:val="0073117A"/>
    <w:rsid w:val="007365B4"/>
    <w:rsid w:val="007545D5"/>
    <w:rsid w:val="007549AF"/>
    <w:rsid w:val="00771AA0"/>
    <w:rsid w:val="00785689"/>
    <w:rsid w:val="0079754B"/>
    <w:rsid w:val="007A1E6D"/>
    <w:rsid w:val="007B0EB2"/>
    <w:rsid w:val="007B1224"/>
    <w:rsid w:val="007B7DB8"/>
    <w:rsid w:val="007C060D"/>
    <w:rsid w:val="007D7E0F"/>
    <w:rsid w:val="007E0F7E"/>
    <w:rsid w:val="00810B6F"/>
    <w:rsid w:val="0081686E"/>
    <w:rsid w:val="0081768F"/>
    <w:rsid w:val="00820DFD"/>
    <w:rsid w:val="00822CE0"/>
    <w:rsid w:val="00830823"/>
    <w:rsid w:val="00830A20"/>
    <w:rsid w:val="00834789"/>
    <w:rsid w:val="00841AB1"/>
    <w:rsid w:val="0085513D"/>
    <w:rsid w:val="008568A3"/>
    <w:rsid w:val="00876B4C"/>
    <w:rsid w:val="00883B31"/>
    <w:rsid w:val="008864D4"/>
    <w:rsid w:val="008867CC"/>
    <w:rsid w:val="0089605C"/>
    <w:rsid w:val="008C0C60"/>
    <w:rsid w:val="008C31F7"/>
    <w:rsid w:val="008C68F1"/>
    <w:rsid w:val="008E2AB9"/>
    <w:rsid w:val="008E5D7D"/>
    <w:rsid w:val="00900E1B"/>
    <w:rsid w:val="009038C4"/>
    <w:rsid w:val="00912DC7"/>
    <w:rsid w:val="00915D67"/>
    <w:rsid w:val="00921803"/>
    <w:rsid w:val="00926503"/>
    <w:rsid w:val="009333C8"/>
    <w:rsid w:val="00934012"/>
    <w:rsid w:val="00950C39"/>
    <w:rsid w:val="00951C85"/>
    <w:rsid w:val="00956C44"/>
    <w:rsid w:val="009726D8"/>
    <w:rsid w:val="00981868"/>
    <w:rsid w:val="00992C93"/>
    <w:rsid w:val="009A0B27"/>
    <w:rsid w:val="009A127D"/>
    <w:rsid w:val="009B0A91"/>
    <w:rsid w:val="009B2EFF"/>
    <w:rsid w:val="009C0478"/>
    <w:rsid w:val="009C0856"/>
    <w:rsid w:val="009C760F"/>
    <w:rsid w:val="009D22A0"/>
    <w:rsid w:val="009D7308"/>
    <w:rsid w:val="009F178E"/>
    <w:rsid w:val="009F6F3B"/>
    <w:rsid w:val="009F76DB"/>
    <w:rsid w:val="00A0420E"/>
    <w:rsid w:val="00A167E6"/>
    <w:rsid w:val="00A319E4"/>
    <w:rsid w:val="00A323FF"/>
    <w:rsid w:val="00A32C3B"/>
    <w:rsid w:val="00A33879"/>
    <w:rsid w:val="00A3792B"/>
    <w:rsid w:val="00A409BC"/>
    <w:rsid w:val="00A45EE4"/>
    <w:rsid w:val="00A45F4F"/>
    <w:rsid w:val="00A53A96"/>
    <w:rsid w:val="00A56B17"/>
    <w:rsid w:val="00A600A9"/>
    <w:rsid w:val="00A86176"/>
    <w:rsid w:val="00A94C06"/>
    <w:rsid w:val="00A94DE8"/>
    <w:rsid w:val="00A96A10"/>
    <w:rsid w:val="00AA102E"/>
    <w:rsid w:val="00AA55B7"/>
    <w:rsid w:val="00AA5B9E"/>
    <w:rsid w:val="00AB2407"/>
    <w:rsid w:val="00AB53DF"/>
    <w:rsid w:val="00AC0B9B"/>
    <w:rsid w:val="00AC26D4"/>
    <w:rsid w:val="00AC3C23"/>
    <w:rsid w:val="00AD04ED"/>
    <w:rsid w:val="00AD07A8"/>
    <w:rsid w:val="00AD1D69"/>
    <w:rsid w:val="00AD268E"/>
    <w:rsid w:val="00AD67F8"/>
    <w:rsid w:val="00AF16DE"/>
    <w:rsid w:val="00B03360"/>
    <w:rsid w:val="00B05577"/>
    <w:rsid w:val="00B07E5C"/>
    <w:rsid w:val="00B13EF6"/>
    <w:rsid w:val="00B172C3"/>
    <w:rsid w:val="00B23E4D"/>
    <w:rsid w:val="00B320E0"/>
    <w:rsid w:val="00B4273F"/>
    <w:rsid w:val="00B53334"/>
    <w:rsid w:val="00B63070"/>
    <w:rsid w:val="00B66599"/>
    <w:rsid w:val="00B7446E"/>
    <w:rsid w:val="00B77606"/>
    <w:rsid w:val="00B811F7"/>
    <w:rsid w:val="00B87E8B"/>
    <w:rsid w:val="00BA0D64"/>
    <w:rsid w:val="00BA5DC6"/>
    <w:rsid w:val="00BA6196"/>
    <w:rsid w:val="00BA71BB"/>
    <w:rsid w:val="00BB7A5C"/>
    <w:rsid w:val="00BC2D26"/>
    <w:rsid w:val="00BC6D8C"/>
    <w:rsid w:val="00BC6F1A"/>
    <w:rsid w:val="00BD4A91"/>
    <w:rsid w:val="00BE08AD"/>
    <w:rsid w:val="00BE3771"/>
    <w:rsid w:val="00BE5592"/>
    <w:rsid w:val="00BF2D15"/>
    <w:rsid w:val="00BF5A34"/>
    <w:rsid w:val="00C02D21"/>
    <w:rsid w:val="00C12AA7"/>
    <w:rsid w:val="00C14D2D"/>
    <w:rsid w:val="00C34006"/>
    <w:rsid w:val="00C358C5"/>
    <w:rsid w:val="00C36B4C"/>
    <w:rsid w:val="00C3758A"/>
    <w:rsid w:val="00C426B1"/>
    <w:rsid w:val="00C4361C"/>
    <w:rsid w:val="00C558BC"/>
    <w:rsid w:val="00C6287D"/>
    <w:rsid w:val="00C66160"/>
    <w:rsid w:val="00C72198"/>
    <w:rsid w:val="00C721AC"/>
    <w:rsid w:val="00C8078B"/>
    <w:rsid w:val="00C83B17"/>
    <w:rsid w:val="00C90D6A"/>
    <w:rsid w:val="00CA247E"/>
    <w:rsid w:val="00CA5F7C"/>
    <w:rsid w:val="00CA6D21"/>
    <w:rsid w:val="00CB13E4"/>
    <w:rsid w:val="00CB2FFB"/>
    <w:rsid w:val="00CB345E"/>
    <w:rsid w:val="00CC104F"/>
    <w:rsid w:val="00CC2685"/>
    <w:rsid w:val="00CC4311"/>
    <w:rsid w:val="00CC4F01"/>
    <w:rsid w:val="00CC72B6"/>
    <w:rsid w:val="00CF5012"/>
    <w:rsid w:val="00D0218D"/>
    <w:rsid w:val="00D0357F"/>
    <w:rsid w:val="00D0754E"/>
    <w:rsid w:val="00D22573"/>
    <w:rsid w:val="00D259EE"/>
    <w:rsid w:val="00D25FB5"/>
    <w:rsid w:val="00D275CC"/>
    <w:rsid w:val="00D36750"/>
    <w:rsid w:val="00D41183"/>
    <w:rsid w:val="00D41518"/>
    <w:rsid w:val="00D41C49"/>
    <w:rsid w:val="00D44223"/>
    <w:rsid w:val="00D47B19"/>
    <w:rsid w:val="00D47BAC"/>
    <w:rsid w:val="00D51933"/>
    <w:rsid w:val="00D53B57"/>
    <w:rsid w:val="00D60CB6"/>
    <w:rsid w:val="00D61250"/>
    <w:rsid w:val="00D61A5A"/>
    <w:rsid w:val="00D652B5"/>
    <w:rsid w:val="00D6562F"/>
    <w:rsid w:val="00D72DE2"/>
    <w:rsid w:val="00D74E60"/>
    <w:rsid w:val="00D768DC"/>
    <w:rsid w:val="00D77ACB"/>
    <w:rsid w:val="00D92CB4"/>
    <w:rsid w:val="00DA2529"/>
    <w:rsid w:val="00DB130A"/>
    <w:rsid w:val="00DB2EBB"/>
    <w:rsid w:val="00DB358A"/>
    <w:rsid w:val="00DB7062"/>
    <w:rsid w:val="00DC10A1"/>
    <w:rsid w:val="00DC655F"/>
    <w:rsid w:val="00DD04CC"/>
    <w:rsid w:val="00DD0B59"/>
    <w:rsid w:val="00DD7EBD"/>
    <w:rsid w:val="00DE15E1"/>
    <w:rsid w:val="00DE1ACE"/>
    <w:rsid w:val="00DE72D3"/>
    <w:rsid w:val="00DF62B6"/>
    <w:rsid w:val="00DF66FD"/>
    <w:rsid w:val="00E05D4F"/>
    <w:rsid w:val="00E0697B"/>
    <w:rsid w:val="00E07225"/>
    <w:rsid w:val="00E14E95"/>
    <w:rsid w:val="00E2613F"/>
    <w:rsid w:val="00E35158"/>
    <w:rsid w:val="00E51B01"/>
    <w:rsid w:val="00E5409F"/>
    <w:rsid w:val="00E55DD8"/>
    <w:rsid w:val="00E562DB"/>
    <w:rsid w:val="00E665EB"/>
    <w:rsid w:val="00E85235"/>
    <w:rsid w:val="00E965D1"/>
    <w:rsid w:val="00EB213A"/>
    <w:rsid w:val="00EC00E2"/>
    <w:rsid w:val="00EC5267"/>
    <w:rsid w:val="00EE3052"/>
    <w:rsid w:val="00EE5B01"/>
    <w:rsid w:val="00EE5DA8"/>
    <w:rsid w:val="00EE6488"/>
    <w:rsid w:val="00EE6C9C"/>
    <w:rsid w:val="00EF56F2"/>
    <w:rsid w:val="00EF5AC7"/>
    <w:rsid w:val="00EF7029"/>
    <w:rsid w:val="00F021FA"/>
    <w:rsid w:val="00F24205"/>
    <w:rsid w:val="00F2666D"/>
    <w:rsid w:val="00F43947"/>
    <w:rsid w:val="00F62E97"/>
    <w:rsid w:val="00F64209"/>
    <w:rsid w:val="00F7252E"/>
    <w:rsid w:val="00F8123C"/>
    <w:rsid w:val="00F823D6"/>
    <w:rsid w:val="00F8323B"/>
    <w:rsid w:val="00F866D9"/>
    <w:rsid w:val="00F9318D"/>
    <w:rsid w:val="00F9342C"/>
    <w:rsid w:val="00F93BF5"/>
    <w:rsid w:val="00F9423E"/>
    <w:rsid w:val="00FB0608"/>
    <w:rsid w:val="00FB2A21"/>
    <w:rsid w:val="00FB6AB7"/>
    <w:rsid w:val="00FC17AE"/>
    <w:rsid w:val="00FD28E0"/>
    <w:rsid w:val="00FD71C1"/>
    <w:rsid w:val="00FE397B"/>
    <w:rsid w:val="00FF6222"/>
    <w:rsid w:val="01DFDF38"/>
    <w:rsid w:val="131B51E6"/>
    <w:rsid w:val="3838696A"/>
    <w:rsid w:val="4322E018"/>
    <w:rsid w:val="4A3C1A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8FF9E74-DC19-4F7A-9DB5-15D4B2CB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Acronym" w:uiPriority="99"/>
    <w:lsdException w:name="HTML Cite"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87D"/>
    <w:pPr>
      <w:widowControl w:val="0"/>
    </w:pPr>
    <w:rPr>
      <w:snapToGrid w:val="0"/>
      <w:kern w:val="28"/>
      <w:sz w:val="22"/>
    </w:rPr>
  </w:style>
  <w:style w:type="paragraph" w:styleId="Heading1">
    <w:name w:val="heading 1"/>
    <w:aliases w:val="(Shift Ctrl 1),1,1st level,Appendix 1,Contrat 1,Disaster 1,H1,Head 1 (Chapter heading),Header1,Heading 1 Char2,I,I1,II+,Level 1,List level 1,Niveau 1,Niveau1,Rubrique,Section Head,TITRE 1 NET VALUE,Titre1,Titre2,Titre§,co,h1,l1,l1+toc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2,2H,2H1,2H11,2H2,2h,2nd level,???,H2,H21,H22,H23,H24,H25,Heading 2 Char2,Subheading,Title2,Titre 2 NET VALUE,Titre 2-enh,ah,ariad2-heading2,chap2,h2,h21,h22,h23,h24,l2,list + change bar,subhead 1,subhead 11,subhead 12,subhead 13,subhead 14"/>
    <w:basedOn w:val="Normal"/>
    <w:next w:val="ParaNum"/>
    <w:link w:val="Heading2Char"/>
    <w:autoRedefine/>
    <w:qFormat/>
    <w:rsid w:val="00A94DE8"/>
    <w:pPr>
      <w:keepNext/>
      <w:numPr>
        <w:ilvl w:val="1"/>
        <w:numId w:val="3"/>
      </w:numPr>
      <w:spacing w:before="120" w:after="120"/>
      <w:outlineLvl w:val="1"/>
    </w:pPr>
    <w:rPr>
      <w:b/>
    </w:rPr>
  </w:style>
  <w:style w:type="paragraph" w:styleId="Heading3">
    <w:name w:val="heading 3"/>
    <w:aliases w:val="0H,0H1,0H11,0H2,0h,1 Ch,3,3 Char,3H,3h,CT,Guide 3,H3,H31,Head 3,Heading 31,List level 3,Sec II,Title3,Underrubrik2,ariad2-heading3,h3,h31,h32,h33,heading 3 + Indent: Left 0.25 in,l3,l3+toc 3,list 3,subhead 2,subhead 21,subhead 22,subhead 23,uh"/>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Contrat 4,H4,Heading 4 Char Char Char,Heading 4 Char1 Char,Heading 4 Char1 Char1,Heading 4 Char2 Char Char,Module heading 1 large (18 points),NUL,Niveau 4,Niveau4,Sec III,Sous-question,annexe,chapitre 1.1.1.1,h4,l4,mh1l,numéroté  1.1.1.1."/>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Contrat 5,H5,Heading 5 Char Char Char Char Char,Heading 5 Char Char Char1,Heading 5 Char Char1 Char,Heading 5 Char1 Char Char Char,Heading 5 Char1 Char1,Heading 5 Char2,Modalité,Module heading 2,Niveau 5,Niveau5,délib.,h5,mh2,sous titre 1"/>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Caption number (page-wide),H6,Heading 6 Char Char,Heading 6 Char Char Char,Heading 6 Char Char1,Heading 6 Char1,Heading 6 Char1 Char,Heading 6 Char2,Modalités en colonnes,Niveau 6,Niveau6,cnp,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aliases w:val="H7,Niveau 7,Niveau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5a,Heading 9.table,Titre 10,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2,Footnote Text Char2 Char Char2 Char2 Char Char,Footnote Text Char4 Char Char1 Char Char,Footnote Text Char5 Cha,Footnote Text Char5 Char Char,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Shift Ctrl 1) Char,1 Char,1st level Char,Appendix 1 Char,Contrat 1 Char,Disaster 1 Char,H1 Char,Head 1 (Chapter heading) Char,Header1 Char,Heading 1 Char2 Char,I Char,I1 Char,II+ Char,Level 1 Char,List level 1 Char,Niveau 1 Char,co Char"/>
    <w:link w:val="Heading1"/>
    <w:rsid w:val="00C6287D"/>
    <w:rPr>
      <w:rFonts w:ascii="Times New Roman Bold" w:hAnsi="Times New Roman Bold"/>
      <w:b/>
      <w:caps/>
      <w:snapToGrid w:val="0"/>
      <w:kern w:val="28"/>
      <w:sz w:val="22"/>
    </w:rPr>
  </w:style>
  <w:style w:type="character" w:customStyle="1" w:styleId="Heading2Char">
    <w:name w:val="Heading 2 Char"/>
    <w:aliases w:val="2 Char,2H Char,2H1 Char,2H11 Char,2H2 Char,2h Char,2nd level Char,??? Char,H2 Char,H21 Char,H22 Char,H23 Char,H24 Char,H25 Char,Subheading Char,Title2 Char,Titre 2 NET VALUE Char,Titre 2-enh Char,ah Char,ariad2-heading2 Char,chap2 Char"/>
    <w:link w:val="Heading2"/>
    <w:rsid w:val="00A94DE8"/>
    <w:rPr>
      <w:b/>
      <w:snapToGrid w:val="0"/>
      <w:kern w:val="28"/>
      <w:sz w:val="22"/>
    </w:rPr>
  </w:style>
  <w:style w:type="character" w:customStyle="1" w:styleId="Heading3Char">
    <w:name w:val="Heading 3 Char"/>
    <w:aliases w:val="0H Char,0H1 Char,0H11 Char,0H2 Char,0h Char,1 Ch Char,3 Char Char,3 Char1,3H Char,3h Char,CT Char,Guide 3 Char,H3 Char,H31 Char,Head 3 Char,Heading 31 Char,List level 3 Char,Sec II Char,Title3 Char,Underrubrik2 Char,ariad2-heading3 Char"/>
    <w:link w:val="Heading3"/>
    <w:rsid w:val="00C6287D"/>
    <w:rPr>
      <w:b/>
      <w:snapToGrid w:val="0"/>
      <w:kern w:val="28"/>
      <w:sz w:val="22"/>
    </w:rPr>
  </w:style>
  <w:style w:type="character" w:customStyle="1" w:styleId="Heading4Char">
    <w:name w:val="Heading 4 Char"/>
    <w:aliases w:val="Contrat 4 Char,H4 Char,Heading 4 Char Char Char Char,Heading 4 Char1 Char Char,Heading 4 Char1 Char1 Char,Heading 4 Char2 Char Char Char,Module heading 1 large (18 points) Char,NUL Char,Niveau 4 Char,Niveau4 Char,Sec III Char,annexe Char"/>
    <w:link w:val="Heading4"/>
    <w:rsid w:val="00C6287D"/>
    <w:rPr>
      <w:b/>
      <w:snapToGrid w:val="0"/>
      <w:kern w:val="28"/>
      <w:sz w:val="22"/>
    </w:rPr>
  </w:style>
  <w:style w:type="character" w:customStyle="1" w:styleId="Heading5Char">
    <w:name w:val="Heading 5 Char"/>
    <w:aliases w:val="Contrat 5 Char,H5 Char,Heading 5 Char Char Char Char Char Char,Heading 5 Char Char Char1 Char,Heading 5 Char Char1 Char Char,Heading 5 Char1 Char Char Char Char,Heading 5 Char1 Char1 Char,Heading 5 Char2 Char,Modalité Char,Niveau 5 Char"/>
    <w:link w:val="Heading5"/>
    <w:rsid w:val="00C6287D"/>
    <w:rPr>
      <w:b/>
      <w:snapToGrid w:val="0"/>
      <w:kern w:val="28"/>
      <w:sz w:val="22"/>
    </w:rPr>
  </w:style>
  <w:style w:type="character" w:customStyle="1" w:styleId="FootnoteTextChar">
    <w:name w:val="Footnote Text Char"/>
    <w:aliases w:val="Footnote Text Char Char Char,Footnote Text Char Char Char Char Char,Footnote Text Char2 Char Char2 Char2 Char Char Char,Footnote Text Char4 Char Char1 Char Char Char,Footnote Text Char5 Cha Char,Footnote Text Char5 Char Char Char"/>
    <w:link w:val="FootnoteText"/>
    <w:uiPriority w:val="99"/>
    <w:locked/>
    <w:rsid w:val="00C6287D"/>
  </w:style>
  <w:style w:type="paragraph" w:styleId="CommentText">
    <w:name w:val="annotation text"/>
    <w:basedOn w:val="Normal"/>
    <w:link w:val="CommentTextChar"/>
    <w:uiPriority w:val="99"/>
    <w:unhideWhenUsed/>
    <w:rsid w:val="00C6287D"/>
    <w:rPr>
      <w:snapToGrid/>
      <w:sz w:val="20"/>
    </w:rPr>
  </w:style>
  <w:style w:type="character" w:customStyle="1" w:styleId="CommentTextChar">
    <w:name w:val="Comment Text Char"/>
    <w:link w:val="CommentText"/>
    <w:uiPriority w:val="99"/>
    <w:rsid w:val="00C6287D"/>
    <w:rPr>
      <w:kern w:val="28"/>
    </w:rPr>
  </w:style>
  <w:style w:type="character" w:customStyle="1" w:styleId="ParaNumChar">
    <w:name w:val="ParaNum Char"/>
    <w:link w:val="ParaNum"/>
    <w:locked/>
    <w:rsid w:val="00C6287D"/>
    <w:rPr>
      <w:snapToGrid w:val="0"/>
      <w:kern w:val="28"/>
      <w:sz w:val="22"/>
    </w:rPr>
  </w:style>
  <w:style w:type="character" w:styleId="CommentReference">
    <w:name w:val="annotation reference"/>
    <w:uiPriority w:val="99"/>
    <w:unhideWhenUsed/>
    <w:rsid w:val="00C6287D"/>
    <w:rPr>
      <w:sz w:val="16"/>
      <w:szCs w:val="16"/>
    </w:rPr>
  </w:style>
  <w:style w:type="paragraph" w:styleId="BalloonText">
    <w:name w:val="Balloon Text"/>
    <w:basedOn w:val="Normal"/>
    <w:link w:val="BalloonTextChar"/>
    <w:uiPriority w:val="99"/>
    <w:rsid w:val="00C6287D"/>
    <w:rPr>
      <w:rFonts w:ascii="Segoe UI" w:hAnsi="Segoe UI" w:cs="Segoe UI"/>
      <w:snapToGrid/>
      <w:sz w:val="18"/>
      <w:szCs w:val="18"/>
    </w:rPr>
  </w:style>
  <w:style w:type="character" w:customStyle="1" w:styleId="BalloonTextChar">
    <w:name w:val="Balloon Text Char"/>
    <w:link w:val="BalloonText"/>
    <w:uiPriority w:val="99"/>
    <w:rsid w:val="00C6287D"/>
    <w:rPr>
      <w:rFonts w:ascii="Segoe UI" w:hAnsi="Segoe UI" w:cs="Segoe UI"/>
      <w:kern w:val="28"/>
      <w:sz w:val="18"/>
      <w:szCs w:val="18"/>
    </w:rPr>
  </w:style>
  <w:style w:type="paragraph" w:styleId="CommentSubject">
    <w:name w:val="annotation subject"/>
    <w:basedOn w:val="CommentText"/>
    <w:next w:val="CommentText"/>
    <w:link w:val="CommentSubjectChar"/>
    <w:uiPriority w:val="99"/>
    <w:rsid w:val="00C6287D"/>
    <w:rPr>
      <w:b/>
      <w:bCs/>
    </w:rPr>
  </w:style>
  <w:style w:type="character" w:customStyle="1" w:styleId="CommentSubjectChar">
    <w:name w:val="Comment Subject Char"/>
    <w:link w:val="CommentSubject"/>
    <w:uiPriority w:val="99"/>
    <w:rsid w:val="00C6287D"/>
    <w:rPr>
      <w:b/>
      <w:bCs/>
      <w:kern w:val="28"/>
    </w:rPr>
  </w:style>
  <w:style w:type="paragraph" w:styleId="Revision">
    <w:name w:val="Revision"/>
    <w:hidden/>
    <w:uiPriority w:val="99"/>
    <w:rsid w:val="00C6287D"/>
    <w:rPr>
      <w:kern w:val="28"/>
      <w:sz w:val="22"/>
    </w:rPr>
  </w:style>
  <w:style w:type="character" w:customStyle="1" w:styleId="ParaNumChar2">
    <w:name w:val="ParaNum Char2"/>
    <w:locked/>
    <w:rsid w:val="00C6287D"/>
    <w:rPr>
      <w:rFonts w:ascii="Times New Roman" w:eastAsia="Times New Roman" w:hAnsi="Times New Roman" w:cs="Times New Roman"/>
      <w:snapToGrid w:val="0"/>
      <w:kern w:val="28"/>
      <w:szCs w:val="20"/>
    </w:rPr>
  </w:style>
  <w:style w:type="character" w:customStyle="1" w:styleId="UnresolvedMention">
    <w:name w:val="Unresolved Mention"/>
    <w:uiPriority w:val="99"/>
    <w:semiHidden/>
    <w:unhideWhenUsed/>
    <w:rsid w:val="00C6287D"/>
    <w:rPr>
      <w:color w:val="808080"/>
      <w:shd w:val="clear" w:color="auto" w:fill="E6E6E6"/>
    </w:rPr>
  </w:style>
  <w:style w:type="character" w:customStyle="1" w:styleId="ng-binding">
    <w:name w:val="ng-binding"/>
    <w:rsid w:val="00C6287D"/>
  </w:style>
  <w:style w:type="paragraph" w:customStyle="1" w:styleId="permalink">
    <w:name w:val="permalink"/>
    <w:basedOn w:val="Normal"/>
    <w:rsid w:val="00C6287D"/>
    <w:pPr>
      <w:spacing w:before="100" w:beforeAutospacing="1" w:after="100" w:afterAutospacing="1"/>
    </w:pPr>
  </w:style>
  <w:style w:type="character" w:styleId="Emphasis">
    <w:name w:val="Emphasis"/>
    <w:uiPriority w:val="20"/>
    <w:qFormat/>
    <w:rsid w:val="00C6287D"/>
    <w:rPr>
      <w:i/>
      <w:iCs/>
    </w:rPr>
  </w:style>
  <w:style w:type="character" w:customStyle="1" w:styleId="cosearchterm">
    <w:name w:val="co_searchterm"/>
    <w:rsid w:val="00C6287D"/>
  </w:style>
  <w:style w:type="character" w:styleId="FollowedHyperlink">
    <w:name w:val="FollowedHyperlink"/>
    <w:uiPriority w:val="99"/>
    <w:rsid w:val="00C6287D"/>
    <w:rPr>
      <w:color w:val="954F72"/>
      <w:u w:val="single"/>
    </w:rPr>
  </w:style>
  <w:style w:type="paragraph" w:styleId="TOCHeading">
    <w:name w:val="TOC Heading"/>
    <w:basedOn w:val="Heading1"/>
    <w:next w:val="Normal"/>
    <w:uiPriority w:val="39"/>
    <w:unhideWhenUsed/>
    <w:qFormat/>
    <w:rsid w:val="00C6287D"/>
    <w:pPr>
      <w:keepLines/>
      <w:numPr>
        <w:numId w:val="0"/>
      </w:numPr>
      <w:tabs>
        <w:tab w:val="left" w:pos="720"/>
      </w:tabs>
      <w:suppressAutoHyphens w:val="0"/>
      <w:spacing w:before="240" w:after="0"/>
      <w:outlineLvl w:val="9"/>
    </w:pPr>
    <w:rPr>
      <w:rFonts w:ascii="Calibri Light" w:hAnsi="Calibri Light"/>
      <w:b w:val="0"/>
      <w:caps w:val="0"/>
      <w:color w:val="2E74B5"/>
      <w:sz w:val="32"/>
      <w:szCs w:val="32"/>
    </w:rPr>
  </w:style>
  <w:style w:type="paragraph" w:customStyle="1" w:styleId="Paranum0">
    <w:name w:val="Paranum"/>
    <w:basedOn w:val="Normal"/>
    <w:rsid w:val="00C6287D"/>
    <w:pPr>
      <w:numPr>
        <w:numId w:val="10"/>
      </w:numPr>
      <w:spacing w:after="220"/>
      <w:jc w:val="both"/>
    </w:pPr>
  </w:style>
  <w:style w:type="character" w:customStyle="1" w:styleId="Mention1">
    <w:name w:val="Mention1"/>
    <w:uiPriority w:val="99"/>
    <w:semiHidden/>
    <w:unhideWhenUsed/>
    <w:rsid w:val="00C6287D"/>
    <w:rPr>
      <w:color w:val="2B579A"/>
      <w:shd w:val="clear" w:color="auto" w:fill="E6E6E6"/>
    </w:rPr>
  </w:style>
  <w:style w:type="character" w:customStyle="1" w:styleId="cosearchdetaillevel2">
    <w:name w:val="co_search_detaillevel_2"/>
    <w:rsid w:val="00C6287D"/>
  </w:style>
  <w:style w:type="character" w:customStyle="1" w:styleId="FootnoteTextChar6">
    <w:name w:val="Footnote Text Char6"/>
    <w:aliases w:val="Footnote Text Char Char Char1 Char4,Footnote Text Char1 Char4,Footnote Text Char2 Char1 Char Char Char Char1 Char4,Footnote Text Char2 Char1 Char1 Char1 Char4,Footnote Text Char2 Char4,Footnote Text Char3 Char Char Char Char1 Char4"/>
    <w:locked/>
    <w:rsid w:val="00C6287D"/>
    <w:rPr>
      <w:rFonts w:eastAsia="Times New Roman"/>
      <w:lang w:val="en-US" w:eastAsia="en-US"/>
    </w:rPr>
  </w:style>
  <w:style w:type="paragraph" w:styleId="Caption">
    <w:name w:val="caption"/>
    <w:basedOn w:val="Normal"/>
    <w:next w:val="Normal"/>
    <w:uiPriority w:val="99"/>
    <w:qFormat/>
    <w:rsid w:val="00C6287D"/>
    <w:pPr>
      <w:spacing w:before="120" w:after="120"/>
    </w:pPr>
    <w:rPr>
      <w:rFonts w:eastAsia="MS Mincho"/>
      <w:b/>
      <w:lang w:eastAsia="ja-JP"/>
    </w:rPr>
  </w:style>
  <w:style w:type="character" w:customStyle="1" w:styleId="UnresolvedMention1">
    <w:name w:val="Unresolved Mention1"/>
    <w:uiPriority w:val="99"/>
    <w:semiHidden/>
    <w:unhideWhenUsed/>
    <w:rsid w:val="00C6287D"/>
    <w:rPr>
      <w:color w:val="808080"/>
      <w:shd w:val="clear" w:color="auto" w:fill="E6E6E6"/>
    </w:rPr>
  </w:style>
  <w:style w:type="paragraph" w:styleId="ListParagraph">
    <w:name w:val="List Paragraph"/>
    <w:basedOn w:val="Normal"/>
    <w:uiPriority w:val="34"/>
    <w:qFormat/>
    <w:rsid w:val="00C6287D"/>
    <w:pPr>
      <w:ind w:left="720"/>
      <w:contextualSpacing/>
    </w:pPr>
    <w:rPr>
      <w:snapToGrid/>
    </w:rPr>
  </w:style>
  <w:style w:type="character" w:customStyle="1" w:styleId="UnresolvedMention2">
    <w:name w:val="Unresolved Mention2"/>
    <w:uiPriority w:val="99"/>
    <w:semiHidden/>
    <w:unhideWhenUsed/>
    <w:rsid w:val="00C6287D"/>
    <w:rPr>
      <w:color w:val="808080"/>
      <w:shd w:val="clear" w:color="auto" w:fill="E6E6E6"/>
    </w:rPr>
  </w:style>
  <w:style w:type="character" w:customStyle="1" w:styleId="UnresolvedMention3">
    <w:name w:val="Unresolved Mention3"/>
    <w:uiPriority w:val="99"/>
    <w:semiHidden/>
    <w:unhideWhenUsed/>
    <w:rsid w:val="00C6287D"/>
    <w:rPr>
      <w:color w:val="808080"/>
      <w:shd w:val="clear" w:color="auto" w:fill="E6E6E6"/>
    </w:rPr>
  </w:style>
  <w:style w:type="table" w:styleId="TableGrid">
    <w:name w:val="Table Grid"/>
    <w:basedOn w:val="TableNormal"/>
    <w:uiPriority w:val="59"/>
    <w:rsid w:val="00C62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uiPriority w:val="99"/>
    <w:semiHidden/>
    <w:unhideWhenUsed/>
    <w:rsid w:val="00C6287D"/>
    <w:rPr>
      <w:color w:val="808080"/>
      <w:shd w:val="clear" w:color="auto" w:fill="E6E6E6"/>
    </w:rPr>
  </w:style>
  <w:style w:type="character" w:customStyle="1" w:styleId="Hyperlink1">
    <w:name w:val="Hyperlink1"/>
    <w:autoRedefine/>
    <w:rsid w:val="00C6287D"/>
    <w:rPr>
      <w:color w:val="0000FF"/>
      <w:sz w:val="20"/>
      <w:u w:val="single"/>
    </w:rPr>
  </w:style>
  <w:style w:type="paragraph" w:customStyle="1" w:styleId="TitleA">
    <w:name w:val="Title A"/>
    <w:autoRedefine/>
    <w:uiPriority w:val="99"/>
    <w:rsid w:val="00C6287D"/>
    <w:pPr>
      <w:jc w:val="center"/>
    </w:pPr>
    <w:rPr>
      <w:rFonts w:ascii="Times New Roman Bold" w:eastAsia="ヒラギノ角ゴ Pro W3" w:hAnsi="Times New Roman Bold"/>
      <w:color w:val="000000"/>
      <w:sz w:val="22"/>
      <w:lang w:val="ja-JP"/>
    </w:rPr>
  </w:style>
  <w:style w:type="character" w:customStyle="1" w:styleId="Heading6Char">
    <w:name w:val="Heading 6 Char"/>
    <w:aliases w:val="Caption number (page-wide) Char,H6 Char,Heading 6 Char Char Char Char,Heading 6 Char Char Char1,Heading 6 Char Char1 Char,Heading 6 Char1 Char Char,Heading 6 Char1 Char1,Heading 6 Char2 Char,Modalités en colonnes Char,Niveau 6 Char"/>
    <w:link w:val="Heading6"/>
    <w:rsid w:val="00C6287D"/>
    <w:rPr>
      <w:b/>
      <w:snapToGrid w:val="0"/>
      <w:kern w:val="28"/>
      <w:sz w:val="22"/>
    </w:rPr>
  </w:style>
  <w:style w:type="character" w:customStyle="1" w:styleId="Heading7Char">
    <w:name w:val="Heading 7 Char"/>
    <w:aliases w:val="H7 Char,Niveau 7 Char,Niveau7 Char"/>
    <w:link w:val="Heading7"/>
    <w:rsid w:val="00C6287D"/>
    <w:rPr>
      <w:b/>
      <w:snapToGrid w:val="0"/>
      <w:kern w:val="28"/>
      <w:sz w:val="22"/>
    </w:rPr>
  </w:style>
  <w:style w:type="character" w:customStyle="1" w:styleId="Heading8Char">
    <w:name w:val="Heading 8 Char"/>
    <w:link w:val="Heading8"/>
    <w:rsid w:val="00C6287D"/>
    <w:rPr>
      <w:b/>
      <w:snapToGrid w:val="0"/>
      <w:kern w:val="28"/>
      <w:sz w:val="22"/>
    </w:rPr>
  </w:style>
  <w:style w:type="character" w:customStyle="1" w:styleId="Heading9Char">
    <w:name w:val="Heading 9 Char"/>
    <w:aliases w:val="9 Char,Heading 5a Char,Heading 9.table Char,Titre 10 Char,Titre 9 Char,Topic Char,t Char,table Char"/>
    <w:link w:val="Heading9"/>
    <w:rsid w:val="00C6287D"/>
    <w:rPr>
      <w:b/>
      <w:snapToGrid w:val="0"/>
      <w:kern w:val="28"/>
      <w:sz w:val="22"/>
    </w:rPr>
  </w:style>
  <w:style w:type="character" w:customStyle="1" w:styleId="EndnoteTextChar">
    <w:name w:val="Endnote Text Char"/>
    <w:link w:val="EndnoteText"/>
    <w:semiHidden/>
    <w:rsid w:val="00C6287D"/>
    <w:rPr>
      <w:snapToGrid w:val="0"/>
      <w:kern w:val="28"/>
    </w:rPr>
  </w:style>
  <w:style w:type="character" w:customStyle="1" w:styleId="HeaderChar">
    <w:name w:val="Header Char"/>
    <w:link w:val="Header"/>
    <w:rsid w:val="00C6287D"/>
    <w:rPr>
      <w:b/>
      <w:snapToGrid w:val="0"/>
      <w:kern w:val="28"/>
      <w:sz w:val="22"/>
    </w:rPr>
  </w:style>
  <w:style w:type="character" w:customStyle="1" w:styleId="FootnoteCharacters">
    <w:name w:val="Footnote Characters"/>
    <w:rsid w:val="00C6287D"/>
    <w:rPr>
      <w:rFonts w:cs="Times New Roman"/>
      <w:vertAlign w:val="superscript"/>
    </w:rPr>
  </w:style>
  <w:style w:type="character" w:customStyle="1" w:styleId="WW-FootnoteCharacters">
    <w:name w:val="WW-Footnote Characters"/>
    <w:rsid w:val="00C6287D"/>
    <w:rPr>
      <w:rFonts w:cs="Times New Roman"/>
      <w:vertAlign w:val="superscript"/>
    </w:rPr>
  </w:style>
  <w:style w:type="paragraph" w:styleId="Title">
    <w:name w:val="Title"/>
    <w:basedOn w:val="Normal"/>
    <w:link w:val="TitleChar"/>
    <w:qFormat/>
    <w:rsid w:val="00C6287D"/>
    <w:pPr>
      <w:jc w:val="center"/>
    </w:pPr>
    <w:rPr>
      <w:b/>
      <w:lang w:eastAsia="ja-JP"/>
    </w:rPr>
  </w:style>
  <w:style w:type="character" w:customStyle="1" w:styleId="TitleChar">
    <w:name w:val="Title Char"/>
    <w:link w:val="Title"/>
    <w:rsid w:val="00C6287D"/>
    <w:rPr>
      <w:b/>
      <w:snapToGrid w:val="0"/>
      <w:kern w:val="28"/>
      <w:sz w:val="22"/>
      <w:lang w:eastAsia="ja-JP"/>
    </w:rPr>
  </w:style>
  <w:style w:type="character" w:customStyle="1" w:styleId="ParaNumChar1">
    <w:name w:val="ParaNum Char1"/>
    <w:rsid w:val="00C6287D"/>
    <w:rPr>
      <w:snapToGrid w:val="0"/>
      <w:kern w:val="28"/>
      <w:sz w:val="22"/>
      <w:lang w:val="en-US" w:eastAsia="en-US" w:bidi="ar-SA"/>
    </w:rPr>
  </w:style>
  <w:style w:type="character" w:customStyle="1" w:styleId="Heading5Char1">
    <w:name w:val="Heading 5 Char1"/>
    <w:rsid w:val="00C6287D"/>
    <w:rPr>
      <w:rFonts w:ascii="Times New Roman" w:eastAsia="Times New Roman" w:hAnsi="Times New Roman" w:cs="Times New Roman"/>
      <w:b/>
      <w:snapToGrid w:val="0"/>
      <w:kern w:val="28"/>
      <w:szCs w:val="20"/>
    </w:rPr>
  </w:style>
  <w:style w:type="character" w:customStyle="1" w:styleId="Heading5Char4">
    <w:name w:val="Heading 5 Char4"/>
    <w:rsid w:val="00C6287D"/>
    <w:rPr>
      <w:b/>
      <w:snapToGrid w:val="0"/>
      <w:kern w:val="28"/>
      <w:sz w:val="22"/>
      <w:lang w:val="en-US" w:eastAsia="en-US" w:bidi="ar-SA"/>
    </w:rPr>
  </w:style>
  <w:style w:type="character" w:customStyle="1" w:styleId="apple-style-span">
    <w:name w:val="apple-style-span"/>
    <w:rsid w:val="00C6287D"/>
  </w:style>
  <w:style w:type="paragraph" w:customStyle="1" w:styleId="footnote">
    <w:name w:val="footnote"/>
    <w:basedOn w:val="FootnoteText"/>
    <w:rsid w:val="00C6287D"/>
    <w:pPr>
      <w:spacing w:after="0"/>
    </w:pPr>
    <w:rPr>
      <w:lang w:bidi="ar-AE"/>
    </w:rPr>
  </w:style>
  <w:style w:type="character" w:customStyle="1" w:styleId="Style12pt">
    <w:name w:val="Style 12 pt"/>
    <w:rsid w:val="00C6287D"/>
    <w:rPr>
      <w:sz w:val="22"/>
    </w:rPr>
  </w:style>
  <w:style w:type="character" w:customStyle="1" w:styleId="StyleFootnoteReferenceStyle12NECGFootnoteReferenceofrSt">
    <w:name w:val="Style Footnote ReferenceStyle 12(NECG) Footnote ReferenceofrSt..."/>
    <w:rsid w:val="00C6287D"/>
    <w:rPr>
      <w:rFonts w:ascii="Times New Roman" w:hAnsi="Times New Roman"/>
      <w:dstrike w:val="0"/>
      <w:color w:val="auto"/>
      <w:sz w:val="20"/>
      <w:vertAlign w:val="superscript"/>
    </w:rPr>
  </w:style>
  <w:style w:type="character" w:customStyle="1" w:styleId="Style12pt1">
    <w:name w:val="Style 12 pt1"/>
    <w:rsid w:val="00C6287D"/>
    <w:rPr>
      <w:sz w:val="22"/>
    </w:rPr>
  </w:style>
  <w:style w:type="character" w:customStyle="1" w:styleId="StyleFootnoteReferenceStyle12NECGFootnoteReferenceofrSt1">
    <w:name w:val="Style Footnote ReferenceStyle 12(NECG) Footnote ReferenceofrSt...1"/>
    <w:rsid w:val="00C6287D"/>
    <w:rPr>
      <w:rFonts w:ascii="Times New Roman" w:hAnsi="Times New Roman"/>
      <w:dstrike w:val="0"/>
      <w:color w:val="auto"/>
      <w:sz w:val="20"/>
      <w:vertAlign w:val="superscript"/>
    </w:rPr>
  </w:style>
  <w:style w:type="paragraph" w:customStyle="1" w:styleId="StyleNormalWeb12pt">
    <w:name w:val="Style Normal (Web) + 12 pt"/>
    <w:basedOn w:val="NormalWeb"/>
    <w:link w:val="StyleNormalWeb12ptChar"/>
    <w:rsid w:val="00C6287D"/>
    <w:pPr>
      <w:spacing w:beforeLines="1" w:afterLines="1"/>
    </w:pPr>
    <w:rPr>
      <w:rFonts w:ascii="Times" w:hAnsi="Times"/>
      <w:snapToGrid w:val="0"/>
      <w:sz w:val="22"/>
      <w:szCs w:val="20"/>
    </w:rPr>
  </w:style>
  <w:style w:type="paragraph" w:styleId="NormalWeb">
    <w:name w:val="Normal (Web)"/>
    <w:basedOn w:val="Normal"/>
    <w:link w:val="NormalWebChar"/>
    <w:uiPriority w:val="99"/>
    <w:rsid w:val="00C6287D"/>
    <w:rPr>
      <w:snapToGrid/>
      <w:sz w:val="24"/>
      <w:szCs w:val="24"/>
    </w:rPr>
  </w:style>
  <w:style w:type="character" w:customStyle="1" w:styleId="StyleNormalWeb12ptChar">
    <w:name w:val="Style Normal (Web) + 12 pt Char"/>
    <w:link w:val="StyleNormalWeb12pt"/>
    <w:rsid w:val="00C6287D"/>
    <w:rPr>
      <w:rFonts w:ascii="Times" w:hAnsi="Times"/>
      <w:snapToGrid w:val="0"/>
      <w:kern w:val="28"/>
      <w:sz w:val="22"/>
    </w:rPr>
  </w:style>
  <w:style w:type="character" w:customStyle="1" w:styleId="ccbnttl">
    <w:name w:val="ccbnttl"/>
    <w:rsid w:val="00C6287D"/>
  </w:style>
  <w:style w:type="character" w:customStyle="1" w:styleId="ccbntxt">
    <w:name w:val="ccbntxt"/>
    <w:rsid w:val="00C6287D"/>
  </w:style>
  <w:style w:type="character" w:customStyle="1" w:styleId="apple-converted-space">
    <w:name w:val="apple-converted-space"/>
    <w:rsid w:val="00C6287D"/>
  </w:style>
  <w:style w:type="character" w:styleId="Strong">
    <w:name w:val="Strong"/>
    <w:uiPriority w:val="22"/>
    <w:qFormat/>
    <w:rsid w:val="00C6287D"/>
    <w:rPr>
      <w:b/>
      <w:bCs/>
    </w:rPr>
  </w:style>
  <w:style w:type="character" w:customStyle="1" w:styleId="FootnoteTextChar3">
    <w:name w:val="Footnote Text Char3"/>
    <w:aliases w:val="Footnote Text Char Char Char1 Char1,Footnote Text Char1 Char1,Footnote Text Char2 Char1,Footnote Text Char2 Char1 Char Char Char Char1 Char1,Footnote Text Char2 Char1 Char1 Char1 Char1,Footnote Text Char3 Char Char Char Char1 Char1"/>
    <w:locked/>
    <w:rsid w:val="00C6287D"/>
    <w:rPr>
      <w:lang w:val="en-US" w:eastAsia="en-US"/>
    </w:rPr>
  </w:style>
  <w:style w:type="character" w:customStyle="1" w:styleId="cosearchtermcocurrentsearchterm">
    <w:name w:val="co_searchterm co_currentsearchterm"/>
    <w:rsid w:val="00C6287D"/>
    <w:rPr>
      <w:rFonts w:cs="Times New Roman"/>
    </w:rPr>
  </w:style>
  <w:style w:type="paragraph" w:styleId="HTMLPreformatted">
    <w:name w:val="HTML Preformatted"/>
    <w:basedOn w:val="Normal"/>
    <w:link w:val="HTMLPreformattedChar4"/>
    <w:uiPriority w:val="99"/>
    <w:rsid w:val="00C62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rPr>
  </w:style>
  <w:style w:type="character" w:customStyle="1" w:styleId="HTMLPreformattedChar">
    <w:name w:val="HTML Preformatted Char"/>
    <w:uiPriority w:val="99"/>
    <w:rsid w:val="00C6287D"/>
    <w:rPr>
      <w:rFonts w:ascii="Courier New" w:hAnsi="Courier New" w:cs="Courier New"/>
      <w:snapToGrid w:val="0"/>
      <w:kern w:val="28"/>
    </w:rPr>
  </w:style>
  <w:style w:type="character" w:customStyle="1" w:styleId="HTMLPreformattedChar4">
    <w:name w:val="HTML Preformatted Char4"/>
    <w:link w:val="HTMLPreformatted"/>
    <w:uiPriority w:val="99"/>
    <w:locked/>
    <w:rsid w:val="00C6287D"/>
    <w:rPr>
      <w:rFonts w:ascii="Courier" w:hAnsi="Courier"/>
      <w:snapToGrid w:val="0"/>
      <w:kern w:val="28"/>
      <w:sz w:val="22"/>
    </w:rPr>
  </w:style>
  <w:style w:type="paragraph" w:customStyle="1" w:styleId="NumberedList">
    <w:name w:val="Numbered List"/>
    <w:basedOn w:val="Normal"/>
    <w:rsid w:val="00C6287D"/>
    <w:pPr>
      <w:numPr>
        <w:numId w:val="11"/>
      </w:numPr>
      <w:tabs>
        <w:tab w:val="clear" w:pos="1080"/>
      </w:tabs>
      <w:spacing w:after="220"/>
      <w:ind w:left="1080" w:firstLine="0"/>
    </w:pPr>
    <w:rPr>
      <w:lang w:eastAsia="ja-JP"/>
    </w:rPr>
  </w:style>
  <w:style w:type="paragraph" w:customStyle="1" w:styleId="Default">
    <w:name w:val="Default"/>
    <w:rsid w:val="00C6287D"/>
    <w:pPr>
      <w:tabs>
        <w:tab w:val="num" w:pos="720"/>
      </w:tabs>
      <w:autoSpaceDE w:val="0"/>
      <w:autoSpaceDN w:val="0"/>
      <w:adjustRightInd w:val="0"/>
      <w:ind w:left="720"/>
    </w:pPr>
    <w:rPr>
      <w:rFonts w:ascii="Calibri" w:eastAsia="MS Mincho" w:hAnsi="Calibri" w:cs="Calibri"/>
      <w:color w:val="000000"/>
      <w:sz w:val="24"/>
      <w:szCs w:val="24"/>
      <w:lang w:eastAsia="ja-JP"/>
    </w:rPr>
  </w:style>
  <w:style w:type="character" w:styleId="HTMLCite">
    <w:name w:val="HTML Cite"/>
    <w:uiPriority w:val="99"/>
    <w:rsid w:val="00C6287D"/>
    <w:rPr>
      <w:i/>
    </w:rPr>
  </w:style>
  <w:style w:type="character" w:customStyle="1" w:styleId="StyleFootnoteReferenceStyle12NECGFootnoteReferenceofrSt2">
    <w:name w:val="Style Footnote ReferenceStyle 12(NECG) Footnote ReferenceofrSt...2"/>
    <w:rsid w:val="00C6287D"/>
    <w:rPr>
      <w:rFonts w:ascii="Times New Roman" w:hAnsi="Times New Roman"/>
      <w:dstrike w:val="0"/>
      <w:color w:val="auto"/>
      <w:sz w:val="20"/>
      <w:vertAlign w:val="baseline"/>
    </w:rPr>
  </w:style>
  <w:style w:type="character" w:customStyle="1" w:styleId="ccbnttl1">
    <w:name w:val="ccbnttl1"/>
    <w:rsid w:val="00C6287D"/>
    <w:rPr>
      <w:b/>
      <w:bCs/>
      <w:vanish w:val="0"/>
      <w:webHidden w:val="0"/>
      <w:color w:val="E47911"/>
      <w:sz w:val="16"/>
      <w:szCs w:val="16"/>
      <w:specVanish w:val="0"/>
    </w:rPr>
  </w:style>
  <w:style w:type="character" w:customStyle="1" w:styleId="FootnoteTextChar4">
    <w:name w:val="Footnote Text Char4"/>
    <w:aliases w:val="Footnote Text Char Char Char1 Char2,Footnote Text Char1 Char2,Footnote Text Char2 Char1 Char Char Char Char1 Char2,Footnote Text Char2 Char1 Char1 Char1 Char2,Footnote Text Char2 Char2,Footnote Text Char3 Char Char Char Char1 Char2"/>
    <w:locked/>
    <w:rsid w:val="00C6287D"/>
    <w:rPr>
      <w:lang w:val="en-US" w:eastAsia="en-US"/>
    </w:rPr>
  </w:style>
  <w:style w:type="character" w:customStyle="1" w:styleId="HTMLPreformattedChar1">
    <w:name w:val="HTML Preformatted Char1"/>
    <w:locked/>
    <w:rsid w:val="00C6287D"/>
    <w:rPr>
      <w:rFonts w:ascii="Courier" w:hAnsi="Courier"/>
    </w:rPr>
  </w:style>
  <w:style w:type="character" w:customStyle="1" w:styleId="HTMLPreformattedChar2">
    <w:name w:val="HTML Preformatted Char2"/>
    <w:locked/>
    <w:rsid w:val="00C6287D"/>
    <w:rPr>
      <w:rFonts w:ascii="Courier" w:hAnsi="Courier"/>
      <w:lang w:val="en-US" w:eastAsia="en-US"/>
    </w:rPr>
  </w:style>
  <w:style w:type="paragraph" w:customStyle="1" w:styleId="Tblnormal">
    <w:name w:val="Tbl_normal"/>
    <w:basedOn w:val="Normal"/>
    <w:uiPriority w:val="99"/>
    <w:rsid w:val="00C6287D"/>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pPr>
    <w:rPr>
      <w:snapToGrid/>
    </w:rPr>
  </w:style>
  <w:style w:type="character" w:customStyle="1" w:styleId="FootnoteTextChar1CharChar">
    <w:name w:val="Footnote Text Char1 Char Char"/>
    <w:aliases w:val="Footnote Text Char Char Char Char Char1 Char,Footnote Text Char Char2,Footnote Text Char1 Char Char Char1 Char,Footnote Text Char2 Char Char Char Char Char1 Char"/>
    <w:rsid w:val="00C6287D"/>
    <w:rPr>
      <w:lang w:val="en-US" w:eastAsia="en-US" w:bidi="ar-SA"/>
    </w:rPr>
  </w:style>
  <w:style w:type="character" w:customStyle="1" w:styleId="Heading5Char3">
    <w:name w:val="Heading 5 Char3"/>
    <w:locked/>
    <w:rsid w:val="00C6287D"/>
    <w:rPr>
      <w:b/>
      <w:snapToGrid w:val="0"/>
      <w:kern w:val="28"/>
      <w:sz w:val="22"/>
      <w:lang w:val="en-US" w:eastAsia="en-US"/>
    </w:rPr>
  </w:style>
  <w:style w:type="character" w:customStyle="1" w:styleId="HTMLPreformattedChar3">
    <w:name w:val="HTML Preformatted Char3"/>
    <w:locked/>
    <w:rsid w:val="00C6287D"/>
    <w:rPr>
      <w:rFonts w:ascii="Courier" w:hAnsi="Courier"/>
      <w:lang w:val="en-US" w:eastAsia="en-US"/>
    </w:rPr>
  </w:style>
  <w:style w:type="paragraph" w:customStyle="1" w:styleId="LightGrid-Accent31">
    <w:name w:val="Light Grid - Accent 31"/>
    <w:basedOn w:val="Normal"/>
    <w:uiPriority w:val="99"/>
    <w:qFormat/>
    <w:rsid w:val="00C6287D"/>
    <w:pPr>
      <w:ind w:left="720"/>
      <w:contextualSpacing/>
    </w:pPr>
    <w:rPr>
      <w:sz w:val="24"/>
      <w:szCs w:val="24"/>
    </w:rPr>
  </w:style>
  <w:style w:type="character" w:styleId="PlaceholderText">
    <w:name w:val="Placeholder Text"/>
    <w:uiPriority w:val="99"/>
    <w:rsid w:val="00C6287D"/>
    <w:rPr>
      <w:color w:val="808080"/>
    </w:rPr>
  </w:style>
  <w:style w:type="paragraph" w:styleId="DocumentMap">
    <w:name w:val="Document Map"/>
    <w:basedOn w:val="Normal"/>
    <w:link w:val="DocumentMapChar"/>
    <w:rsid w:val="00C6287D"/>
    <w:rPr>
      <w:rFonts w:ascii="Lucida Grande" w:hAnsi="Lucida Grande"/>
      <w:snapToGrid/>
      <w:sz w:val="24"/>
      <w:szCs w:val="24"/>
    </w:rPr>
  </w:style>
  <w:style w:type="character" w:customStyle="1" w:styleId="DocumentMapChar">
    <w:name w:val="Document Map Char"/>
    <w:link w:val="DocumentMap"/>
    <w:rsid w:val="00C6287D"/>
    <w:rPr>
      <w:rFonts w:ascii="Lucida Grande" w:hAnsi="Lucida Grande"/>
      <w:kern w:val="28"/>
      <w:sz w:val="24"/>
      <w:szCs w:val="24"/>
    </w:rPr>
  </w:style>
  <w:style w:type="paragraph" w:customStyle="1" w:styleId="Footer1">
    <w:name w:val="Footer1"/>
    <w:uiPriority w:val="99"/>
    <w:rsid w:val="00C6287D"/>
    <w:pPr>
      <w:widowControl w:val="0"/>
      <w:tabs>
        <w:tab w:val="center" w:pos="4320"/>
        <w:tab w:val="right" w:pos="8640"/>
      </w:tabs>
    </w:pPr>
    <w:rPr>
      <w:rFonts w:eastAsia="ヒラギノ角ゴ Pro W3"/>
      <w:color w:val="000000"/>
      <w:kern w:val="28"/>
      <w:sz w:val="22"/>
    </w:rPr>
  </w:style>
  <w:style w:type="numbering" w:customStyle="1" w:styleId="List1">
    <w:name w:val="List 1"/>
    <w:rsid w:val="00C6287D"/>
  </w:style>
  <w:style w:type="character" w:customStyle="1" w:styleId="Unknown0">
    <w:name w:val="Unknown 0"/>
    <w:semiHidden/>
    <w:rsid w:val="00C6287D"/>
  </w:style>
  <w:style w:type="character" w:customStyle="1" w:styleId="Unknown1">
    <w:name w:val="Unknown 1"/>
    <w:semiHidden/>
    <w:rsid w:val="00C6287D"/>
  </w:style>
  <w:style w:type="character" w:customStyle="1" w:styleId="Unknown2">
    <w:name w:val="Unknown 2"/>
    <w:semiHidden/>
    <w:rsid w:val="00C6287D"/>
  </w:style>
  <w:style w:type="paragraph" w:customStyle="1" w:styleId="FootnoteText1">
    <w:name w:val="Footnote Text1"/>
    <w:uiPriority w:val="99"/>
    <w:rsid w:val="00C6287D"/>
    <w:rPr>
      <w:rFonts w:ascii="Helvetica" w:eastAsia="ヒラギノ角ゴ Pro W3" w:hAnsi="Helvetica"/>
      <w:color w:val="000000"/>
    </w:rPr>
  </w:style>
  <w:style w:type="character" w:customStyle="1" w:styleId="Unknown3">
    <w:name w:val="Unknown 3"/>
    <w:semiHidden/>
    <w:rsid w:val="00C6287D"/>
  </w:style>
  <w:style w:type="character" w:customStyle="1" w:styleId="Unknown4">
    <w:name w:val="Unknown 4"/>
    <w:semiHidden/>
    <w:rsid w:val="00C6287D"/>
  </w:style>
  <w:style w:type="paragraph" w:customStyle="1" w:styleId="FootnoteText2">
    <w:name w:val="Footnote Text2"/>
    <w:uiPriority w:val="99"/>
    <w:rsid w:val="00C6287D"/>
    <w:rPr>
      <w:rFonts w:ascii="Lucida Grande" w:eastAsia="ヒラギノ角ゴ Pro W3" w:hAnsi="Lucida Grande"/>
      <w:color w:val="000000"/>
    </w:rPr>
  </w:style>
  <w:style w:type="paragraph" w:customStyle="1" w:styleId="Heading5A0">
    <w:name w:val="Heading 5 A"/>
    <w:next w:val="ParaNum"/>
    <w:uiPriority w:val="99"/>
    <w:rsid w:val="00C6287D"/>
    <w:pPr>
      <w:keepNext/>
      <w:widowControl w:val="0"/>
      <w:tabs>
        <w:tab w:val="left" w:pos="3600"/>
      </w:tabs>
      <w:suppressAutoHyphens/>
      <w:spacing w:after="120"/>
      <w:outlineLvl w:val="4"/>
    </w:pPr>
    <w:rPr>
      <w:rFonts w:ascii="Times New Roman Bold" w:eastAsia="ヒラギノ角ゴ Pro W3" w:hAnsi="Times New Roman Bold"/>
      <w:color w:val="000000"/>
      <w:kern w:val="28"/>
      <w:sz w:val="22"/>
    </w:rPr>
  </w:style>
  <w:style w:type="character" w:customStyle="1" w:styleId="Unknown5">
    <w:name w:val="Unknown 5"/>
    <w:semiHidden/>
    <w:rsid w:val="00C6287D"/>
  </w:style>
  <w:style w:type="character" w:customStyle="1" w:styleId="Unknown6">
    <w:name w:val="Unknown 6"/>
    <w:semiHidden/>
    <w:rsid w:val="00C6287D"/>
  </w:style>
  <w:style w:type="character" w:customStyle="1" w:styleId="Unknown7">
    <w:name w:val="Unknown 7"/>
    <w:semiHidden/>
    <w:rsid w:val="00C6287D"/>
  </w:style>
  <w:style w:type="character" w:customStyle="1" w:styleId="Unknown8">
    <w:name w:val="Unknown 8"/>
    <w:semiHidden/>
    <w:rsid w:val="00C6287D"/>
  </w:style>
  <w:style w:type="character" w:customStyle="1" w:styleId="Unknown9">
    <w:name w:val="Unknown 9"/>
    <w:semiHidden/>
    <w:rsid w:val="00C6287D"/>
  </w:style>
  <w:style w:type="paragraph" w:customStyle="1" w:styleId="CaptionA">
    <w:name w:val="Caption A"/>
    <w:next w:val="Normal"/>
    <w:uiPriority w:val="99"/>
    <w:rsid w:val="00C6287D"/>
    <w:pPr>
      <w:spacing w:before="120" w:after="120"/>
    </w:pPr>
    <w:rPr>
      <w:rFonts w:ascii="Times New Roman Bold" w:eastAsia="ヒラギノ角ゴ Pro W3" w:hAnsi="Times New Roman Bold"/>
      <w:color w:val="000000"/>
      <w:sz w:val="22"/>
      <w:lang w:val="ja-JP"/>
    </w:rPr>
  </w:style>
  <w:style w:type="paragraph" w:customStyle="1" w:styleId="FreeForm">
    <w:name w:val="Free Form"/>
    <w:uiPriority w:val="99"/>
    <w:rsid w:val="00C6287D"/>
    <w:rPr>
      <w:rFonts w:eastAsia="ヒラギノ角ゴ Pro W3"/>
      <w:color w:val="000000"/>
    </w:rPr>
  </w:style>
  <w:style w:type="character" w:customStyle="1" w:styleId="Unknown10">
    <w:name w:val="Unknown 10"/>
    <w:semiHidden/>
    <w:rsid w:val="00C6287D"/>
  </w:style>
  <w:style w:type="character" w:customStyle="1" w:styleId="Unknown11">
    <w:name w:val="Unknown 11"/>
    <w:semiHidden/>
    <w:rsid w:val="00C6287D"/>
  </w:style>
  <w:style w:type="character" w:customStyle="1" w:styleId="Unknown12">
    <w:name w:val="Unknown 12"/>
    <w:semiHidden/>
    <w:rsid w:val="00C6287D"/>
  </w:style>
  <w:style w:type="character" w:customStyle="1" w:styleId="Unknown13">
    <w:name w:val="Unknown 13"/>
    <w:semiHidden/>
    <w:rsid w:val="00C6287D"/>
  </w:style>
  <w:style w:type="character" w:customStyle="1" w:styleId="Heading1Char1Char1">
    <w:name w:val="Heading 1 Char1 Char1"/>
    <w:aliases w:val="Heading 1 Char Char Char Char Char Char Char1,Heading 1 Char Char Char Char Char1,Heading 1 Char Char Char1,Heading 1 Char1 Char Char Char Char Char1,Heading 1 Char2 Char Char Char1"/>
    <w:rsid w:val="00C6287D"/>
    <w:rPr>
      <w:rFonts w:ascii="Cambria" w:eastAsia="Times New Roman" w:hAnsi="Cambria" w:cs="Times New Roman"/>
      <w:b/>
      <w:bCs/>
      <w:color w:val="365F91"/>
      <w:kern w:val="28"/>
      <w:sz w:val="28"/>
      <w:szCs w:val="28"/>
    </w:rPr>
  </w:style>
  <w:style w:type="character" w:customStyle="1" w:styleId="Heading2Char1">
    <w:name w:val="Heading 2 Char1"/>
    <w:aliases w:val="Heading 2 Char Char Char Char1,Heading 2 Char Char1 Char Char Char Char Char1,Heading 2 Char Char1 Char1,Heading 2 Char1 Char Char1,Heading 2 Char2 Char1,Heading 2 Char3 Char Char Char Char Char1,Heading 2 Char4 Char Char Char Char1"/>
    <w:rsid w:val="00C6287D"/>
    <w:rPr>
      <w:rFonts w:ascii="Cambria" w:eastAsia="Times New Roman" w:hAnsi="Cambria" w:cs="Times New Roman"/>
      <w:b/>
      <w:bCs/>
      <w:color w:val="4F81BD"/>
      <w:kern w:val="28"/>
      <w:sz w:val="26"/>
      <w:szCs w:val="26"/>
    </w:rPr>
  </w:style>
  <w:style w:type="character" w:customStyle="1" w:styleId="Heading3Char2">
    <w:name w:val="Heading 3 Char2"/>
    <w:aliases w:val="Heading 3 Char Char Char1,Heading 3 Char1 Char1"/>
    <w:semiHidden/>
    <w:rsid w:val="00C6287D"/>
    <w:rPr>
      <w:rFonts w:ascii="Cambria" w:eastAsia="Times New Roman" w:hAnsi="Cambria" w:cs="Times New Roman"/>
      <w:b/>
      <w:bCs/>
      <w:color w:val="4F81BD"/>
      <w:kern w:val="28"/>
      <w:sz w:val="22"/>
    </w:rPr>
  </w:style>
  <w:style w:type="character" w:customStyle="1" w:styleId="Heading4Char2">
    <w:name w:val="Heading 4 Char2"/>
    <w:aliases w:val="Heading 4 Char Char Char1,Heading 4 Char Char2 Char1 Char Char Char1,Heading 4 Char Char4 Char1,Heading 4 Char1 Char1 Char Char Char1,Heading 4 Char3 Char Char Char Char Char Char1,Heading 4 Char3 Char Char Char1"/>
    <w:semiHidden/>
    <w:rsid w:val="00C6287D"/>
    <w:rPr>
      <w:rFonts w:ascii="Cambria" w:eastAsia="Times New Roman" w:hAnsi="Cambria" w:cs="Times New Roman"/>
      <w:b/>
      <w:bCs/>
      <w:i/>
      <w:iCs/>
      <w:color w:val="4F81BD"/>
      <w:kern w:val="28"/>
      <w:sz w:val="22"/>
    </w:rPr>
  </w:style>
  <w:style w:type="paragraph" w:customStyle="1" w:styleId="OutlineNumber">
    <w:name w:val="Outline Number"/>
    <w:basedOn w:val="Normal"/>
    <w:rsid w:val="00C6287D"/>
    <w:pPr>
      <w:numPr>
        <w:numId w:val="12"/>
      </w:numPr>
      <w:ind w:right="807"/>
    </w:pPr>
    <w:rPr>
      <w:snapToGrid/>
      <w:color w:val="000000"/>
    </w:rPr>
  </w:style>
  <w:style w:type="numbering" w:customStyle="1" w:styleId="NoList1">
    <w:name w:val="No List1"/>
    <w:next w:val="NoList"/>
    <w:uiPriority w:val="99"/>
    <w:semiHidden/>
    <w:unhideWhenUsed/>
    <w:rsid w:val="00C6287D"/>
  </w:style>
  <w:style w:type="character" w:customStyle="1" w:styleId="ptext-27">
    <w:name w:val="ptext-27"/>
    <w:rsid w:val="00C6287D"/>
  </w:style>
  <w:style w:type="character" w:customStyle="1" w:styleId="FootnoteTextChar5">
    <w:name w:val="Footnote Text Char5"/>
    <w:aliases w:val="Footnote Text Char Char Char1 Char3,Footnote Text Char1 Char3,Footnote Text Char2 Char1 Char Char Char Char1 Char3,Footnote Text Char2 Char1 Char1 Char1 Char3,Footnote Text Char2 Char3,Footnote Text Char3 Char Char Char Char1 Char3"/>
    <w:uiPriority w:val="99"/>
    <w:locked/>
    <w:rsid w:val="00C6287D"/>
    <w:rPr>
      <w:lang w:val="en-US" w:eastAsia="en-US"/>
    </w:rPr>
  </w:style>
  <w:style w:type="numbering" w:customStyle="1" w:styleId="NoList11">
    <w:name w:val="No List11"/>
    <w:next w:val="NoList"/>
    <w:uiPriority w:val="99"/>
    <w:semiHidden/>
    <w:unhideWhenUsed/>
    <w:rsid w:val="00C6287D"/>
  </w:style>
  <w:style w:type="character" w:customStyle="1" w:styleId="tx4xlrg">
    <w:name w:val="tx4xlrg"/>
    <w:rsid w:val="00C6287D"/>
  </w:style>
  <w:style w:type="character" w:customStyle="1" w:styleId="txsmmed">
    <w:name w:val="txsmmed"/>
    <w:rsid w:val="00C6287D"/>
  </w:style>
  <w:style w:type="paragraph" w:customStyle="1" w:styleId="OrderPara">
    <w:name w:val="OrderPara"/>
    <w:basedOn w:val="ParaNum"/>
    <w:link w:val="OrderParaChar"/>
    <w:qFormat/>
    <w:rsid w:val="00C6287D"/>
    <w:pPr>
      <w:numPr>
        <w:numId w:val="0"/>
      </w:numPr>
      <w:tabs>
        <w:tab w:val="num" w:pos="360"/>
        <w:tab w:val="num" w:pos="1440"/>
      </w:tabs>
      <w:ind w:left="360" w:hanging="360"/>
    </w:pPr>
  </w:style>
  <w:style w:type="character" w:customStyle="1" w:styleId="OrderParaChar">
    <w:name w:val="OrderPara Char"/>
    <w:link w:val="OrderPara"/>
    <w:rsid w:val="00C6287D"/>
    <w:rPr>
      <w:snapToGrid w:val="0"/>
      <w:kern w:val="28"/>
      <w:sz w:val="22"/>
    </w:rPr>
  </w:style>
  <w:style w:type="paragraph" w:customStyle="1" w:styleId="Style1">
    <w:name w:val="Style1"/>
    <w:basedOn w:val="ParaNum"/>
    <w:link w:val="Style1Char"/>
    <w:qFormat/>
    <w:rsid w:val="00C6287D"/>
    <w:pPr>
      <w:numPr>
        <w:numId w:val="0"/>
      </w:numPr>
      <w:tabs>
        <w:tab w:val="num" w:pos="360"/>
        <w:tab w:val="num" w:pos="1440"/>
      </w:tabs>
      <w:ind w:left="360" w:hanging="360"/>
    </w:pPr>
  </w:style>
  <w:style w:type="character" w:customStyle="1" w:styleId="Style1Char">
    <w:name w:val="Style1 Char"/>
    <w:link w:val="Style1"/>
    <w:rsid w:val="00C6287D"/>
    <w:rPr>
      <w:snapToGrid w:val="0"/>
      <w:kern w:val="28"/>
      <w:sz w:val="22"/>
    </w:rPr>
  </w:style>
  <w:style w:type="character" w:customStyle="1" w:styleId="tgc">
    <w:name w:val="_tgc"/>
    <w:rsid w:val="00C6287D"/>
  </w:style>
  <w:style w:type="character" w:customStyle="1" w:styleId="UnresolvedMention5">
    <w:name w:val="Unresolved Mention5"/>
    <w:uiPriority w:val="99"/>
    <w:semiHidden/>
    <w:unhideWhenUsed/>
    <w:rsid w:val="00C6287D"/>
    <w:rPr>
      <w:color w:val="808080"/>
      <w:shd w:val="clear" w:color="auto" w:fill="E6E6E6"/>
    </w:rPr>
  </w:style>
  <w:style w:type="character" w:customStyle="1" w:styleId="FootnoteTextChar1Char1CharChar1">
    <w:name w:val="Footnote Text Char1 Char1 Char Char1"/>
    <w:aliases w:val="Footnote Text Char Char Char Char Char Char Char1,Footnote Text Char Char Char Char Char1,Footnote Text Char1 Char Char Char Char Char1,Footnote Text Char3 Char Char Char Char Char Char Char Char1"/>
    <w:rsid w:val="00C6287D"/>
  </w:style>
  <w:style w:type="character" w:customStyle="1" w:styleId="prnewsspan">
    <w:name w:val="prnews_span"/>
    <w:rsid w:val="00C6287D"/>
  </w:style>
  <w:style w:type="paragraph" w:styleId="BodyText">
    <w:name w:val="Body Text"/>
    <w:basedOn w:val="Normal"/>
    <w:link w:val="BodyTextChar"/>
    <w:unhideWhenUsed/>
    <w:rsid w:val="00C6287D"/>
    <w:pPr>
      <w:spacing w:after="120"/>
    </w:pPr>
    <w:rPr>
      <w:snapToGrid/>
    </w:rPr>
  </w:style>
  <w:style w:type="character" w:customStyle="1" w:styleId="BodyTextChar">
    <w:name w:val="Body Text Char"/>
    <w:link w:val="BodyText"/>
    <w:rsid w:val="00C6287D"/>
    <w:rPr>
      <w:kern w:val="28"/>
      <w:sz w:val="22"/>
    </w:rPr>
  </w:style>
  <w:style w:type="paragraph" w:styleId="NoSpacing">
    <w:name w:val="No Spacing"/>
    <w:uiPriority w:val="1"/>
    <w:qFormat/>
    <w:rsid w:val="00C6287D"/>
    <w:rPr>
      <w:rFonts w:ascii="Cambria" w:hAnsi="Cambria"/>
      <w:sz w:val="22"/>
      <w:szCs w:val="22"/>
    </w:rPr>
  </w:style>
  <w:style w:type="paragraph" w:styleId="PlainText">
    <w:name w:val="Plain Text"/>
    <w:basedOn w:val="Normal"/>
    <w:link w:val="PlainTextChar"/>
    <w:uiPriority w:val="99"/>
    <w:rsid w:val="00C6287D"/>
    <w:rPr>
      <w:snapToGrid/>
      <w:szCs w:val="21"/>
    </w:rPr>
  </w:style>
  <w:style w:type="character" w:customStyle="1" w:styleId="PlainTextChar">
    <w:name w:val="Plain Text Char"/>
    <w:link w:val="PlainText"/>
    <w:uiPriority w:val="99"/>
    <w:rsid w:val="00C6287D"/>
    <w:rPr>
      <w:kern w:val="28"/>
      <w:sz w:val="22"/>
      <w:szCs w:val="21"/>
    </w:rPr>
  </w:style>
  <w:style w:type="paragraph" w:customStyle="1" w:styleId="paranum1">
    <w:name w:val="paranum"/>
    <w:basedOn w:val="Normal"/>
    <w:uiPriority w:val="99"/>
    <w:rsid w:val="00C6287D"/>
    <w:pPr>
      <w:tabs>
        <w:tab w:val="num" w:pos="1080"/>
      </w:tabs>
      <w:spacing w:after="220"/>
      <w:ind w:firstLine="720"/>
      <w:jc w:val="both"/>
    </w:pPr>
    <w:rPr>
      <w:rFonts w:eastAsia="MS Mincho"/>
      <w:lang w:eastAsia="ja-JP"/>
    </w:rPr>
  </w:style>
  <w:style w:type="paragraph" w:customStyle="1" w:styleId="tableheading">
    <w:name w:val="tableheading"/>
    <w:basedOn w:val="Normal"/>
    <w:uiPriority w:val="99"/>
    <w:rsid w:val="00C6287D"/>
    <w:pPr>
      <w:spacing w:before="100" w:beforeAutospacing="1" w:after="100" w:afterAutospacing="1"/>
    </w:pPr>
    <w:rPr>
      <w:rFonts w:eastAsia="MS Mincho"/>
      <w:snapToGrid/>
      <w:sz w:val="24"/>
      <w:szCs w:val="24"/>
      <w:lang w:eastAsia="ja-JP"/>
    </w:rPr>
  </w:style>
  <w:style w:type="paragraph" w:customStyle="1" w:styleId="tablecontent">
    <w:name w:val="tablecontent"/>
    <w:basedOn w:val="Normal"/>
    <w:uiPriority w:val="99"/>
    <w:rsid w:val="00C6287D"/>
    <w:pPr>
      <w:spacing w:before="100" w:beforeAutospacing="1" w:after="100" w:afterAutospacing="1"/>
    </w:pPr>
    <w:rPr>
      <w:rFonts w:eastAsia="MS Mincho"/>
      <w:snapToGrid/>
      <w:sz w:val="24"/>
      <w:szCs w:val="24"/>
      <w:lang w:eastAsia="ja-JP"/>
    </w:rPr>
  </w:style>
  <w:style w:type="paragraph" w:customStyle="1" w:styleId="blockquote">
    <w:name w:val="blockquote"/>
    <w:basedOn w:val="Normal"/>
    <w:uiPriority w:val="99"/>
    <w:rsid w:val="00C6287D"/>
    <w:pPr>
      <w:spacing w:before="100" w:beforeAutospacing="1" w:after="100" w:afterAutospacing="1"/>
    </w:pPr>
    <w:rPr>
      <w:rFonts w:eastAsia="MS Mincho"/>
      <w:snapToGrid/>
      <w:sz w:val="24"/>
      <w:szCs w:val="24"/>
      <w:lang w:eastAsia="ja-JP"/>
    </w:rPr>
  </w:style>
  <w:style w:type="character" w:customStyle="1" w:styleId="blockquote1">
    <w:name w:val="blockquote1"/>
    <w:uiPriority w:val="99"/>
    <w:rsid w:val="00C6287D"/>
    <w:rPr>
      <w:rFonts w:cs="Times New Roman"/>
    </w:rPr>
  </w:style>
  <w:style w:type="character" w:customStyle="1" w:styleId="NormalWebChar">
    <w:name w:val="Normal (Web) Char"/>
    <w:link w:val="NormalWeb"/>
    <w:uiPriority w:val="99"/>
    <w:locked/>
    <w:rsid w:val="00C6287D"/>
    <w:rPr>
      <w:kern w:val="28"/>
      <w:sz w:val="24"/>
      <w:szCs w:val="24"/>
    </w:rPr>
  </w:style>
  <w:style w:type="paragraph" w:customStyle="1" w:styleId="tabletitle">
    <w:name w:val="tabletitle"/>
    <w:basedOn w:val="Normal"/>
    <w:uiPriority w:val="99"/>
    <w:rsid w:val="00C6287D"/>
    <w:pPr>
      <w:spacing w:before="100" w:beforeAutospacing="1" w:after="100" w:afterAutospacing="1"/>
    </w:pPr>
    <w:rPr>
      <w:rFonts w:eastAsia="MS Mincho"/>
      <w:snapToGrid/>
      <w:sz w:val="24"/>
      <w:szCs w:val="24"/>
      <w:lang w:eastAsia="ja-JP"/>
    </w:rPr>
  </w:style>
  <w:style w:type="character" w:customStyle="1" w:styleId="news">
    <w:name w:val="news"/>
    <w:uiPriority w:val="99"/>
    <w:rsid w:val="00C6287D"/>
    <w:rPr>
      <w:rFonts w:cs="Times New Roman"/>
    </w:rPr>
  </w:style>
  <w:style w:type="paragraph" w:styleId="BodyText2">
    <w:name w:val="Body Text 2"/>
    <w:basedOn w:val="Normal"/>
    <w:link w:val="BodyText2Char"/>
    <w:rsid w:val="00C6287D"/>
    <w:pPr>
      <w:spacing w:after="120" w:line="480" w:lineRule="auto"/>
    </w:pPr>
    <w:rPr>
      <w:rFonts w:eastAsia="MS Mincho"/>
      <w:snapToGrid/>
      <w:sz w:val="24"/>
      <w:szCs w:val="24"/>
      <w:lang w:eastAsia="ja-JP"/>
    </w:rPr>
  </w:style>
  <w:style w:type="character" w:customStyle="1" w:styleId="BodyText2Char">
    <w:name w:val="Body Text 2 Char"/>
    <w:link w:val="BodyText2"/>
    <w:rsid w:val="00C6287D"/>
    <w:rPr>
      <w:rFonts w:eastAsia="MS Mincho"/>
      <w:kern w:val="28"/>
      <w:sz w:val="24"/>
      <w:szCs w:val="24"/>
      <w:lang w:eastAsia="ja-JP"/>
    </w:rPr>
  </w:style>
  <w:style w:type="character" w:customStyle="1" w:styleId="intro1">
    <w:name w:val="intro1"/>
    <w:uiPriority w:val="99"/>
    <w:rsid w:val="00C6287D"/>
    <w:rPr>
      <w:rFonts w:ascii="Arial" w:hAnsi="Arial"/>
      <w:b/>
      <w:sz w:val="23"/>
    </w:rPr>
  </w:style>
  <w:style w:type="paragraph" w:customStyle="1" w:styleId="ParaNumAsianMSMincho">
    <w:name w:val="ParaNum + (Asian) MS Mincho"/>
    <w:aliases w:val="After:  6 pt,Left"/>
    <w:basedOn w:val="Normal"/>
    <w:uiPriority w:val="99"/>
    <w:rsid w:val="00C6287D"/>
    <w:pPr>
      <w:spacing w:after="120"/>
    </w:pPr>
    <w:rPr>
      <w:snapToGrid/>
    </w:rPr>
  </w:style>
  <w:style w:type="character" w:customStyle="1" w:styleId="dept">
    <w:name w:val="dept"/>
    <w:uiPriority w:val="99"/>
    <w:rsid w:val="00C6287D"/>
    <w:rPr>
      <w:rFonts w:cs="Times New Roman"/>
    </w:rPr>
  </w:style>
  <w:style w:type="character" w:customStyle="1" w:styleId="searchterm">
    <w:name w:val="searchterm"/>
    <w:uiPriority w:val="99"/>
    <w:rsid w:val="00C6287D"/>
    <w:rPr>
      <w:rFonts w:cs="Times New Roman"/>
    </w:rPr>
  </w:style>
  <w:style w:type="paragraph" w:customStyle="1" w:styleId="indent">
    <w:name w:val="indent"/>
    <w:basedOn w:val="Normal"/>
    <w:uiPriority w:val="99"/>
    <w:rsid w:val="00C6287D"/>
    <w:pPr>
      <w:spacing w:before="100" w:beforeAutospacing="1" w:after="100" w:afterAutospacing="1"/>
    </w:pPr>
    <w:rPr>
      <w:snapToGrid/>
      <w:sz w:val="24"/>
      <w:szCs w:val="24"/>
    </w:rPr>
  </w:style>
  <w:style w:type="paragraph" w:customStyle="1" w:styleId="a0">
    <w:name w:val="목록 단락"/>
    <w:basedOn w:val="Normal"/>
    <w:uiPriority w:val="99"/>
    <w:rsid w:val="00C6287D"/>
    <w:pPr>
      <w:wordWrap w:val="0"/>
      <w:autoSpaceDE w:val="0"/>
      <w:autoSpaceDN w:val="0"/>
      <w:ind w:left="800" w:leftChars="400"/>
      <w:jc w:val="both"/>
    </w:pPr>
    <w:rPr>
      <w:rFonts w:ascii="Malgun Gothic" w:eastAsia="Malgun Gothic" w:hAnsi="Malgun Gothic"/>
      <w:snapToGrid/>
      <w:kern w:val="2"/>
      <w:sz w:val="20"/>
      <w:lang w:eastAsia="ko-KR"/>
    </w:rPr>
  </w:style>
  <w:style w:type="character" w:styleId="HTMLAcronym">
    <w:name w:val="HTML Acronym"/>
    <w:uiPriority w:val="99"/>
    <w:rsid w:val="00C6287D"/>
    <w:rPr>
      <w:rFonts w:cs="Times New Roman"/>
    </w:rPr>
  </w:style>
  <w:style w:type="paragraph" w:customStyle="1" w:styleId="CEONormal">
    <w:name w:val="CEO_Normal"/>
    <w:uiPriority w:val="99"/>
    <w:rsid w:val="00C6287D"/>
    <w:rPr>
      <w:rFonts w:ascii="Verdana" w:eastAsia="SimSun" w:hAnsi="Verdana"/>
      <w:sz w:val="19"/>
      <w:szCs w:val="19"/>
      <w:lang w:val="en-GB"/>
    </w:rPr>
  </w:style>
  <w:style w:type="paragraph" w:customStyle="1" w:styleId="pp">
    <w:name w:val="pp"/>
    <w:basedOn w:val="Normal"/>
    <w:uiPriority w:val="99"/>
    <w:rsid w:val="00C6287D"/>
    <w:pPr>
      <w:spacing w:before="100" w:beforeAutospacing="1" w:after="100" w:afterAutospacing="1"/>
    </w:pPr>
    <w:rPr>
      <w:snapToGrid/>
      <w:sz w:val="24"/>
      <w:szCs w:val="24"/>
    </w:rPr>
  </w:style>
  <w:style w:type="character" w:customStyle="1" w:styleId="documentdate">
    <w:name w:val="documentdate"/>
    <w:rsid w:val="00C6287D"/>
  </w:style>
  <w:style w:type="character" w:customStyle="1" w:styleId="EndnoteCharacters">
    <w:name w:val="Endnote Characters"/>
    <w:rsid w:val="00C6287D"/>
    <w:rPr>
      <w:rFonts w:cs="Times New Roman"/>
      <w:vertAlign w:val="superscript"/>
    </w:rPr>
  </w:style>
  <w:style w:type="character" w:customStyle="1" w:styleId="caps">
    <w:name w:val="caps"/>
    <w:rsid w:val="00C6287D"/>
  </w:style>
  <w:style w:type="character" w:customStyle="1" w:styleId="EmailStyle108">
    <w:name w:val="EmailStyle108"/>
    <w:semiHidden/>
    <w:rsid w:val="00C6287D"/>
    <w:rPr>
      <w:rFonts w:ascii="Arial" w:hAnsi="Arial" w:cs="Arial"/>
      <w:color w:val="000080"/>
      <w:sz w:val="20"/>
      <w:szCs w:val="20"/>
    </w:rPr>
  </w:style>
  <w:style w:type="character" w:customStyle="1" w:styleId="CharChar6">
    <w:name w:val="Char Char6"/>
    <w:semiHidden/>
    <w:locked/>
    <w:rsid w:val="00C6287D"/>
    <w:rPr>
      <w:lang w:val="en-US" w:eastAsia="en-US" w:bidi="ar-SA"/>
    </w:rPr>
  </w:style>
  <w:style w:type="character" w:customStyle="1" w:styleId="categorydata">
    <w:name w:val="category_data"/>
    <w:rsid w:val="00C6287D"/>
    <w:rPr>
      <w:rFonts w:cs="Times New Roman"/>
    </w:rPr>
  </w:style>
  <w:style w:type="character" w:customStyle="1" w:styleId="documentbody">
    <w:name w:val="documentbody"/>
    <w:rsid w:val="00C6287D"/>
    <w:rPr>
      <w:rFonts w:cs="Times New Roman"/>
    </w:rPr>
  </w:style>
  <w:style w:type="character" w:customStyle="1" w:styleId="st">
    <w:name w:val="st"/>
    <w:rsid w:val="00C6287D"/>
  </w:style>
  <w:style w:type="paragraph" w:customStyle="1" w:styleId="WW-Default">
    <w:name w:val="WW-Default"/>
    <w:uiPriority w:val="99"/>
    <w:rsid w:val="00C6287D"/>
    <w:pPr>
      <w:suppressAutoHyphens/>
      <w:autoSpaceDE w:val="0"/>
    </w:pPr>
    <w:rPr>
      <w:rFonts w:ascii="Arial" w:hAnsi="Arial" w:cs="Arial"/>
      <w:color w:val="000000"/>
      <w:sz w:val="24"/>
      <w:szCs w:val="24"/>
      <w:lang w:eastAsia="ar-SA"/>
    </w:rPr>
  </w:style>
  <w:style w:type="character" w:customStyle="1" w:styleId="CharChar3">
    <w:name w:val="Char Char3"/>
    <w:locked/>
    <w:rsid w:val="00C6287D"/>
    <w:rPr>
      <w:sz w:val="24"/>
      <w:szCs w:val="24"/>
      <w:lang w:val="en-US" w:eastAsia="en-US" w:bidi="ar-SA"/>
    </w:rPr>
  </w:style>
  <w:style w:type="character" w:customStyle="1" w:styleId="nobr1">
    <w:name w:val="no_br1"/>
    <w:rsid w:val="00C6287D"/>
  </w:style>
  <w:style w:type="character" w:customStyle="1" w:styleId="highlight">
    <w:name w:val="highlight"/>
    <w:rsid w:val="00C6287D"/>
    <w:rPr>
      <w:rFonts w:cs="Times New Roman"/>
    </w:rPr>
  </w:style>
  <w:style w:type="numbering" w:customStyle="1" w:styleId="NoList2">
    <w:name w:val="No List2"/>
    <w:next w:val="NoList"/>
    <w:uiPriority w:val="99"/>
    <w:semiHidden/>
    <w:unhideWhenUsed/>
    <w:rsid w:val="00C6287D"/>
  </w:style>
  <w:style w:type="table" w:customStyle="1" w:styleId="TableGrid1">
    <w:name w:val="Table Grid1"/>
    <w:basedOn w:val="TableNormal"/>
    <w:next w:val="TableGrid"/>
    <w:uiPriority w:val="59"/>
    <w:rsid w:val="00C62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62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uiPriority w:val="99"/>
    <w:semiHidden/>
    <w:unhideWhenUsed/>
    <w:rsid w:val="00C6287D"/>
    <w:rPr>
      <w:color w:val="808080"/>
      <w:shd w:val="clear" w:color="auto" w:fill="E6E6E6"/>
    </w:rPr>
  </w:style>
  <w:style w:type="paragraph" w:customStyle="1" w:styleId="msonormal">
    <w:name w:val="msonormal"/>
    <w:basedOn w:val="Normal"/>
    <w:rsid w:val="00C6287D"/>
    <w:pPr>
      <w:spacing w:before="100" w:beforeAutospacing="1" w:after="100" w:afterAutospacing="1"/>
    </w:pPr>
    <w:rPr>
      <w:snapToGrid/>
      <w:sz w:val="24"/>
      <w:szCs w:val="24"/>
    </w:rPr>
  </w:style>
  <w:style w:type="paragraph" w:customStyle="1" w:styleId="font5">
    <w:name w:val="font5"/>
    <w:basedOn w:val="Normal"/>
    <w:rsid w:val="00C6287D"/>
    <w:pPr>
      <w:spacing w:before="100" w:beforeAutospacing="1" w:after="100" w:afterAutospacing="1"/>
    </w:pPr>
    <w:rPr>
      <w:b/>
      <w:bCs/>
      <w:snapToGrid/>
      <w:color w:val="000000"/>
    </w:rPr>
  </w:style>
  <w:style w:type="paragraph" w:customStyle="1" w:styleId="font6">
    <w:name w:val="font6"/>
    <w:basedOn w:val="Normal"/>
    <w:rsid w:val="00C6287D"/>
    <w:pPr>
      <w:spacing w:before="100" w:beforeAutospacing="1" w:after="100" w:afterAutospacing="1"/>
    </w:pPr>
    <w:rPr>
      <w:b/>
      <w:bCs/>
      <w:snapToGrid/>
      <w:color w:val="000000"/>
    </w:rPr>
  </w:style>
  <w:style w:type="paragraph" w:customStyle="1" w:styleId="xl66">
    <w:name w:val="xl66"/>
    <w:basedOn w:val="Normal"/>
    <w:rsid w:val="00C6287D"/>
    <w:pPr>
      <w:spacing w:before="100" w:beforeAutospacing="1" w:after="100" w:afterAutospacing="1"/>
      <w:textAlignment w:val="center"/>
    </w:pPr>
    <w:rPr>
      <w:snapToGrid/>
      <w:sz w:val="24"/>
      <w:szCs w:val="24"/>
    </w:rPr>
  </w:style>
  <w:style w:type="paragraph" w:customStyle="1" w:styleId="xl67">
    <w:name w:val="xl67"/>
    <w:basedOn w:val="Normal"/>
    <w:rsid w:val="00C6287D"/>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textAlignment w:val="center"/>
    </w:pPr>
    <w:rPr>
      <w:snapToGrid/>
      <w:sz w:val="24"/>
      <w:szCs w:val="24"/>
    </w:rPr>
  </w:style>
  <w:style w:type="paragraph" w:customStyle="1" w:styleId="xl68">
    <w:name w:val="xl68"/>
    <w:basedOn w:val="Normal"/>
    <w:rsid w:val="00C6287D"/>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snapToGrid/>
      <w:sz w:val="24"/>
      <w:szCs w:val="24"/>
    </w:rPr>
  </w:style>
  <w:style w:type="paragraph" w:customStyle="1" w:styleId="xl69">
    <w:name w:val="xl69"/>
    <w:basedOn w:val="Normal"/>
    <w:rsid w:val="00C6287D"/>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right"/>
      <w:textAlignment w:val="center"/>
    </w:pPr>
    <w:rPr>
      <w:snapToGrid/>
      <w:sz w:val="24"/>
      <w:szCs w:val="24"/>
    </w:rPr>
  </w:style>
  <w:style w:type="paragraph" w:customStyle="1" w:styleId="xl70">
    <w:name w:val="xl70"/>
    <w:basedOn w:val="Normal"/>
    <w:rsid w:val="00C6287D"/>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snapToGrid/>
      <w:sz w:val="24"/>
      <w:szCs w:val="24"/>
    </w:rPr>
  </w:style>
  <w:style w:type="paragraph" w:customStyle="1" w:styleId="xl71">
    <w:name w:val="xl71"/>
    <w:basedOn w:val="Normal"/>
    <w:rsid w:val="00C628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napToGrid/>
      <w:sz w:val="24"/>
      <w:szCs w:val="24"/>
    </w:rPr>
  </w:style>
  <w:style w:type="paragraph" w:customStyle="1" w:styleId="xl72">
    <w:name w:val="xl72"/>
    <w:basedOn w:val="Normal"/>
    <w:rsid w:val="00C628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3">
    <w:name w:val="xl73"/>
    <w:basedOn w:val="Normal"/>
    <w:rsid w:val="00C628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napToGrid/>
      <w:sz w:val="24"/>
      <w:szCs w:val="24"/>
    </w:rPr>
  </w:style>
  <w:style w:type="paragraph" w:customStyle="1" w:styleId="xl74">
    <w:name w:val="xl74"/>
    <w:basedOn w:val="Normal"/>
    <w:rsid w:val="00C628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5">
    <w:name w:val="xl75"/>
    <w:basedOn w:val="Normal"/>
    <w:rsid w:val="00C628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napToGrid/>
      <w:sz w:val="24"/>
      <w:szCs w:val="24"/>
    </w:rPr>
  </w:style>
  <w:style w:type="paragraph" w:customStyle="1" w:styleId="xl76">
    <w:name w:val="xl76"/>
    <w:basedOn w:val="Normal"/>
    <w:rsid w:val="00C628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7">
    <w:name w:val="xl77"/>
    <w:basedOn w:val="Normal"/>
    <w:rsid w:val="00C6287D"/>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textAlignment w:val="center"/>
    </w:pPr>
    <w:rPr>
      <w:i/>
      <w:iCs/>
      <w:snapToGrid/>
      <w:sz w:val="24"/>
      <w:szCs w:val="24"/>
    </w:rPr>
  </w:style>
  <w:style w:type="paragraph" w:customStyle="1" w:styleId="xl78">
    <w:name w:val="xl78"/>
    <w:basedOn w:val="Normal"/>
    <w:rsid w:val="00C628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napToGrid/>
      <w:sz w:val="24"/>
      <w:szCs w:val="24"/>
    </w:rPr>
  </w:style>
  <w:style w:type="paragraph" w:customStyle="1" w:styleId="xl79">
    <w:name w:val="xl79"/>
    <w:basedOn w:val="Normal"/>
    <w:rsid w:val="00C62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4"/>
      <w:szCs w:val="24"/>
    </w:rPr>
  </w:style>
  <w:style w:type="paragraph" w:customStyle="1" w:styleId="xl80">
    <w:name w:val="xl80"/>
    <w:basedOn w:val="Normal"/>
    <w:rsid w:val="00C62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napToGrid/>
      <w:sz w:val="24"/>
      <w:szCs w:val="24"/>
    </w:rPr>
  </w:style>
  <w:style w:type="paragraph" w:customStyle="1" w:styleId="xl81">
    <w:name w:val="xl81"/>
    <w:basedOn w:val="Normal"/>
    <w:rsid w:val="00C6287D"/>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textAlignment w:val="center"/>
    </w:pPr>
    <w:rPr>
      <w:snapToGrid/>
      <w:sz w:val="24"/>
      <w:szCs w:val="24"/>
    </w:rPr>
  </w:style>
  <w:style w:type="paragraph" w:customStyle="1" w:styleId="xl82">
    <w:name w:val="xl82"/>
    <w:basedOn w:val="Normal"/>
    <w:rsid w:val="00C628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napToGrid/>
      <w:sz w:val="24"/>
      <w:szCs w:val="24"/>
    </w:rPr>
  </w:style>
  <w:style w:type="paragraph" w:customStyle="1" w:styleId="xl83">
    <w:name w:val="xl83"/>
    <w:basedOn w:val="Normal"/>
    <w:rsid w:val="00C6287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snapToGrid/>
      <w:sz w:val="24"/>
      <w:szCs w:val="24"/>
    </w:rPr>
  </w:style>
  <w:style w:type="paragraph" w:customStyle="1" w:styleId="xl84">
    <w:name w:val="xl84"/>
    <w:basedOn w:val="Normal"/>
    <w:rsid w:val="00C6287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snapToGrid/>
      <w:sz w:val="24"/>
      <w:szCs w:val="24"/>
    </w:rPr>
  </w:style>
  <w:style w:type="paragraph" w:customStyle="1" w:styleId="xl85">
    <w:name w:val="xl85"/>
    <w:basedOn w:val="Normal"/>
    <w:rsid w:val="00C6287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snapToGrid/>
      <w:sz w:val="24"/>
      <w:szCs w:val="24"/>
    </w:rPr>
  </w:style>
  <w:style w:type="paragraph" w:customStyle="1" w:styleId="xl86">
    <w:name w:val="xl86"/>
    <w:basedOn w:val="Normal"/>
    <w:rsid w:val="00C6287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snapToGrid/>
      <w:sz w:val="24"/>
      <w:szCs w:val="24"/>
    </w:rPr>
  </w:style>
  <w:style w:type="paragraph" w:customStyle="1" w:styleId="xl87">
    <w:name w:val="xl87"/>
    <w:basedOn w:val="Normal"/>
    <w:rsid w:val="00C62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4"/>
      <w:szCs w:val="24"/>
    </w:rPr>
  </w:style>
  <w:style w:type="paragraph" w:customStyle="1" w:styleId="xl88">
    <w:name w:val="xl88"/>
    <w:basedOn w:val="Normal"/>
    <w:rsid w:val="00C628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napToGrid/>
      <w:sz w:val="24"/>
      <w:szCs w:val="24"/>
    </w:rPr>
  </w:style>
  <w:style w:type="paragraph" w:customStyle="1" w:styleId="xl89">
    <w:name w:val="xl89"/>
    <w:basedOn w:val="Normal"/>
    <w:rsid w:val="00C62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4"/>
      <w:szCs w:val="24"/>
    </w:rPr>
  </w:style>
  <w:style w:type="paragraph" w:customStyle="1" w:styleId="xl90">
    <w:name w:val="xl90"/>
    <w:basedOn w:val="Normal"/>
    <w:rsid w:val="00C6287D"/>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snapToGrid/>
      <w:sz w:val="24"/>
      <w:szCs w:val="24"/>
    </w:rPr>
  </w:style>
  <w:style w:type="paragraph" w:customStyle="1" w:styleId="xl91">
    <w:name w:val="xl91"/>
    <w:basedOn w:val="Normal"/>
    <w:rsid w:val="00C62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napToGrid/>
      <w:sz w:val="24"/>
      <w:szCs w:val="24"/>
    </w:rPr>
  </w:style>
  <w:style w:type="paragraph" w:customStyle="1" w:styleId="xl92">
    <w:name w:val="xl92"/>
    <w:basedOn w:val="Normal"/>
    <w:rsid w:val="00C62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napToGrid/>
      <w:sz w:val="24"/>
      <w:szCs w:val="24"/>
    </w:rPr>
  </w:style>
  <w:style w:type="paragraph" w:customStyle="1" w:styleId="xl93">
    <w:name w:val="xl93"/>
    <w:basedOn w:val="Normal"/>
    <w:rsid w:val="00C6287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snapToGrid/>
      <w:sz w:val="24"/>
      <w:szCs w:val="24"/>
    </w:rPr>
  </w:style>
  <w:style w:type="paragraph" w:customStyle="1" w:styleId="xl94">
    <w:name w:val="xl94"/>
    <w:basedOn w:val="Normal"/>
    <w:rsid w:val="00C628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napToGrid/>
      <w:sz w:val="24"/>
      <w:szCs w:val="24"/>
    </w:rPr>
  </w:style>
  <w:style w:type="paragraph" w:customStyle="1" w:styleId="xl95">
    <w:name w:val="xl95"/>
    <w:basedOn w:val="Normal"/>
    <w:rsid w:val="00C6287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pPr>
    <w:rPr>
      <w:snapToGrid/>
      <w:sz w:val="24"/>
      <w:szCs w:val="24"/>
    </w:rPr>
  </w:style>
  <w:style w:type="paragraph" w:customStyle="1" w:styleId="xl96">
    <w:name w:val="xl96"/>
    <w:basedOn w:val="Normal"/>
    <w:rsid w:val="00C6287D"/>
    <w:pPr>
      <w:pBdr>
        <w:left w:val="single" w:sz="4" w:space="0" w:color="auto"/>
        <w:bottom w:val="single" w:sz="4" w:space="0" w:color="auto"/>
        <w:right w:val="single" w:sz="4" w:space="0" w:color="auto"/>
      </w:pBdr>
      <w:shd w:val="clear" w:color="000000" w:fill="EAEAEA"/>
      <w:spacing w:before="100" w:beforeAutospacing="1" w:after="100" w:afterAutospacing="1"/>
      <w:textAlignment w:val="center"/>
    </w:pPr>
    <w:rPr>
      <w:snapToGrid/>
      <w:sz w:val="24"/>
      <w:szCs w:val="24"/>
    </w:rPr>
  </w:style>
  <w:style w:type="paragraph" w:customStyle="1" w:styleId="xl97">
    <w:name w:val="xl97"/>
    <w:basedOn w:val="Normal"/>
    <w:rsid w:val="00C6287D"/>
    <w:pPr>
      <w:pBdr>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snapToGrid/>
      <w:sz w:val="24"/>
      <w:szCs w:val="24"/>
    </w:rPr>
  </w:style>
  <w:style w:type="paragraph" w:customStyle="1" w:styleId="xl98">
    <w:name w:val="xl98"/>
    <w:basedOn w:val="Normal"/>
    <w:rsid w:val="00C6287D"/>
    <w:pPr>
      <w:pBdr>
        <w:left w:val="single" w:sz="4" w:space="0" w:color="auto"/>
        <w:bottom w:val="single" w:sz="4" w:space="0" w:color="auto"/>
        <w:right w:val="single" w:sz="4" w:space="0" w:color="auto"/>
      </w:pBdr>
      <w:shd w:val="clear" w:color="000000" w:fill="EAEAEA"/>
      <w:spacing w:before="100" w:beforeAutospacing="1" w:after="100" w:afterAutospacing="1"/>
      <w:jc w:val="right"/>
      <w:textAlignment w:val="center"/>
    </w:pPr>
    <w:rPr>
      <w:snapToGrid/>
      <w:sz w:val="24"/>
      <w:szCs w:val="24"/>
    </w:rPr>
  </w:style>
  <w:style w:type="paragraph" w:customStyle="1" w:styleId="xl99">
    <w:name w:val="xl99"/>
    <w:basedOn w:val="Normal"/>
    <w:rsid w:val="00C6287D"/>
    <w:pPr>
      <w:pBdr>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snapToGrid/>
      <w:sz w:val="24"/>
      <w:szCs w:val="24"/>
    </w:rPr>
  </w:style>
  <w:style w:type="paragraph" w:customStyle="1" w:styleId="xl100">
    <w:name w:val="xl100"/>
    <w:basedOn w:val="Normal"/>
    <w:rsid w:val="00C6287D"/>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b/>
      <w:bCs/>
      <w:snapToGrid/>
      <w:sz w:val="24"/>
      <w:szCs w:val="24"/>
    </w:rPr>
  </w:style>
  <w:style w:type="paragraph" w:customStyle="1" w:styleId="xl101">
    <w:name w:val="xl101"/>
    <w:basedOn w:val="Normal"/>
    <w:rsid w:val="00C628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napToGrid/>
      <w:sz w:val="24"/>
      <w:szCs w:val="24"/>
    </w:rPr>
  </w:style>
  <w:style w:type="paragraph" w:customStyle="1" w:styleId="xl102">
    <w:name w:val="xl102"/>
    <w:basedOn w:val="Normal"/>
    <w:rsid w:val="00C6287D"/>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b/>
      <w:bCs/>
      <w:snapToGrid/>
      <w:sz w:val="24"/>
      <w:szCs w:val="24"/>
    </w:rPr>
  </w:style>
  <w:style w:type="paragraph" w:customStyle="1" w:styleId="xl103">
    <w:name w:val="xl103"/>
    <w:basedOn w:val="Normal"/>
    <w:rsid w:val="00C628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napToGrid/>
      <w:sz w:val="24"/>
      <w:szCs w:val="24"/>
    </w:rPr>
  </w:style>
  <w:style w:type="paragraph" w:customStyle="1" w:styleId="xl104">
    <w:name w:val="xl104"/>
    <w:basedOn w:val="Normal"/>
    <w:rsid w:val="00C6287D"/>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b/>
      <w:bCs/>
      <w:snapToGrid/>
      <w:sz w:val="24"/>
      <w:szCs w:val="24"/>
    </w:rPr>
  </w:style>
  <w:style w:type="paragraph" w:customStyle="1" w:styleId="xl105">
    <w:name w:val="xl105"/>
    <w:basedOn w:val="Normal"/>
    <w:rsid w:val="00C6287D"/>
    <w:pPr>
      <w:pBdr>
        <w:top w:val="single" w:sz="4" w:space="0" w:color="auto"/>
        <w:left w:val="single" w:sz="4" w:space="0" w:color="auto"/>
        <w:right w:val="single" w:sz="4" w:space="0" w:color="auto"/>
      </w:pBdr>
      <w:spacing w:before="100" w:beforeAutospacing="1" w:after="100" w:afterAutospacing="1"/>
      <w:textAlignment w:val="center"/>
    </w:pPr>
    <w:rPr>
      <w:i/>
      <w:iCs/>
      <w:snapToGrid/>
      <w:sz w:val="24"/>
      <w:szCs w:val="24"/>
    </w:rPr>
  </w:style>
  <w:style w:type="paragraph" w:customStyle="1" w:styleId="xl106">
    <w:name w:val="xl106"/>
    <w:basedOn w:val="Normal"/>
    <w:rsid w:val="00C6287D"/>
    <w:pPr>
      <w:pBdr>
        <w:top w:val="single" w:sz="4" w:space="0" w:color="auto"/>
        <w:left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107">
    <w:name w:val="xl107"/>
    <w:basedOn w:val="Normal"/>
    <w:rsid w:val="00C6287D"/>
    <w:pPr>
      <w:pBdr>
        <w:top w:val="single" w:sz="4" w:space="0" w:color="auto"/>
        <w:left w:val="single" w:sz="4" w:space="0" w:color="auto"/>
        <w:right w:val="single" w:sz="4" w:space="0" w:color="auto"/>
      </w:pBdr>
      <w:spacing w:before="100" w:beforeAutospacing="1" w:after="100" w:afterAutospacing="1"/>
      <w:jc w:val="right"/>
      <w:textAlignment w:val="center"/>
    </w:pPr>
    <w:rPr>
      <w:snapToGrid/>
      <w:sz w:val="24"/>
      <w:szCs w:val="24"/>
    </w:rPr>
  </w:style>
  <w:style w:type="paragraph" w:customStyle="1" w:styleId="xl108">
    <w:name w:val="xl108"/>
    <w:basedOn w:val="Normal"/>
    <w:rsid w:val="00C6287D"/>
    <w:pPr>
      <w:pBdr>
        <w:top w:val="single" w:sz="4" w:space="0" w:color="auto"/>
        <w:left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109">
    <w:name w:val="xl109"/>
    <w:basedOn w:val="Normal"/>
    <w:rsid w:val="00C6287D"/>
    <w:pPr>
      <w:pBdr>
        <w:left w:val="single" w:sz="4" w:space="0" w:color="auto"/>
        <w:bottom w:val="single" w:sz="4" w:space="0" w:color="auto"/>
        <w:right w:val="single" w:sz="4" w:space="0" w:color="auto"/>
      </w:pBdr>
      <w:spacing w:before="100" w:beforeAutospacing="1" w:after="100" w:afterAutospacing="1"/>
      <w:textAlignment w:val="center"/>
    </w:pPr>
    <w:rPr>
      <w:snapToGrid/>
      <w:sz w:val="24"/>
      <w:szCs w:val="24"/>
    </w:rPr>
  </w:style>
  <w:style w:type="paragraph" w:customStyle="1" w:styleId="xl110">
    <w:name w:val="xl110"/>
    <w:basedOn w:val="Normal"/>
    <w:rsid w:val="00C6287D"/>
    <w:pPr>
      <w:pBdr>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111">
    <w:name w:val="xl111"/>
    <w:basedOn w:val="Normal"/>
    <w:rsid w:val="00C6287D"/>
    <w:pPr>
      <w:pBdr>
        <w:left w:val="single" w:sz="4" w:space="0" w:color="auto"/>
        <w:bottom w:val="single" w:sz="4" w:space="0" w:color="auto"/>
        <w:right w:val="single" w:sz="4" w:space="0" w:color="auto"/>
      </w:pBdr>
      <w:spacing w:before="100" w:beforeAutospacing="1" w:after="100" w:afterAutospacing="1"/>
      <w:jc w:val="right"/>
      <w:textAlignment w:val="center"/>
    </w:pPr>
    <w:rPr>
      <w:snapToGrid/>
      <w:sz w:val="24"/>
      <w:szCs w:val="24"/>
    </w:rPr>
  </w:style>
  <w:style w:type="paragraph" w:customStyle="1" w:styleId="xl112">
    <w:name w:val="xl112"/>
    <w:basedOn w:val="Normal"/>
    <w:rsid w:val="00C6287D"/>
    <w:pPr>
      <w:pBdr>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113">
    <w:name w:val="xl113"/>
    <w:basedOn w:val="Normal"/>
    <w:rsid w:val="00C6287D"/>
    <w:pPr>
      <w:pBdr>
        <w:top w:val="double" w:sz="6" w:space="0" w:color="auto"/>
        <w:left w:val="single" w:sz="4" w:space="0" w:color="auto"/>
        <w:bottom w:val="double" w:sz="6" w:space="0" w:color="auto"/>
        <w:right w:val="single" w:sz="4" w:space="0" w:color="auto"/>
      </w:pBdr>
      <w:shd w:val="clear" w:color="000000" w:fill="EAEAEA"/>
      <w:spacing w:before="100" w:beforeAutospacing="1" w:after="100" w:afterAutospacing="1"/>
      <w:textAlignment w:val="center"/>
    </w:pPr>
    <w:rPr>
      <w:b/>
      <w:bCs/>
      <w:snapToGrid/>
      <w:sz w:val="24"/>
      <w:szCs w:val="24"/>
    </w:rPr>
  </w:style>
  <w:style w:type="paragraph" w:customStyle="1" w:styleId="xl114">
    <w:name w:val="xl114"/>
    <w:basedOn w:val="Normal"/>
    <w:rsid w:val="00C6287D"/>
    <w:pPr>
      <w:pBdr>
        <w:top w:val="double" w:sz="6" w:space="0" w:color="auto"/>
        <w:left w:val="single" w:sz="4" w:space="0" w:color="auto"/>
        <w:bottom w:val="double" w:sz="6" w:space="0" w:color="auto"/>
        <w:right w:val="single" w:sz="4" w:space="0" w:color="auto"/>
      </w:pBdr>
      <w:shd w:val="clear" w:color="000000" w:fill="EAEAEA"/>
      <w:spacing w:before="100" w:beforeAutospacing="1" w:after="100" w:afterAutospacing="1"/>
      <w:jc w:val="center"/>
      <w:textAlignment w:val="center"/>
    </w:pPr>
    <w:rPr>
      <w:b/>
      <w:bCs/>
      <w:snapToGrid/>
      <w:sz w:val="24"/>
      <w:szCs w:val="24"/>
    </w:rPr>
  </w:style>
  <w:style w:type="paragraph" w:customStyle="1" w:styleId="xl115">
    <w:name w:val="xl115"/>
    <w:basedOn w:val="Normal"/>
    <w:rsid w:val="00C6287D"/>
    <w:pPr>
      <w:pBdr>
        <w:top w:val="double" w:sz="6" w:space="0" w:color="auto"/>
        <w:left w:val="single" w:sz="4" w:space="0" w:color="auto"/>
        <w:bottom w:val="double" w:sz="6" w:space="0" w:color="auto"/>
        <w:right w:val="single" w:sz="4" w:space="0" w:color="auto"/>
      </w:pBdr>
      <w:shd w:val="clear" w:color="000000" w:fill="EAEAEA"/>
      <w:spacing w:before="100" w:beforeAutospacing="1" w:after="100" w:afterAutospacing="1"/>
      <w:jc w:val="right"/>
      <w:textAlignment w:val="center"/>
    </w:pPr>
    <w:rPr>
      <w:b/>
      <w:bCs/>
      <w:snapToGrid/>
      <w:sz w:val="24"/>
      <w:szCs w:val="24"/>
    </w:rPr>
  </w:style>
  <w:style w:type="paragraph" w:customStyle="1" w:styleId="xl116">
    <w:name w:val="xl116"/>
    <w:basedOn w:val="Normal"/>
    <w:rsid w:val="00C6287D"/>
    <w:pPr>
      <w:pBdr>
        <w:top w:val="double" w:sz="6" w:space="0" w:color="auto"/>
        <w:left w:val="single" w:sz="4" w:space="0" w:color="auto"/>
        <w:bottom w:val="double" w:sz="6" w:space="0" w:color="auto"/>
        <w:right w:val="single" w:sz="4" w:space="0" w:color="auto"/>
      </w:pBdr>
      <w:shd w:val="clear" w:color="000000" w:fill="EAEAEA"/>
      <w:spacing w:before="100" w:beforeAutospacing="1" w:after="100" w:afterAutospacing="1"/>
      <w:jc w:val="center"/>
      <w:textAlignment w:val="center"/>
    </w:pPr>
    <w:rPr>
      <w:b/>
      <w:bCs/>
      <w:snapToGrid/>
      <w:sz w:val="24"/>
      <w:szCs w:val="24"/>
    </w:rPr>
  </w:style>
  <w:style w:type="paragraph" w:customStyle="1" w:styleId="xl117">
    <w:name w:val="xl117"/>
    <w:basedOn w:val="Normal"/>
    <w:rsid w:val="00C6287D"/>
    <w:pPr>
      <w:pBdr>
        <w:top w:val="single" w:sz="4" w:space="0" w:color="auto"/>
        <w:left w:val="single" w:sz="4" w:space="0" w:color="auto"/>
        <w:right w:val="single" w:sz="4" w:space="0" w:color="auto"/>
      </w:pBdr>
      <w:spacing w:before="100" w:beforeAutospacing="1" w:after="100" w:afterAutospacing="1"/>
      <w:textAlignment w:val="center"/>
    </w:pPr>
    <w:rPr>
      <w:snapToGrid/>
      <w:sz w:val="24"/>
      <w:szCs w:val="24"/>
    </w:rPr>
  </w:style>
  <w:style w:type="paragraph" w:customStyle="1" w:styleId="xl118">
    <w:name w:val="xl118"/>
    <w:basedOn w:val="Normal"/>
    <w:rsid w:val="00C6287D"/>
    <w:pPr>
      <w:pBdr>
        <w:left w:val="single" w:sz="4" w:space="0" w:color="auto"/>
        <w:bottom w:val="single" w:sz="4" w:space="0" w:color="auto"/>
        <w:right w:val="single" w:sz="4" w:space="0" w:color="auto"/>
      </w:pBdr>
      <w:spacing w:before="100" w:beforeAutospacing="1" w:after="100" w:afterAutospacing="1"/>
      <w:textAlignment w:val="center"/>
    </w:pPr>
    <w:rPr>
      <w:i/>
      <w:iCs/>
      <w:snapToGrid/>
      <w:sz w:val="24"/>
      <w:szCs w:val="24"/>
    </w:rPr>
  </w:style>
  <w:style w:type="paragraph" w:customStyle="1" w:styleId="xl119">
    <w:name w:val="xl119"/>
    <w:basedOn w:val="Normal"/>
    <w:rsid w:val="00C6287D"/>
    <w:pPr>
      <w:pBdr>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120">
    <w:name w:val="xl120"/>
    <w:basedOn w:val="Normal"/>
    <w:rsid w:val="00C6287D"/>
    <w:pPr>
      <w:pBdr>
        <w:top w:val="double" w:sz="6" w:space="0" w:color="auto"/>
        <w:left w:val="single" w:sz="4" w:space="0" w:color="auto"/>
        <w:bottom w:val="double" w:sz="6" w:space="0" w:color="auto"/>
        <w:right w:val="single" w:sz="4" w:space="0" w:color="auto"/>
      </w:pBdr>
      <w:shd w:val="clear" w:color="000000" w:fill="EAEAEA"/>
      <w:spacing w:before="100" w:beforeAutospacing="1" w:after="100" w:afterAutospacing="1"/>
      <w:textAlignment w:val="center"/>
    </w:pPr>
    <w:rPr>
      <w:b/>
      <w:bCs/>
      <w:snapToGrid/>
      <w:sz w:val="24"/>
      <w:szCs w:val="24"/>
    </w:rPr>
  </w:style>
  <w:style w:type="paragraph" w:customStyle="1" w:styleId="xl121">
    <w:name w:val="xl121"/>
    <w:basedOn w:val="Normal"/>
    <w:rsid w:val="00C6287D"/>
    <w:pPr>
      <w:pBdr>
        <w:top w:val="double" w:sz="6" w:space="0" w:color="auto"/>
        <w:left w:val="single" w:sz="4" w:space="0" w:color="auto"/>
        <w:bottom w:val="double" w:sz="6" w:space="0" w:color="auto"/>
        <w:right w:val="single" w:sz="4" w:space="0" w:color="auto"/>
      </w:pBdr>
      <w:shd w:val="clear" w:color="000000" w:fill="EAEAEA"/>
      <w:spacing w:before="100" w:beforeAutospacing="1" w:after="100" w:afterAutospacing="1"/>
      <w:jc w:val="right"/>
      <w:textAlignment w:val="center"/>
    </w:pPr>
    <w:rPr>
      <w:b/>
      <w:bCs/>
      <w:snapToGrid/>
      <w:sz w:val="24"/>
      <w:szCs w:val="24"/>
    </w:rPr>
  </w:style>
  <w:style w:type="paragraph" w:customStyle="1" w:styleId="xl122">
    <w:name w:val="xl122"/>
    <w:basedOn w:val="Normal"/>
    <w:rsid w:val="00C6287D"/>
    <w:pPr>
      <w:pBdr>
        <w:top w:val="single" w:sz="4" w:space="0" w:color="auto"/>
        <w:left w:val="single" w:sz="4" w:space="0" w:color="auto"/>
        <w:right w:val="single" w:sz="4" w:space="0" w:color="auto"/>
      </w:pBdr>
      <w:shd w:val="clear" w:color="000000" w:fill="EAEAEA"/>
      <w:spacing w:before="100" w:beforeAutospacing="1" w:after="100" w:afterAutospacing="1"/>
      <w:jc w:val="right"/>
      <w:textAlignment w:val="center"/>
    </w:pPr>
    <w:rPr>
      <w:snapToGrid/>
      <w:sz w:val="24"/>
      <w:szCs w:val="24"/>
    </w:rPr>
  </w:style>
  <w:style w:type="paragraph" w:customStyle="1" w:styleId="xl123">
    <w:name w:val="xl123"/>
    <w:basedOn w:val="Normal"/>
    <w:rsid w:val="00C6287D"/>
    <w:pPr>
      <w:pBdr>
        <w:left w:val="single" w:sz="4" w:space="0" w:color="auto"/>
        <w:bottom w:val="single" w:sz="4" w:space="0" w:color="auto"/>
        <w:right w:val="single" w:sz="4" w:space="0" w:color="auto"/>
      </w:pBdr>
      <w:spacing w:before="100" w:beforeAutospacing="1" w:after="100" w:afterAutospacing="1"/>
      <w:textAlignment w:val="center"/>
    </w:pPr>
    <w:rPr>
      <w:snapToGrid/>
      <w:sz w:val="24"/>
      <w:szCs w:val="24"/>
    </w:rPr>
  </w:style>
  <w:style w:type="paragraph" w:customStyle="1" w:styleId="xl124">
    <w:name w:val="xl124"/>
    <w:basedOn w:val="Normal"/>
    <w:rsid w:val="00C6287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4"/>
      <w:szCs w:val="24"/>
    </w:rPr>
  </w:style>
  <w:style w:type="paragraph" w:customStyle="1" w:styleId="xl125">
    <w:name w:val="xl125"/>
    <w:basedOn w:val="Normal"/>
    <w:rsid w:val="00C6287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napToGrid/>
      <w:sz w:val="24"/>
      <w:szCs w:val="24"/>
    </w:rPr>
  </w:style>
  <w:style w:type="paragraph" w:customStyle="1" w:styleId="xl126">
    <w:name w:val="xl126"/>
    <w:basedOn w:val="Normal"/>
    <w:rsid w:val="00C6287D"/>
    <w:pPr>
      <w:pBdr>
        <w:top w:val="double" w:sz="6" w:space="0" w:color="auto"/>
        <w:left w:val="single" w:sz="4" w:space="0" w:color="auto"/>
        <w:bottom w:val="double" w:sz="6" w:space="0" w:color="auto"/>
        <w:right w:val="single" w:sz="4" w:space="0" w:color="auto"/>
      </w:pBdr>
      <w:shd w:val="clear" w:color="000000" w:fill="EAEAEA"/>
      <w:spacing w:before="100" w:beforeAutospacing="1" w:after="100" w:afterAutospacing="1"/>
      <w:textAlignment w:val="center"/>
    </w:pPr>
    <w:rPr>
      <w:b/>
      <w:bCs/>
      <w:snapToGrid/>
      <w:sz w:val="24"/>
      <w:szCs w:val="24"/>
    </w:rPr>
  </w:style>
  <w:style w:type="paragraph" w:customStyle="1" w:styleId="xl127">
    <w:name w:val="xl127"/>
    <w:basedOn w:val="Normal"/>
    <w:rsid w:val="00C6287D"/>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right"/>
      <w:textAlignment w:val="center"/>
    </w:pPr>
    <w:rPr>
      <w:b/>
      <w:bCs/>
      <w:snapToGrid/>
      <w:sz w:val="24"/>
      <w:szCs w:val="24"/>
    </w:rPr>
  </w:style>
  <w:style w:type="paragraph" w:customStyle="1" w:styleId="xl128">
    <w:name w:val="xl128"/>
    <w:basedOn w:val="Normal"/>
    <w:rsid w:val="00C6287D"/>
    <w:pPr>
      <w:pBdr>
        <w:top w:val="single" w:sz="4" w:space="0" w:color="auto"/>
        <w:left w:val="single" w:sz="4" w:space="0" w:color="auto"/>
        <w:right w:val="single" w:sz="4" w:space="0" w:color="auto"/>
      </w:pBdr>
      <w:spacing w:before="100" w:beforeAutospacing="1" w:after="100" w:afterAutospacing="1"/>
      <w:textAlignment w:val="center"/>
    </w:pPr>
    <w:rPr>
      <w:snapToGrid/>
      <w:sz w:val="24"/>
      <w:szCs w:val="24"/>
    </w:rPr>
  </w:style>
  <w:style w:type="paragraph" w:customStyle="1" w:styleId="xl129">
    <w:name w:val="xl129"/>
    <w:basedOn w:val="Normal"/>
    <w:rsid w:val="00C6287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napToGrid/>
      <w:sz w:val="24"/>
      <w:szCs w:val="24"/>
    </w:rPr>
  </w:style>
  <w:style w:type="paragraph" w:customStyle="1" w:styleId="xl130">
    <w:name w:val="xl130"/>
    <w:basedOn w:val="Normal"/>
    <w:rsid w:val="00C6287D"/>
    <w:pPr>
      <w:pBdr>
        <w:top w:val="double" w:sz="6" w:space="0" w:color="auto"/>
        <w:left w:val="single" w:sz="4" w:space="0" w:color="auto"/>
        <w:bottom w:val="double" w:sz="6" w:space="0" w:color="auto"/>
        <w:right w:val="single" w:sz="4" w:space="0" w:color="auto"/>
      </w:pBdr>
      <w:shd w:val="clear" w:color="000000" w:fill="E7E6E6"/>
      <w:spacing w:before="100" w:beforeAutospacing="1" w:after="100" w:afterAutospacing="1"/>
      <w:textAlignment w:val="center"/>
    </w:pPr>
    <w:rPr>
      <w:b/>
      <w:bCs/>
      <w:snapToGrid/>
      <w:sz w:val="24"/>
      <w:szCs w:val="24"/>
    </w:rPr>
  </w:style>
  <w:style w:type="paragraph" w:customStyle="1" w:styleId="xl131">
    <w:name w:val="xl131"/>
    <w:basedOn w:val="Normal"/>
    <w:rsid w:val="00C6287D"/>
    <w:pPr>
      <w:pBdr>
        <w:top w:val="double" w:sz="6" w:space="0" w:color="auto"/>
        <w:left w:val="single" w:sz="4" w:space="0" w:color="auto"/>
        <w:bottom w:val="double" w:sz="6" w:space="0" w:color="auto"/>
        <w:right w:val="single" w:sz="4" w:space="0" w:color="auto"/>
      </w:pBdr>
      <w:shd w:val="clear" w:color="000000" w:fill="E7E6E6"/>
      <w:spacing w:before="100" w:beforeAutospacing="1" w:after="100" w:afterAutospacing="1"/>
      <w:jc w:val="center"/>
      <w:textAlignment w:val="center"/>
    </w:pPr>
    <w:rPr>
      <w:b/>
      <w:bCs/>
      <w:snapToGrid/>
      <w:sz w:val="24"/>
      <w:szCs w:val="24"/>
    </w:rPr>
  </w:style>
  <w:style w:type="paragraph" w:customStyle="1" w:styleId="xl132">
    <w:name w:val="xl132"/>
    <w:basedOn w:val="Normal"/>
    <w:rsid w:val="00C6287D"/>
    <w:pPr>
      <w:pBdr>
        <w:top w:val="double" w:sz="6" w:space="0" w:color="auto"/>
        <w:left w:val="single" w:sz="4" w:space="0" w:color="auto"/>
        <w:bottom w:val="double" w:sz="6" w:space="0" w:color="auto"/>
        <w:right w:val="single" w:sz="4" w:space="0" w:color="auto"/>
      </w:pBdr>
      <w:shd w:val="clear" w:color="000000" w:fill="E7E6E6"/>
      <w:spacing w:before="100" w:beforeAutospacing="1" w:after="100" w:afterAutospacing="1"/>
      <w:jc w:val="right"/>
      <w:textAlignment w:val="center"/>
    </w:pPr>
    <w:rPr>
      <w:b/>
      <w:bCs/>
      <w:snapToGrid/>
      <w:sz w:val="24"/>
      <w:szCs w:val="24"/>
    </w:rPr>
  </w:style>
  <w:style w:type="paragraph" w:customStyle="1" w:styleId="xl133">
    <w:name w:val="xl133"/>
    <w:basedOn w:val="Normal"/>
    <w:rsid w:val="00C6287D"/>
    <w:pPr>
      <w:pBdr>
        <w:top w:val="double" w:sz="6" w:space="0" w:color="auto"/>
        <w:left w:val="single" w:sz="4" w:space="0" w:color="auto"/>
        <w:bottom w:val="double" w:sz="6" w:space="0" w:color="auto"/>
        <w:right w:val="single" w:sz="4" w:space="0" w:color="auto"/>
      </w:pBdr>
      <w:shd w:val="clear" w:color="000000" w:fill="E7E6E6"/>
      <w:spacing w:before="100" w:beforeAutospacing="1" w:after="100" w:afterAutospacing="1"/>
      <w:jc w:val="center"/>
      <w:textAlignment w:val="center"/>
    </w:pPr>
    <w:rPr>
      <w:b/>
      <w:bCs/>
      <w:snapToGrid/>
      <w:sz w:val="24"/>
      <w:szCs w:val="24"/>
    </w:rPr>
  </w:style>
  <w:style w:type="paragraph" w:customStyle="1" w:styleId="xl134">
    <w:name w:val="xl134"/>
    <w:basedOn w:val="Normal"/>
    <w:rsid w:val="00C6287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4"/>
      <w:szCs w:val="24"/>
    </w:rPr>
  </w:style>
  <w:style w:type="paragraph" w:customStyle="1" w:styleId="xl135">
    <w:name w:val="xl135"/>
    <w:basedOn w:val="Normal"/>
    <w:rsid w:val="00C6287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napToGrid/>
      <w:sz w:val="24"/>
      <w:szCs w:val="24"/>
    </w:rPr>
  </w:style>
  <w:style w:type="paragraph" w:customStyle="1" w:styleId="xl136">
    <w:name w:val="xl136"/>
    <w:basedOn w:val="Normal"/>
    <w:rsid w:val="00C6287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napToGrid/>
      <w:sz w:val="24"/>
      <w:szCs w:val="24"/>
    </w:rPr>
  </w:style>
  <w:style w:type="paragraph" w:customStyle="1" w:styleId="xl137">
    <w:name w:val="xl137"/>
    <w:basedOn w:val="Normal"/>
    <w:rsid w:val="00C6287D"/>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b/>
      <w:bCs/>
      <w:snapToGrid/>
      <w:sz w:val="24"/>
      <w:szCs w:val="24"/>
    </w:rPr>
  </w:style>
  <w:style w:type="paragraph" w:customStyle="1" w:styleId="xl138">
    <w:name w:val="xl138"/>
    <w:basedOn w:val="Normal"/>
    <w:rsid w:val="00C6287D"/>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b/>
      <w:bCs/>
      <w:snapToGrid/>
      <w:sz w:val="24"/>
      <w:szCs w:val="24"/>
    </w:rPr>
  </w:style>
  <w:style w:type="paragraph" w:customStyle="1" w:styleId="xl139">
    <w:name w:val="xl139"/>
    <w:basedOn w:val="Normal"/>
    <w:rsid w:val="00C6287D"/>
    <w:pPr>
      <w:pBdr>
        <w:top w:val="single" w:sz="4" w:space="0" w:color="auto"/>
        <w:left w:val="single" w:sz="4" w:space="0" w:color="auto"/>
        <w:right w:val="single" w:sz="4" w:space="0" w:color="auto"/>
      </w:pBdr>
      <w:shd w:val="clear" w:color="000000" w:fill="EAEAEA"/>
      <w:spacing w:before="100" w:beforeAutospacing="1" w:after="100" w:afterAutospacing="1"/>
      <w:textAlignment w:val="center"/>
    </w:pPr>
    <w:rPr>
      <w:snapToGrid/>
      <w:sz w:val="24"/>
      <w:szCs w:val="24"/>
    </w:rPr>
  </w:style>
  <w:style w:type="paragraph" w:customStyle="1" w:styleId="xl140">
    <w:name w:val="xl140"/>
    <w:basedOn w:val="Normal"/>
    <w:rsid w:val="00C6287D"/>
    <w:pPr>
      <w:pBdr>
        <w:top w:val="single" w:sz="4" w:space="0" w:color="auto"/>
        <w:left w:val="single" w:sz="4" w:space="0" w:color="auto"/>
        <w:right w:val="single" w:sz="4" w:space="0" w:color="auto"/>
      </w:pBdr>
      <w:shd w:val="clear" w:color="000000" w:fill="EAEAEA"/>
      <w:spacing w:before="100" w:beforeAutospacing="1" w:after="100" w:afterAutospacing="1"/>
      <w:jc w:val="center"/>
      <w:textAlignment w:val="center"/>
    </w:pPr>
    <w:rPr>
      <w:snapToGrid/>
      <w:sz w:val="24"/>
      <w:szCs w:val="24"/>
    </w:rPr>
  </w:style>
  <w:style w:type="paragraph" w:customStyle="1" w:styleId="xl141">
    <w:name w:val="xl141"/>
    <w:basedOn w:val="Normal"/>
    <w:rsid w:val="00C6287D"/>
    <w:pPr>
      <w:pBdr>
        <w:top w:val="single" w:sz="4" w:space="0" w:color="auto"/>
        <w:left w:val="single" w:sz="4" w:space="0" w:color="auto"/>
        <w:right w:val="single" w:sz="4" w:space="0" w:color="auto"/>
      </w:pBdr>
      <w:shd w:val="clear" w:color="000000" w:fill="EAEAEA"/>
      <w:spacing w:before="100" w:beforeAutospacing="1" w:after="100" w:afterAutospacing="1"/>
      <w:jc w:val="center"/>
      <w:textAlignment w:val="center"/>
    </w:pPr>
    <w:rPr>
      <w:snapToGrid/>
      <w:sz w:val="24"/>
      <w:szCs w:val="24"/>
    </w:rPr>
  </w:style>
  <w:style w:type="paragraph" w:customStyle="1" w:styleId="xl142">
    <w:name w:val="xl142"/>
    <w:basedOn w:val="Normal"/>
    <w:rsid w:val="00C6287D"/>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b/>
      <w:bCs/>
      <w:snapToGrid/>
      <w:sz w:val="24"/>
      <w:szCs w:val="24"/>
    </w:rPr>
  </w:style>
  <w:style w:type="paragraph" w:customStyle="1" w:styleId="xl143">
    <w:name w:val="xl143"/>
    <w:basedOn w:val="Normal"/>
    <w:rsid w:val="00C6287D"/>
    <w:pPr>
      <w:pBdr>
        <w:top w:val="double" w:sz="6" w:space="0" w:color="auto"/>
        <w:left w:val="single" w:sz="4" w:space="0" w:color="auto"/>
        <w:bottom w:val="double" w:sz="6" w:space="0" w:color="auto"/>
        <w:right w:val="single" w:sz="4" w:space="0" w:color="auto"/>
      </w:pBdr>
      <w:spacing w:before="100" w:beforeAutospacing="1" w:after="100" w:afterAutospacing="1"/>
      <w:jc w:val="right"/>
      <w:textAlignment w:val="center"/>
    </w:pPr>
    <w:rPr>
      <w:b/>
      <w:bCs/>
      <w:snapToGrid/>
      <w:sz w:val="24"/>
      <w:szCs w:val="24"/>
    </w:rPr>
  </w:style>
  <w:style w:type="paragraph" w:customStyle="1" w:styleId="xl144">
    <w:name w:val="xl144"/>
    <w:basedOn w:val="Normal"/>
    <w:rsid w:val="00C6287D"/>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napToGrid/>
      <w:sz w:val="24"/>
      <w:szCs w:val="24"/>
    </w:rPr>
  </w:style>
  <w:style w:type="paragraph" w:customStyle="1" w:styleId="xl145">
    <w:name w:val="xl145"/>
    <w:basedOn w:val="Normal"/>
    <w:rsid w:val="00C6287D"/>
    <w:pPr>
      <w:pBdr>
        <w:top w:val="single" w:sz="4" w:space="0" w:color="auto"/>
        <w:left w:val="single" w:sz="4" w:space="0" w:color="auto"/>
        <w:right w:val="single" w:sz="4" w:space="0" w:color="auto"/>
      </w:pBdr>
      <w:spacing w:before="100" w:beforeAutospacing="1" w:after="100" w:afterAutospacing="1"/>
      <w:textAlignment w:val="center"/>
    </w:pPr>
    <w:rPr>
      <w:snapToGrid/>
      <w:sz w:val="24"/>
      <w:szCs w:val="24"/>
    </w:rPr>
  </w:style>
  <w:style w:type="paragraph" w:customStyle="1" w:styleId="xl146">
    <w:name w:val="xl146"/>
    <w:basedOn w:val="Normal"/>
    <w:rsid w:val="00C6287D"/>
    <w:pPr>
      <w:pBdr>
        <w:top w:val="double" w:sz="6" w:space="0" w:color="auto"/>
        <w:left w:val="single" w:sz="4" w:space="0" w:color="auto"/>
        <w:bottom w:val="double" w:sz="6" w:space="0" w:color="auto"/>
        <w:right w:val="single" w:sz="4" w:space="0" w:color="auto"/>
      </w:pBdr>
      <w:shd w:val="clear" w:color="000000" w:fill="E7E6E6"/>
      <w:spacing w:before="100" w:beforeAutospacing="1" w:after="100" w:afterAutospacing="1"/>
      <w:textAlignment w:val="center"/>
    </w:pPr>
    <w:rPr>
      <w:b/>
      <w:bCs/>
      <w:snapToGrid/>
      <w:sz w:val="24"/>
      <w:szCs w:val="24"/>
    </w:rPr>
  </w:style>
  <w:style w:type="paragraph" w:customStyle="1" w:styleId="xl147">
    <w:name w:val="xl147"/>
    <w:basedOn w:val="Normal"/>
    <w:rsid w:val="00C6287D"/>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b/>
      <w:bCs/>
      <w:snapToGrid/>
      <w:sz w:val="24"/>
      <w:szCs w:val="24"/>
    </w:rPr>
  </w:style>
  <w:style w:type="paragraph" w:customStyle="1" w:styleId="xl148">
    <w:name w:val="xl148"/>
    <w:basedOn w:val="Normal"/>
    <w:rsid w:val="00C6287D"/>
    <w:pPr>
      <w:pBdr>
        <w:left w:val="single" w:sz="4" w:space="0" w:color="auto"/>
        <w:bottom w:val="single" w:sz="4" w:space="0" w:color="auto"/>
        <w:right w:val="single" w:sz="4" w:space="0" w:color="auto"/>
      </w:pBdr>
      <w:shd w:val="clear" w:color="000000" w:fill="EAEAEA"/>
      <w:spacing w:before="100" w:beforeAutospacing="1" w:after="100" w:afterAutospacing="1"/>
      <w:textAlignment w:val="center"/>
    </w:pPr>
    <w:rPr>
      <w:snapToGrid/>
      <w:sz w:val="24"/>
      <w:szCs w:val="24"/>
    </w:rPr>
  </w:style>
  <w:style w:type="paragraph" w:customStyle="1" w:styleId="xl149">
    <w:name w:val="xl149"/>
    <w:basedOn w:val="Normal"/>
    <w:rsid w:val="00C628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napToGrid/>
      <w:sz w:val="24"/>
      <w:szCs w:val="24"/>
    </w:rPr>
  </w:style>
  <w:style w:type="paragraph" w:customStyle="1" w:styleId="xl150">
    <w:name w:val="xl150"/>
    <w:basedOn w:val="Normal"/>
    <w:rsid w:val="00C6287D"/>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textAlignment w:val="center"/>
    </w:pPr>
    <w:rPr>
      <w:snapToGrid/>
      <w:sz w:val="24"/>
      <w:szCs w:val="24"/>
    </w:rPr>
  </w:style>
  <w:style w:type="paragraph" w:customStyle="1" w:styleId="xl151">
    <w:name w:val="xl151"/>
    <w:basedOn w:val="Normal"/>
    <w:rsid w:val="00C6287D"/>
    <w:pPr>
      <w:pBdr>
        <w:top w:val="single" w:sz="4" w:space="0" w:color="auto"/>
        <w:left w:val="single" w:sz="4" w:space="0" w:color="auto"/>
        <w:right w:val="single" w:sz="4" w:space="0" w:color="auto"/>
      </w:pBdr>
      <w:spacing w:before="100" w:beforeAutospacing="1" w:after="100" w:afterAutospacing="1"/>
      <w:textAlignment w:val="center"/>
    </w:pPr>
    <w:rPr>
      <w:snapToGrid/>
      <w:sz w:val="24"/>
      <w:szCs w:val="24"/>
    </w:rPr>
  </w:style>
  <w:style w:type="paragraph" w:customStyle="1" w:styleId="xl152">
    <w:name w:val="xl152"/>
    <w:basedOn w:val="Normal"/>
    <w:rsid w:val="00C6287D"/>
    <w:pPr>
      <w:pBdr>
        <w:top w:val="double" w:sz="6" w:space="0" w:color="auto"/>
        <w:left w:val="single" w:sz="4" w:space="0" w:color="auto"/>
        <w:bottom w:val="double" w:sz="6" w:space="0" w:color="auto"/>
        <w:right w:val="single" w:sz="4" w:space="0" w:color="auto"/>
      </w:pBdr>
      <w:shd w:val="clear" w:color="000000" w:fill="EAEAEA"/>
      <w:spacing w:before="100" w:beforeAutospacing="1" w:after="100" w:afterAutospacing="1"/>
      <w:textAlignment w:val="center"/>
    </w:pPr>
    <w:rPr>
      <w:b/>
      <w:bCs/>
      <w:snapToGrid/>
      <w:sz w:val="24"/>
      <w:szCs w:val="24"/>
    </w:rPr>
  </w:style>
  <w:style w:type="paragraph" w:customStyle="1" w:styleId="xl153">
    <w:name w:val="xl153"/>
    <w:basedOn w:val="Normal"/>
    <w:rsid w:val="00C6287D"/>
    <w:pPr>
      <w:pBdr>
        <w:left w:val="single" w:sz="4" w:space="0" w:color="auto"/>
        <w:bottom w:val="single" w:sz="4" w:space="0" w:color="auto"/>
        <w:right w:val="single" w:sz="4" w:space="0" w:color="auto"/>
      </w:pBdr>
      <w:spacing w:before="100" w:beforeAutospacing="1" w:after="100" w:afterAutospacing="1"/>
      <w:textAlignment w:val="center"/>
    </w:pPr>
    <w:rPr>
      <w:snapToGrid/>
      <w:sz w:val="24"/>
      <w:szCs w:val="24"/>
    </w:rPr>
  </w:style>
  <w:style w:type="paragraph" w:customStyle="1" w:styleId="xl154">
    <w:name w:val="xl154"/>
    <w:basedOn w:val="Normal"/>
    <w:rsid w:val="00C6287D"/>
    <w:pPr>
      <w:pBdr>
        <w:top w:val="double" w:sz="6" w:space="0" w:color="auto"/>
        <w:left w:val="single" w:sz="4" w:space="0" w:color="auto"/>
        <w:bottom w:val="double" w:sz="6" w:space="0" w:color="auto"/>
        <w:right w:val="single" w:sz="4" w:space="0" w:color="auto"/>
      </w:pBdr>
      <w:shd w:val="clear" w:color="000000" w:fill="EAEAEA"/>
      <w:spacing w:before="100" w:beforeAutospacing="1" w:after="100" w:afterAutospacing="1"/>
      <w:textAlignment w:val="center"/>
    </w:pPr>
    <w:rPr>
      <w:b/>
      <w:bCs/>
      <w:snapToGrid/>
      <w:sz w:val="24"/>
      <w:szCs w:val="24"/>
    </w:rPr>
  </w:style>
  <w:style w:type="paragraph" w:customStyle="1" w:styleId="xl155">
    <w:name w:val="xl155"/>
    <w:basedOn w:val="Normal"/>
    <w:rsid w:val="00C6287D"/>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b/>
      <w:bCs/>
      <w:snapToGrid/>
      <w:sz w:val="24"/>
      <w:szCs w:val="24"/>
    </w:rPr>
  </w:style>
  <w:style w:type="paragraph" w:customStyle="1" w:styleId="xl156">
    <w:name w:val="xl156"/>
    <w:basedOn w:val="Normal"/>
    <w:rsid w:val="00C6287D"/>
    <w:pPr>
      <w:pBdr>
        <w:top w:val="single" w:sz="4" w:space="0" w:color="auto"/>
        <w:left w:val="single" w:sz="4" w:space="0" w:color="auto"/>
        <w:right w:val="single" w:sz="4" w:space="0" w:color="auto"/>
      </w:pBdr>
      <w:shd w:val="clear" w:color="000000" w:fill="EAEAEA"/>
      <w:spacing w:before="100" w:beforeAutospacing="1" w:after="100" w:afterAutospacing="1"/>
      <w:textAlignment w:val="center"/>
    </w:pPr>
    <w:rPr>
      <w:snapToGrid/>
      <w:sz w:val="24"/>
      <w:szCs w:val="24"/>
    </w:rPr>
  </w:style>
  <w:style w:type="paragraph" w:customStyle="1" w:styleId="xl157">
    <w:name w:val="xl157"/>
    <w:basedOn w:val="Normal"/>
    <w:rsid w:val="00C6287D"/>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b/>
      <w:bCs/>
      <w:snapToGrid/>
      <w:sz w:val="24"/>
      <w:szCs w:val="24"/>
    </w:rPr>
  </w:style>
  <w:style w:type="paragraph" w:customStyle="1" w:styleId="xl158">
    <w:name w:val="xl158"/>
    <w:basedOn w:val="Normal"/>
    <w:rsid w:val="00C62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napToGrid/>
      <w:sz w:val="24"/>
      <w:szCs w:val="24"/>
    </w:rPr>
  </w:style>
  <w:style w:type="paragraph" w:customStyle="1" w:styleId="xl159">
    <w:name w:val="xl159"/>
    <w:basedOn w:val="Normal"/>
    <w:rsid w:val="00C6287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napToGrid/>
      <w:sz w:val="24"/>
      <w:szCs w:val="24"/>
    </w:rPr>
  </w:style>
  <w:style w:type="paragraph" w:customStyle="1" w:styleId="xl160">
    <w:name w:val="xl160"/>
    <w:basedOn w:val="Normal"/>
    <w:rsid w:val="00C62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napToGrid/>
      <w:color w:val="FF0000"/>
      <w:sz w:val="24"/>
      <w:szCs w:val="24"/>
    </w:rPr>
  </w:style>
  <w:style w:type="paragraph" w:customStyle="1" w:styleId="xl161">
    <w:name w:val="xl161"/>
    <w:basedOn w:val="Normal"/>
    <w:rsid w:val="00C6287D"/>
    <w:pPr>
      <w:pBdr>
        <w:top w:val="double" w:sz="6" w:space="0" w:color="auto"/>
        <w:left w:val="single" w:sz="4" w:space="0" w:color="auto"/>
        <w:bottom w:val="double" w:sz="6" w:space="0" w:color="auto"/>
        <w:right w:val="single" w:sz="4" w:space="0" w:color="auto"/>
      </w:pBdr>
      <w:shd w:val="clear" w:color="000000" w:fill="E7E6E6"/>
      <w:spacing w:before="100" w:beforeAutospacing="1" w:after="100" w:afterAutospacing="1"/>
      <w:textAlignment w:val="center"/>
    </w:pPr>
    <w:rPr>
      <w:b/>
      <w:bCs/>
      <w:snapToGrid/>
      <w:sz w:val="24"/>
      <w:szCs w:val="24"/>
    </w:rPr>
  </w:style>
  <w:style w:type="paragraph" w:customStyle="1" w:styleId="xl162">
    <w:name w:val="xl162"/>
    <w:basedOn w:val="Normal"/>
    <w:rsid w:val="00C6287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snapToGrid/>
      <w:sz w:val="24"/>
      <w:szCs w:val="24"/>
    </w:rPr>
  </w:style>
  <w:style w:type="paragraph" w:customStyle="1" w:styleId="xl163">
    <w:name w:val="xl163"/>
    <w:basedOn w:val="Normal"/>
    <w:rsid w:val="00C6287D"/>
    <w:pPr>
      <w:pBdr>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snapToGrid/>
      <w:sz w:val="24"/>
      <w:szCs w:val="24"/>
    </w:rPr>
  </w:style>
  <w:style w:type="paragraph" w:customStyle="1" w:styleId="xl164">
    <w:name w:val="xl164"/>
    <w:basedOn w:val="Normal"/>
    <w:rsid w:val="00C628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165">
    <w:name w:val="xl165"/>
    <w:basedOn w:val="Normal"/>
    <w:rsid w:val="00C6287D"/>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snapToGrid/>
      <w:sz w:val="24"/>
      <w:szCs w:val="24"/>
    </w:rPr>
  </w:style>
  <w:style w:type="paragraph" w:customStyle="1" w:styleId="xl166">
    <w:name w:val="xl166"/>
    <w:basedOn w:val="Normal"/>
    <w:rsid w:val="00C6287D"/>
    <w:pPr>
      <w:pBdr>
        <w:top w:val="single" w:sz="4" w:space="0" w:color="auto"/>
        <w:left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167">
    <w:name w:val="xl167"/>
    <w:basedOn w:val="Normal"/>
    <w:rsid w:val="00C6287D"/>
    <w:pPr>
      <w:pBdr>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168">
    <w:name w:val="xl168"/>
    <w:basedOn w:val="Normal"/>
    <w:rsid w:val="00C6287D"/>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snapToGrid/>
      <w:sz w:val="24"/>
      <w:szCs w:val="24"/>
    </w:rPr>
  </w:style>
  <w:style w:type="paragraph" w:customStyle="1" w:styleId="xl169">
    <w:name w:val="xl169"/>
    <w:basedOn w:val="Normal"/>
    <w:rsid w:val="00C628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170">
    <w:name w:val="xl170"/>
    <w:basedOn w:val="Normal"/>
    <w:rsid w:val="00C6287D"/>
    <w:pPr>
      <w:pBdr>
        <w:top w:val="single" w:sz="4" w:space="0" w:color="auto"/>
        <w:left w:val="single" w:sz="4" w:space="0" w:color="auto"/>
        <w:right w:val="single" w:sz="4" w:space="0" w:color="auto"/>
      </w:pBdr>
      <w:shd w:val="clear" w:color="000000" w:fill="E7E6E6"/>
      <w:spacing w:before="100" w:beforeAutospacing="1" w:after="100" w:afterAutospacing="1"/>
      <w:jc w:val="center"/>
      <w:textAlignment w:val="center"/>
    </w:pPr>
    <w:rPr>
      <w:snapToGrid/>
      <w:sz w:val="24"/>
      <w:szCs w:val="24"/>
    </w:rPr>
  </w:style>
  <w:style w:type="paragraph" w:customStyle="1" w:styleId="xl171">
    <w:name w:val="xl171"/>
    <w:basedOn w:val="Normal"/>
    <w:rsid w:val="00C6287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b/>
      <w:bCs/>
      <w:snapToGrid/>
      <w:sz w:val="24"/>
      <w:szCs w:val="24"/>
    </w:rPr>
  </w:style>
  <w:style w:type="paragraph" w:customStyle="1" w:styleId="xl172">
    <w:name w:val="xl172"/>
    <w:basedOn w:val="Normal"/>
    <w:rsid w:val="00C6287D"/>
    <w:pPr>
      <w:spacing w:before="100" w:beforeAutospacing="1" w:after="100" w:afterAutospacing="1"/>
    </w:pPr>
    <w:rPr>
      <w:snapToGrid/>
      <w:sz w:val="24"/>
      <w:szCs w:val="24"/>
    </w:rPr>
  </w:style>
  <w:style w:type="paragraph" w:customStyle="1" w:styleId="xl173">
    <w:name w:val="xl173"/>
    <w:basedOn w:val="Normal"/>
    <w:rsid w:val="00C6287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snapToGrid/>
      <w:sz w:val="24"/>
      <w:szCs w:val="24"/>
    </w:rPr>
  </w:style>
  <w:style w:type="paragraph" w:customStyle="1" w:styleId="xl174">
    <w:name w:val="xl174"/>
    <w:basedOn w:val="Normal"/>
    <w:rsid w:val="00C6287D"/>
    <w:pPr>
      <w:spacing w:before="100" w:beforeAutospacing="1" w:after="100" w:afterAutospacing="1"/>
    </w:pPr>
    <w:rPr>
      <w:snapToGrid/>
      <w:sz w:val="24"/>
      <w:szCs w:val="24"/>
    </w:rPr>
  </w:style>
  <w:style w:type="paragraph" w:customStyle="1" w:styleId="xl175">
    <w:name w:val="xl175"/>
    <w:basedOn w:val="Normal"/>
    <w:rsid w:val="00C6287D"/>
    <w:pPr>
      <w:pBdr>
        <w:top w:val="double" w:sz="6" w:space="0" w:color="auto"/>
        <w:left w:val="single" w:sz="4" w:space="0" w:color="auto"/>
        <w:bottom w:val="double" w:sz="6" w:space="0" w:color="auto"/>
        <w:right w:val="single" w:sz="4" w:space="0" w:color="auto"/>
      </w:pBdr>
      <w:shd w:val="clear" w:color="000000" w:fill="EAEAEA"/>
      <w:spacing w:before="100" w:beforeAutospacing="1" w:after="100" w:afterAutospacing="1"/>
      <w:jc w:val="center"/>
      <w:textAlignment w:val="center"/>
    </w:pPr>
    <w:rPr>
      <w:b/>
      <w:bCs/>
      <w:snapToGrid/>
      <w:sz w:val="24"/>
      <w:szCs w:val="24"/>
    </w:rPr>
  </w:style>
  <w:style w:type="paragraph" w:customStyle="1" w:styleId="xl176">
    <w:name w:val="xl176"/>
    <w:basedOn w:val="Normal"/>
    <w:rsid w:val="00C6287D"/>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snapToGrid/>
      <w:sz w:val="24"/>
      <w:szCs w:val="24"/>
    </w:rPr>
  </w:style>
  <w:style w:type="paragraph" w:customStyle="1" w:styleId="xl177">
    <w:name w:val="xl177"/>
    <w:basedOn w:val="Normal"/>
    <w:rsid w:val="00C6287D"/>
    <w:pPr>
      <w:pBdr>
        <w:top w:val="single" w:sz="4" w:space="0" w:color="auto"/>
        <w:left w:val="single" w:sz="4" w:space="0" w:color="auto"/>
        <w:right w:val="single" w:sz="4" w:space="0" w:color="auto"/>
      </w:pBdr>
      <w:shd w:val="clear" w:color="000000" w:fill="E7E6E6"/>
      <w:spacing w:before="100" w:beforeAutospacing="1" w:after="100" w:afterAutospacing="1"/>
      <w:textAlignment w:val="center"/>
    </w:pPr>
    <w:rPr>
      <w:snapToGrid/>
      <w:sz w:val="24"/>
      <w:szCs w:val="24"/>
    </w:rPr>
  </w:style>
  <w:style w:type="paragraph" w:customStyle="1" w:styleId="xl178">
    <w:name w:val="xl178"/>
    <w:basedOn w:val="Normal"/>
    <w:rsid w:val="00C6287D"/>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b/>
      <w:bCs/>
      <w:snapToGrid/>
      <w:sz w:val="24"/>
      <w:szCs w:val="24"/>
    </w:rPr>
  </w:style>
  <w:style w:type="paragraph" w:customStyle="1" w:styleId="xl179">
    <w:name w:val="xl179"/>
    <w:basedOn w:val="Normal"/>
    <w:rsid w:val="00C6287D"/>
    <w:pPr>
      <w:pBdr>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180">
    <w:name w:val="xl180"/>
    <w:basedOn w:val="Normal"/>
    <w:rsid w:val="00C6287D"/>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snapToGrid/>
      <w:sz w:val="24"/>
      <w:szCs w:val="24"/>
    </w:rPr>
  </w:style>
  <w:style w:type="paragraph" w:customStyle="1" w:styleId="xl181">
    <w:name w:val="xl181"/>
    <w:basedOn w:val="Normal"/>
    <w:rsid w:val="00C628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182">
    <w:name w:val="xl182"/>
    <w:basedOn w:val="Normal"/>
    <w:rsid w:val="00C6287D"/>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b/>
      <w:bCs/>
      <w:snapToGrid/>
      <w:sz w:val="24"/>
      <w:szCs w:val="24"/>
    </w:rPr>
  </w:style>
  <w:style w:type="paragraph" w:customStyle="1" w:styleId="xl183">
    <w:name w:val="xl183"/>
    <w:basedOn w:val="Normal"/>
    <w:rsid w:val="00C6287D"/>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napToGrid/>
      <w:sz w:val="24"/>
      <w:szCs w:val="24"/>
    </w:rPr>
  </w:style>
  <w:style w:type="paragraph" w:customStyle="1" w:styleId="xl184">
    <w:name w:val="xl184"/>
    <w:basedOn w:val="Normal"/>
    <w:rsid w:val="00C6287D"/>
    <w:pPr>
      <w:pBdr>
        <w:top w:val="single" w:sz="4" w:space="0" w:color="auto"/>
        <w:left w:val="single" w:sz="4" w:space="0" w:color="auto"/>
        <w:right w:val="single" w:sz="4" w:space="0" w:color="auto"/>
      </w:pBdr>
      <w:shd w:val="clear" w:color="000000" w:fill="E7E6E6"/>
      <w:spacing w:before="100" w:beforeAutospacing="1" w:after="100" w:afterAutospacing="1"/>
      <w:jc w:val="right"/>
      <w:textAlignment w:val="center"/>
    </w:pPr>
    <w:rPr>
      <w:snapToGrid/>
      <w:sz w:val="24"/>
      <w:szCs w:val="24"/>
    </w:rPr>
  </w:style>
  <w:style w:type="paragraph" w:customStyle="1" w:styleId="xl185">
    <w:name w:val="xl185"/>
    <w:basedOn w:val="Normal"/>
    <w:rsid w:val="00C6287D"/>
    <w:pPr>
      <w:pBdr>
        <w:top w:val="single" w:sz="4" w:space="0" w:color="auto"/>
        <w:left w:val="single" w:sz="4" w:space="0" w:color="auto"/>
        <w:right w:val="single" w:sz="4" w:space="0" w:color="auto"/>
      </w:pBdr>
      <w:shd w:val="clear" w:color="000000" w:fill="E7E6E6"/>
      <w:spacing w:before="100" w:beforeAutospacing="1" w:after="100" w:afterAutospacing="1"/>
      <w:jc w:val="center"/>
      <w:textAlignment w:val="center"/>
    </w:pPr>
    <w:rPr>
      <w:snapToGrid/>
      <w:sz w:val="24"/>
      <w:szCs w:val="24"/>
    </w:rPr>
  </w:style>
  <w:style w:type="paragraph" w:customStyle="1" w:styleId="xl186">
    <w:name w:val="xl186"/>
    <w:basedOn w:val="Normal"/>
    <w:rsid w:val="00C6287D"/>
    <w:pPr>
      <w:pBdr>
        <w:top w:val="single" w:sz="4" w:space="0" w:color="auto"/>
        <w:left w:val="single" w:sz="4" w:space="0" w:color="auto"/>
        <w:right w:val="single" w:sz="4" w:space="0" w:color="auto"/>
      </w:pBdr>
      <w:shd w:val="clear" w:color="000000" w:fill="E7E6E6"/>
      <w:spacing w:before="100" w:beforeAutospacing="1" w:after="100" w:afterAutospacing="1"/>
      <w:textAlignment w:val="center"/>
    </w:pPr>
    <w:rPr>
      <w:snapToGrid/>
      <w:sz w:val="24"/>
      <w:szCs w:val="24"/>
    </w:rPr>
  </w:style>
  <w:style w:type="paragraph" w:customStyle="1" w:styleId="xl187">
    <w:name w:val="xl187"/>
    <w:basedOn w:val="Normal"/>
    <w:rsid w:val="00C6287D"/>
    <w:pPr>
      <w:pBdr>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snapToGrid/>
      <w:sz w:val="24"/>
      <w:szCs w:val="24"/>
    </w:rPr>
  </w:style>
  <w:style w:type="paragraph" w:customStyle="1" w:styleId="xl188">
    <w:name w:val="xl188"/>
    <w:basedOn w:val="Normal"/>
    <w:rsid w:val="00C6287D"/>
    <w:pPr>
      <w:pBdr>
        <w:top w:val="double" w:sz="6" w:space="0" w:color="auto"/>
        <w:left w:val="single" w:sz="4" w:space="0" w:color="auto"/>
        <w:bottom w:val="double" w:sz="6" w:space="0" w:color="auto"/>
        <w:right w:val="single" w:sz="4" w:space="0" w:color="auto"/>
      </w:pBdr>
      <w:shd w:val="clear" w:color="000000" w:fill="E7E6E6"/>
      <w:spacing w:before="100" w:beforeAutospacing="1" w:after="100" w:afterAutospacing="1"/>
      <w:textAlignment w:val="center"/>
    </w:pPr>
    <w:rPr>
      <w:b/>
      <w:bCs/>
      <w:snapToGrid/>
      <w:sz w:val="24"/>
      <w:szCs w:val="24"/>
    </w:rPr>
  </w:style>
  <w:style w:type="paragraph" w:customStyle="1" w:styleId="xl189">
    <w:name w:val="xl189"/>
    <w:basedOn w:val="Normal"/>
    <w:rsid w:val="00C6287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snapToGrid/>
      <w:sz w:val="24"/>
      <w:szCs w:val="24"/>
    </w:rPr>
  </w:style>
  <w:style w:type="paragraph" w:customStyle="1" w:styleId="xl190">
    <w:name w:val="xl190"/>
    <w:basedOn w:val="Normal"/>
    <w:rsid w:val="00C6287D"/>
    <w:pPr>
      <w:pBdr>
        <w:left w:val="single" w:sz="4" w:space="0" w:color="auto"/>
        <w:bottom w:val="single" w:sz="4" w:space="0" w:color="auto"/>
        <w:right w:val="single" w:sz="4" w:space="0" w:color="auto"/>
      </w:pBdr>
      <w:spacing w:before="100" w:beforeAutospacing="1" w:after="100" w:afterAutospacing="1"/>
      <w:textAlignment w:val="center"/>
    </w:pPr>
    <w:rPr>
      <w:i/>
      <w:iCs/>
      <w:snapToGrid/>
      <w:sz w:val="24"/>
      <w:szCs w:val="24"/>
    </w:rPr>
  </w:style>
  <w:style w:type="paragraph" w:customStyle="1" w:styleId="xl191">
    <w:name w:val="xl191"/>
    <w:basedOn w:val="Normal"/>
    <w:rsid w:val="00C6287D"/>
    <w:pPr>
      <w:pBdr>
        <w:top w:val="double" w:sz="6" w:space="0" w:color="auto"/>
        <w:bottom w:val="double" w:sz="6" w:space="0" w:color="auto"/>
        <w:right w:val="single" w:sz="4" w:space="0" w:color="auto"/>
      </w:pBdr>
      <w:shd w:val="clear" w:color="000000" w:fill="E7E6E6"/>
      <w:spacing w:before="100" w:beforeAutospacing="1" w:after="100" w:afterAutospacing="1"/>
      <w:textAlignment w:val="center"/>
    </w:pPr>
    <w:rPr>
      <w:b/>
      <w:bCs/>
      <w:snapToGrid/>
      <w:sz w:val="24"/>
      <w:szCs w:val="24"/>
    </w:rPr>
  </w:style>
  <w:style w:type="paragraph" w:customStyle="1" w:styleId="xl192">
    <w:name w:val="xl192"/>
    <w:basedOn w:val="Normal"/>
    <w:rsid w:val="00C6287D"/>
    <w:pPr>
      <w:pBdr>
        <w:top w:val="single" w:sz="4" w:space="0" w:color="auto"/>
        <w:left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193">
    <w:name w:val="xl193"/>
    <w:basedOn w:val="Normal"/>
    <w:rsid w:val="00C6287D"/>
    <w:pPr>
      <w:pBdr>
        <w:top w:val="double" w:sz="6" w:space="0" w:color="auto"/>
        <w:left w:val="single" w:sz="4" w:space="0" w:color="auto"/>
        <w:bottom w:val="double" w:sz="6" w:space="0" w:color="auto"/>
        <w:right w:val="single" w:sz="4" w:space="0" w:color="auto"/>
      </w:pBdr>
      <w:shd w:val="clear" w:color="000000" w:fill="E7E6E6"/>
      <w:spacing w:before="100" w:beforeAutospacing="1" w:after="100" w:afterAutospacing="1"/>
      <w:jc w:val="right"/>
      <w:textAlignment w:val="center"/>
    </w:pPr>
    <w:rPr>
      <w:b/>
      <w:bCs/>
      <w:snapToGrid/>
      <w:sz w:val="24"/>
      <w:szCs w:val="24"/>
    </w:rPr>
  </w:style>
  <w:style w:type="paragraph" w:customStyle="1" w:styleId="xl194">
    <w:name w:val="xl194"/>
    <w:basedOn w:val="Normal"/>
    <w:rsid w:val="00C6287D"/>
    <w:pPr>
      <w:pBdr>
        <w:top w:val="double" w:sz="6" w:space="0" w:color="auto"/>
        <w:left w:val="single" w:sz="4" w:space="0" w:color="auto"/>
        <w:bottom w:val="double" w:sz="6" w:space="0" w:color="auto"/>
        <w:right w:val="single" w:sz="4" w:space="0" w:color="auto"/>
      </w:pBdr>
      <w:shd w:val="clear" w:color="000000" w:fill="E7E6E6"/>
      <w:spacing w:before="100" w:beforeAutospacing="1" w:after="100" w:afterAutospacing="1"/>
      <w:textAlignment w:val="center"/>
    </w:pPr>
    <w:rPr>
      <w:b/>
      <w:bCs/>
      <w:snapToGrid/>
      <w:sz w:val="24"/>
      <w:szCs w:val="24"/>
    </w:rPr>
  </w:style>
  <w:style w:type="paragraph" w:customStyle="1" w:styleId="xl195">
    <w:name w:val="xl195"/>
    <w:basedOn w:val="Normal"/>
    <w:rsid w:val="00C6287D"/>
    <w:pPr>
      <w:pBdr>
        <w:top w:val="double" w:sz="6" w:space="0" w:color="auto"/>
        <w:left w:val="single" w:sz="4" w:space="0" w:color="auto"/>
        <w:bottom w:val="single" w:sz="4" w:space="0" w:color="auto"/>
        <w:right w:val="single" w:sz="4" w:space="0" w:color="auto"/>
      </w:pBdr>
      <w:spacing w:before="100" w:beforeAutospacing="1" w:after="100" w:afterAutospacing="1"/>
    </w:pPr>
    <w:rPr>
      <w:snapToGrid/>
      <w:sz w:val="24"/>
      <w:szCs w:val="24"/>
    </w:rPr>
  </w:style>
  <w:style w:type="paragraph" w:customStyle="1" w:styleId="xl196">
    <w:name w:val="xl196"/>
    <w:basedOn w:val="Normal"/>
    <w:rsid w:val="00C6287D"/>
    <w:pPr>
      <w:pBdr>
        <w:top w:val="double" w:sz="6"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197">
    <w:name w:val="xl197"/>
    <w:basedOn w:val="Normal"/>
    <w:rsid w:val="00C6287D"/>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napToGrid/>
      <w:sz w:val="24"/>
      <w:szCs w:val="24"/>
    </w:rPr>
  </w:style>
  <w:style w:type="paragraph" w:customStyle="1" w:styleId="xl198">
    <w:name w:val="xl198"/>
    <w:basedOn w:val="Normal"/>
    <w:rsid w:val="00C6287D"/>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24"/>
      <w:szCs w:val="24"/>
    </w:rPr>
  </w:style>
  <w:style w:type="paragraph" w:customStyle="1" w:styleId="xl199">
    <w:name w:val="xl199"/>
    <w:basedOn w:val="Normal"/>
    <w:rsid w:val="00C628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200">
    <w:name w:val="xl200"/>
    <w:basedOn w:val="Normal"/>
    <w:rsid w:val="00C6287D"/>
    <w:pPr>
      <w:pBdr>
        <w:top w:val="single" w:sz="4" w:space="0" w:color="auto"/>
        <w:left w:val="single" w:sz="4" w:space="0" w:color="auto"/>
        <w:bottom w:val="double" w:sz="6" w:space="0" w:color="auto"/>
        <w:right w:val="single" w:sz="4" w:space="0" w:color="auto"/>
      </w:pBdr>
      <w:spacing w:before="100" w:beforeAutospacing="1" w:after="100" w:afterAutospacing="1"/>
    </w:pPr>
    <w:rPr>
      <w:snapToGrid/>
      <w:sz w:val="24"/>
      <w:szCs w:val="24"/>
    </w:rPr>
  </w:style>
  <w:style w:type="paragraph" w:customStyle="1" w:styleId="xl201">
    <w:name w:val="xl201"/>
    <w:basedOn w:val="Normal"/>
    <w:rsid w:val="00C6287D"/>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napToGrid/>
      <w:sz w:val="24"/>
      <w:szCs w:val="24"/>
    </w:rPr>
  </w:style>
  <w:style w:type="paragraph" w:customStyle="1" w:styleId="xl202">
    <w:name w:val="xl202"/>
    <w:basedOn w:val="Normal"/>
    <w:rsid w:val="00C6287D"/>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right"/>
      <w:textAlignment w:val="center"/>
    </w:pPr>
    <w:rPr>
      <w:snapToGrid/>
      <w:sz w:val="24"/>
      <w:szCs w:val="24"/>
    </w:rPr>
  </w:style>
  <w:style w:type="paragraph" w:customStyle="1" w:styleId="xl203">
    <w:name w:val="xl203"/>
    <w:basedOn w:val="Normal"/>
    <w:rsid w:val="00C6287D"/>
    <w:pPr>
      <w:pBdr>
        <w:top w:val="single" w:sz="4" w:space="0" w:color="auto"/>
        <w:left w:val="single" w:sz="4" w:space="0" w:color="auto"/>
        <w:bottom w:val="double" w:sz="6" w:space="0" w:color="auto"/>
        <w:right w:val="single" w:sz="4" w:space="0" w:color="auto"/>
      </w:pBdr>
      <w:spacing w:before="100" w:beforeAutospacing="1" w:after="100" w:afterAutospacing="1"/>
    </w:pPr>
    <w:rPr>
      <w:snapToGrid/>
      <w:sz w:val="24"/>
      <w:szCs w:val="24"/>
    </w:rPr>
  </w:style>
  <w:style w:type="paragraph" w:customStyle="1" w:styleId="xl204">
    <w:name w:val="xl204"/>
    <w:basedOn w:val="Normal"/>
    <w:rsid w:val="00C6287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snapToGrid/>
      <w:sz w:val="24"/>
      <w:szCs w:val="24"/>
    </w:rPr>
  </w:style>
  <w:style w:type="paragraph" w:customStyle="1" w:styleId="xl205">
    <w:name w:val="xl205"/>
    <w:basedOn w:val="Normal"/>
    <w:rsid w:val="00C6287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snapToGrid/>
      <w:sz w:val="24"/>
      <w:szCs w:val="24"/>
    </w:rPr>
  </w:style>
  <w:style w:type="paragraph" w:customStyle="1" w:styleId="xl206">
    <w:name w:val="xl206"/>
    <w:basedOn w:val="Normal"/>
    <w:rsid w:val="00C6287D"/>
    <w:pPr>
      <w:pBdr>
        <w:top w:val="double" w:sz="6" w:space="0" w:color="auto"/>
        <w:left w:val="single" w:sz="4" w:space="0" w:color="auto"/>
        <w:bottom w:val="double" w:sz="6" w:space="0" w:color="auto"/>
        <w:right w:val="single" w:sz="4" w:space="0" w:color="auto"/>
      </w:pBdr>
      <w:shd w:val="clear" w:color="000000" w:fill="E7E6E6"/>
      <w:spacing w:before="100" w:beforeAutospacing="1" w:after="100" w:afterAutospacing="1"/>
      <w:jc w:val="center"/>
      <w:textAlignment w:val="center"/>
    </w:pPr>
    <w:rPr>
      <w:b/>
      <w:bCs/>
      <w:snapToGrid/>
      <w:sz w:val="24"/>
      <w:szCs w:val="24"/>
    </w:rPr>
  </w:style>
  <w:style w:type="paragraph" w:customStyle="1" w:styleId="xl207">
    <w:name w:val="xl207"/>
    <w:basedOn w:val="Normal"/>
    <w:rsid w:val="00C6287D"/>
    <w:pPr>
      <w:pBdr>
        <w:top w:val="double" w:sz="6" w:space="0" w:color="auto"/>
        <w:left w:val="single" w:sz="4" w:space="0" w:color="auto"/>
        <w:bottom w:val="double" w:sz="6" w:space="0" w:color="auto"/>
        <w:right w:val="single" w:sz="4" w:space="0" w:color="auto"/>
      </w:pBdr>
      <w:shd w:val="clear" w:color="000000" w:fill="E7E6E6"/>
      <w:spacing w:before="100" w:beforeAutospacing="1" w:after="100" w:afterAutospacing="1"/>
      <w:textAlignment w:val="center"/>
    </w:pPr>
    <w:rPr>
      <w:b/>
      <w:bCs/>
      <w:snapToGrid/>
      <w:sz w:val="24"/>
      <w:szCs w:val="24"/>
    </w:rPr>
  </w:style>
  <w:style w:type="paragraph" w:customStyle="1" w:styleId="xl208">
    <w:name w:val="xl208"/>
    <w:basedOn w:val="Normal"/>
    <w:rsid w:val="00C6287D"/>
    <w:pPr>
      <w:pBdr>
        <w:top w:val="double" w:sz="6" w:space="0" w:color="auto"/>
        <w:left w:val="single" w:sz="4" w:space="0" w:color="auto"/>
        <w:bottom w:val="single" w:sz="4" w:space="0" w:color="auto"/>
        <w:right w:val="single" w:sz="4" w:space="0" w:color="auto"/>
      </w:pBdr>
      <w:spacing w:before="100" w:beforeAutospacing="1" w:after="100" w:afterAutospacing="1"/>
    </w:pPr>
    <w:rPr>
      <w:i/>
      <w:iCs/>
      <w:snapToGrid/>
      <w:sz w:val="24"/>
      <w:szCs w:val="24"/>
    </w:rPr>
  </w:style>
  <w:style w:type="paragraph" w:customStyle="1" w:styleId="xl209">
    <w:name w:val="xl209"/>
    <w:basedOn w:val="Normal"/>
    <w:rsid w:val="00C6287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snapToGrid/>
      <w:sz w:val="24"/>
      <w:szCs w:val="24"/>
    </w:rPr>
  </w:style>
  <w:style w:type="paragraph" w:customStyle="1" w:styleId="xl210">
    <w:name w:val="xl210"/>
    <w:basedOn w:val="Normal"/>
    <w:rsid w:val="00C6287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snapToGrid/>
      <w:sz w:val="24"/>
      <w:szCs w:val="24"/>
    </w:rPr>
  </w:style>
  <w:style w:type="paragraph" w:customStyle="1" w:styleId="xl211">
    <w:name w:val="xl211"/>
    <w:basedOn w:val="Normal"/>
    <w:rsid w:val="00C628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212">
    <w:name w:val="xl212"/>
    <w:basedOn w:val="Normal"/>
    <w:rsid w:val="00C6287D"/>
    <w:pPr>
      <w:pBdr>
        <w:left w:val="single" w:sz="4" w:space="0" w:color="C0C0C0"/>
        <w:bottom w:val="single" w:sz="4" w:space="0" w:color="C0C0C0"/>
        <w:right w:val="single" w:sz="4" w:space="0" w:color="C0C0C0"/>
      </w:pBdr>
      <w:spacing w:before="100" w:beforeAutospacing="1" w:after="100" w:afterAutospacing="1"/>
      <w:jc w:val="center"/>
    </w:pPr>
    <w:rPr>
      <w:snapToGrid/>
      <w:sz w:val="24"/>
      <w:szCs w:val="24"/>
    </w:rPr>
  </w:style>
  <w:style w:type="paragraph" w:customStyle="1" w:styleId="xl213">
    <w:name w:val="xl213"/>
    <w:basedOn w:val="Normal"/>
    <w:rsid w:val="00C6287D"/>
    <w:pPr>
      <w:pBdr>
        <w:left w:val="single" w:sz="4" w:space="0" w:color="C0C0C0"/>
        <w:right w:val="single" w:sz="4" w:space="0" w:color="C0C0C0"/>
      </w:pBdr>
      <w:spacing w:before="100" w:beforeAutospacing="1" w:after="100" w:afterAutospacing="1"/>
      <w:jc w:val="center"/>
    </w:pPr>
    <w:rPr>
      <w:snapToGrid/>
      <w:sz w:val="24"/>
      <w:szCs w:val="24"/>
    </w:rPr>
  </w:style>
  <w:style w:type="paragraph" w:customStyle="1" w:styleId="xl214">
    <w:name w:val="xl214"/>
    <w:basedOn w:val="Normal"/>
    <w:rsid w:val="00C6287D"/>
    <w:pPr>
      <w:pBdr>
        <w:left w:val="single" w:sz="4" w:space="0" w:color="C0C0C0"/>
        <w:bottom w:val="single" w:sz="4" w:space="0" w:color="C0C0C0"/>
        <w:right w:val="single" w:sz="4" w:space="0" w:color="C0C0C0"/>
      </w:pBdr>
      <w:shd w:val="clear" w:color="000000" w:fill="E7E6E6"/>
      <w:spacing w:before="100" w:beforeAutospacing="1" w:after="100" w:afterAutospacing="1"/>
      <w:jc w:val="center"/>
    </w:pPr>
    <w:rPr>
      <w:snapToGrid/>
      <w:sz w:val="24"/>
      <w:szCs w:val="24"/>
    </w:rPr>
  </w:style>
  <w:style w:type="paragraph" w:customStyle="1" w:styleId="xl215">
    <w:name w:val="xl215"/>
    <w:basedOn w:val="Normal"/>
    <w:rsid w:val="00C6287D"/>
    <w:pPr>
      <w:pBdr>
        <w:top w:val="double" w:sz="6" w:space="0" w:color="auto"/>
        <w:left w:val="single" w:sz="4" w:space="0" w:color="auto"/>
        <w:bottom w:val="double" w:sz="6" w:space="0" w:color="auto"/>
        <w:right w:val="single" w:sz="4" w:space="0" w:color="auto"/>
      </w:pBdr>
      <w:shd w:val="clear" w:color="000000" w:fill="E7E6E6"/>
      <w:spacing w:before="100" w:beforeAutospacing="1" w:after="100" w:afterAutospacing="1"/>
      <w:jc w:val="center"/>
      <w:textAlignment w:val="center"/>
    </w:pPr>
    <w:rPr>
      <w:b/>
      <w:bCs/>
      <w:snapToGrid/>
      <w:sz w:val="24"/>
      <w:szCs w:val="24"/>
    </w:rPr>
  </w:style>
  <w:style w:type="paragraph" w:customStyle="1" w:styleId="xl216">
    <w:name w:val="xl216"/>
    <w:basedOn w:val="Normal"/>
    <w:rsid w:val="00C628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217">
    <w:name w:val="xl217"/>
    <w:basedOn w:val="Normal"/>
    <w:rsid w:val="00C6287D"/>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snapToGrid/>
      <w:sz w:val="24"/>
      <w:szCs w:val="24"/>
    </w:rPr>
  </w:style>
  <w:style w:type="paragraph" w:customStyle="1" w:styleId="xl218">
    <w:name w:val="xl218"/>
    <w:basedOn w:val="Normal"/>
    <w:rsid w:val="00C6287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snapToGrid/>
      <w:sz w:val="24"/>
      <w:szCs w:val="24"/>
    </w:rPr>
  </w:style>
  <w:style w:type="paragraph" w:customStyle="1" w:styleId="xl219">
    <w:name w:val="xl219"/>
    <w:basedOn w:val="Normal"/>
    <w:rsid w:val="00C6287D"/>
    <w:pPr>
      <w:pBdr>
        <w:top w:val="single" w:sz="4" w:space="0" w:color="auto"/>
        <w:left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220">
    <w:name w:val="xl220"/>
    <w:basedOn w:val="Normal"/>
    <w:rsid w:val="00C6287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snapToGrid/>
      <w:sz w:val="24"/>
      <w:szCs w:val="24"/>
    </w:rPr>
  </w:style>
  <w:style w:type="paragraph" w:customStyle="1" w:styleId="xl221">
    <w:name w:val="xl221"/>
    <w:basedOn w:val="Normal"/>
    <w:rsid w:val="00C6287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4"/>
      <w:szCs w:val="24"/>
    </w:rPr>
  </w:style>
  <w:style w:type="paragraph" w:customStyle="1" w:styleId="xl222">
    <w:name w:val="xl222"/>
    <w:basedOn w:val="Normal"/>
    <w:rsid w:val="00C6287D"/>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snapToGrid/>
      <w:sz w:val="24"/>
      <w:szCs w:val="24"/>
    </w:rPr>
  </w:style>
  <w:style w:type="paragraph" w:customStyle="1" w:styleId="xl223">
    <w:name w:val="xl223"/>
    <w:basedOn w:val="Normal"/>
    <w:rsid w:val="00C62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4"/>
      <w:szCs w:val="24"/>
    </w:rPr>
  </w:style>
  <w:style w:type="paragraph" w:customStyle="1" w:styleId="xl224">
    <w:name w:val="xl224"/>
    <w:basedOn w:val="Normal"/>
    <w:rsid w:val="00C628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225">
    <w:name w:val="xl225"/>
    <w:basedOn w:val="Normal"/>
    <w:rsid w:val="00C6287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snapToGrid/>
      <w:sz w:val="24"/>
      <w:szCs w:val="24"/>
    </w:rPr>
  </w:style>
  <w:style w:type="paragraph" w:customStyle="1" w:styleId="xl226">
    <w:name w:val="xl226"/>
    <w:basedOn w:val="Normal"/>
    <w:rsid w:val="00C6287D"/>
    <w:pPr>
      <w:pBdr>
        <w:left w:val="single" w:sz="4" w:space="0" w:color="auto"/>
        <w:bottom w:val="single" w:sz="4" w:space="0" w:color="auto"/>
        <w:right w:val="single" w:sz="4" w:space="0" w:color="auto"/>
      </w:pBdr>
      <w:spacing w:before="100" w:beforeAutospacing="1" w:after="100" w:afterAutospacing="1"/>
      <w:textAlignment w:val="center"/>
    </w:pPr>
    <w:rPr>
      <w:snapToGrid/>
      <w:sz w:val="24"/>
      <w:szCs w:val="24"/>
    </w:rPr>
  </w:style>
  <w:style w:type="character" w:customStyle="1" w:styleId="UnresolvedMention7">
    <w:name w:val="Unresolved Mention7"/>
    <w:uiPriority w:val="99"/>
    <w:semiHidden/>
    <w:unhideWhenUsed/>
    <w:rsid w:val="00C6287D"/>
    <w:rPr>
      <w:color w:val="808080"/>
      <w:shd w:val="clear" w:color="auto" w:fill="E6E6E6"/>
    </w:rPr>
  </w:style>
  <w:style w:type="character" w:customStyle="1" w:styleId="cohl">
    <w:name w:val="co_hl"/>
    <w:rsid w:val="00C6287D"/>
  </w:style>
  <w:style w:type="character" w:customStyle="1" w:styleId="gmail-il">
    <w:name w:val="gmail-il"/>
    <w:rsid w:val="00C6287D"/>
  </w:style>
  <w:style w:type="character" w:customStyle="1" w:styleId="UnresolvedMention8">
    <w:name w:val="Unresolved Mention8"/>
    <w:uiPriority w:val="99"/>
    <w:semiHidden/>
    <w:unhideWhenUsed/>
    <w:rsid w:val="00C6287D"/>
    <w:rPr>
      <w:color w:val="808080"/>
      <w:shd w:val="clear" w:color="auto" w:fill="E6E6E6"/>
    </w:rPr>
  </w:style>
  <w:style w:type="character" w:customStyle="1" w:styleId="UnresolvedMention9">
    <w:name w:val="Unresolved Mention9"/>
    <w:uiPriority w:val="99"/>
    <w:semiHidden/>
    <w:unhideWhenUsed/>
    <w:rsid w:val="00C6287D"/>
    <w:rPr>
      <w:color w:val="808080"/>
      <w:shd w:val="clear" w:color="auto" w:fill="E6E6E6"/>
    </w:rPr>
  </w:style>
  <w:style w:type="character" w:customStyle="1" w:styleId="UnresolvedMention10">
    <w:name w:val="Unresolved Mention10"/>
    <w:uiPriority w:val="99"/>
    <w:semiHidden/>
    <w:unhideWhenUsed/>
    <w:rsid w:val="00C6287D"/>
    <w:rPr>
      <w:color w:val="808080"/>
      <w:shd w:val="clear" w:color="auto" w:fill="E6E6E6"/>
    </w:rPr>
  </w:style>
  <w:style w:type="character" w:customStyle="1" w:styleId="UnresolvedMention11">
    <w:name w:val="Unresolved Mention11"/>
    <w:uiPriority w:val="99"/>
    <w:semiHidden/>
    <w:unhideWhenUsed/>
    <w:rsid w:val="00C6287D"/>
    <w:rPr>
      <w:color w:val="808080"/>
      <w:shd w:val="clear" w:color="auto" w:fill="E6E6E6"/>
    </w:rPr>
  </w:style>
  <w:style w:type="character" w:customStyle="1" w:styleId="UnresolvedMention12">
    <w:name w:val="Unresolved Mention12"/>
    <w:uiPriority w:val="99"/>
    <w:semiHidden/>
    <w:unhideWhenUsed/>
    <w:rsid w:val="00C6287D"/>
    <w:rPr>
      <w:color w:val="808080"/>
      <w:shd w:val="clear" w:color="auto" w:fill="E6E6E6"/>
    </w:rPr>
  </w:style>
  <w:style w:type="character" w:customStyle="1" w:styleId="UnresolvedMention13">
    <w:name w:val="Unresolved Mention13"/>
    <w:uiPriority w:val="99"/>
    <w:semiHidden/>
    <w:unhideWhenUsed/>
    <w:rsid w:val="00C6287D"/>
    <w:rPr>
      <w:color w:val="808080"/>
      <w:shd w:val="clear" w:color="auto" w:fill="E6E6E6"/>
    </w:rPr>
  </w:style>
  <w:style w:type="character" w:customStyle="1" w:styleId="UnresolvedMention14">
    <w:name w:val="Unresolved Mention14"/>
    <w:uiPriority w:val="99"/>
    <w:semiHidden/>
    <w:unhideWhenUsed/>
    <w:rsid w:val="00C6287D"/>
    <w:rPr>
      <w:color w:val="808080"/>
      <w:shd w:val="clear" w:color="auto" w:fill="E6E6E6"/>
    </w:rPr>
  </w:style>
  <w:style w:type="character" w:customStyle="1" w:styleId="UnresolvedMention15">
    <w:name w:val="Unresolved Mention15"/>
    <w:uiPriority w:val="99"/>
    <w:semiHidden/>
    <w:unhideWhenUsed/>
    <w:rsid w:val="00C6287D"/>
    <w:rPr>
      <w:color w:val="808080"/>
      <w:shd w:val="clear" w:color="auto" w:fill="E6E6E6"/>
    </w:rPr>
  </w:style>
  <w:style w:type="character" w:customStyle="1" w:styleId="UnresolvedMention16">
    <w:name w:val="Unresolved Mention16"/>
    <w:uiPriority w:val="99"/>
    <w:semiHidden/>
    <w:unhideWhenUsed/>
    <w:rsid w:val="00C6287D"/>
    <w:rPr>
      <w:color w:val="605E5C"/>
      <w:shd w:val="clear" w:color="auto" w:fill="E1DFDD"/>
    </w:rPr>
  </w:style>
  <w:style w:type="character" w:styleId="LineNumber">
    <w:name w:val="line number"/>
    <w:unhideWhenUsed/>
    <w:rsid w:val="00C6287D"/>
  </w:style>
  <w:style w:type="paragraph" w:customStyle="1" w:styleId="ParaNumCharCharCharCharCharCharCharCharCharCharCharChar">
    <w:name w:val="ParaNum Char Char Char Char Char Char Char Char Char Char Char Char"/>
    <w:basedOn w:val="Normal"/>
    <w:semiHidden/>
    <w:rsid w:val="00C6287D"/>
    <w:pPr>
      <w:tabs>
        <w:tab w:val="num" w:pos="1440"/>
      </w:tabs>
      <w:spacing w:after="120"/>
      <w:ind w:firstLine="720"/>
    </w:pPr>
  </w:style>
  <w:style w:type="character" w:customStyle="1" w:styleId="CharChar1">
    <w:name w:val="Char Char1"/>
    <w:rsid w:val="00C6287D"/>
    <w:rPr>
      <w:rFonts w:ascii="Times New Roman Bold" w:hAnsi="Times New Roman Bold"/>
      <w:b/>
      <w:caps/>
      <w:snapToGrid w:val="0"/>
      <w:kern w:val="28"/>
      <w:sz w:val="22"/>
      <w:lang w:val="en-US" w:eastAsia="en-US" w:bidi="ar-SA"/>
    </w:rPr>
  </w:style>
  <w:style w:type="character" w:customStyle="1" w:styleId="Heading2CharChar">
    <w:name w:val="Heading 2 Char Char"/>
    <w:rsid w:val="00C6287D"/>
    <w:rPr>
      <w:b/>
      <w:snapToGrid w:val="0"/>
      <w:kern w:val="28"/>
      <w:sz w:val="22"/>
      <w:lang w:val="en-US" w:eastAsia="en-US" w:bidi="ar-SA"/>
    </w:rPr>
  </w:style>
  <w:style w:type="character" w:customStyle="1" w:styleId="Heading3Char1CharChar">
    <w:name w:val="Heading 3 Char1 Char Char"/>
    <w:rsid w:val="00C6287D"/>
    <w:rPr>
      <w:b/>
      <w:snapToGrid w:val="0"/>
      <w:kern w:val="28"/>
      <w:sz w:val="22"/>
      <w:lang w:val="en-US" w:eastAsia="en-US" w:bidi="ar-SA"/>
    </w:rPr>
  </w:style>
  <w:style w:type="character" w:customStyle="1" w:styleId="documentbody1">
    <w:name w:val="documentbody1"/>
    <w:semiHidden/>
    <w:rsid w:val="00C6287D"/>
    <w:rPr>
      <w:rFonts w:ascii="Verdana" w:hAnsi="Verdana" w:hint="default"/>
      <w:sz w:val="19"/>
      <w:szCs w:val="19"/>
    </w:rPr>
  </w:style>
  <w:style w:type="character" w:customStyle="1" w:styleId="navlinkheading1">
    <w:name w:val="navlinkheading1"/>
    <w:semiHidden/>
    <w:rsid w:val="00C6287D"/>
    <w:rPr>
      <w:rFonts w:ascii="Arial" w:hAnsi="Arial" w:cs="Arial" w:hint="default"/>
      <w:b/>
      <w:bCs/>
      <w:sz w:val="20"/>
      <w:szCs w:val="20"/>
    </w:rPr>
  </w:style>
  <w:style w:type="character" w:customStyle="1" w:styleId="body">
    <w:name w:val="body"/>
    <w:semiHidden/>
    <w:rsid w:val="00C6287D"/>
  </w:style>
  <w:style w:type="paragraph" w:customStyle="1" w:styleId="StyleParaNumCondensedby01ptCharCharCharCharCharCharCharCharCharChar">
    <w:name w:val="Style ParaNum + Condensed by  0.1 pt Char Char Char Char Char Char Char Char Char Char"/>
    <w:basedOn w:val="Normal"/>
    <w:autoRedefine/>
    <w:semiHidden/>
    <w:rsid w:val="00C6287D"/>
    <w:pPr>
      <w:numPr>
        <w:numId w:val="13"/>
      </w:numPr>
      <w:tabs>
        <w:tab w:val="num" w:pos="1440"/>
      </w:tabs>
      <w:spacing w:after="120"/>
    </w:pPr>
    <w:rPr>
      <w:spacing w:val="-2"/>
    </w:rPr>
  </w:style>
  <w:style w:type="character" w:customStyle="1" w:styleId="StyleParaNumCondensedby01ptCharCharCharCharCharCharCharCharCharCharChar">
    <w:name w:val="Style ParaNum + Condensed by  0.1 pt Char Char Char Char Char Char Char Char Char Char Char"/>
    <w:rsid w:val="00C6287D"/>
    <w:rPr>
      <w:snapToGrid w:val="0"/>
      <w:spacing w:val="-2"/>
      <w:kern w:val="28"/>
      <w:sz w:val="22"/>
      <w:lang w:val="en-US" w:eastAsia="en-US" w:bidi="ar-SA"/>
    </w:rPr>
  </w:style>
  <w:style w:type="character" w:customStyle="1" w:styleId="Char1">
    <w:name w:val="Char1"/>
    <w:semiHidden/>
    <w:rsid w:val="00C6287D"/>
    <w:rPr>
      <w:b/>
      <w:snapToGrid w:val="0"/>
      <w:kern w:val="28"/>
      <w:sz w:val="22"/>
      <w:lang w:val="en-US" w:eastAsia="en-US" w:bidi="ar-SA"/>
    </w:rPr>
  </w:style>
  <w:style w:type="character" w:customStyle="1" w:styleId="Char0">
    <w:name w:val="Char"/>
    <w:semiHidden/>
    <w:rsid w:val="00C6287D"/>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sid w:val="00C6287D"/>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rsid w:val="00C6287D"/>
    <w:pPr>
      <w:tabs>
        <w:tab w:val="num" w:pos="720"/>
        <w:tab w:val="num" w:pos="1440"/>
      </w:tabs>
      <w:spacing w:after="120"/>
      <w:ind w:left="720" w:hanging="720"/>
    </w:pPr>
    <w:rPr>
      <w:spacing w:val="-2"/>
    </w:rPr>
  </w:style>
  <w:style w:type="character" w:customStyle="1" w:styleId="Heading2Char3">
    <w:name w:val="Heading 2 Char3"/>
    <w:semiHidden/>
    <w:rsid w:val="00C6287D"/>
    <w:rPr>
      <w:b/>
      <w:snapToGrid w:val="0"/>
      <w:kern w:val="28"/>
      <w:sz w:val="22"/>
      <w:lang w:val="en-US" w:eastAsia="en-US" w:bidi="ar-SA"/>
    </w:rPr>
  </w:style>
  <w:style w:type="paragraph" w:customStyle="1" w:styleId="ParaNumCharChar">
    <w:name w:val="ParaNum Char Char"/>
    <w:basedOn w:val="Normal"/>
    <w:semiHidden/>
    <w:rsid w:val="00C6287D"/>
    <w:pPr>
      <w:tabs>
        <w:tab w:val="num" w:pos="1440"/>
      </w:tabs>
      <w:spacing w:after="120"/>
      <w:ind w:firstLine="720"/>
    </w:pPr>
  </w:style>
  <w:style w:type="character" w:customStyle="1" w:styleId="ParaNumCharCharCharCharCharCharCharCharCharCharCharCharChar">
    <w:name w:val="ParaNum Char Char Char Char Char Char Char Char Char Char Char Char Char"/>
    <w:rsid w:val="00C6287D"/>
    <w:rPr>
      <w:snapToGrid w:val="0"/>
      <w:kern w:val="28"/>
      <w:sz w:val="22"/>
      <w:lang w:val="en-US" w:eastAsia="en-US" w:bidi="ar-SA"/>
    </w:rPr>
  </w:style>
  <w:style w:type="paragraph" w:customStyle="1" w:styleId="ParaNumCharCharCharCharCharCharCharCharChar">
    <w:name w:val="ParaNum Char Char Char Char Char Char Char Char Char"/>
    <w:basedOn w:val="Normal"/>
    <w:semiHidden/>
    <w:rsid w:val="00C6287D"/>
    <w:pPr>
      <w:tabs>
        <w:tab w:val="num" w:pos="1350"/>
        <w:tab w:val="num" w:pos="1440"/>
      </w:tabs>
      <w:spacing w:after="120"/>
      <w:ind w:left="270" w:firstLine="720"/>
    </w:pPr>
  </w:style>
  <w:style w:type="character" w:customStyle="1" w:styleId="Char2">
    <w:name w:val="Char2"/>
    <w:semiHidden/>
    <w:rsid w:val="00C6287D"/>
    <w:rPr>
      <w:snapToGrid w:val="0"/>
      <w:kern w:val="28"/>
      <w:sz w:val="24"/>
      <w:lang w:val="en-US" w:eastAsia="en-US" w:bidi="ar-SA"/>
    </w:rPr>
  </w:style>
  <w:style w:type="character" w:customStyle="1" w:styleId="ParaNumCharCharCharCharCharCharCharCharCharChar">
    <w:name w:val="ParaNum Char Char Char Char Char Char Char Char Char Char"/>
    <w:rsid w:val="00C6287D"/>
    <w:rPr>
      <w:snapToGrid w:val="0"/>
      <w:kern w:val="28"/>
      <w:sz w:val="22"/>
      <w:lang w:val="en-US" w:eastAsia="en-US" w:bidi="ar-SA"/>
    </w:rPr>
  </w:style>
  <w:style w:type="character" w:customStyle="1" w:styleId="Normal1">
    <w:name w:val="Normal1"/>
    <w:uiPriority w:val="99"/>
    <w:rsid w:val="00C6287D"/>
    <w:rPr>
      <w:rFonts w:ascii="Times New Roman" w:hAnsi="Times New Roman"/>
      <w:noProof w:val="0"/>
      <w:sz w:val="20"/>
      <w:lang w:val="en-US"/>
    </w:rPr>
  </w:style>
  <w:style w:type="character" w:customStyle="1" w:styleId="Normal2">
    <w:name w:val="Normal2"/>
    <w:rsid w:val="00C6287D"/>
    <w:rPr>
      <w:rFonts w:ascii="Times New Roman" w:hAnsi="Times New Roman" w:cs="Times New Roman" w:hint="default"/>
    </w:rPr>
  </w:style>
  <w:style w:type="paragraph" w:customStyle="1" w:styleId="StyleParaNumCondensedby01ptChar">
    <w:name w:val="Style ParaNum + Condensed by  0.1 pt Char"/>
    <w:basedOn w:val="Normal"/>
    <w:autoRedefine/>
    <w:semiHidden/>
    <w:rsid w:val="00C6287D"/>
    <w:pPr>
      <w:tabs>
        <w:tab w:val="num" w:pos="720"/>
        <w:tab w:val="num" w:pos="1440"/>
      </w:tabs>
      <w:spacing w:after="120"/>
      <w:ind w:left="720" w:hanging="720"/>
    </w:pPr>
    <w:rPr>
      <w:spacing w:val="-2"/>
    </w:rPr>
  </w:style>
  <w:style w:type="paragraph" w:styleId="BodyText3">
    <w:name w:val="Body Text 3"/>
    <w:basedOn w:val="Normal"/>
    <w:link w:val="BodyText3Char"/>
    <w:rsid w:val="00C6287D"/>
    <w:pPr>
      <w:spacing w:after="120"/>
    </w:pPr>
    <w:rPr>
      <w:snapToGrid/>
      <w:sz w:val="16"/>
      <w:szCs w:val="16"/>
    </w:rPr>
  </w:style>
  <w:style w:type="character" w:customStyle="1" w:styleId="BodyText3Char">
    <w:name w:val="Body Text 3 Char"/>
    <w:link w:val="BodyText3"/>
    <w:rsid w:val="00C6287D"/>
    <w:rPr>
      <w:kern w:val="28"/>
      <w:sz w:val="16"/>
      <w:szCs w:val="16"/>
    </w:rPr>
  </w:style>
  <w:style w:type="paragraph" w:styleId="BodyTextFirstIndent">
    <w:name w:val="Body Text First Indent"/>
    <w:basedOn w:val="BodyText"/>
    <w:link w:val="BodyTextFirstIndentChar"/>
    <w:rsid w:val="00C6287D"/>
    <w:pPr>
      <w:ind w:firstLine="210"/>
    </w:pPr>
  </w:style>
  <w:style w:type="character" w:customStyle="1" w:styleId="BodyTextFirstIndentChar">
    <w:name w:val="Body Text First Indent Char"/>
    <w:link w:val="BodyTextFirstIndent"/>
    <w:rsid w:val="00C6287D"/>
    <w:rPr>
      <w:kern w:val="28"/>
      <w:sz w:val="22"/>
    </w:rPr>
  </w:style>
  <w:style w:type="paragraph" w:styleId="BodyTextIndent">
    <w:name w:val="Body Text Indent"/>
    <w:basedOn w:val="Normal"/>
    <w:link w:val="BodyTextIndentChar"/>
    <w:rsid w:val="00C6287D"/>
    <w:pPr>
      <w:spacing w:after="120"/>
      <w:ind w:left="360"/>
    </w:pPr>
    <w:rPr>
      <w:snapToGrid/>
    </w:rPr>
  </w:style>
  <w:style w:type="character" w:customStyle="1" w:styleId="BodyTextIndentChar">
    <w:name w:val="Body Text Indent Char"/>
    <w:link w:val="BodyTextIndent"/>
    <w:rsid w:val="00C6287D"/>
    <w:rPr>
      <w:kern w:val="28"/>
      <w:sz w:val="22"/>
    </w:rPr>
  </w:style>
  <w:style w:type="paragraph" w:styleId="BodyTextFirstIndent2">
    <w:name w:val="Body Text First Indent 2"/>
    <w:basedOn w:val="BodyTextIndent"/>
    <w:link w:val="BodyTextFirstIndent2Char"/>
    <w:rsid w:val="00C6287D"/>
    <w:pPr>
      <w:ind w:firstLine="210"/>
    </w:pPr>
  </w:style>
  <w:style w:type="character" w:customStyle="1" w:styleId="BodyTextFirstIndent2Char">
    <w:name w:val="Body Text First Indent 2 Char"/>
    <w:link w:val="BodyTextFirstIndent2"/>
    <w:rsid w:val="00C6287D"/>
    <w:rPr>
      <w:kern w:val="28"/>
      <w:sz w:val="22"/>
    </w:rPr>
  </w:style>
  <w:style w:type="paragraph" w:styleId="BodyTextIndent2">
    <w:name w:val="Body Text Indent 2"/>
    <w:basedOn w:val="Normal"/>
    <w:link w:val="BodyTextIndent2Char"/>
    <w:rsid w:val="00C6287D"/>
    <w:pPr>
      <w:spacing w:after="120" w:line="480" w:lineRule="auto"/>
      <w:ind w:left="360"/>
    </w:pPr>
    <w:rPr>
      <w:snapToGrid/>
    </w:rPr>
  </w:style>
  <w:style w:type="character" w:customStyle="1" w:styleId="BodyTextIndent2Char">
    <w:name w:val="Body Text Indent 2 Char"/>
    <w:link w:val="BodyTextIndent2"/>
    <w:rsid w:val="00C6287D"/>
    <w:rPr>
      <w:kern w:val="28"/>
      <w:sz w:val="22"/>
    </w:rPr>
  </w:style>
  <w:style w:type="paragraph" w:styleId="BodyTextIndent3">
    <w:name w:val="Body Text Indent 3"/>
    <w:basedOn w:val="Normal"/>
    <w:link w:val="BodyTextIndent3Char"/>
    <w:rsid w:val="00C6287D"/>
    <w:pPr>
      <w:spacing w:after="120"/>
      <w:ind w:left="360"/>
    </w:pPr>
    <w:rPr>
      <w:snapToGrid/>
      <w:sz w:val="16"/>
      <w:szCs w:val="16"/>
    </w:rPr>
  </w:style>
  <w:style w:type="character" w:customStyle="1" w:styleId="BodyTextIndent3Char">
    <w:name w:val="Body Text Indent 3 Char"/>
    <w:link w:val="BodyTextIndent3"/>
    <w:rsid w:val="00C6287D"/>
    <w:rPr>
      <w:kern w:val="28"/>
      <w:sz w:val="16"/>
      <w:szCs w:val="16"/>
    </w:rPr>
  </w:style>
  <w:style w:type="paragraph" w:styleId="EnvelopeAddress">
    <w:name w:val="envelope address"/>
    <w:basedOn w:val="Normal"/>
    <w:rsid w:val="00C6287D"/>
    <w:pPr>
      <w:framePr w:w="7920" w:h="1980" w:hRule="exact" w:hSpace="180" w:wrap="auto" w:hAnchor="page" w:xAlign="center" w:yAlign="bottom"/>
      <w:ind w:left="2880"/>
    </w:pPr>
    <w:rPr>
      <w:rFonts w:ascii="Arial" w:hAnsi="Arial" w:cs="Arial"/>
      <w:snapToGrid/>
      <w:sz w:val="24"/>
      <w:szCs w:val="24"/>
    </w:rPr>
  </w:style>
  <w:style w:type="paragraph" w:styleId="EnvelopeReturn">
    <w:name w:val="envelope return"/>
    <w:basedOn w:val="Normal"/>
    <w:rsid w:val="00C6287D"/>
    <w:rPr>
      <w:rFonts w:ascii="Arial" w:hAnsi="Arial" w:cs="Arial"/>
      <w:snapToGrid/>
      <w:sz w:val="20"/>
    </w:rPr>
  </w:style>
  <w:style w:type="paragraph" w:customStyle="1" w:styleId="StyleParaNumCondensedby01ptCharCharCharChar">
    <w:name w:val="Style ParaNum + Condensed by  0.1 pt Char Char Char Char"/>
    <w:basedOn w:val="Normal"/>
    <w:autoRedefine/>
    <w:semiHidden/>
    <w:rsid w:val="00C6287D"/>
    <w:pPr>
      <w:tabs>
        <w:tab w:val="num" w:pos="720"/>
        <w:tab w:val="num" w:pos="1440"/>
      </w:tabs>
      <w:spacing w:after="120"/>
      <w:ind w:left="720" w:hanging="720"/>
    </w:pPr>
    <w:rPr>
      <w:spacing w:val="-2"/>
    </w:rPr>
  </w:style>
  <w:style w:type="paragraph" w:customStyle="1" w:styleId="ParaNumCharCharChar">
    <w:name w:val="ParaNum Char Char Char"/>
    <w:basedOn w:val="Normal"/>
    <w:semiHidden/>
    <w:rsid w:val="00C6287D"/>
    <w:pPr>
      <w:tabs>
        <w:tab w:val="num" w:pos="1350"/>
        <w:tab w:val="num" w:pos="1440"/>
      </w:tabs>
      <w:spacing w:after="120"/>
      <w:ind w:left="270" w:firstLine="720"/>
    </w:pPr>
  </w:style>
  <w:style w:type="paragraph" w:customStyle="1" w:styleId="StyleParaNumCondensedby01ptCharCharCharCharChar">
    <w:name w:val="Style ParaNum + Condensed by  0.1 pt Char Char Char Char Char"/>
    <w:basedOn w:val="Normal"/>
    <w:autoRedefine/>
    <w:semiHidden/>
    <w:rsid w:val="00C6287D"/>
    <w:pPr>
      <w:tabs>
        <w:tab w:val="num" w:pos="720"/>
        <w:tab w:val="num" w:pos="1440"/>
      </w:tabs>
      <w:spacing w:after="120"/>
      <w:ind w:left="720" w:hanging="720"/>
    </w:pPr>
    <w:rPr>
      <w:spacing w:val="-2"/>
    </w:rPr>
  </w:style>
  <w:style w:type="paragraph" w:customStyle="1" w:styleId="ParaNumCharCharCharChar">
    <w:name w:val="ParaNum Char Char Char Char"/>
    <w:basedOn w:val="Normal"/>
    <w:semiHidden/>
    <w:rsid w:val="00C6287D"/>
    <w:pPr>
      <w:tabs>
        <w:tab w:val="num" w:pos="1350"/>
        <w:tab w:val="num" w:pos="1440"/>
      </w:tabs>
      <w:spacing w:after="120"/>
      <w:ind w:left="270" w:firstLine="720"/>
    </w:pPr>
  </w:style>
  <w:style w:type="paragraph" w:customStyle="1" w:styleId="ParaNumCharCharCharCharCharCharChar">
    <w:name w:val="ParaNum Char Char Char Char Char Char Char"/>
    <w:basedOn w:val="Normal"/>
    <w:semiHidden/>
    <w:rsid w:val="00C6287D"/>
    <w:pPr>
      <w:tabs>
        <w:tab w:val="num" w:pos="1350"/>
        <w:tab w:val="num" w:pos="1440"/>
      </w:tabs>
      <w:spacing w:after="120"/>
      <w:ind w:left="270" w:firstLine="720"/>
    </w:pPr>
  </w:style>
  <w:style w:type="character" w:customStyle="1" w:styleId="Heading1Char3">
    <w:name w:val="Heading 1 Char3"/>
    <w:semiHidden/>
    <w:rsid w:val="00C6287D"/>
    <w:rPr>
      <w:rFonts w:ascii="Times New Roman Bold" w:hAnsi="Times New Roman Bold"/>
      <w:b/>
      <w:caps/>
      <w:snapToGrid w:val="0"/>
      <w:kern w:val="28"/>
      <w:sz w:val="22"/>
      <w:szCs w:val="24"/>
      <w:lang w:val="en-US" w:eastAsia="en-US" w:bidi="ar-SA"/>
    </w:rPr>
  </w:style>
  <w:style w:type="character" w:customStyle="1" w:styleId="ParaNumCharCharChar1">
    <w:name w:val="ParaNum Char Char Char1"/>
    <w:rsid w:val="00C6287D"/>
    <w:rPr>
      <w:snapToGrid w:val="0"/>
      <w:kern w:val="28"/>
      <w:sz w:val="22"/>
      <w:lang w:val="en-US" w:eastAsia="en-US" w:bidi="ar-SA"/>
    </w:rPr>
  </w:style>
  <w:style w:type="paragraph" w:customStyle="1" w:styleId="Style0">
    <w:name w:val="Style0"/>
    <w:rsid w:val="00C6287D"/>
    <w:rPr>
      <w:rFonts w:ascii="Arial" w:hAnsi="Arial"/>
      <w:snapToGrid w:val="0"/>
      <w:sz w:val="24"/>
    </w:rPr>
  </w:style>
  <w:style w:type="character" w:customStyle="1" w:styleId="Char3">
    <w:name w:val="Char3"/>
    <w:semiHidden/>
    <w:rsid w:val="00C6287D"/>
    <w:rPr>
      <w:b/>
      <w:snapToGrid w:val="0"/>
      <w:kern w:val="28"/>
      <w:sz w:val="22"/>
      <w:lang w:val="en-US" w:eastAsia="en-US" w:bidi="ar-SA"/>
    </w:rPr>
  </w:style>
  <w:style w:type="paragraph" w:styleId="Salutation">
    <w:name w:val="Salutation"/>
    <w:basedOn w:val="Normal"/>
    <w:next w:val="Normal"/>
    <w:link w:val="SalutationChar"/>
    <w:rsid w:val="00C6287D"/>
    <w:rPr>
      <w:snapToGrid/>
    </w:rPr>
  </w:style>
  <w:style w:type="character" w:customStyle="1" w:styleId="SalutationChar">
    <w:name w:val="Salutation Char"/>
    <w:link w:val="Salutation"/>
    <w:rsid w:val="00C6287D"/>
    <w:rPr>
      <w:kern w:val="28"/>
      <w:sz w:val="22"/>
    </w:rPr>
  </w:style>
  <w:style w:type="paragraph" w:customStyle="1" w:styleId="TableFormat0">
    <w:name w:val="Table Format"/>
    <w:basedOn w:val="Normal"/>
    <w:rsid w:val="00C6287D"/>
    <w:pPr>
      <w:tabs>
        <w:tab w:val="left" w:pos="5040"/>
      </w:tabs>
      <w:spacing w:after="220"/>
      <w:ind w:left="5040" w:hanging="3600"/>
      <w:jc w:val="both"/>
    </w:pPr>
  </w:style>
  <w:style w:type="character" w:customStyle="1" w:styleId="ParaNumCharChar1">
    <w:name w:val="ParaNum Char Char1"/>
    <w:rsid w:val="00C6287D"/>
    <w:rPr>
      <w:sz w:val="22"/>
      <w:lang w:val="en-US" w:eastAsia="en-US" w:bidi="ar-SA"/>
    </w:rPr>
  </w:style>
  <w:style w:type="paragraph" w:customStyle="1" w:styleId="xl22">
    <w:name w:val="xl22"/>
    <w:basedOn w:val="Normal"/>
    <w:rsid w:val="00C6287D"/>
    <w:pPr>
      <w:pBdr>
        <w:bottom w:val="single" w:sz="4" w:space="0" w:color="auto"/>
      </w:pBdr>
      <w:spacing w:before="100" w:beforeAutospacing="1" w:after="100" w:afterAutospacing="1"/>
      <w:jc w:val="center"/>
    </w:pPr>
    <w:rPr>
      <w:b/>
      <w:bCs/>
      <w:sz w:val="16"/>
      <w:szCs w:val="16"/>
    </w:rPr>
  </w:style>
  <w:style w:type="paragraph" w:customStyle="1" w:styleId="xl23">
    <w:name w:val="xl23"/>
    <w:basedOn w:val="Normal"/>
    <w:rsid w:val="00C6287D"/>
    <w:pPr>
      <w:shd w:val="clear" w:color="auto" w:fill="FFFFFF"/>
      <w:spacing w:before="100" w:beforeAutospacing="1" w:after="100" w:afterAutospacing="1"/>
    </w:pPr>
    <w:rPr>
      <w:sz w:val="16"/>
      <w:szCs w:val="16"/>
    </w:rPr>
  </w:style>
  <w:style w:type="paragraph" w:customStyle="1" w:styleId="xl24">
    <w:name w:val="xl24"/>
    <w:basedOn w:val="Normal"/>
    <w:rsid w:val="00C6287D"/>
    <w:pPr>
      <w:spacing w:before="100" w:beforeAutospacing="1" w:after="100" w:afterAutospacing="1"/>
    </w:pPr>
    <w:rPr>
      <w:sz w:val="16"/>
      <w:szCs w:val="16"/>
    </w:rPr>
  </w:style>
  <w:style w:type="paragraph" w:customStyle="1" w:styleId="xl25">
    <w:name w:val="xl25"/>
    <w:basedOn w:val="Normal"/>
    <w:rsid w:val="00C6287D"/>
    <w:pPr>
      <w:shd w:val="clear" w:color="auto" w:fill="FFFFFF"/>
      <w:spacing w:before="100" w:beforeAutospacing="1" w:after="100" w:afterAutospacing="1"/>
    </w:pPr>
    <w:rPr>
      <w:color w:val="000000"/>
      <w:sz w:val="16"/>
      <w:szCs w:val="16"/>
    </w:rPr>
  </w:style>
  <w:style w:type="paragraph" w:customStyle="1" w:styleId="xl26">
    <w:name w:val="xl26"/>
    <w:basedOn w:val="Normal"/>
    <w:rsid w:val="00C6287D"/>
    <w:pPr>
      <w:shd w:val="clear" w:color="auto" w:fill="FFFFFF"/>
      <w:spacing w:before="100" w:beforeAutospacing="1" w:after="100" w:afterAutospacing="1"/>
    </w:pPr>
    <w:rPr>
      <w:sz w:val="16"/>
      <w:szCs w:val="16"/>
    </w:rPr>
  </w:style>
  <w:style w:type="paragraph" w:customStyle="1" w:styleId="xl27">
    <w:name w:val="xl27"/>
    <w:basedOn w:val="Normal"/>
    <w:rsid w:val="00C6287D"/>
    <w:pPr>
      <w:spacing w:before="100" w:beforeAutospacing="1" w:after="100" w:afterAutospacing="1"/>
    </w:pPr>
    <w:rPr>
      <w:color w:val="000000"/>
      <w:sz w:val="16"/>
      <w:szCs w:val="16"/>
    </w:rPr>
  </w:style>
  <w:style w:type="paragraph" w:customStyle="1" w:styleId="xl28">
    <w:name w:val="xl28"/>
    <w:basedOn w:val="Normal"/>
    <w:rsid w:val="00C6287D"/>
    <w:pPr>
      <w:spacing w:before="100" w:beforeAutospacing="1" w:after="100" w:afterAutospacing="1"/>
    </w:pPr>
    <w:rPr>
      <w:sz w:val="16"/>
      <w:szCs w:val="16"/>
    </w:rPr>
  </w:style>
  <w:style w:type="character" w:customStyle="1" w:styleId="FootnoteTextCharChar1">
    <w:name w:val="Footnote Text Char Char1"/>
    <w:rsid w:val="00C6287D"/>
    <w:rPr>
      <w:lang w:val="en-US" w:eastAsia="ar-SA" w:bidi="ar-SA"/>
    </w:rPr>
  </w:style>
  <w:style w:type="character" w:customStyle="1" w:styleId="DeltaViewInsertion">
    <w:name w:val="DeltaView Insertion"/>
    <w:rsid w:val="00C6287D"/>
    <w:rPr>
      <w:color w:val="0000FF"/>
      <w:spacing w:val="0"/>
      <w:u w:val="double"/>
    </w:rPr>
  </w:style>
  <w:style w:type="character" w:customStyle="1" w:styleId="deltaviewinsertion0">
    <w:name w:val="deltaviewinsertion"/>
    <w:rsid w:val="00C6287D"/>
    <w:rPr>
      <w:color w:val="0000FF"/>
      <w:spacing w:val="0"/>
      <w:u w:val="single"/>
    </w:rPr>
  </w:style>
  <w:style w:type="character" w:customStyle="1" w:styleId="CharChar13">
    <w:name w:val="Char Char13"/>
    <w:semiHidden/>
    <w:locked/>
    <w:rsid w:val="00C6287D"/>
    <w:rPr>
      <w:lang w:val="en-US" w:eastAsia="en-US" w:bidi="ar-SA"/>
    </w:rPr>
  </w:style>
  <w:style w:type="paragraph" w:styleId="ListBullet">
    <w:name w:val="List Bullet"/>
    <w:basedOn w:val="Normal"/>
    <w:autoRedefine/>
    <w:rsid w:val="00C6287D"/>
    <w:pPr>
      <w:tabs>
        <w:tab w:val="num" w:pos="360"/>
      </w:tabs>
      <w:ind w:left="360" w:hanging="360"/>
      <w:jc w:val="both"/>
    </w:pPr>
    <w:rPr>
      <w:snapToGrid/>
    </w:rPr>
  </w:style>
  <w:style w:type="paragraph" w:styleId="ListContinue2">
    <w:name w:val="List Continue 2"/>
    <w:basedOn w:val="Normal"/>
    <w:rsid w:val="00C6287D"/>
    <w:pPr>
      <w:spacing w:after="120"/>
      <w:ind w:left="720"/>
      <w:jc w:val="both"/>
    </w:pPr>
    <w:rPr>
      <w:snapToGrid/>
    </w:rPr>
  </w:style>
  <w:style w:type="character" w:customStyle="1" w:styleId="CharChar">
    <w:name w:val="Char Char"/>
    <w:rsid w:val="00C6287D"/>
    <w:rPr>
      <w:rFonts w:cs="Times New Roman"/>
      <w:b/>
      <w:sz w:val="22"/>
      <w:lang w:val="en-US" w:eastAsia="en-US" w:bidi="ar-SA"/>
    </w:rPr>
  </w:style>
  <w:style w:type="numbering" w:styleId="111111">
    <w:name w:val="Outline List 2"/>
    <w:basedOn w:val="NoList"/>
    <w:rsid w:val="00C6287D"/>
    <w:pPr>
      <w:numPr>
        <w:numId w:val="14"/>
      </w:numPr>
    </w:pPr>
  </w:style>
  <w:style w:type="paragraph" w:styleId="MessageHeader">
    <w:name w:val="Message Header"/>
    <w:basedOn w:val="Normal"/>
    <w:link w:val="MessageHeaderChar"/>
    <w:rsid w:val="00C628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napToGrid/>
      <w:sz w:val="24"/>
      <w:szCs w:val="24"/>
    </w:rPr>
  </w:style>
  <w:style w:type="character" w:customStyle="1" w:styleId="MessageHeaderChar">
    <w:name w:val="Message Header Char"/>
    <w:link w:val="MessageHeader"/>
    <w:rsid w:val="00C6287D"/>
    <w:rPr>
      <w:rFonts w:ascii="Arial" w:hAnsi="Arial" w:cs="Arial"/>
      <w:kern w:val="28"/>
      <w:sz w:val="24"/>
      <w:szCs w:val="24"/>
      <w:shd w:val="pct20" w:color="auto" w:fill="auto"/>
    </w:rPr>
  </w:style>
  <w:style w:type="character" w:customStyle="1" w:styleId="ptext-14">
    <w:name w:val="ptext-14"/>
    <w:rsid w:val="00C6287D"/>
  </w:style>
  <w:style w:type="paragraph" w:customStyle="1" w:styleId="ColorfulList-Accent11">
    <w:name w:val="Colorful List - Accent 11"/>
    <w:basedOn w:val="Normal"/>
    <w:uiPriority w:val="34"/>
    <w:qFormat/>
    <w:rsid w:val="00C6287D"/>
    <w:pPr>
      <w:ind w:left="720"/>
      <w:contextualSpacing/>
    </w:pPr>
    <w:rPr>
      <w:snapToGrid/>
    </w:rPr>
  </w:style>
  <w:style w:type="paragraph" w:customStyle="1" w:styleId="ColorfulShading-Accent11">
    <w:name w:val="Colorful Shading - Accent 11"/>
    <w:hidden/>
    <w:uiPriority w:val="99"/>
    <w:semiHidden/>
    <w:rsid w:val="00C6287D"/>
    <w:rPr>
      <w:snapToGrid w:val="0"/>
      <w:kern w:val="28"/>
      <w:sz w:val="22"/>
    </w:rPr>
  </w:style>
  <w:style w:type="table" w:customStyle="1" w:styleId="TableGrid11">
    <w:name w:val="Table Grid11"/>
    <w:basedOn w:val="TableNormal"/>
    <w:next w:val="TableGrid"/>
    <w:uiPriority w:val="59"/>
    <w:rsid w:val="00C628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hltextactive">
    <w:name w:val="display_hl_text_active"/>
    <w:rsid w:val="00C6287D"/>
  </w:style>
  <w:style w:type="character" w:customStyle="1" w:styleId="displayhltext">
    <w:name w:val="display_hl_text"/>
    <w:rsid w:val="00C6287D"/>
  </w:style>
  <w:style w:type="character" w:customStyle="1" w:styleId="Mention2">
    <w:name w:val="Mention2"/>
    <w:uiPriority w:val="99"/>
    <w:semiHidden/>
    <w:unhideWhenUsed/>
    <w:rsid w:val="00C6287D"/>
    <w:rPr>
      <w:color w:val="2B579A"/>
      <w:shd w:val="clear" w:color="auto" w:fill="E6E6E6"/>
    </w:rPr>
  </w:style>
  <w:style w:type="paragraph" w:customStyle="1" w:styleId="xmsonormal">
    <w:name w:val="x_msonormal"/>
    <w:basedOn w:val="Normal"/>
    <w:rsid w:val="00C6287D"/>
    <w:rPr>
      <w:rFonts w:cs="Calibri"/>
    </w:rPr>
  </w:style>
  <w:style w:type="character" w:customStyle="1" w:styleId="Normal11">
    <w:name w:val="Normal11"/>
    <w:uiPriority w:val="99"/>
    <w:rsid w:val="00C6287D"/>
    <w:rPr>
      <w:rFonts w:ascii="Times New Roman" w:hAnsi="Times New Roman"/>
      <w:sz w:val="22"/>
      <w:lang w:val="en-US"/>
    </w:rPr>
  </w:style>
  <w:style w:type="table" w:styleId="MediumGrid3Accent5">
    <w:name w:val="Medium Grid 3 Accent 5"/>
    <w:basedOn w:val="TableNormal"/>
    <w:uiPriority w:val="69"/>
    <w:rsid w:val="00C6287D"/>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4">
    <w:name w:val="Medium Grid 3 Accent 4"/>
    <w:basedOn w:val="TableNormal"/>
    <w:uiPriority w:val="69"/>
    <w:rsid w:val="00C6287D"/>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article-meta-name">
    <w:name w:val="article-meta-name"/>
    <w:uiPriority w:val="99"/>
    <w:rsid w:val="00C6287D"/>
  </w:style>
  <w:style w:type="character" w:styleId="BookTitle">
    <w:name w:val="Book Title"/>
    <w:uiPriority w:val="33"/>
    <w:qFormat/>
    <w:rsid w:val="00C6287D"/>
    <w:rPr>
      <w:b/>
      <w:bCs/>
      <w:smallCaps/>
      <w:spacing w:val="5"/>
    </w:rPr>
  </w:style>
  <w:style w:type="table" w:customStyle="1" w:styleId="MediumGrid3-Accent41">
    <w:name w:val="Medium Grid 3 - Accent 41"/>
    <w:basedOn w:val="TableNormal"/>
    <w:next w:val="MediumGrid3Accent4"/>
    <w:uiPriority w:val="69"/>
    <w:rsid w:val="00C6287D"/>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popupreg14text">
    <w:name w:val="popupreg14text"/>
    <w:rsid w:val="00C6287D"/>
  </w:style>
  <w:style w:type="table" w:styleId="LightGridAccent4">
    <w:name w:val="Light Grid Accent 4"/>
    <w:basedOn w:val="TableNormal"/>
    <w:uiPriority w:val="62"/>
    <w:rsid w:val="00C6287D"/>
    <w:rPr>
      <w:rFonts w:ascii="Calibri" w:eastAsia="Calibri" w:hAnsi="Calibri"/>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3-Accent51">
    <w:name w:val="Medium Grid 3 - Accent 51"/>
    <w:basedOn w:val="TableNormal"/>
    <w:next w:val="MediumGrid3Accent5"/>
    <w:uiPriority w:val="69"/>
    <w:rsid w:val="00C6287D"/>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xl65">
    <w:name w:val="xl65"/>
    <w:basedOn w:val="Normal"/>
    <w:rsid w:val="00C6287D"/>
    <w:pPr>
      <w:spacing w:before="100" w:beforeAutospacing="1" w:after="100" w:afterAutospacing="1"/>
    </w:pPr>
    <w:rPr>
      <w:sz w:val="24"/>
      <w:szCs w:val="24"/>
    </w:rPr>
  </w:style>
  <w:style w:type="character" w:customStyle="1" w:styleId="CommentTextChar2">
    <w:name w:val="Comment Text Char2"/>
    <w:uiPriority w:val="99"/>
    <w:locked/>
    <w:rsid w:val="00C6287D"/>
    <w:rPr>
      <w:rFonts w:eastAsia="SimSun"/>
      <w:kern w:val="28"/>
    </w:rPr>
  </w:style>
  <w:style w:type="paragraph" w:customStyle="1" w:styleId="TopHeaderStyle">
    <w:name w:val="Top Header Style"/>
    <w:basedOn w:val="Heading1"/>
    <w:uiPriority w:val="99"/>
    <w:rsid w:val="00C6287D"/>
    <w:pPr>
      <w:numPr>
        <w:numId w:val="16"/>
      </w:numPr>
      <w:tabs>
        <w:tab w:val="clear" w:pos="180"/>
        <w:tab w:val="num" w:pos="360"/>
        <w:tab w:val="num" w:pos="720"/>
      </w:tabs>
      <w:ind w:left="720" w:hanging="720"/>
    </w:pPr>
  </w:style>
  <w:style w:type="character" w:customStyle="1" w:styleId="StyleParaNumChar">
    <w:name w:val="Style ParaNum + Char"/>
    <w:link w:val="StyleParaNum"/>
    <w:uiPriority w:val="99"/>
    <w:locked/>
    <w:rsid w:val="00C6287D"/>
    <w:rPr>
      <w:rFonts w:ascii="SimSun" w:eastAsia="SimSun" w:hAnsi="SimSun"/>
      <w:kern w:val="28"/>
    </w:rPr>
  </w:style>
  <w:style w:type="paragraph" w:customStyle="1" w:styleId="StyleParaNum">
    <w:name w:val="Style ParaNum +"/>
    <w:basedOn w:val="ParaNum"/>
    <w:link w:val="StyleParaNumChar"/>
    <w:autoRedefine/>
    <w:uiPriority w:val="99"/>
    <w:rsid w:val="00C6287D"/>
    <w:pPr>
      <w:numPr>
        <w:numId w:val="15"/>
      </w:numPr>
      <w:tabs>
        <w:tab w:val="num" w:pos="360"/>
      </w:tabs>
      <w:ind w:left="360" w:hanging="360"/>
    </w:pPr>
    <w:rPr>
      <w:rFonts w:ascii="SimSun" w:eastAsia="SimSun" w:hAnsi="SimSun"/>
      <w:snapToGrid/>
      <w:sz w:val="20"/>
    </w:rPr>
  </w:style>
  <w:style w:type="character" w:customStyle="1" w:styleId="CommentTextChar1">
    <w:name w:val="Comment Text Char1"/>
    <w:uiPriority w:val="99"/>
    <w:locked/>
    <w:rsid w:val="00C6287D"/>
    <w:rPr>
      <w:rFonts w:ascii="Times New Roman" w:eastAsia="SimSun" w:hAnsi="Times New Roman" w:cs="Times New Roman"/>
      <w:kern w:val="28"/>
      <w:sz w:val="20"/>
      <w:szCs w:val="20"/>
    </w:rPr>
  </w:style>
  <w:style w:type="character" w:customStyle="1" w:styleId="StyleFootnoteReferenceAppelnotedebasdepStyle12NECGFoo">
    <w:name w:val="Style Footnote ReferenceAppel note de bas de pStyle 12(NECG) Foo..."/>
    <w:uiPriority w:val="99"/>
    <w:rsid w:val="00C6287D"/>
    <w:rPr>
      <w:rFonts w:ascii="Times New Roman" w:eastAsia="SimSun" w:hAnsi="Times New Roman"/>
      <w:color w:val="auto"/>
      <w:sz w:val="22"/>
      <w:vertAlign w:val="superscript"/>
    </w:rPr>
  </w:style>
  <w:style w:type="table" w:customStyle="1" w:styleId="MediumGrid3-Accent52">
    <w:name w:val="Medium Grid 3 - Accent 52"/>
    <w:basedOn w:val="TableNormal"/>
    <w:next w:val="MediumGrid3Accent5"/>
    <w:uiPriority w:val="69"/>
    <w:rsid w:val="00C6287D"/>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NoList3">
    <w:name w:val="No List3"/>
    <w:next w:val="NoList"/>
    <w:uiPriority w:val="99"/>
    <w:semiHidden/>
    <w:unhideWhenUsed/>
    <w:rsid w:val="00C6287D"/>
  </w:style>
  <w:style w:type="numbering" w:customStyle="1" w:styleId="NoList111">
    <w:name w:val="No List111"/>
    <w:next w:val="NoList"/>
    <w:uiPriority w:val="99"/>
    <w:semiHidden/>
    <w:unhideWhenUsed/>
    <w:rsid w:val="00C6287D"/>
  </w:style>
  <w:style w:type="numbering" w:customStyle="1" w:styleId="NoList21">
    <w:name w:val="No List21"/>
    <w:next w:val="NoList"/>
    <w:uiPriority w:val="99"/>
    <w:semiHidden/>
    <w:unhideWhenUsed/>
    <w:rsid w:val="00C6287D"/>
  </w:style>
  <w:style w:type="table" w:customStyle="1" w:styleId="MediumGrid3-Accent53">
    <w:name w:val="Medium Grid 3 - Accent 53"/>
    <w:basedOn w:val="TableNormal"/>
    <w:next w:val="MediumGrid3Accent5"/>
    <w:uiPriority w:val="69"/>
    <w:rsid w:val="00C6287D"/>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pp-place-title">
    <w:name w:val="pp-place-title"/>
    <w:rsid w:val="00C6287D"/>
  </w:style>
  <w:style w:type="table" w:styleId="ColorfulShadingAccent4">
    <w:name w:val="Colorful Shading Accent 4"/>
    <w:basedOn w:val="TableNormal"/>
    <w:uiPriority w:val="71"/>
    <w:rsid w:val="00C6287D"/>
    <w:rPr>
      <w:rFonts w:ascii="Calibri" w:eastAsia="Calibri" w:hAnsi="Calibri"/>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MediumGrid3-Accent42">
    <w:name w:val="Medium Grid 3 - Accent 42"/>
    <w:basedOn w:val="TableNormal"/>
    <w:next w:val="MediumGrid3Accent4"/>
    <w:uiPriority w:val="69"/>
    <w:rsid w:val="00C6287D"/>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yleParaNumTimesNewRoman11pt">
    <w:name w:val="Style ParaNum + Times New Roman 11 pt"/>
    <w:basedOn w:val="ParaNum"/>
    <w:link w:val="StyleParaNumTimesNewRoman11ptChar"/>
    <w:autoRedefine/>
    <w:rsid w:val="00C6287D"/>
    <w:pPr>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C6287D"/>
    <w:rPr>
      <w:kern w:val="28"/>
      <w:sz w:val="22"/>
    </w:rPr>
  </w:style>
  <w:style w:type="paragraph" w:customStyle="1" w:styleId="footnotedescription">
    <w:name w:val="footnote description"/>
    <w:next w:val="Normal"/>
    <w:link w:val="footnotedescriptionChar"/>
    <w:hidden/>
    <w:rsid w:val="00C6287D"/>
    <w:pPr>
      <w:spacing w:after="93" w:line="259" w:lineRule="auto"/>
      <w:ind w:left="1"/>
    </w:pPr>
    <w:rPr>
      <w:color w:val="000000"/>
      <w:szCs w:val="22"/>
    </w:rPr>
  </w:style>
  <w:style w:type="character" w:customStyle="1" w:styleId="footnotedescriptionChar">
    <w:name w:val="footnote description Char"/>
    <w:link w:val="footnotedescription"/>
    <w:rsid w:val="00C6287D"/>
    <w:rPr>
      <w:color w:val="000000"/>
      <w:szCs w:val="22"/>
    </w:rPr>
  </w:style>
  <w:style w:type="character" w:customStyle="1" w:styleId="footnotemark">
    <w:name w:val="footnote mark"/>
    <w:hidden/>
    <w:rsid w:val="00C6287D"/>
    <w:rPr>
      <w:rFonts w:ascii="Times New Roman" w:eastAsia="Times New Roman" w:hAnsi="Times New Roman" w:cs="Times New Roman"/>
      <w:color w:val="000000"/>
      <w:sz w:val="20"/>
      <w:vertAlign w:val="superscript"/>
    </w:rPr>
  </w:style>
  <w:style w:type="character" w:customStyle="1" w:styleId="StyleTimesNewRomanBold11ptBold">
    <w:name w:val="Style Times New Roman Bold 11 pt Bold"/>
    <w:rsid w:val="00C6287D"/>
    <w:rPr>
      <w:rFonts w:hAnsi="Times New Roman Bold"/>
      <w:b/>
      <w:bCs/>
      <w:caps/>
      <w:sz w:val="22"/>
      <w:szCs w:val="22"/>
    </w:rPr>
  </w:style>
  <w:style w:type="table" w:styleId="GridTable5DarkAccent1">
    <w:name w:val="Grid Table 5 Dark Accent 1"/>
    <w:basedOn w:val="TableNormal"/>
    <w:uiPriority w:val="50"/>
    <w:rsid w:val="00C6287D"/>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GridTable5DarkAccent6">
    <w:name w:val="Grid Table 5 Dark Accent 6"/>
    <w:basedOn w:val="TableNormal"/>
    <w:uiPriority w:val="50"/>
    <w:rsid w:val="00C6287D"/>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styleId="GridTable5DarkAccent3">
    <w:name w:val="Grid Table 5 Dark Accent 3"/>
    <w:basedOn w:val="TableNormal"/>
    <w:uiPriority w:val="50"/>
    <w:rsid w:val="00C6287D"/>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ListTable1LightAccent4">
    <w:name w:val="List Table 1 Light Accent 4"/>
    <w:basedOn w:val="TableNormal"/>
    <w:uiPriority w:val="46"/>
    <w:rsid w:val="00C6287D"/>
    <w:rPr>
      <w:rFonts w:ascii="Calibri" w:eastAsia="Calibri" w:hAnsi="Calibri"/>
      <w:sz w:val="22"/>
      <w:szCs w:val="22"/>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4Accent3">
    <w:name w:val="Grid Table 4 Accent 3"/>
    <w:basedOn w:val="TableNormal"/>
    <w:uiPriority w:val="49"/>
    <w:rsid w:val="00C6287D"/>
    <w:rPr>
      <w:rFonts w:ascii="Calibri" w:eastAsia="Calibri" w:hAnsi="Calibri"/>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Mention3">
    <w:name w:val="Mention3"/>
    <w:uiPriority w:val="99"/>
    <w:semiHidden/>
    <w:unhideWhenUsed/>
    <w:rsid w:val="00C6287D"/>
    <w:rPr>
      <w:color w:val="2B579A"/>
      <w:shd w:val="clear" w:color="auto" w:fill="E6E6E6"/>
    </w:rPr>
  </w:style>
  <w:style w:type="character" w:customStyle="1" w:styleId="Mention4">
    <w:name w:val="Mention4"/>
    <w:uiPriority w:val="99"/>
    <w:semiHidden/>
    <w:unhideWhenUsed/>
    <w:rsid w:val="00C6287D"/>
    <w:rPr>
      <w:color w:val="2B579A"/>
      <w:shd w:val="clear" w:color="auto" w:fill="E6E6E6"/>
    </w:rPr>
  </w:style>
  <w:style w:type="character" w:customStyle="1" w:styleId="Mention5">
    <w:name w:val="Mention5"/>
    <w:uiPriority w:val="99"/>
    <w:semiHidden/>
    <w:unhideWhenUsed/>
    <w:rsid w:val="00C6287D"/>
    <w:rPr>
      <w:color w:val="2B579A"/>
      <w:shd w:val="clear" w:color="auto" w:fill="E6E6E6"/>
    </w:rPr>
  </w:style>
  <w:style w:type="character" w:customStyle="1" w:styleId="Mention6">
    <w:name w:val="Mention6"/>
    <w:uiPriority w:val="99"/>
    <w:semiHidden/>
    <w:unhideWhenUsed/>
    <w:rsid w:val="00C6287D"/>
    <w:rPr>
      <w:color w:val="2B579A"/>
      <w:shd w:val="clear" w:color="auto" w:fill="E6E6E6"/>
    </w:rPr>
  </w:style>
  <w:style w:type="table" w:customStyle="1" w:styleId="GridTable5Dark-Accent11">
    <w:name w:val="Grid Table 5 Dark - Accent 11"/>
    <w:basedOn w:val="TableNormal"/>
    <w:next w:val="GridTable5DarkAccent1"/>
    <w:uiPriority w:val="50"/>
    <w:rsid w:val="00C6287D"/>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item-value">
    <w:name w:val="item-value"/>
    <w:rsid w:val="00C6287D"/>
  </w:style>
  <w:style w:type="numbering" w:customStyle="1" w:styleId="1111111">
    <w:name w:val="1 / 1.1 / 1.1.11"/>
    <w:basedOn w:val="NoList"/>
    <w:next w:val="111111"/>
    <w:rsid w:val="00C6287D"/>
  </w:style>
  <w:style w:type="table" w:customStyle="1" w:styleId="GridTable5Dark-Accent61">
    <w:name w:val="Grid Table 5 Dark - Accent 61"/>
    <w:basedOn w:val="TableNormal"/>
    <w:uiPriority w:val="50"/>
    <w:rsid w:val="00C6287D"/>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31">
    <w:name w:val="Grid Table 5 Dark - Accent 31"/>
    <w:basedOn w:val="TableNormal"/>
    <w:uiPriority w:val="50"/>
    <w:rsid w:val="00C6287D"/>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ListTable1Light-Accent41">
    <w:name w:val="List Table 1 Light - Accent 41"/>
    <w:basedOn w:val="TableNormal"/>
    <w:uiPriority w:val="46"/>
    <w:rsid w:val="00C6287D"/>
    <w:rPr>
      <w:rFonts w:ascii="Calibri" w:eastAsia="Calibri" w:hAnsi="Calibri"/>
      <w:sz w:val="22"/>
      <w:szCs w:val="22"/>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4-Accent31">
    <w:name w:val="Grid Table 4 - Accent 31"/>
    <w:basedOn w:val="TableNormal"/>
    <w:uiPriority w:val="49"/>
    <w:rsid w:val="00C6287D"/>
    <w:rPr>
      <w:rFonts w:ascii="Calibri" w:eastAsia="Calibri" w:hAnsi="Calibri"/>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telecom.org/ustelecom-broadband-capital-expenditures-once-again-on-upward-trajectory" TargetMode="External" /><Relationship Id="rId10" Type="http://schemas.openxmlformats.org/officeDocument/2006/relationships/hyperlink" Target="https://api.ctia.org/docs/default-source/default-document-library/small-cell-deployment-regulatory-review-costs_3-12-2018.pdf" TargetMode="External" /><Relationship Id="rId11" Type="http://schemas.openxmlformats.org/officeDocument/2006/relationships/hyperlink" Target="https://ecfsapi.fcc.gov/file/107030255502405/Competitive%20Access%20to%20Broadband%20Infrastructure%20Report.pdf" TargetMode="External" /><Relationship Id="rId12" Type="http://schemas.openxmlformats.org/officeDocument/2006/relationships/hyperlink" Target="https://docs.fcc.gov/public/attachments/DOC-353840A1.pdf" TargetMode="External" /><Relationship Id="rId13" Type="http://schemas.openxmlformats.org/officeDocument/2006/relationships/hyperlink" Target="https://www.fcc.gov/sites/default/files/bdac-12-0607-2018-model-code-states-final-approved-sections.pdf" TargetMode="External" /><Relationship Id="rId14" Type="http://schemas.openxmlformats.org/officeDocument/2006/relationships/hyperlink" Target="https://www.fcc.gov/sites/default/files/bdac-12-0607-2018-model-code-states-discussion-doc.pdf" TargetMode="External" /><Relationship Id="rId15" Type="http://schemas.openxmlformats.org/officeDocument/2006/relationships/hyperlink" Target="https://www.fcc.gov/sites/default/files/bdac-07-2627-2018-harmonization-wg-model-code-states.pdf" TargetMode="External" /><Relationship Id="rId16" Type="http://schemas.openxmlformats.org/officeDocument/2006/relationships/hyperlink" Target="https://www.fcc.gov/sites/default/files/bdac-07-2627-2018-harmonization-wg-model-code-muni.pdf" TargetMode="External" /><Relationship Id="rId17" Type="http://schemas.openxmlformats.org/officeDocument/2006/relationships/hyperlink" Target="https://www.fcc.gov/sites/default/files/bdac-cabi-report-04252018.pdf" TargetMode="External" /><Relationship Id="rId18" Type="http://schemas.openxmlformats.org/officeDocument/2006/relationships/hyperlink" Target="https://www.fcc.gov/sites/default/files/bdac-regulatorybarriers-01232018.pdf" TargetMode="External" /><Relationship Id="rId19" Type="http://schemas.openxmlformats.org/officeDocument/2006/relationships/hyperlink" Target="https://www.fcc.gov/sites/default/files/bdac-07-2627-2018-rates-fees-wg-report-07242018.pdf" TargetMode="External" /><Relationship Id="rId2" Type="http://schemas.openxmlformats.org/officeDocument/2006/relationships/hyperlink" Target="https://www.fcc.gov/general/explanation-broadband-deployment-data" TargetMode="External" /><Relationship Id="rId20" Type="http://schemas.openxmlformats.org/officeDocument/2006/relationships/hyperlink" Target="http://about.att.com/story/2018/5g_cities_2018_2019.html" TargetMode="External" /><Relationship Id="rId21" Type="http://schemas.openxmlformats.org/officeDocument/2006/relationships/hyperlink" Target="https://www.fool.com/investing/2018/08/18/what-to-expect-when-verizon-launches-its-5g-networ.aspx" TargetMode="External" /><Relationship Id="rId22" Type="http://schemas.openxmlformats.org/officeDocument/2006/relationships/hyperlink" Target="https://www.fiercewireless.com/wireless/sprint-cto-explains-how-it-plans-to-win-5g-race" TargetMode="External" /><Relationship Id="rId23" Type="http://schemas.openxmlformats.org/officeDocument/2006/relationships/hyperlink" Target="https://www.smartresilient.com/delaware-announces-rfp-broadband-expansion" TargetMode="External" /><Relationship Id="rId24" Type="http://schemas.openxmlformats.org/officeDocument/2006/relationships/hyperlink" Target="https://www.smartresilient.com/broadband-expansion-gains-momentum-across-us" TargetMode="External" /><Relationship Id="rId25" Type="http://schemas.openxmlformats.org/officeDocument/2006/relationships/hyperlink" Target="https://www.lightwaveonline.com/articles/2018/08/middle-tennessee-electric-united-communications-pair-for-broadband-expansion.html" TargetMode="External" /><Relationship Id="rId26" Type="http://schemas.openxmlformats.org/officeDocument/2006/relationships/hyperlink" Target="https://docs.fcc.gov/public/attachments/DOC-356271A1.pdf" TargetMode="External" /><Relationship Id="rId27" Type="http://schemas.openxmlformats.org/officeDocument/2006/relationships/hyperlink" Target="https://www.freepress.net/sites/default/files/2019-03/free_press_706_report_form_477_erroneous_data_ex_parte.pdf" TargetMode="External" /><Relationship Id="rId28" Type="http://schemas.openxmlformats.org/officeDocument/2006/relationships/hyperlink" Target="https://www.multichannel.com/news/sen-tester-fccs-broadband-maps-stink" TargetMode="External" /><Relationship Id="rId29" Type="http://schemas.openxmlformats.org/officeDocument/2006/relationships/hyperlink" Target="https://www.agriculture.senate.gov/hearings/implementing-the-agriculture-improvement-act-of-2018" TargetMode="External" /><Relationship Id="rId3" Type="http://schemas.openxmlformats.org/officeDocument/2006/relationships/hyperlink" Target="https://transition.fcc.gov/form477/477inst.pdf" TargetMode="External" /><Relationship Id="rId30" Type="http://schemas.openxmlformats.org/officeDocument/2006/relationships/hyperlink" Target="https://www.census.gov/prod/cen2010/doc/sf1.pdf" TargetMode="External" /><Relationship Id="rId4" Type="http://schemas.openxmlformats.org/officeDocument/2006/relationships/hyperlink" Target="https://www.census.gov/programs-surveys/cps/technical-documentation/subject-definitions.html%23household" TargetMode="External" /><Relationship Id="rId5" Type="http://schemas.openxmlformats.org/officeDocument/2006/relationships/hyperlink" Target="https://www.fcc.gov/reports-research/data/staff-block-estimates" TargetMode="External" /><Relationship Id="rId6" Type="http://schemas.openxmlformats.org/officeDocument/2006/relationships/hyperlink" Target="https://docs.fcc.gov/public/attachments/DOC-355447A1.pdf" TargetMode="External" /><Relationship Id="rId7" Type="http://schemas.openxmlformats.org/officeDocument/2006/relationships/hyperlink" Target="https://s3-us-west-1.amazonaws.com/esh-sots-pdfs/2018%20State%20of%20the%20States.pdf" TargetMode="External" /><Relationship Id="rId8" Type="http://schemas.openxmlformats.org/officeDocument/2006/relationships/hyperlink" Target="https://www.cosn.org/sites/default/files/CoSNs%202018%202019%20Annual%20Infrastructure%20Survey%20Report%20final_0.pdf" TargetMode="External" /><Relationship Id="rId9" Type="http://schemas.openxmlformats.org/officeDocument/2006/relationships/hyperlink" Target="https://s3-us-west-1.amazonaws.com/esh-sots-pdfs/methodology_2018_state_of_the_states.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