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671EE" w:rsidRPr="00B40126" w:rsidP="005B4473" w14:paraId="59F8601F" w14:textId="77777777">
      <w:pPr>
        <w:jc w:val="center"/>
        <w:rPr>
          <w:b/>
        </w:rPr>
      </w:pPr>
      <w:r w:rsidRPr="00B40126">
        <w:rPr>
          <w:b/>
        </w:rPr>
        <w:t>Before the</w:t>
      </w:r>
    </w:p>
    <w:p w:rsidR="00B671EE" w:rsidRPr="00B40126" w:rsidP="005B4473" w14:paraId="288C5BF5" w14:textId="77777777">
      <w:pPr>
        <w:pStyle w:val="StyleBoldCentered"/>
        <w:rPr>
          <w:rFonts w:ascii="Times New Roman" w:hAnsi="Times New Roman"/>
        </w:rPr>
      </w:pPr>
      <w:r w:rsidRPr="00B40126">
        <w:rPr>
          <w:rFonts w:ascii="Times New Roman" w:hAnsi="Times New Roman"/>
        </w:rPr>
        <w:t>F</w:t>
      </w:r>
      <w:r w:rsidRPr="00B40126">
        <w:rPr>
          <w:rFonts w:ascii="Times New Roman" w:hAnsi="Times New Roman"/>
          <w:caps w:val="0"/>
        </w:rPr>
        <w:t>ederal Communications Commission</w:t>
      </w:r>
    </w:p>
    <w:p w:rsidR="00B671EE" w:rsidRPr="00B40126" w:rsidP="005B4473" w14:paraId="2BB07F8D" w14:textId="77777777">
      <w:pPr>
        <w:jc w:val="center"/>
        <w:rPr>
          <w:b/>
        </w:rPr>
      </w:pPr>
      <w:r w:rsidRPr="00B40126">
        <w:rPr>
          <w:b/>
        </w:rPr>
        <w:t xml:space="preserve">Washington, DC 20554 </w:t>
      </w:r>
    </w:p>
    <w:p w:rsidR="00B671EE" w:rsidRPr="00B40126" w:rsidP="005B4473" w14:paraId="2D1A0AE2" w14:textId="77777777">
      <w:pPr>
        <w:ind w:left="90"/>
      </w:pPr>
    </w:p>
    <w:tbl>
      <w:tblPr>
        <w:tblW w:w="0" w:type="auto"/>
        <w:tblLayout w:type="fixed"/>
        <w:tblLook w:val="0000"/>
      </w:tblPr>
      <w:tblGrid>
        <w:gridCol w:w="4518"/>
        <w:gridCol w:w="630"/>
        <w:gridCol w:w="4248"/>
      </w:tblGrid>
      <w:tr w14:paraId="61493E37" w14:textId="77777777" w:rsidTr="00CA34D4">
        <w:tblPrEx>
          <w:tblW w:w="0" w:type="auto"/>
          <w:tblLayout w:type="fixed"/>
          <w:tblLook w:val="0000"/>
        </w:tblPrEx>
        <w:tc>
          <w:tcPr>
            <w:tcW w:w="4518" w:type="dxa"/>
          </w:tcPr>
          <w:p w:rsidR="00B671EE" w:rsidRPr="00B40126" w:rsidP="005B4473" w14:paraId="5B203E97" w14:textId="77777777">
            <w:pPr>
              <w:tabs>
                <w:tab w:val="center" w:pos="4680"/>
              </w:tabs>
              <w:suppressAutoHyphens/>
              <w:rPr>
                <w:rFonts w:eastAsia="Calibri"/>
                <w:spacing w:val="-2"/>
              </w:rPr>
            </w:pPr>
          </w:p>
          <w:p w:rsidR="00B671EE" w:rsidRPr="00B40126" w:rsidP="005B4473" w14:paraId="7F0E136C" w14:textId="77777777">
            <w:pPr>
              <w:rPr>
                <w:rFonts w:eastAsia="Calibri"/>
              </w:rPr>
            </w:pPr>
            <w:r w:rsidRPr="00B40126">
              <w:rPr>
                <w:rFonts w:eastAsia="Calibri"/>
              </w:rPr>
              <w:t>In the Matter of</w:t>
            </w:r>
          </w:p>
          <w:p w:rsidR="00B671EE" w:rsidRPr="00B40126" w:rsidP="005B4473" w14:paraId="5A0C1E01" w14:textId="77777777">
            <w:pPr>
              <w:rPr>
                <w:rFonts w:eastAsia="Calibri"/>
              </w:rPr>
            </w:pPr>
          </w:p>
          <w:p w:rsidR="00B671EE" w:rsidRPr="00B40126" w:rsidP="005B4473" w14:paraId="1DE7EB4D" w14:textId="77777777">
            <w:pPr>
              <w:rPr>
                <w:rFonts w:eastAsia="Calibri"/>
              </w:rPr>
            </w:pPr>
            <w:r w:rsidRPr="00B40126">
              <w:rPr>
                <w:rFonts w:eastAsia="Calibri"/>
              </w:rPr>
              <w:t>Kenai Educational Media, Inc.</w:t>
            </w:r>
          </w:p>
          <w:p w:rsidR="00B671EE" w:rsidRPr="00B40126" w:rsidP="005B4473" w14:paraId="653AA1C4" w14:textId="77777777">
            <w:pPr>
              <w:rPr>
                <w:rFonts w:eastAsia="Calibri"/>
              </w:rPr>
            </w:pPr>
          </w:p>
          <w:p w:rsidR="00B671EE" w:rsidRPr="00B40126" w:rsidP="005B4473" w14:paraId="155CD045" w14:textId="77777777">
            <w:pPr>
              <w:rPr>
                <w:rFonts w:eastAsia="Calibri"/>
              </w:rPr>
            </w:pPr>
            <w:r w:rsidRPr="00B40126">
              <w:rPr>
                <w:rFonts w:eastAsia="Calibri"/>
              </w:rPr>
              <w:t>Licensee of Station KIBH-FM</w:t>
            </w:r>
          </w:p>
          <w:p w:rsidR="00B671EE" w:rsidRPr="00B40126" w:rsidP="005B4473" w14:paraId="24AEA868" w14:textId="77777777">
            <w:pPr>
              <w:rPr>
                <w:rFonts w:eastAsia="Calibri"/>
              </w:rPr>
            </w:pPr>
            <w:r w:rsidRPr="00B40126">
              <w:rPr>
                <w:rFonts w:eastAsia="Calibri"/>
              </w:rPr>
              <w:t>Seward, Alaska</w:t>
            </w:r>
          </w:p>
          <w:p w:rsidR="00B671EE" w:rsidRPr="00B40126" w:rsidP="005B4473" w14:paraId="5B7F603E" w14:textId="77777777">
            <w:pPr>
              <w:tabs>
                <w:tab w:val="center" w:pos="4680"/>
              </w:tabs>
              <w:suppressAutoHyphens/>
              <w:rPr>
                <w:rFonts w:eastAsia="Calibri"/>
                <w:spacing w:val="-2"/>
              </w:rPr>
            </w:pPr>
          </w:p>
        </w:tc>
        <w:tc>
          <w:tcPr>
            <w:tcW w:w="630" w:type="dxa"/>
          </w:tcPr>
          <w:p w:rsidR="00B671EE" w:rsidRPr="00B40126" w:rsidP="005B4473" w14:paraId="409C08C9" w14:textId="77777777">
            <w:pPr>
              <w:tabs>
                <w:tab w:val="center" w:pos="4680"/>
              </w:tabs>
              <w:suppressAutoHyphens/>
              <w:rPr>
                <w:rFonts w:eastAsia="Calibri"/>
              </w:rPr>
            </w:pPr>
          </w:p>
          <w:p w:rsidR="00B671EE" w:rsidRPr="00B40126" w:rsidP="005B4473" w14:paraId="3D09CDD4" w14:textId="77777777">
            <w:pPr>
              <w:tabs>
                <w:tab w:val="center" w:pos="4680"/>
              </w:tabs>
              <w:suppressAutoHyphens/>
              <w:rPr>
                <w:rFonts w:eastAsia="Calibri"/>
              </w:rPr>
            </w:pPr>
            <w:r w:rsidRPr="00B40126">
              <w:rPr>
                <w:rFonts w:eastAsia="Calibri"/>
              </w:rPr>
              <w:t xml:space="preserve">  )</w:t>
            </w:r>
          </w:p>
          <w:p w:rsidR="00B671EE" w:rsidRPr="00B40126" w:rsidP="005B4473" w14:paraId="3C2A0A71" w14:textId="77777777">
            <w:pPr>
              <w:tabs>
                <w:tab w:val="center" w:pos="4680"/>
              </w:tabs>
              <w:suppressAutoHyphens/>
              <w:rPr>
                <w:rFonts w:eastAsia="Calibri"/>
              </w:rPr>
            </w:pPr>
            <w:r w:rsidRPr="00B40126">
              <w:rPr>
                <w:rFonts w:eastAsia="Calibri"/>
              </w:rPr>
              <w:t xml:space="preserve">  )</w:t>
            </w:r>
          </w:p>
          <w:p w:rsidR="00B671EE" w:rsidRPr="00B40126" w:rsidP="005B4473" w14:paraId="33DF7561" w14:textId="77777777">
            <w:pPr>
              <w:tabs>
                <w:tab w:val="center" w:pos="4680"/>
              </w:tabs>
              <w:suppressAutoHyphens/>
              <w:rPr>
                <w:rFonts w:eastAsia="Calibri"/>
              </w:rPr>
            </w:pPr>
            <w:r w:rsidRPr="00B40126">
              <w:rPr>
                <w:rFonts w:eastAsia="Calibri"/>
              </w:rPr>
              <w:t xml:space="preserve">  )</w:t>
            </w:r>
          </w:p>
          <w:p w:rsidR="00B671EE" w:rsidRPr="00B40126" w:rsidP="005B4473" w14:paraId="1EA6EC66" w14:textId="77777777">
            <w:pPr>
              <w:tabs>
                <w:tab w:val="center" w:pos="4680"/>
              </w:tabs>
              <w:suppressAutoHyphens/>
              <w:rPr>
                <w:rFonts w:eastAsia="Calibri"/>
              </w:rPr>
            </w:pPr>
            <w:r w:rsidRPr="00B40126">
              <w:rPr>
                <w:rFonts w:eastAsia="Calibri"/>
              </w:rPr>
              <w:t xml:space="preserve">  )</w:t>
            </w:r>
          </w:p>
          <w:p w:rsidR="00B671EE" w:rsidRPr="00B40126" w:rsidP="005B4473" w14:paraId="04C7B696" w14:textId="77777777">
            <w:pPr>
              <w:tabs>
                <w:tab w:val="center" w:pos="4680"/>
              </w:tabs>
              <w:suppressAutoHyphens/>
              <w:rPr>
                <w:rFonts w:eastAsia="Calibri"/>
              </w:rPr>
            </w:pPr>
            <w:r w:rsidRPr="00B40126">
              <w:rPr>
                <w:rFonts w:eastAsia="Calibri"/>
              </w:rPr>
              <w:t xml:space="preserve">  )</w:t>
            </w:r>
          </w:p>
          <w:p w:rsidR="00B671EE" w:rsidRPr="00B40126" w:rsidP="005B4473" w14:paraId="7CB44E70" w14:textId="77777777">
            <w:pPr>
              <w:tabs>
                <w:tab w:val="center" w:pos="4680"/>
              </w:tabs>
              <w:suppressAutoHyphens/>
              <w:rPr>
                <w:rFonts w:eastAsia="Calibri"/>
              </w:rPr>
            </w:pPr>
            <w:r w:rsidRPr="00B40126">
              <w:rPr>
                <w:rFonts w:eastAsia="Calibri"/>
              </w:rPr>
              <w:t xml:space="preserve">  )</w:t>
            </w:r>
          </w:p>
          <w:p w:rsidR="00B671EE" w:rsidRPr="00B40126" w:rsidP="005B4473" w14:paraId="2C321680" w14:textId="77777777">
            <w:pPr>
              <w:tabs>
                <w:tab w:val="center" w:pos="4680"/>
              </w:tabs>
              <w:suppressAutoHyphens/>
              <w:rPr>
                <w:rFonts w:eastAsia="Calibri"/>
              </w:rPr>
            </w:pPr>
            <w:r w:rsidRPr="00B40126">
              <w:rPr>
                <w:rFonts w:eastAsia="Calibri"/>
              </w:rPr>
              <w:t xml:space="preserve">  )</w:t>
            </w:r>
          </w:p>
          <w:p w:rsidR="00B671EE" w:rsidRPr="00B40126" w:rsidP="005B4473" w14:paraId="1895F110" w14:textId="77777777">
            <w:pPr>
              <w:tabs>
                <w:tab w:val="center" w:pos="4680"/>
              </w:tabs>
              <w:suppressAutoHyphens/>
              <w:rPr>
                <w:rFonts w:eastAsia="Calibri"/>
              </w:rPr>
            </w:pPr>
            <w:r w:rsidRPr="00B40126">
              <w:rPr>
                <w:rFonts w:eastAsia="Calibri"/>
              </w:rPr>
              <w:t xml:space="preserve"> </w:t>
            </w:r>
          </w:p>
        </w:tc>
        <w:tc>
          <w:tcPr>
            <w:tcW w:w="4248" w:type="dxa"/>
          </w:tcPr>
          <w:p w:rsidR="00B671EE" w:rsidRPr="00B40126" w:rsidP="005B4473" w14:paraId="4B4DAE01" w14:textId="77777777">
            <w:pPr>
              <w:tabs>
                <w:tab w:val="center" w:pos="4680"/>
              </w:tabs>
              <w:suppressAutoHyphens/>
              <w:rPr>
                <w:rFonts w:eastAsia="Calibri"/>
              </w:rPr>
            </w:pPr>
          </w:p>
          <w:p w:rsidR="00B671EE" w:rsidRPr="00B40126" w:rsidP="005B4473" w14:paraId="7E19493B" w14:textId="77777777">
            <w:pPr>
              <w:rPr>
                <w:rFonts w:eastAsia="Calibri"/>
              </w:rPr>
            </w:pPr>
          </w:p>
          <w:p w:rsidR="00B671EE" w:rsidRPr="00B40126" w:rsidP="005B4473" w14:paraId="2B1B59B7" w14:textId="77777777">
            <w:pPr>
              <w:rPr>
                <w:rFonts w:eastAsia="Calibri"/>
              </w:rPr>
            </w:pPr>
            <w:r w:rsidRPr="00B40126">
              <w:rPr>
                <w:rFonts w:eastAsia="Calibri"/>
              </w:rPr>
              <w:t>File Nos.:  EB-FIELDWR-13-00009787</w:t>
            </w:r>
          </w:p>
          <w:p w:rsidR="00B671EE" w:rsidRPr="00B40126" w:rsidP="005B4473" w14:paraId="534D8FEE" w14:textId="77777777">
            <w:pPr>
              <w:ind w:left="720"/>
              <w:rPr>
                <w:rFonts w:eastAsia="Calibri"/>
              </w:rPr>
            </w:pPr>
            <w:r w:rsidRPr="00B40126">
              <w:rPr>
                <w:rFonts w:eastAsia="Calibri"/>
              </w:rPr>
              <w:t xml:space="preserve">     EB-FIELDWR-16-00022001</w:t>
            </w:r>
            <w:r>
              <w:rPr>
                <w:rStyle w:val="FootnoteReference"/>
                <w:sz w:val="22"/>
              </w:rPr>
              <w:footnoteReference w:id="3"/>
            </w:r>
          </w:p>
          <w:p w:rsidR="00B671EE" w:rsidRPr="00B40126" w:rsidP="005B4473" w14:paraId="61977E1E" w14:textId="77777777">
            <w:pPr>
              <w:rPr>
                <w:rFonts w:eastAsia="Calibri"/>
              </w:rPr>
            </w:pPr>
          </w:p>
          <w:p w:rsidR="00B671EE" w:rsidRPr="00B40126" w:rsidP="005B4473" w14:paraId="0BCE2AE1" w14:textId="77777777">
            <w:pPr>
              <w:rPr>
                <w:rFonts w:eastAsia="Calibri"/>
              </w:rPr>
            </w:pPr>
            <w:r w:rsidRPr="00B40126">
              <w:rPr>
                <w:rFonts w:eastAsia="Calibri"/>
              </w:rPr>
              <w:t xml:space="preserve">NAL/Acct. No.:  201732960001 </w:t>
            </w:r>
          </w:p>
          <w:p w:rsidR="00B671EE" w:rsidRPr="00B40126" w:rsidP="005B4473" w14:paraId="7F4FB561" w14:textId="77777777">
            <w:pPr>
              <w:rPr>
                <w:rFonts w:eastAsia="Calibri"/>
              </w:rPr>
            </w:pPr>
            <w:r w:rsidRPr="00B40126">
              <w:rPr>
                <w:rFonts w:eastAsia="Calibri"/>
              </w:rPr>
              <w:t>FRN:  0021903372</w:t>
            </w:r>
          </w:p>
          <w:p w:rsidR="00B671EE" w:rsidRPr="00B40126" w:rsidP="005B4473" w14:paraId="2FEE3A8F" w14:textId="77777777">
            <w:pPr>
              <w:rPr>
                <w:rFonts w:eastAsia="Calibri"/>
              </w:rPr>
            </w:pPr>
            <w:r w:rsidRPr="00B40126">
              <w:rPr>
                <w:rFonts w:eastAsia="Calibri"/>
              </w:rPr>
              <w:t xml:space="preserve">Facility ID: 176521 </w:t>
            </w:r>
          </w:p>
        </w:tc>
      </w:tr>
      <w:tr w14:paraId="17614AD3" w14:textId="77777777" w:rsidTr="00CA34D4">
        <w:tblPrEx>
          <w:tblW w:w="0" w:type="auto"/>
          <w:tblLayout w:type="fixed"/>
          <w:tblLook w:val="0000"/>
        </w:tblPrEx>
        <w:tc>
          <w:tcPr>
            <w:tcW w:w="4518" w:type="dxa"/>
          </w:tcPr>
          <w:p w:rsidR="00B671EE" w:rsidRPr="00B40126" w:rsidP="005B4473" w14:paraId="51E49BA5" w14:textId="77777777">
            <w:pPr>
              <w:tabs>
                <w:tab w:val="center" w:pos="4680"/>
              </w:tabs>
              <w:suppressAutoHyphens/>
              <w:rPr>
                <w:rFonts w:eastAsia="Calibri"/>
                <w:spacing w:val="-2"/>
              </w:rPr>
            </w:pPr>
          </w:p>
        </w:tc>
        <w:tc>
          <w:tcPr>
            <w:tcW w:w="630" w:type="dxa"/>
          </w:tcPr>
          <w:p w:rsidR="00B671EE" w:rsidRPr="00B40126" w:rsidP="005B4473" w14:paraId="4A33F6B6" w14:textId="77777777">
            <w:pPr>
              <w:tabs>
                <w:tab w:val="center" w:pos="4680"/>
              </w:tabs>
              <w:suppressAutoHyphens/>
              <w:rPr>
                <w:rFonts w:eastAsia="Calibri"/>
                <w:b/>
                <w:spacing w:val="-2"/>
              </w:rPr>
            </w:pPr>
          </w:p>
        </w:tc>
        <w:tc>
          <w:tcPr>
            <w:tcW w:w="4248" w:type="dxa"/>
          </w:tcPr>
          <w:p w:rsidR="00B671EE" w:rsidRPr="00B40126" w:rsidP="005B4473" w14:paraId="468C81ED" w14:textId="77777777">
            <w:pPr>
              <w:tabs>
                <w:tab w:val="center" w:pos="4680"/>
              </w:tabs>
              <w:suppressAutoHyphens/>
              <w:rPr>
                <w:rFonts w:eastAsia="Calibri"/>
                <w:spacing w:val="-2"/>
              </w:rPr>
            </w:pPr>
          </w:p>
        </w:tc>
      </w:tr>
    </w:tbl>
    <w:p w:rsidR="00B671EE" w:rsidRPr="00B40126" w:rsidP="005B4473" w14:paraId="0A803F72" w14:textId="77777777">
      <w:pPr>
        <w:pStyle w:val="StyleBoldCentered"/>
        <w:rPr>
          <w:rFonts w:ascii="Times New Roman" w:hAnsi="Times New Roman"/>
        </w:rPr>
      </w:pPr>
      <w:r w:rsidRPr="00B40126">
        <w:rPr>
          <w:rFonts w:ascii="Times New Roman" w:hAnsi="Times New Roman"/>
        </w:rPr>
        <w:t>ORDER</w:t>
      </w:r>
    </w:p>
    <w:p w:rsidR="00B671EE" w:rsidRPr="00B40126" w:rsidP="005B4473" w14:paraId="750EB421" w14:textId="77777777">
      <w:pPr>
        <w:pStyle w:val="StyleBoldCentered"/>
        <w:rPr>
          <w:rFonts w:ascii="Times New Roman" w:hAnsi="Times New Roman"/>
        </w:rPr>
      </w:pPr>
    </w:p>
    <w:p w:rsidR="00B671EE" w:rsidRPr="00B40126" w:rsidP="005B4473" w14:paraId="50214D46" w14:textId="7C7AFFDE">
      <w:pPr>
        <w:tabs>
          <w:tab w:val="left" w:pos="720"/>
          <w:tab w:val="right" w:pos="9360"/>
        </w:tabs>
        <w:suppressAutoHyphens/>
        <w:rPr>
          <w:spacing w:val="-2"/>
        </w:rPr>
      </w:pPr>
      <w:r w:rsidRPr="00B40126">
        <w:rPr>
          <w:b/>
          <w:spacing w:val="-2"/>
        </w:rPr>
        <w:t xml:space="preserve">Adopted:  </w:t>
      </w:r>
      <w:r w:rsidR="00DB5942">
        <w:rPr>
          <w:b/>
          <w:spacing w:val="-2"/>
        </w:rPr>
        <w:t>June</w:t>
      </w:r>
      <w:r w:rsidRPr="00B40126" w:rsidR="00BC12FE">
        <w:rPr>
          <w:b/>
          <w:spacing w:val="-2"/>
        </w:rPr>
        <w:t xml:space="preserve"> </w:t>
      </w:r>
      <w:r w:rsidR="00FC52B8">
        <w:rPr>
          <w:b/>
          <w:spacing w:val="-2"/>
        </w:rPr>
        <w:t>5</w:t>
      </w:r>
      <w:r w:rsidRPr="00B40126">
        <w:rPr>
          <w:b/>
          <w:spacing w:val="-2"/>
        </w:rPr>
        <w:t>, 201</w:t>
      </w:r>
      <w:r w:rsidRPr="00B40126" w:rsidR="00C57AFB">
        <w:rPr>
          <w:b/>
          <w:spacing w:val="-2"/>
        </w:rPr>
        <w:t>9</w:t>
      </w:r>
      <w:r w:rsidRPr="00B40126">
        <w:rPr>
          <w:b/>
          <w:spacing w:val="-2"/>
        </w:rPr>
        <w:tab/>
        <w:t xml:space="preserve">Released:  </w:t>
      </w:r>
      <w:r w:rsidR="00DB5942">
        <w:rPr>
          <w:b/>
          <w:spacing w:val="-2"/>
        </w:rPr>
        <w:t>June</w:t>
      </w:r>
      <w:r w:rsidRPr="00B40126" w:rsidR="00BC12FE">
        <w:rPr>
          <w:b/>
          <w:spacing w:val="-2"/>
        </w:rPr>
        <w:t xml:space="preserve"> </w:t>
      </w:r>
      <w:r w:rsidR="00FC52B8">
        <w:rPr>
          <w:b/>
          <w:spacing w:val="-2"/>
        </w:rPr>
        <w:t>12</w:t>
      </w:r>
      <w:bookmarkStart w:id="0" w:name="_GoBack"/>
      <w:bookmarkEnd w:id="0"/>
      <w:r w:rsidRPr="00B40126">
        <w:rPr>
          <w:b/>
          <w:spacing w:val="-2"/>
        </w:rPr>
        <w:t>, 201</w:t>
      </w:r>
      <w:r w:rsidRPr="00B40126" w:rsidR="00C57AFB">
        <w:rPr>
          <w:b/>
          <w:spacing w:val="-2"/>
        </w:rPr>
        <w:t>9</w:t>
      </w:r>
    </w:p>
    <w:p w:rsidR="00B671EE" w:rsidRPr="00B40126" w:rsidP="005B4473" w14:paraId="289E56DD" w14:textId="77777777">
      <w:pPr>
        <w:pStyle w:val="BodyText"/>
        <w:tabs>
          <w:tab w:val="left" w:pos="4680"/>
        </w:tabs>
        <w:jc w:val="center"/>
        <w:rPr>
          <w:sz w:val="22"/>
          <w:u w:val="none"/>
        </w:rPr>
      </w:pPr>
    </w:p>
    <w:p w:rsidR="00B671EE" w:rsidRPr="00B40126" w:rsidP="005B4473" w14:paraId="5D772D5B" w14:textId="77777777">
      <w:pPr>
        <w:tabs>
          <w:tab w:val="left" w:pos="720"/>
          <w:tab w:val="left" w:pos="5760"/>
        </w:tabs>
        <w:suppressAutoHyphens/>
        <w:jc w:val="both"/>
        <w:rPr>
          <w:spacing w:val="-2"/>
        </w:rPr>
      </w:pPr>
      <w:r w:rsidRPr="00B40126">
        <w:rPr>
          <w:spacing w:val="-2"/>
        </w:rPr>
        <w:t>By the Commission:</w:t>
      </w:r>
    </w:p>
    <w:p w:rsidR="00B671EE" w:rsidRPr="00B40126" w:rsidP="00B671EE" w14:paraId="4013EA6E" w14:textId="77777777">
      <w:pPr>
        <w:pStyle w:val="BodyText"/>
        <w:tabs>
          <w:tab w:val="left" w:pos="4680"/>
        </w:tabs>
        <w:rPr>
          <w:b w:val="0"/>
          <w:sz w:val="22"/>
          <w:u w:val="none"/>
        </w:rPr>
      </w:pPr>
    </w:p>
    <w:p w:rsidR="00A516A7" w:rsidRPr="00B40126" w:rsidP="002235B3" w14:paraId="571546CA" w14:textId="77777777">
      <w:pPr>
        <w:pStyle w:val="ParaNum"/>
        <w:numPr>
          <w:ilvl w:val="0"/>
          <w:numId w:val="3"/>
        </w:numPr>
        <w:tabs>
          <w:tab w:val="clear" w:pos="1080"/>
          <w:tab w:val="num" w:pos="1440"/>
        </w:tabs>
      </w:pPr>
      <w:bookmarkStart w:id="1" w:name="_Ref8737981"/>
      <w:r w:rsidRPr="00B40126">
        <w:t>The Emergency Alert System rules ensure the public can receive accurate and expedient warnings during times of emergencies</w:t>
      </w:r>
      <w:r w:rsidRPr="00B40126" w:rsidR="00095326">
        <w:t>, such as hazardous weather events</w:t>
      </w:r>
      <w:r w:rsidRPr="00B40126" w:rsidR="008C5109">
        <w:t>;</w:t>
      </w:r>
      <w:r w:rsidRPr="00B40126">
        <w:t xml:space="preserve"> the broadcast </w:t>
      </w:r>
      <w:r w:rsidRPr="00B40126" w:rsidR="00095326">
        <w:t xml:space="preserve">technical and operating </w:t>
      </w:r>
      <w:r w:rsidRPr="00B40126">
        <w:t xml:space="preserve">rules are designed </w:t>
      </w:r>
      <w:r w:rsidRPr="00B40126" w:rsidR="0063611C">
        <w:rPr>
          <w:color w:val="000000"/>
        </w:rPr>
        <w:t xml:space="preserve">to </w:t>
      </w:r>
      <w:r w:rsidRPr="00B40126" w:rsidR="00222224">
        <w:rPr>
          <w:color w:val="000000"/>
        </w:rPr>
        <w:t>ensure that a station can serve the needs of the community</w:t>
      </w:r>
      <w:r w:rsidR="00222224">
        <w:rPr>
          <w:color w:val="000000"/>
        </w:rPr>
        <w:t>,</w:t>
      </w:r>
      <w:r w:rsidRPr="00B40126" w:rsidR="00222224">
        <w:rPr>
          <w:color w:val="000000"/>
        </w:rPr>
        <w:t xml:space="preserve"> </w:t>
      </w:r>
      <w:r w:rsidRPr="00367435" w:rsidR="00222224">
        <w:rPr>
          <w:color w:val="000000"/>
        </w:rPr>
        <w:t>protect other licensees from harmful interference</w:t>
      </w:r>
      <w:r w:rsidRPr="00B40126" w:rsidR="00222224">
        <w:rPr>
          <w:color w:val="000000"/>
        </w:rPr>
        <w:t xml:space="preserve">, </w:t>
      </w:r>
      <w:r w:rsidR="00222224">
        <w:rPr>
          <w:color w:val="000000"/>
        </w:rPr>
        <w:t xml:space="preserve">and </w:t>
      </w:r>
      <w:r w:rsidRPr="00B40126" w:rsidR="00222224">
        <w:rPr>
          <w:color w:val="000000"/>
        </w:rPr>
        <w:t xml:space="preserve">provide the Commission and </w:t>
      </w:r>
      <w:r w:rsidR="00222224">
        <w:rPr>
          <w:color w:val="000000"/>
        </w:rPr>
        <w:t xml:space="preserve">the </w:t>
      </w:r>
      <w:r w:rsidRPr="00B40126" w:rsidR="00222224">
        <w:rPr>
          <w:color w:val="000000"/>
        </w:rPr>
        <w:t>public with information about station programming and operations</w:t>
      </w:r>
      <w:r w:rsidRPr="00367435" w:rsidR="00222224">
        <w:rPr>
          <w:color w:val="000000"/>
        </w:rPr>
        <w:t>;</w:t>
      </w:r>
      <w:r w:rsidRPr="00222224" w:rsidR="00222224">
        <w:t xml:space="preserve"> and the rules requiring licensees to respond to Notices of Violation and Commission requests for information ensure that the Commission receives </w:t>
      </w:r>
      <w:r w:rsidR="00222224">
        <w:t xml:space="preserve">other </w:t>
      </w:r>
      <w:r w:rsidRPr="00222224" w:rsidR="00222224">
        <w:t>required information from licensees.</w:t>
      </w:r>
      <w:r w:rsidRPr="00B40126">
        <w:t xml:space="preserve">  </w:t>
      </w:r>
      <w:r w:rsidRPr="00B40126" w:rsidR="00095326">
        <w:t xml:space="preserve">On July 19, 2017, we issued a Notice of Apparent Liability for Forfeiture and Order in the amount of $66,000 against Kenai Educational Media, Inc., </w:t>
      </w:r>
      <w:r w:rsidRPr="00B40126" w:rsidR="00DF0189">
        <w:t xml:space="preserve">(Kenai) </w:t>
      </w:r>
      <w:r w:rsidRPr="00B40126" w:rsidR="00095326">
        <w:t>licensee of Station KIBH-F</w:t>
      </w:r>
      <w:r w:rsidRPr="00B40126" w:rsidR="004558BD">
        <w:t>M, in Seward, Alaska,</w:t>
      </w:r>
      <w:r w:rsidRPr="00B40126" w:rsidR="00095326">
        <w:t xml:space="preserve"> </w:t>
      </w:r>
      <w:r w:rsidRPr="00B40126" w:rsidR="00A81181">
        <w:t xml:space="preserve">Facility Identification Number 176521 (Station), </w:t>
      </w:r>
      <w:r w:rsidRPr="00B40126" w:rsidR="00095326">
        <w:t>for apparently violating certain Emergency Alert System rules, certain broadcast technical and operating rules, and the Commission’s rules that require licensees to respond to Notices of Violation and Commission requests for information.</w:t>
      </w:r>
      <w:r>
        <w:rPr>
          <w:rStyle w:val="FootnoteReference"/>
          <w:sz w:val="22"/>
        </w:rPr>
        <w:footnoteReference w:id="4"/>
      </w:r>
      <w:r w:rsidRPr="00B40126" w:rsidR="00095326">
        <w:t xml:space="preserve">  </w:t>
      </w:r>
      <w:r w:rsidRPr="00B40126" w:rsidR="00C8709F">
        <w:t xml:space="preserve">In its NAL Response and </w:t>
      </w:r>
      <w:r w:rsidRPr="00B40126" w:rsidR="00FE45C9">
        <w:t xml:space="preserve">two supplemental filings, Kenai does not contest the violations described in the </w:t>
      </w:r>
      <w:r w:rsidRPr="00B40126" w:rsidR="00676D50">
        <w:t>Notice of Apparent Liability for Forfeiture and Order</w:t>
      </w:r>
      <w:r w:rsidRPr="00B40126" w:rsidR="00FE45C9">
        <w:t>, but instead requests that the forfeiture be reduced or cancelled due to its inability to pay.</w:t>
      </w:r>
      <w:r>
        <w:rPr>
          <w:rStyle w:val="FootnoteReference"/>
          <w:sz w:val="22"/>
        </w:rPr>
        <w:footnoteReference w:id="5"/>
      </w:r>
      <w:r w:rsidRPr="00B40126" w:rsidR="00FE45C9">
        <w:t xml:space="preserve">  After reviewing the financial information submitted by Kenai </w:t>
      </w:r>
      <w:r w:rsidRPr="00B40126" w:rsidR="00CC16E5">
        <w:t>that demonstrates its inability to pay the proposed fine</w:t>
      </w:r>
      <w:r w:rsidRPr="00B40126" w:rsidR="00FE45C9">
        <w:t xml:space="preserve"> and</w:t>
      </w:r>
      <w:r w:rsidRPr="0016302C" w:rsidR="002F2BE5">
        <w:t xml:space="preserve"> </w:t>
      </w:r>
      <w:r w:rsidRPr="00B40126" w:rsidR="0061208E">
        <w:t xml:space="preserve">because of the impact of such a fine on Kenai as a small entity and on KIBH’s ability as the only full-service radio station licensed to serve the Seward area to provide public safety alerts to local residents through </w:t>
      </w:r>
      <w:r w:rsidRPr="00B40126" w:rsidR="00FE45C9">
        <w:t xml:space="preserve">the </w:t>
      </w:r>
      <w:r w:rsidRPr="00B40126" w:rsidR="00CC16E5">
        <w:t>Emergency Alert System, t</w:t>
      </w:r>
      <w:r w:rsidRPr="00B40126">
        <w:t xml:space="preserve">he Federal Communications Commission (Commission) has entered into a Consent Decree to resolve its </w:t>
      </w:r>
      <w:r w:rsidRPr="00B40126">
        <w:t xml:space="preserve">investigation into whether </w:t>
      </w:r>
      <w:r w:rsidRPr="00B40126" w:rsidR="009066C6">
        <w:t>Kenai</w:t>
      </w:r>
      <w:r w:rsidRPr="00B40126" w:rsidR="00676D50">
        <w:t>,</w:t>
      </w:r>
      <w:r w:rsidRPr="00B40126" w:rsidR="00D06466">
        <w:t xml:space="preserve"> </w:t>
      </w:r>
      <w:r w:rsidRPr="00B40126" w:rsidR="00A81181">
        <w:t xml:space="preserve">Station </w:t>
      </w:r>
      <w:r w:rsidRPr="00B40126" w:rsidR="00D06466">
        <w:t>licensee</w:t>
      </w:r>
      <w:r w:rsidRPr="00B40126" w:rsidR="007371F9">
        <w:t>,</w:t>
      </w:r>
      <w:r w:rsidRPr="00B40126" w:rsidR="00D06466">
        <w:t xml:space="preserve"> </w:t>
      </w:r>
      <w:r w:rsidRPr="00B40126" w:rsidR="00797B49">
        <w:t xml:space="preserve">violated certain </w:t>
      </w:r>
      <w:r w:rsidRPr="00B40126">
        <w:t>p</w:t>
      </w:r>
      <w:r w:rsidRPr="00B40126" w:rsidR="00797B49">
        <w:t>art 11 EAS rules,</w:t>
      </w:r>
      <w:r>
        <w:rPr>
          <w:rStyle w:val="FootnoteReference"/>
          <w:sz w:val="22"/>
        </w:rPr>
        <w:footnoteReference w:id="6"/>
      </w:r>
      <w:r w:rsidRPr="00B40126" w:rsidR="00797B49">
        <w:t xml:space="preserve"> certain </w:t>
      </w:r>
      <w:r w:rsidRPr="00B40126">
        <w:t>p</w:t>
      </w:r>
      <w:r w:rsidRPr="00B40126" w:rsidR="00797B49">
        <w:t>art 73 broadcast technical</w:t>
      </w:r>
      <w:r>
        <w:rPr>
          <w:rStyle w:val="FootnoteReference"/>
          <w:sz w:val="22"/>
        </w:rPr>
        <w:footnoteReference w:id="7"/>
      </w:r>
      <w:r w:rsidRPr="00B40126" w:rsidR="00797B49">
        <w:t xml:space="preserve"> and operating rules,</w:t>
      </w:r>
      <w:r>
        <w:rPr>
          <w:rStyle w:val="FootnoteReference"/>
          <w:sz w:val="22"/>
        </w:rPr>
        <w:footnoteReference w:id="8"/>
      </w:r>
      <w:r w:rsidRPr="00B40126" w:rsidR="00797B49">
        <w:t xml:space="preserve"> and </w:t>
      </w:r>
      <w:r w:rsidRPr="00B40126" w:rsidR="006E3597">
        <w:t>s</w:t>
      </w:r>
      <w:r w:rsidRPr="00B40126" w:rsidR="00797B49">
        <w:t>ections 1.89(b) and 73.1015 of the Commission’s rules</w:t>
      </w:r>
      <w:r w:rsidRPr="00B40126" w:rsidR="00A96B79">
        <w:t>, which</w:t>
      </w:r>
      <w:r w:rsidRPr="00B40126" w:rsidR="00797B49">
        <w:t xml:space="preserve"> require licensees to respond to </w:t>
      </w:r>
      <w:r w:rsidRPr="00B40126" w:rsidR="00676D50">
        <w:t>Notices of Violation</w:t>
      </w:r>
      <w:r w:rsidRPr="00B40126" w:rsidR="00797B49">
        <w:t xml:space="preserve"> and Commission requests for information.</w:t>
      </w:r>
      <w:r>
        <w:rPr>
          <w:rStyle w:val="FootnoteReference"/>
          <w:sz w:val="22"/>
        </w:rPr>
        <w:footnoteReference w:id="9"/>
      </w:r>
      <w:r w:rsidRPr="00B40126">
        <w:t xml:space="preserve"> </w:t>
      </w:r>
      <w:r w:rsidRPr="00B40126" w:rsidR="00797B49">
        <w:t xml:space="preserve"> </w:t>
      </w:r>
      <w:r w:rsidRPr="00B40126">
        <w:t xml:space="preserve">To settle this matter, </w:t>
      </w:r>
      <w:r w:rsidRPr="00B40126" w:rsidR="00CC16E5">
        <w:t xml:space="preserve">Kenai </w:t>
      </w:r>
      <w:r w:rsidRPr="00B40126">
        <w:t xml:space="preserve">admits that </w:t>
      </w:r>
      <w:r w:rsidRPr="00B40126" w:rsidR="00797B49">
        <w:t xml:space="preserve">it </w:t>
      </w:r>
      <w:r w:rsidRPr="00B40126" w:rsidR="00C537D5">
        <w:t>violated the</w:t>
      </w:r>
      <w:r w:rsidRPr="00B40126" w:rsidR="00CC16E5">
        <w:t>se requirements as</w:t>
      </w:r>
      <w:r w:rsidRPr="00B40126" w:rsidR="00C537D5">
        <w:t xml:space="preserve"> described in the Notice of Apparent Liability for Forfeiture and Order</w:t>
      </w:r>
      <w:r w:rsidRPr="00B40126" w:rsidR="00015451">
        <w:t>,</w:t>
      </w:r>
      <w:r>
        <w:rPr>
          <w:rStyle w:val="FootnoteReference"/>
          <w:sz w:val="22"/>
        </w:rPr>
        <w:footnoteReference w:id="10"/>
      </w:r>
      <w:r w:rsidRPr="00B40126" w:rsidR="00C537D5">
        <w:t xml:space="preserve"> </w:t>
      </w:r>
      <w:r w:rsidRPr="00B40126" w:rsidR="00082DF2">
        <w:t xml:space="preserve">will implement a compliance plan, </w:t>
      </w:r>
      <w:r w:rsidRPr="00B40126">
        <w:t>and will pay a $</w:t>
      </w:r>
      <w:r w:rsidRPr="00B40126" w:rsidR="00D06466">
        <w:t xml:space="preserve">2,000 </w:t>
      </w:r>
      <w:r w:rsidRPr="00B40126">
        <w:t>civil penalty.</w:t>
      </w:r>
      <w:bookmarkEnd w:id="1"/>
    </w:p>
    <w:p w:rsidR="0079627E" w:rsidRPr="00B40126" w:rsidP="002235B3" w14:paraId="6649A280" w14:textId="77777777">
      <w:pPr>
        <w:pStyle w:val="ParaNum"/>
        <w:numPr>
          <w:ilvl w:val="0"/>
          <w:numId w:val="3"/>
        </w:numPr>
        <w:tabs>
          <w:tab w:val="clear" w:pos="1080"/>
          <w:tab w:val="num" w:pos="1440"/>
        </w:tabs>
      </w:pPr>
      <w:bookmarkStart w:id="2" w:name="_Ref8735323"/>
      <w:r w:rsidRPr="00B40126">
        <w:t>After reviewing the terms of the Consent Decree and evaluating the facts before us, we find the public interest would be served by adopting the Consent Decree and</w:t>
      </w:r>
      <w:r w:rsidRPr="00B40126">
        <w:t xml:space="preserve"> </w:t>
      </w:r>
      <w:r w:rsidRPr="00B40126" w:rsidR="00FA288B">
        <w:t xml:space="preserve">resolving </w:t>
      </w:r>
      <w:r w:rsidRPr="00B40126">
        <w:t xml:space="preserve">the </w:t>
      </w:r>
      <w:r w:rsidRPr="00B40126" w:rsidR="001F046F">
        <w:t>Notice of Apparent Liability for Forfeiture</w:t>
      </w:r>
      <w:r w:rsidRPr="00B40126" w:rsidR="00A11888">
        <w:t xml:space="preserve"> and Order</w:t>
      </w:r>
      <w:r w:rsidRPr="00B40126" w:rsidR="00082DF2">
        <w:t xml:space="preserve"> </w:t>
      </w:r>
      <w:r w:rsidRPr="00B40126" w:rsidR="00FA288B">
        <w:t>regarding</w:t>
      </w:r>
      <w:r w:rsidRPr="00B40126" w:rsidR="00082DF2">
        <w:t xml:space="preserve"> </w:t>
      </w:r>
      <w:r w:rsidRPr="00B40126" w:rsidR="006E7104">
        <w:t>Kenai</w:t>
      </w:r>
      <w:r w:rsidRPr="00B40126" w:rsidR="00FA288B">
        <w:t xml:space="preserve">’s compliance with </w:t>
      </w:r>
      <w:r w:rsidRPr="00B40126" w:rsidR="00082DF2">
        <w:t xml:space="preserve">the </w:t>
      </w:r>
      <w:r w:rsidRPr="00B40126" w:rsidR="00FA288B">
        <w:t xml:space="preserve">Commission’s </w:t>
      </w:r>
      <w:r w:rsidRPr="00B40126" w:rsidR="00082DF2">
        <w:t>rules</w:t>
      </w:r>
      <w:r w:rsidRPr="00B40126" w:rsidR="00FA288B">
        <w:t xml:space="preserve"> pertaining to the EAS</w:t>
      </w:r>
      <w:r w:rsidRPr="00B40126" w:rsidR="00754020">
        <w:t xml:space="preserve"> and the operations of broadcast stations, and </w:t>
      </w:r>
      <w:r w:rsidRPr="00B40126" w:rsidR="0031258B">
        <w:t xml:space="preserve">the </w:t>
      </w:r>
      <w:r w:rsidRPr="00B40126" w:rsidR="00754020">
        <w:t>requirement</w:t>
      </w:r>
      <w:r w:rsidRPr="00B40126" w:rsidR="0031258B">
        <w:t xml:space="preserve"> that a licensee</w:t>
      </w:r>
      <w:r w:rsidRPr="00B40126" w:rsidR="00754020">
        <w:t xml:space="preserve"> respond to Commission </w:t>
      </w:r>
      <w:r w:rsidR="00CD4465">
        <w:t>notices</w:t>
      </w:r>
      <w:r w:rsidRPr="00C6267D" w:rsidR="00754020">
        <w:t xml:space="preserve"> </w:t>
      </w:r>
      <w:r w:rsidRPr="00B40126" w:rsidR="00754020">
        <w:t>and requests for information</w:t>
      </w:r>
      <w:r w:rsidRPr="00B40126">
        <w:t>.</w:t>
      </w:r>
      <w:bookmarkEnd w:id="2"/>
    </w:p>
    <w:p w:rsidR="00D928F9" w:rsidRPr="00250230" w:rsidP="002235B3" w14:paraId="31EBF0A7" w14:textId="77777777">
      <w:pPr>
        <w:pStyle w:val="ParaNum"/>
        <w:numPr>
          <w:ilvl w:val="0"/>
          <w:numId w:val="3"/>
        </w:numPr>
        <w:tabs>
          <w:tab w:val="clear" w:pos="1080"/>
          <w:tab w:val="num" w:pos="1440"/>
        </w:tabs>
      </w:pPr>
      <w:bookmarkStart w:id="3" w:name="_Ref8735331"/>
      <w:r w:rsidRPr="00B40126">
        <w:t xml:space="preserve">In the absence of material new evidence relating to this matter, we do not set for hearing the question of </w:t>
      </w:r>
      <w:r w:rsidRPr="00B40126" w:rsidR="009066C6">
        <w:t>Kenai</w:t>
      </w:r>
      <w:r w:rsidRPr="00B40126">
        <w:t>’s basic qualifications</w:t>
      </w:r>
      <w:r w:rsidRPr="00B40126" w:rsidR="0079627E">
        <w:t>, including those related to character,</w:t>
      </w:r>
      <w:r w:rsidRPr="00B40126">
        <w:t xml:space="preserve"> to hold or obtain any Commission license or authorization.</w:t>
      </w:r>
      <w:r>
        <w:rPr>
          <w:vertAlign w:val="superscript"/>
        </w:rPr>
        <w:footnoteReference w:id="11"/>
      </w:r>
      <w:bookmarkStart w:id="4" w:name="co_tablefootnote_20_1"/>
      <w:bookmarkStart w:id="5" w:name="co_tablefootnote_21_1"/>
      <w:bookmarkStart w:id="6" w:name="co_tablefootnote_22_1"/>
      <w:bookmarkStart w:id="7" w:name="co_tablefootnote_23_1"/>
      <w:bookmarkEnd w:id="3"/>
      <w:bookmarkEnd w:id="4"/>
      <w:bookmarkEnd w:id="5"/>
      <w:bookmarkEnd w:id="6"/>
      <w:bookmarkEnd w:id="7"/>
    </w:p>
    <w:p w:rsidR="00A516A7" w:rsidRPr="00B40126" w:rsidP="00A516A7" w14:paraId="437BFC94" w14:textId="77777777">
      <w:pPr>
        <w:pStyle w:val="ParaNum"/>
      </w:pPr>
      <w:r w:rsidRPr="00B40126">
        <w:t xml:space="preserve">Accordingly, </w:t>
      </w:r>
      <w:r w:rsidRPr="00B40126">
        <w:rPr>
          <w:b/>
        </w:rPr>
        <w:t>IT IS ORDERED</w:t>
      </w:r>
      <w:r w:rsidRPr="00B40126">
        <w:t xml:space="preserve"> that, pursuant to </w:t>
      </w:r>
      <w:r w:rsidRPr="00B40126" w:rsidR="006857B0">
        <w:t>s</w:t>
      </w:r>
      <w:r w:rsidRPr="00B40126">
        <w:t>ections 4(i) and 503(b) of the Act</w:t>
      </w:r>
      <w:r w:rsidRPr="00B40126" w:rsidR="00A81181">
        <w:t>,</w:t>
      </w:r>
      <w:r>
        <w:rPr>
          <w:vertAlign w:val="superscript"/>
        </w:rPr>
        <w:footnoteReference w:id="12"/>
      </w:r>
      <w:r w:rsidRPr="00B40126">
        <w:t xml:space="preserve"> the Consent Decree </w:t>
      </w:r>
      <w:r w:rsidRPr="00B40126" w:rsidR="00082DF2">
        <w:t xml:space="preserve">attached to this Order </w:t>
      </w:r>
      <w:r w:rsidRPr="00B40126">
        <w:rPr>
          <w:b/>
        </w:rPr>
        <w:t>IS ADOPTED</w:t>
      </w:r>
      <w:r w:rsidRPr="00B40126">
        <w:t xml:space="preserve"> and its terms incorporated by reference. </w:t>
      </w:r>
    </w:p>
    <w:p w:rsidR="00A516A7" w:rsidRPr="00B40126" w:rsidP="00A516A7" w14:paraId="06957F4E" w14:textId="77777777">
      <w:pPr>
        <w:pStyle w:val="ParaNum"/>
      </w:pPr>
      <w:r w:rsidRPr="00B40126">
        <w:rPr>
          <w:b/>
        </w:rPr>
        <w:t>IT IS FURTHER ORDERED</w:t>
      </w:r>
      <w:r w:rsidRPr="00B40126">
        <w:t xml:space="preserve"> that the above-captioned matter </w:t>
      </w:r>
      <w:r w:rsidRPr="00B40126">
        <w:rPr>
          <w:b/>
        </w:rPr>
        <w:t>IS TERMINATED</w:t>
      </w:r>
      <w:r w:rsidRPr="00B40126">
        <w:t xml:space="preserve"> and the </w:t>
      </w:r>
      <w:r w:rsidRPr="00B40126">
        <w:rPr>
          <w:b/>
        </w:rPr>
        <w:t xml:space="preserve">NAL IS </w:t>
      </w:r>
      <w:r w:rsidRPr="00B40126" w:rsidR="00A81181">
        <w:rPr>
          <w:b/>
        </w:rPr>
        <w:t xml:space="preserve">RESOLVED </w:t>
      </w:r>
      <w:r w:rsidRPr="00B40126" w:rsidR="00A81181">
        <w:t>in accordance with the terms of the attached Consent Decree</w:t>
      </w:r>
      <w:r w:rsidRPr="00B40126">
        <w:t>.</w:t>
      </w:r>
    </w:p>
    <w:p w:rsidR="00A516A7" w:rsidRPr="00B40126" w:rsidP="00A516A7" w14:paraId="30417607" w14:textId="77777777">
      <w:pPr>
        <w:pStyle w:val="ParaNum"/>
      </w:pPr>
      <w:bookmarkStart w:id="8" w:name="_Ref8735292"/>
      <w:r w:rsidRPr="00B40126">
        <w:rPr>
          <w:b/>
        </w:rPr>
        <w:t>IT IS FURTHER ORDERED</w:t>
      </w:r>
      <w:r w:rsidRPr="00B40126">
        <w:t xml:space="preserve"> that a copy of this Order and Consent Decree shall be sent by </w:t>
      </w:r>
      <w:r w:rsidRPr="00B40126" w:rsidR="00082DF2">
        <w:t xml:space="preserve">both </w:t>
      </w:r>
      <w:r w:rsidRPr="00B40126" w:rsidR="00AE5F78">
        <w:t>F</w:t>
      </w:r>
      <w:r w:rsidRPr="00B40126">
        <w:t>irst</w:t>
      </w:r>
      <w:r w:rsidRPr="00B40126" w:rsidR="00396869">
        <w:t>-</w:t>
      </w:r>
      <w:r w:rsidRPr="00B40126" w:rsidR="00AE5F78">
        <w:t>C</w:t>
      </w:r>
      <w:r w:rsidRPr="00B40126">
        <w:t xml:space="preserve">lass </w:t>
      </w:r>
      <w:r w:rsidRPr="00B40126" w:rsidR="00AE5F78">
        <w:t>U.S. M</w:t>
      </w:r>
      <w:r w:rsidRPr="00B40126">
        <w:t xml:space="preserve">ail and </w:t>
      </w:r>
      <w:r w:rsidRPr="00B40126" w:rsidR="00AE5F78">
        <w:t>C</w:t>
      </w:r>
      <w:r w:rsidRPr="00B40126">
        <w:t xml:space="preserve">ertified </w:t>
      </w:r>
      <w:r w:rsidRPr="00B40126" w:rsidR="00AE5F78">
        <w:t>M</w:t>
      </w:r>
      <w:r w:rsidRPr="00B40126">
        <w:t xml:space="preserve">ail, return receipt requested to </w:t>
      </w:r>
      <w:r w:rsidRPr="00B40126" w:rsidR="009066C6">
        <w:t>Kenai Educational Media, Inc.</w:t>
      </w:r>
      <w:r w:rsidRPr="00B40126" w:rsidR="00797B49">
        <w:t>,</w:t>
      </w:r>
      <w:r w:rsidRPr="00B40126">
        <w:t xml:space="preserve"> </w:t>
      </w:r>
      <w:r w:rsidRPr="00B40126" w:rsidR="00797B49">
        <w:rPr>
          <w:spacing w:val="-2"/>
        </w:rPr>
        <w:t>2001 Seward Highway, Suite B, Seward, AK, 99664</w:t>
      </w:r>
      <w:r w:rsidRPr="00B40126" w:rsidR="00797B49">
        <w:t>.</w:t>
      </w:r>
      <w:bookmarkEnd w:id="8"/>
      <w:r w:rsidRPr="00B40126">
        <w:t xml:space="preserve"> </w:t>
      </w:r>
    </w:p>
    <w:p w:rsidR="00DA15E2" w:rsidRPr="00B40126" w:rsidP="00A516A7" w14:paraId="5A59C834" w14:textId="77777777"/>
    <w:p w:rsidR="00B740BC" w:rsidRPr="00575AED" w:rsidP="00B740BC" w14:paraId="41624EAE" w14:textId="77777777">
      <w:pPr>
        <w:ind w:left="2880" w:firstLine="720"/>
        <w:outlineLvl w:val="0"/>
        <w:rPr>
          <w:lang w:val="fr-FR"/>
        </w:rPr>
      </w:pPr>
      <w:r w:rsidRPr="00575AED">
        <w:rPr>
          <w:lang w:val="fr-FR"/>
        </w:rPr>
        <w:t>FEDERAL COMMUNICATIONS COMMISSION</w:t>
      </w:r>
    </w:p>
    <w:p w:rsidR="00B740BC" w:rsidRPr="00575AED" w:rsidP="00B740BC" w14:paraId="7371303D" w14:textId="77777777">
      <w:pPr>
        <w:rPr>
          <w:lang w:val="fr-FR"/>
        </w:rPr>
      </w:pPr>
    </w:p>
    <w:p w:rsidR="00B740BC" w:rsidRPr="00575AED" w:rsidP="00B740BC" w14:paraId="58549BDB" w14:textId="77777777">
      <w:pPr>
        <w:rPr>
          <w:lang w:val="fr-FR"/>
        </w:rPr>
      </w:pPr>
    </w:p>
    <w:p w:rsidR="00B740BC" w:rsidRPr="00575AED" w:rsidP="00B740BC" w14:paraId="40EBF899" w14:textId="77777777">
      <w:pPr>
        <w:rPr>
          <w:lang w:val="fr-FR"/>
        </w:rPr>
      </w:pPr>
      <w:r w:rsidRPr="00575AED">
        <w:rPr>
          <w:lang w:val="fr-FR"/>
        </w:rPr>
        <w:tab/>
      </w:r>
      <w:r w:rsidRPr="00575AED">
        <w:rPr>
          <w:lang w:val="fr-FR"/>
        </w:rPr>
        <w:tab/>
      </w:r>
      <w:r w:rsidRPr="00575AED">
        <w:rPr>
          <w:lang w:val="fr-FR"/>
        </w:rPr>
        <w:tab/>
      </w:r>
      <w:r w:rsidRPr="00575AED">
        <w:rPr>
          <w:lang w:val="fr-FR"/>
        </w:rPr>
        <w:tab/>
      </w:r>
      <w:r w:rsidRPr="00575AED">
        <w:rPr>
          <w:lang w:val="fr-FR"/>
        </w:rPr>
        <w:tab/>
      </w:r>
    </w:p>
    <w:p w:rsidR="00B740BC" w:rsidRPr="00575AED" w:rsidP="00B740BC" w14:paraId="37ACEFD5" w14:textId="77777777">
      <w:pPr>
        <w:outlineLvl w:val="0"/>
        <w:rPr>
          <w:lang w:val="fr-FR"/>
        </w:rPr>
      </w:pPr>
    </w:p>
    <w:p w:rsidR="00B740BC" w:rsidRPr="00575AED" w:rsidP="00B740BC" w14:paraId="00798797" w14:textId="77777777">
      <w:pPr>
        <w:ind w:left="3600"/>
      </w:pPr>
      <w:r w:rsidRPr="00B40126">
        <w:t>Marlene H. Dortch</w:t>
      </w:r>
      <w:r>
        <w:br/>
      </w:r>
      <w:r w:rsidRPr="00B40126">
        <w:t>Secretary</w:t>
      </w:r>
    </w:p>
    <w:p w:rsidR="00A516A7" w:rsidRPr="00B40126" w:rsidP="00B740BC" w14:paraId="51534ABA" w14:textId="77777777"/>
    <w:p w:rsidR="00A516A7" w:rsidRPr="00B40126" w:rsidP="00A516A7" w14:paraId="0366951F" w14:textId="77777777">
      <w:pPr>
        <w:sectPr w:rsidSect="0016302C">
          <w:headerReference w:type="default"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AC3FDA" w:rsidRPr="00B40126" w:rsidP="006E06E8" w14:paraId="11737326" w14:textId="77777777">
      <w:pPr>
        <w:jc w:val="center"/>
        <w:rPr>
          <w:b/>
        </w:rPr>
      </w:pPr>
      <w:bookmarkStart w:id="9" w:name="co_tablefootnote_36_1"/>
      <w:bookmarkEnd w:id="9"/>
      <w:r w:rsidRPr="00B40126">
        <w:rPr>
          <w:b/>
        </w:rPr>
        <w:t>Before the</w:t>
      </w:r>
    </w:p>
    <w:p w:rsidR="00AC3FDA" w:rsidRPr="00B40126" w:rsidP="006E06E8" w14:paraId="151524B7" w14:textId="77777777">
      <w:pPr>
        <w:pStyle w:val="StyleBoldCentered"/>
        <w:rPr>
          <w:rFonts w:ascii="Times New Roman" w:hAnsi="Times New Roman"/>
        </w:rPr>
      </w:pPr>
      <w:r w:rsidRPr="00B40126">
        <w:rPr>
          <w:rFonts w:ascii="Times New Roman" w:hAnsi="Times New Roman"/>
        </w:rPr>
        <w:t>F</w:t>
      </w:r>
      <w:r w:rsidRPr="00B40126">
        <w:rPr>
          <w:rFonts w:ascii="Times New Roman" w:hAnsi="Times New Roman"/>
          <w:caps w:val="0"/>
        </w:rPr>
        <w:t>ederal Communications Commission</w:t>
      </w:r>
    </w:p>
    <w:p w:rsidR="00AC3FDA" w:rsidRPr="00B40126" w:rsidP="006E06E8" w14:paraId="672E44E3" w14:textId="77777777">
      <w:pPr>
        <w:pStyle w:val="StyleBoldCentered"/>
        <w:rPr>
          <w:rFonts w:ascii="Times New Roman" w:hAnsi="Times New Roman"/>
        </w:rPr>
      </w:pPr>
      <w:r w:rsidRPr="00B40126">
        <w:rPr>
          <w:rFonts w:ascii="Times New Roman" w:hAnsi="Times New Roman"/>
          <w:caps w:val="0"/>
        </w:rPr>
        <w:t>Washington, DC 20554</w:t>
      </w:r>
    </w:p>
    <w:p w:rsidR="00AC3FDA" w:rsidRPr="00B40126" w:rsidP="006E06E8" w14:paraId="7515B272" w14:textId="77777777"/>
    <w:tbl>
      <w:tblPr>
        <w:tblW w:w="9630" w:type="dxa"/>
        <w:tblLayout w:type="fixed"/>
        <w:tblLook w:val="0000"/>
      </w:tblPr>
      <w:tblGrid>
        <w:gridCol w:w="4630"/>
        <w:gridCol w:w="646"/>
        <w:gridCol w:w="4354"/>
      </w:tblGrid>
      <w:tr w14:paraId="09FED640" w14:textId="77777777" w:rsidTr="0076165E">
        <w:tblPrEx>
          <w:tblW w:w="9630" w:type="dxa"/>
          <w:tblLayout w:type="fixed"/>
          <w:tblLook w:val="0000"/>
        </w:tblPrEx>
        <w:tc>
          <w:tcPr>
            <w:tcW w:w="4518" w:type="dxa"/>
          </w:tcPr>
          <w:p w:rsidR="0076165E" w:rsidRPr="00B40126" w:rsidP="006E06E8" w14:paraId="5C6BB487" w14:textId="77777777">
            <w:pPr>
              <w:tabs>
                <w:tab w:val="center" w:pos="4680"/>
              </w:tabs>
              <w:suppressAutoHyphens/>
              <w:rPr>
                <w:rFonts w:eastAsia="Calibri"/>
                <w:spacing w:val="-2"/>
              </w:rPr>
            </w:pPr>
          </w:p>
          <w:p w:rsidR="0076165E" w:rsidRPr="00B40126" w:rsidP="006E06E8" w14:paraId="2AF97549" w14:textId="77777777">
            <w:pPr>
              <w:rPr>
                <w:rFonts w:eastAsia="Calibri"/>
              </w:rPr>
            </w:pPr>
            <w:r w:rsidRPr="00B40126">
              <w:rPr>
                <w:rFonts w:eastAsia="Calibri"/>
              </w:rPr>
              <w:t>In the Matter of</w:t>
            </w:r>
          </w:p>
          <w:p w:rsidR="0076165E" w:rsidRPr="00B40126" w:rsidP="006E06E8" w14:paraId="3F154DFB" w14:textId="77777777">
            <w:pPr>
              <w:rPr>
                <w:rFonts w:eastAsia="Calibri"/>
              </w:rPr>
            </w:pPr>
          </w:p>
          <w:p w:rsidR="0076165E" w:rsidRPr="00B40126" w:rsidP="006E06E8" w14:paraId="2F5D7592" w14:textId="77777777">
            <w:pPr>
              <w:rPr>
                <w:rFonts w:eastAsia="Calibri"/>
              </w:rPr>
            </w:pPr>
            <w:r w:rsidRPr="00B40126">
              <w:rPr>
                <w:rFonts w:eastAsia="Calibri"/>
              </w:rPr>
              <w:t>Kenai Educational Media, Inc.</w:t>
            </w:r>
          </w:p>
          <w:p w:rsidR="0076165E" w:rsidRPr="00B40126" w:rsidP="006E06E8" w14:paraId="2F741E48" w14:textId="77777777">
            <w:pPr>
              <w:rPr>
                <w:rFonts w:eastAsia="Calibri"/>
              </w:rPr>
            </w:pPr>
          </w:p>
          <w:p w:rsidR="0076165E" w:rsidRPr="00B40126" w:rsidP="006E06E8" w14:paraId="14BA8B7F" w14:textId="77777777">
            <w:pPr>
              <w:rPr>
                <w:rFonts w:eastAsia="Calibri"/>
              </w:rPr>
            </w:pPr>
            <w:r w:rsidRPr="00B40126">
              <w:rPr>
                <w:rFonts w:eastAsia="Calibri"/>
              </w:rPr>
              <w:t>Licensee of Station KIBH-FM</w:t>
            </w:r>
          </w:p>
          <w:p w:rsidR="0076165E" w:rsidRPr="00B40126" w:rsidP="006E06E8" w14:paraId="53864AB9" w14:textId="77777777">
            <w:pPr>
              <w:rPr>
                <w:rFonts w:eastAsia="Calibri"/>
              </w:rPr>
            </w:pPr>
            <w:r w:rsidRPr="00B40126">
              <w:rPr>
                <w:rFonts w:eastAsia="Calibri"/>
              </w:rPr>
              <w:t>Seward, Alaska</w:t>
            </w:r>
          </w:p>
          <w:p w:rsidR="0076165E" w:rsidRPr="00B40126" w:rsidP="006E06E8" w14:paraId="61ED6EE6" w14:textId="77777777">
            <w:pPr>
              <w:tabs>
                <w:tab w:val="center" w:pos="4680"/>
              </w:tabs>
              <w:suppressAutoHyphens/>
              <w:rPr>
                <w:rFonts w:eastAsia="Calibri"/>
                <w:spacing w:val="-2"/>
              </w:rPr>
            </w:pPr>
          </w:p>
        </w:tc>
        <w:tc>
          <w:tcPr>
            <w:tcW w:w="630" w:type="dxa"/>
          </w:tcPr>
          <w:p w:rsidR="0076165E" w:rsidRPr="00B40126" w:rsidP="006E06E8" w14:paraId="6CC469A2" w14:textId="77777777">
            <w:pPr>
              <w:tabs>
                <w:tab w:val="center" w:pos="4680"/>
              </w:tabs>
              <w:suppressAutoHyphens/>
              <w:rPr>
                <w:rFonts w:eastAsia="Calibri"/>
              </w:rPr>
            </w:pPr>
          </w:p>
          <w:p w:rsidR="0076165E" w:rsidRPr="00B40126" w:rsidP="006E06E8" w14:paraId="46156443" w14:textId="77777777">
            <w:pPr>
              <w:tabs>
                <w:tab w:val="center" w:pos="4680"/>
              </w:tabs>
              <w:suppressAutoHyphens/>
              <w:rPr>
                <w:rFonts w:eastAsia="Calibri"/>
              </w:rPr>
            </w:pPr>
            <w:r w:rsidRPr="00B40126">
              <w:rPr>
                <w:rFonts w:eastAsia="Calibri"/>
              </w:rPr>
              <w:t xml:space="preserve">  )</w:t>
            </w:r>
          </w:p>
          <w:p w:rsidR="0076165E" w:rsidRPr="00B40126" w:rsidP="006E06E8" w14:paraId="3DB43448" w14:textId="77777777">
            <w:pPr>
              <w:tabs>
                <w:tab w:val="center" w:pos="4680"/>
              </w:tabs>
              <w:suppressAutoHyphens/>
              <w:rPr>
                <w:rFonts w:eastAsia="Calibri"/>
              </w:rPr>
            </w:pPr>
            <w:r w:rsidRPr="00B40126">
              <w:rPr>
                <w:rFonts w:eastAsia="Calibri"/>
              </w:rPr>
              <w:t xml:space="preserve">  )</w:t>
            </w:r>
          </w:p>
          <w:p w:rsidR="0076165E" w:rsidRPr="00B40126" w:rsidP="006E06E8" w14:paraId="4546951C" w14:textId="77777777">
            <w:pPr>
              <w:tabs>
                <w:tab w:val="center" w:pos="4680"/>
              </w:tabs>
              <w:suppressAutoHyphens/>
              <w:rPr>
                <w:rFonts w:eastAsia="Calibri"/>
              </w:rPr>
            </w:pPr>
            <w:r w:rsidRPr="00B40126">
              <w:rPr>
                <w:rFonts w:eastAsia="Calibri"/>
              </w:rPr>
              <w:t xml:space="preserve">  )</w:t>
            </w:r>
          </w:p>
          <w:p w:rsidR="0076165E" w:rsidRPr="00B40126" w:rsidP="006E06E8" w14:paraId="3FD31CAD" w14:textId="77777777">
            <w:pPr>
              <w:tabs>
                <w:tab w:val="center" w:pos="4680"/>
              </w:tabs>
              <w:suppressAutoHyphens/>
              <w:rPr>
                <w:rFonts w:eastAsia="Calibri"/>
              </w:rPr>
            </w:pPr>
            <w:r w:rsidRPr="00B40126">
              <w:rPr>
                <w:rFonts w:eastAsia="Calibri"/>
              </w:rPr>
              <w:t xml:space="preserve">  )</w:t>
            </w:r>
          </w:p>
          <w:p w:rsidR="0076165E" w:rsidRPr="00B40126" w:rsidP="006E06E8" w14:paraId="20FFF9F5" w14:textId="77777777">
            <w:pPr>
              <w:tabs>
                <w:tab w:val="center" w:pos="4680"/>
              </w:tabs>
              <w:suppressAutoHyphens/>
              <w:rPr>
                <w:rFonts w:eastAsia="Calibri"/>
              </w:rPr>
            </w:pPr>
            <w:r w:rsidRPr="00B40126">
              <w:rPr>
                <w:rFonts w:eastAsia="Calibri"/>
              </w:rPr>
              <w:t xml:space="preserve">  )</w:t>
            </w:r>
          </w:p>
          <w:p w:rsidR="0076165E" w:rsidRPr="00B40126" w:rsidP="006E06E8" w14:paraId="1724EF11" w14:textId="77777777">
            <w:pPr>
              <w:tabs>
                <w:tab w:val="center" w:pos="4680"/>
              </w:tabs>
              <w:suppressAutoHyphens/>
              <w:rPr>
                <w:rFonts w:eastAsia="Calibri"/>
              </w:rPr>
            </w:pPr>
            <w:r w:rsidRPr="00B40126">
              <w:rPr>
                <w:rFonts w:eastAsia="Calibri"/>
              </w:rPr>
              <w:t xml:space="preserve">  )</w:t>
            </w:r>
          </w:p>
          <w:p w:rsidR="0076165E" w:rsidRPr="00B40126" w:rsidP="006E06E8" w14:paraId="7EF42874" w14:textId="77777777">
            <w:pPr>
              <w:tabs>
                <w:tab w:val="center" w:pos="4680"/>
              </w:tabs>
              <w:suppressAutoHyphens/>
              <w:rPr>
                <w:rFonts w:eastAsia="Calibri"/>
              </w:rPr>
            </w:pPr>
            <w:r w:rsidRPr="00B40126">
              <w:rPr>
                <w:rFonts w:eastAsia="Calibri"/>
              </w:rPr>
              <w:t xml:space="preserve">  )</w:t>
            </w:r>
          </w:p>
          <w:p w:rsidR="0076165E" w:rsidRPr="00B40126" w:rsidP="006E06E8" w14:paraId="77C0DCB4" w14:textId="77777777">
            <w:pPr>
              <w:tabs>
                <w:tab w:val="center" w:pos="4680"/>
              </w:tabs>
              <w:suppressAutoHyphens/>
              <w:rPr>
                <w:rFonts w:eastAsia="Calibri"/>
              </w:rPr>
            </w:pPr>
            <w:r w:rsidRPr="00B40126">
              <w:rPr>
                <w:rFonts w:eastAsia="Calibri"/>
              </w:rPr>
              <w:t xml:space="preserve"> </w:t>
            </w:r>
          </w:p>
        </w:tc>
        <w:tc>
          <w:tcPr>
            <w:tcW w:w="4248" w:type="dxa"/>
          </w:tcPr>
          <w:p w:rsidR="0076165E" w:rsidRPr="00B40126" w:rsidP="006E06E8" w14:paraId="3CDFDB41" w14:textId="77777777">
            <w:pPr>
              <w:tabs>
                <w:tab w:val="center" w:pos="4680"/>
              </w:tabs>
              <w:suppressAutoHyphens/>
              <w:ind w:left="195"/>
              <w:rPr>
                <w:rFonts w:eastAsia="Calibri"/>
              </w:rPr>
            </w:pPr>
          </w:p>
          <w:p w:rsidR="0076165E" w:rsidRPr="00B40126" w:rsidP="006E06E8" w14:paraId="72EB1BCF" w14:textId="77777777">
            <w:pPr>
              <w:ind w:left="195"/>
              <w:rPr>
                <w:rFonts w:eastAsia="Calibri"/>
              </w:rPr>
            </w:pPr>
          </w:p>
          <w:p w:rsidR="0076165E" w:rsidRPr="00B40126" w:rsidP="006E06E8" w14:paraId="4096D42D" w14:textId="77777777">
            <w:pPr>
              <w:ind w:left="195"/>
              <w:rPr>
                <w:rFonts w:eastAsia="Calibri"/>
              </w:rPr>
            </w:pPr>
            <w:r w:rsidRPr="00B40126">
              <w:rPr>
                <w:rFonts w:eastAsia="Calibri"/>
              </w:rPr>
              <w:t>File Nos.:  EB-FIELDWR-13-00009787</w:t>
            </w:r>
          </w:p>
          <w:p w:rsidR="0076165E" w:rsidRPr="00B40126" w:rsidP="006E06E8" w14:paraId="7556A57A" w14:textId="77777777">
            <w:pPr>
              <w:tabs>
                <w:tab w:val="left" w:pos="1170"/>
              </w:tabs>
              <w:ind w:left="195"/>
              <w:rPr>
                <w:rFonts w:eastAsia="Calibri"/>
              </w:rPr>
            </w:pPr>
            <w:r w:rsidRPr="00B40126">
              <w:rPr>
                <w:rFonts w:eastAsia="Calibri"/>
              </w:rPr>
              <w:t xml:space="preserve">     </w:t>
            </w:r>
            <w:r w:rsidRPr="00B40126" w:rsidR="00C02C54">
              <w:rPr>
                <w:rFonts w:eastAsia="Calibri"/>
              </w:rPr>
              <w:t xml:space="preserve">             </w:t>
            </w:r>
            <w:r w:rsidRPr="00B40126">
              <w:rPr>
                <w:rFonts w:eastAsia="Calibri"/>
              </w:rPr>
              <w:t>EB-FIELDWR-16-00022001</w:t>
            </w:r>
            <w:r>
              <w:rPr>
                <w:rStyle w:val="FootnoteReference"/>
                <w:sz w:val="22"/>
              </w:rPr>
              <w:footnoteReference w:id="13"/>
            </w:r>
          </w:p>
          <w:p w:rsidR="0076165E" w:rsidRPr="00B40126" w:rsidP="006E06E8" w14:paraId="18171F13" w14:textId="77777777">
            <w:pPr>
              <w:ind w:left="195"/>
              <w:rPr>
                <w:rFonts w:eastAsia="Calibri"/>
              </w:rPr>
            </w:pPr>
          </w:p>
          <w:p w:rsidR="0076165E" w:rsidRPr="00B40126" w:rsidP="006E06E8" w14:paraId="4A0FE927" w14:textId="77777777">
            <w:pPr>
              <w:ind w:left="195"/>
              <w:rPr>
                <w:rFonts w:eastAsia="Calibri"/>
              </w:rPr>
            </w:pPr>
            <w:r w:rsidRPr="00B40126">
              <w:rPr>
                <w:rFonts w:eastAsia="Calibri"/>
              </w:rPr>
              <w:t xml:space="preserve">NAL/Acct. No.:  201732960001 </w:t>
            </w:r>
          </w:p>
          <w:p w:rsidR="0076165E" w:rsidRPr="00B40126" w:rsidP="006E06E8" w14:paraId="5F70616C" w14:textId="77777777">
            <w:pPr>
              <w:ind w:left="195"/>
              <w:rPr>
                <w:rFonts w:eastAsia="Calibri"/>
              </w:rPr>
            </w:pPr>
            <w:r w:rsidRPr="00B40126">
              <w:rPr>
                <w:rFonts w:eastAsia="Calibri"/>
              </w:rPr>
              <w:t>FRN:  0021903372</w:t>
            </w:r>
          </w:p>
          <w:p w:rsidR="0076165E" w:rsidRPr="00B40126" w:rsidP="006E06E8" w14:paraId="7556476B" w14:textId="77777777">
            <w:pPr>
              <w:ind w:left="195"/>
              <w:rPr>
                <w:rFonts w:eastAsia="Calibri"/>
              </w:rPr>
            </w:pPr>
            <w:r w:rsidRPr="00B40126">
              <w:rPr>
                <w:rFonts w:eastAsia="Calibri"/>
              </w:rPr>
              <w:t xml:space="preserve">Facility ID: 176521 </w:t>
            </w:r>
          </w:p>
        </w:tc>
      </w:tr>
    </w:tbl>
    <w:p w:rsidR="00CA3930" w:rsidRPr="00B40126" w:rsidP="006E06E8" w14:paraId="106E0AD4" w14:textId="77777777">
      <w:pPr>
        <w:pStyle w:val="StyleBoldCentered"/>
        <w:rPr>
          <w:rFonts w:ascii="Times New Roman" w:hAnsi="Times New Roman"/>
          <w:b w:val="0"/>
          <w:bCs w:val="0"/>
          <w:caps w:val="0"/>
          <w:spacing w:val="-2"/>
        </w:rPr>
      </w:pPr>
    </w:p>
    <w:p w:rsidR="00AC3FDA" w:rsidRPr="00B40126" w:rsidP="006E06E8" w14:paraId="68A2159E" w14:textId="77777777">
      <w:pPr>
        <w:pStyle w:val="StyleBoldCentered"/>
        <w:rPr>
          <w:rFonts w:ascii="Times New Roman" w:hAnsi="Times New Roman"/>
        </w:rPr>
      </w:pPr>
      <w:r w:rsidRPr="00B40126">
        <w:rPr>
          <w:rFonts w:ascii="Times New Roman" w:hAnsi="Times New Roman"/>
        </w:rPr>
        <w:t>CONSENT DECREE</w:t>
      </w:r>
    </w:p>
    <w:p w:rsidR="00AC3FDA" w:rsidRPr="00B40126" w:rsidP="00AC3FDA" w14:paraId="2D244DDA" w14:textId="77777777">
      <w:pPr>
        <w:pStyle w:val="StyleBoldCentered"/>
        <w:rPr>
          <w:rFonts w:ascii="Times New Roman" w:hAnsi="Times New Roman"/>
          <w:b w:val="0"/>
        </w:rPr>
      </w:pPr>
    </w:p>
    <w:p w:rsidR="00AC3FDA" w:rsidRPr="00B40126" w:rsidP="002235B3" w14:paraId="64CB7CE9" w14:textId="77777777">
      <w:pPr>
        <w:pStyle w:val="ParaNum"/>
        <w:numPr>
          <w:ilvl w:val="0"/>
          <w:numId w:val="6"/>
        </w:numPr>
        <w:tabs>
          <w:tab w:val="clear" w:pos="1080"/>
          <w:tab w:val="num" w:pos="1530"/>
        </w:tabs>
      </w:pPr>
      <w:r w:rsidRPr="00B40126">
        <w:t xml:space="preserve">The Federal Communications Commission and </w:t>
      </w:r>
      <w:r w:rsidRPr="00B40126" w:rsidR="009066C6">
        <w:t>Kenai Educational Media, Inc. (</w:t>
      </w:r>
      <w:r w:rsidRPr="00B40126" w:rsidR="00D211D5">
        <w:t>Kenai</w:t>
      </w:r>
      <w:r w:rsidRPr="00B40126" w:rsidR="009066C6">
        <w:t>)</w:t>
      </w:r>
      <w:r w:rsidRPr="00B40126">
        <w:t>,</w:t>
      </w:r>
      <w:r w:rsidRPr="00B40126" w:rsidR="00C02C54">
        <w:t xml:space="preserve"> </w:t>
      </w:r>
      <w:r w:rsidRPr="00B40126">
        <w:t xml:space="preserve">by their authorized representatives, hereby enter into this Consent Decree for the purpose of terminating </w:t>
      </w:r>
      <w:r w:rsidRPr="00B40126" w:rsidR="006857B0">
        <w:t xml:space="preserve">an investigation by </w:t>
      </w:r>
      <w:r w:rsidRPr="00B40126">
        <w:t xml:space="preserve">the </w:t>
      </w:r>
      <w:r w:rsidRPr="00B40126" w:rsidR="006857B0">
        <w:t xml:space="preserve">Commission’s </w:t>
      </w:r>
      <w:r w:rsidRPr="00B40126">
        <w:t xml:space="preserve">Enforcement Bureau into whether </w:t>
      </w:r>
      <w:r w:rsidRPr="00B40126" w:rsidR="00D211D5">
        <w:t>Kenai</w:t>
      </w:r>
      <w:r w:rsidRPr="00B40126" w:rsidR="00C02C54">
        <w:t>,</w:t>
      </w:r>
      <w:r w:rsidRPr="00B40126">
        <w:t xml:space="preserve"> </w:t>
      </w:r>
      <w:r w:rsidRPr="00B40126" w:rsidR="00C02C54">
        <w:t xml:space="preserve">licensee of Station KIBH-FM, Seward, Alaska, </w:t>
      </w:r>
      <w:r w:rsidRPr="00B40126" w:rsidR="00AE652B">
        <w:t xml:space="preserve">Facility Identification Number 176521, </w:t>
      </w:r>
      <w:r w:rsidRPr="00B40126">
        <w:t xml:space="preserve">violated </w:t>
      </w:r>
      <w:r w:rsidRPr="00B40126" w:rsidR="007F74FF">
        <w:t xml:space="preserve">multiple </w:t>
      </w:r>
      <w:r w:rsidRPr="00B40126" w:rsidR="00797B49">
        <w:t xml:space="preserve">rules concerning the </w:t>
      </w:r>
      <w:r w:rsidRPr="00B40126" w:rsidR="007F74FF">
        <w:t>Federal Communications Commission Emergency Alert System (EAS)</w:t>
      </w:r>
      <w:r w:rsidRPr="00B40126" w:rsidR="00AE652B">
        <w:t xml:space="preserve"> Rules</w:t>
      </w:r>
      <w:r w:rsidRPr="00B40126" w:rsidR="007F74FF">
        <w:t>,</w:t>
      </w:r>
      <w:r>
        <w:rPr>
          <w:rStyle w:val="FootnoteReference"/>
          <w:sz w:val="22"/>
        </w:rPr>
        <w:footnoteReference w:id="14"/>
      </w:r>
      <w:r w:rsidRPr="00B40126" w:rsidR="007F74FF">
        <w:t xml:space="preserve"> </w:t>
      </w:r>
      <w:r w:rsidRPr="00B40126" w:rsidR="00F32D8B">
        <w:t>B</w:t>
      </w:r>
      <w:r w:rsidRPr="00B40126" w:rsidR="007F74FF">
        <w:t xml:space="preserve">roadcast </w:t>
      </w:r>
      <w:r w:rsidRPr="00B40126" w:rsidR="00F32D8B">
        <w:t>T</w:t>
      </w:r>
      <w:r w:rsidRPr="00B40126" w:rsidR="00633EAF">
        <w:t>e</w:t>
      </w:r>
      <w:r w:rsidRPr="00B40126" w:rsidR="007F74FF">
        <w:t>chnical</w:t>
      </w:r>
      <w:r w:rsidRPr="00B40126" w:rsidR="002009C4">
        <w:rPr>
          <w:spacing w:val="-2"/>
        </w:rPr>
        <w:t xml:space="preserve"> </w:t>
      </w:r>
      <w:r w:rsidRPr="00B40126" w:rsidR="00633EAF">
        <w:rPr>
          <w:spacing w:val="-2"/>
        </w:rPr>
        <w:t>R</w:t>
      </w:r>
      <w:r w:rsidRPr="00B40126" w:rsidR="002009C4">
        <w:rPr>
          <w:spacing w:val="-2"/>
        </w:rPr>
        <w:t>ules,</w:t>
      </w:r>
      <w:r>
        <w:rPr>
          <w:rStyle w:val="FootnoteReference"/>
          <w:spacing w:val="-2"/>
          <w:sz w:val="22"/>
        </w:rPr>
        <w:footnoteReference w:id="15"/>
      </w:r>
      <w:r w:rsidRPr="00B40126" w:rsidR="007F74FF">
        <w:t xml:space="preserve"> </w:t>
      </w:r>
      <w:r w:rsidRPr="00B40126" w:rsidR="00F32D8B">
        <w:t>B</w:t>
      </w:r>
      <w:r w:rsidRPr="00B40126" w:rsidR="002009C4">
        <w:t xml:space="preserve">roadcast </w:t>
      </w:r>
      <w:r w:rsidRPr="00B40126" w:rsidR="00F32D8B">
        <w:t>O</w:t>
      </w:r>
      <w:r w:rsidRPr="00B40126" w:rsidR="007F74FF">
        <w:t xml:space="preserve">perating </w:t>
      </w:r>
      <w:r w:rsidRPr="00B40126" w:rsidR="00633EAF">
        <w:t>R</w:t>
      </w:r>
      <w:r w:rsidRPr="00B40126" w:rsidR="007F74FF">
        <w:t>ules,</w:t>
      </w:r>
      <w:r>
        <w:rPr>
          <w:rStyle w:val="FootnoteReference"/>
          <w:spacing w:val="-2"/>
          <w:sz w:val="22"/>
        </w:rPr>
        <w:footnoteReference w:id="16"/>
      </w:r>
      <w:r w:rsidRPr="00B40126" w:rsidR="007F74FF">
        <w:t xml:space="preserve"> and rules </w:t>
      </w:r>
      <w:r w:rsidRPr="00B40126" w:rsidR="007F74FF">
        <w:rPr>
          <w:spacing w:val="-2"/>
        </w:rPr>
        <w:t>requiring that licensees respond to Notices of Violation (NOV</w:t>
      </w:r>
      <w:r w:rsidRPr="00B40126" w:rsidR="00AE652B">
        <w:rPr>
          <w:spacing w:val="-2"/>
        </w:rPr>
        <w:t>s</w:t>
      </w:r>
      <w:r w:rsidRPr="00B40126" w:rsidR="007F74FF">
        <w:rPr>
          <w:spacing w:val="-2"/>
        </w:rPr>
        <w:t>) and Commission requests for information</w:t>
      </w:r>
      <w:r w:rsidRPr="00B40126">
        <w:t>.</w:t>
      </w:r>
      <w:r>
        <w:rPr>
          <w:rStyle w:val="FootnoteReference"/>
          <w:spacing w:val="-2"/>
          <w:sz w:val="22"/>
        </w:rPr>
        <w:footnoteReference w:id="17"/>
      </w:r>
      <w:r w:rsidRPr="00B40126">
        <w:t xml:space="preserve"> </w:t>
      </w:r>
      <w:r w:rsidRPr="00B40126" w:rsidR="00082DF2">
        <w:t xml:space="preserve"> These rules </w:t>
      </w:r>
      <w:r w:rsidRPr="00B40126" w:rsidR="00AE652B">
        <w:t xml:space="preserve">(i) </w:t>
      </w:r>
      <w:r w:rsidRPr="00B40126" w:rsidR="00082DF2">
        <w:t xml:space="preserve">ensure that the public can receive accurate and </w:t>
      </w:r>
      <w:r w:rsidRPr="00B40126" w:rsidR="00082DF2">
        <w:rPr>
          <w:color w:val="000000"/>
        </w:rPr>
        <w:t>expedient warnings during times of emergencies</w:t>
      </w:r>
      <w:r w:rsidRPr="00B40126" w:rsidR="00AE652B">
        <w:rPr>
          <w:color w:val="000000"/>
        </w:rPr>
        <w:t>, (ii)</w:t>
      </w:r>
      <w:r w:rsidRPr="00B40126" w:rsidR="000363D1">
        <w:rPr>
          <w:color w:val="000000"/>
        </w:rPr>
        <w:t xml:space="preserve"> </w:t>
      </w:r>
      <w:r w:rsidRPr="00367435" w:rsidR="001914C3">
        <w:t>ensure that a station can serve the needs of the community,</w:t>
      </w:r>
      <w:r w:rsidRPr="00367435" w:rsidR="001914C3">
        <w:t xml:space="preserve"> </w:t>
      </w:r>
      <w:r w:rsidRPr="00367435" w:rsidR="00250230">
        <w:t xml:space="preserve">(iii) </w:t>
      </w:r>
      <w:r w:rsidRPr="00367435" w:rsidR="001914C3">
        <w:t xml:space="preserve">protect other licensees from harmful interference, </w:t>
      </w:r>
      <w:r w:rsidRPr="00367435" w:rsidR="00250230">
        <w:t xml:space="preserve">(iv) </w:t>
      </w:r>
      <w:r w:rsidRPr="00367435" w:rsidR="001914C3">
        <w:t>provide the Commission and the public with information about station programming and operations</w:t>
      </w:r>
      <w:r w:rsidR="002F2BE5">
        <w:t>,</w:t>
      </w:r>
      <w:r w:rsidRPr="00367435" w:rsidR="001914C3">
        <w:t xml:space="preserve"> </w:t>
      </w:r>
      <w:r w:rsidRPr="00367435" w:rsidR="00AE652B">
        <w:t>and (</w:t>
      </w:r>
      <w:r w:rsidRPr="00367435" w:rsidR="00250230">
        <w:t>v</w:t>
      </w:r>
      <w:r w:rsidRPr="00367435" w:rsidR="00AE652B">
        <w:t xml:space="preserve">) ensure that the Commission receives </w:t>
      </w:r>
      <w:r w:rsidRPr="00367435" w:rsidR="001914C3">
        <w:t xml:space="preserve">other </w:t>
      </w:r>
      <w:r w:rsidRPr="00367435" w:rsidR="00AE652B">
        <w:t>required information from licensees</w:t>
      </w:r>
      <w:r w:rsidRPr="00367435" w:rsidR="00082DF2">
        <w:t>.</w:t>
      </w:r>
      <w:r w:rsidRPr="00367435" w:rsidR="00AE652B">
        <w:t xml:space="preserve">  </w:t>
      </w:r>
      <w:r w:rsidRPr="00B40126" w:rsidR="00AE652B">
        <w:rPr>
          <w:color w:val="000000"/>
        </w:rPr>
        <w:t xml:space="preserve">Kenai admits that it violated these rules, agrees to establish a compliance plan to ensure these violations do not recur in the future, and </w:t>
      </w:r>
      <w:r w:rsidRPr="00B40126" w:rsidR="00D80BCD">
        <w:rPr>
          <w:color w:val="000000"/>
        </w:rPr>
        <w:t>agrees to pay a civil penalty in the amount of $2,000.</w:t>
      </w:r>
    </w:p>
    <w:p w:rsidR="00AC3FDA" w:rsidRPr="00B40126" w:rsidP="002235B3" w14:paraId="6D83D2E1" w14:textId="77777777">
      <w:pPr>
        <w:pStyle w:val="Heading1"/>
        <w:numPr>
          <w:ilvl w:val="0"/>
          <w:numId w:val="10"/>
        </w:numPr>
        <w:rPr>
          <w:rFonts w:ascii="Times New Roman" w:hAnsi="Times New Roman"/>
        </w:rPr>
      </w:pPr>
      <w:r w:rsidRPr="00B40126">
        <w:rPr>
          <w:rFonts w:ascii="Times New Roman" w:hAnsi="Times New Roman"/>
        </w:rPr>
        <w:t>DEFINITIONS</w:t>
      </w:r>
    </w:p>
    <w:p w:rsidR="00AC3FDA" w:rsidRPr="00B40126" w:rsidP="002235B3" w14:paraId="753DF294" w14:textId="77777777">
      <w:pPr>
        <w:pStyle w:val="ParaNum"/>
        <w:numPr>
          <w:ilvl w:val="0"/>
          <w:numId w:val="3"/>
        </w:numPr>
        <w:tabs>
          <w:tab w:val="clear" w:pos="1080"/>
          <w:tab w:val="num" w:pos="1440"/>
        </w:tabs>
      </w:pPr>
      <w:r w:rsidRPr="00B40126">
        <w:t>For the purposes of this Consent Decree, the following definitions shall apply:</w:t>
      </w:r>
    </w:p>
    <w:p w:rsidR="00AC3FDA" w:rsidRPr="00B40126" w:rsidP="002235B3" w14:paraId="649006E2" w14:textId="77777777">
      <w:pPr>
        <w:numPr>
          <w:ilvl w:val="0"/>
          <w:numId w:val="5"/>
        </w:numPr>
        <w:tabs>
          <w:tab w:val="clear" w:pos="1224"/>
        </w:tabs>
        <w:spacing w:after="120"/>
        <w:ind w:left="1890"/>
      </w:pPr>
      <w:r w:rsidRPr="00B40126">
        <w:t>“Act”</w:t>
      </w:r>
      <w:r w:rsidRPr="00B40126">
        <w:rPr>
          <w:rStyle w:val="ParanumChar0"/>
        </w:rPr>
        <w:t xml:space="preserve"> </w:t>
      </w:r>
      <w:r w:rsidRPr="00B40126">
        <w:t>means the Communications Act of 1934, as amended.</w:t>
      </w:r>
      <w:r>
        <w:rPr>
          <w:rStyle w:val="FootnoteReference"/>
          <w:sz w:val="22"/>
        </w:rPr>
        <w:footnoteReference w:id="18"/>
      </w:r>
    </w:p>
    <w:p w:rsidR="00AC3FDA" w:rsidRPr="00B40126" w:rsidP="002235B3" w14:paraId="0464F455" w14:textId="77777777">
      <w:pPr>
        <w:widowControl/>
        <w:numPr>
          <w:ilvl w:val="0"/>
          <w:numId w:val="5"/>
        </w:numPr>
        <w:tabs>
          <w:tab w:val="clear" w:pos="1224"/>
        </w:tabs>
        <w:spacing w:after="120"/>
        <w:ind w:left="1886"/>
      </w:pPr>
      <w:r w:rsidRPr="00B40126">
        <w:t xml:space="preserve">“Adopting Order” means an order of the </w:t>
      </w:r>
      <w:r w:rsidRPr="00B40126" w:rsidR="006857B0">
        <w:t>Commission</w:t>
      </w:r>
      <w:r w:rsidRPr="00B40126">
        <w:t xml:space="preserve"> adopting the terms of this Consent Decree without change, addition, deletion, or modification.</w:t>
      </w:r>
    </w:p>
    <w:p w:rsidR="006C3E51" w:rsidRPr="00B40126" w:rsidP="002235B3" w14:paraId="2FFE0765" w14:textId="77777777">
      <w:pPr>
        <w:numPr>
          <w:ilvl w:val="0"/>
          <w:numId w:val="5"/>
        </w:numPr>
        <w:tabs>
          <w:tab w:val="clear" w:pos="1224"/>
        </w:tabs>
        <w:spacing w:after="120"/>
        <w:ind w:left="1890"/>
      </w:pPr>
      <w:r w:rsidRPr="00B40126">
        <w:t xml:space="preserve">“Board of Directors” means individuals voted to serve collectively as president, vice president, secretary, and treasurer </w:t>
      </w:r>
      <w:r w:rsidRPr="00B40126" w:rsidR="00884112">
        <w:t xml:space="preserve">for </w:t>
      </w:r>
      <w:r w:rsidRPr="00B40126" w:rsidR="00DF0189">
        <w:t>Kenai</w:t>
      </w:r>
      <w:r w:rsidRPr="00B40126">
        <w:t>.</w:t>
      </w:r>
    </w:p>
    <w:p w:rsidR="0090156F" w:rsidRPr="00B40126" w:rsidP="002235B3" w14:paraId="3F6E6F1B" w14:textId="77777777">
      <w:pPr>
        <w:numPr>
          <w:ilvl w:val="0"/>
          <w:numId w:val="5"/>
        </w:numPr>
        <w:tabs>
          <w:tab w:val="clear" w:pos="1224"/>
        </w:tabs>
        <w:spacing w:after="120"/>
        <w:ind w:left="1890"/>
      </w:pPr>
      <w:r w:rsidRPr="00B40126">
        <w:t>“</w:t>
      </w:r>
      <w:r w:rsidRPr="00B40126">
        <w:t>Broadcast Operating Rules</w:t>
      </w:r>
      <w:r w:rsidRPr="00B40126">
        <w:t>”</w:t>
      </w:r>
      <w:r w:rsidRPr="00B40126">
        <w:t xml:space="preserve"> means </w:t>
      </w:r>
      <w:r w:rsidRPr="00B40126" w:rsidR="006857B0">
        <w:t>s</w:t>
      </w:r>
      <w:r w:rsidRPr="00B40126">
        <w:t xml:space="preserve">ections </w:t>
      </w:r>
      <w:r w:rsidRPr="00B40126" w:rsidR="006857B0">
        <w:t xml:space="preserve">73.1230, 73.1840, </w:t>
      </w:r>
      <w:r w:rsidR="006112F8">
        <w:t xml:space="preserve">and </w:t>
      </w:r>
      <w:r w:rsidRPr="00B40126">
        <w:t>73.3527</w:t>
      </w:r>
      <w:r w:rsidR="006160CE">
        <w:t xml:space="preserve"> </w:t>
      </w:r>
      <w:r w:rsidRPr="00B40126">
        <w:t>of the Rules.</w:t>
      </w:r>
    </w:p>
    <w:p w:rsidR="0031472A" w:rsidRPr="00B40126" w:rsidP="002235B3" w14:paraId="0AA9283E" w14:textId="77777777">
      <w:pPr>
        <w:numPr>
          <w:ilvl w:val="0"/>
          <w:numId w:val="5"/>
        </w:numPr>
        <w:tabs>
          <w:tab w:val="clear" w:pos="1224"/>
        </w:tabs>
        <w:spacing w:after="120"/>
        <w:ind w:left="1890"/>
      </w:pPr>
      <w:r w:rsidRPr="00B40126">
        <w:t>“</w:t>
      </w:r>
      <w:r w:rsidRPr="00B40126">
        <w:t>Broadcast Technical Rules</w:t>
      </w:r>
      <w:r w:rsidRPr="00B40126">
        <w:t>”</w:t>
      </w:r>
      <w:r w:rsidRPr="00B40126">
        <w:t xml:space="preserve"> means </w:t>
      </w:r>
      <w:r w:rsidRPr="00B40126" w:rsidR="006857B0">
        <w:t>s</w:t>
      </w:r>
      <w:r w:rsidRPr="00B40126">
        <w:t xml:space="preserve">ections 73.1125, 73.1400, </w:t>
      </w:r>
      <w:r w:rsidR="006112F8">
        <w:t xml:space="preserve">and </w:t>
      </w:r>
      <w:r w:rsidRPr="00B40126">
        <w:t xml:space="preserve">73.1870 of the Rules. </w:t>
      </w:r>
    </w:p>
    <w:p w:rsidR="00AC3FDA" w:rsidRPr="00B40126" w:rsidP="002235B3" w14:paraId="1679864D" w14:textId="77777777">
      <w:pPr>
        <w:numPr>
          <w:ilvl w:val="0"/>
          <w:numId w:val="5"/>
        </w:numPr>
        <w:tabs>
          <w:tab w:val="clear" w:pos="1224"/>
        </w:tabs>
        <w:spacing w:after="120"/>
        <w:ind w:left="1890"/>
      </w:pPr>
      <w:r w:rsidRPr="00B40126">
        <w:t>“</w:t>
      </w:r>
      <w:r w:rsidRPr="00B40126">
        <w:t>Bureau” means the Enforcement Bureau of the Federal Communications Commission.</w:t>
      </w:r>
    </w:p>
    <w:p w:rsidR="00AC3FDA" w:rsidRPr="00B40126" w:rsidP="002235B3" w14:paraId="4F21FF27" w14:textId="77777777">
      <w:pPr>
        <w:numPr>
          <w:ilvl w:val="0"/>
          <w:numId w:val="5"/>
        </w:numPr>
        <w:tabs>
          <w:tab w:val="clear" w:pos="1224"/>
        </w:tabs>
        <w:spacing w:after="120"/>
        <w:ind w:left="1890"/>
      </w:pPr>
      <w:r w:rsidRPr="00B40126">
        <w:t>“Commission” and “FCC” mean the Federal Communications Commission and all of its bureaus and offices.</w:t>
      </w:r>
    </w:p>
    <w:p w:rsidR="00AC3FDA" w:rsidRPr="00B40126" w:rsidP="002235B3" w14:paraId="66466A6F" w14:textId="6B605822">
      <w:pPr>
        <w:numPr>
          <w:ilvl w:val="0"/>
          <w:numId w:val="5"/>
        </w:numPr>
        <w:tabs>
          <w:tab w:val="clear" w:pos="1224"/>
        </w:tabs>
        <w:spacing w:after="120"/>
        <w:ind w:left="1890"/>
      </w:pPr>
      <w:r w:rsidRPr="00B40126">
        <w:t xml:space="preserve">“Compliance </w:t>
      </w:r>
      <w:r w:rsidRPr="00B40126" w:rsidR="006C297D">
        <w:t>Plan</w:t>
      </w:r>
      <w:r w:rsidRPr="00B40126">
        <w:t>” means the compliance obligations</w:t>
      </w:r>
      <w:r w:rsidRPr="00B40126" w:rsidR="00EB1B7A">
        <w:t>, programs, and procedures</w:t>
      </w:r>
      <w:r w:rsidRPr="00B40126">
        <w:t xml:space="preserve"> described in this Consent Decree at </w:t>
      </w:r>
      <w:r w:rsidRPr="00B40126" w:rsidR="000B5881">
        <w:t>p</w:t>
      </w:r>
      <w:r w:rsidRPr="00B40126">
        <w:t xml:space="preserve">aragraph </w:t>
      </w:r>
      <w:r w:rsidRPr="00B40126" w:rsidR="0012278C">
        <w:fldChar w:fldCharType="begin"/>
      </w:r>
      <w:r w:rsidRPr="00B40126" w:rsidR="0012278C">
        <w:instrText xml:space="preserve"> REF _Ref357521857 \r \h </w:instrText>
      </w:r>
      <w:r w:rsidRPr="00B40126" w:rsidR="00B40126">
        <w:instrText xml:space="preserve"> \* MERGEFORMAT </w:instrText>
      </w:r>
      <w:r w:rsidRPr="00B40126" w:rsidR="0012278C">
        <w:fldChar w:fldCharType="separate"/>
      </w:r>
      <w:r w:rsidR="002235B3">
        <w:t>11</w:t>
      </w:r>
      <w:r w:rsidRPr="00B40126" w:rsidR="0012278C">
        <w:fldChar w:fldCharType="end"/>
      </w:r>
      <w:r w:rsidRPr="00B40126">
        <w:t>.</w:t>
      </w:r>
    </w:p>
    <w:p w:rsidR="006C297D" w:rsidRPr="00B40126" w:rsidP="002235B3" w14:paraId="366E1A6A" w14:textId="77777777">
      <w:pPr>
        <w:numPr>
          <w:ilvl w:val="0"/>
          <w:numId w:val="5"/>
        </w:numPr>
        <w:tabs>
          <w:tab w:val="clear" w:pos="1224"/>
        </w:tabs>
        <w:spacing w:after="120"/>
        <w:ind w:left="1890"/>
      </w:pPr>
      <w:r w:rsidRPr="00B40126">
        <w:t xml:space="preserve">“Communications Laws” means collectively, the Act, the Rules, </w:t>
      </w:r>
      <w:r w:rsidRPr="00B40126" w:rsidR="001D2CB8">
        <w:t>including the EAS Rules, Broadcast Operating Rules, Broadcast Technical Rules</w:t>
      </w:r>
      <w:r w:rsidRPr="00CD4465" w:rsidR="001D2CB8">
        <w:t>, and sections 1.89 and 73.1015 of the Rules</w:t>
      </w:r>
      <w:r w:rsidR="001D2CB8">
        <w:t>,</w:t>
      </w:r>
      <w:r w:rsidRPr="00B40126" w:rsidR="001D2CB8">
        <w:t xml:space="preserve"> </w:t>
      </w:r>
      <w:r w:rsidR="001D2CB8">
        <w:t xml:space="preserve">as they are currently in effect and as they may be amended in the future, </w:t>
      </w:r>
      <w:r w:rsidRPr="00B40126">
        <w:t xml:space="preserve">and the published and promulgated orders and decisions of the Commission to which </w:t>
      </w:r>
      <w:r w:rsidRPr="00B40126" w:rsidR="00F52737">
        <w:t>K</w:t>
      </w:r>
      <w:r w:rsidRPr="00B40126" w:rsidR="00DF0189">
        <w:t>enai</w:t>
      </w:r>
      <w:r w:rsidRPr="00B40126" w:rsidR="00AD6E4B">
        <w:t xml:space="preserve"> </w:t>
      </w:r>
      <w:r w:rsidRPr="00B40126">
        <w:t>is subject by virtue of its business activities</w:t>
      </w:r>
      <w:r w:rsidRPr="00B40126" w:rsidR="00F52737">
        <w:t>.</w:t>
      </w:r>
    </w:p>
    <w:p w:rsidR="00F52737" w:rsidRPr="00B40126" w:rsidP="002235B3" w14:paraId="38F8122D" w14:textId="77777777">
      <w:pPr>
        <w:numPr>
          <w:ilvl w:val="0"/>
          <w:numId w:val="5"/>
        </w:numPr>
        <w:tabs>
          <w:tab w:val="clear" w:pos="1224"/>
        </w:tabs>
        <w:spacing w:after="120"/>
        <w:ind w:left="1890"/>
      </w:pPr>
      <w:r w:rsidRPr="00B40126">
        <w:t>“Covered Employees” means all employees</w:t>
      </w:r>
      <w:r w:rsidRPr="00B40126" w:rsidR="00803138">
        <w:t>,</w:t>
      </w:r>
      <w:r w:rsidRPr="00B40126">
        <w:t xml:space="preserve"> agents</w:t>
      </w:r>
      <w:r w:rsidRPr="00B40126" w:rsidR="00803138">
        <w:t>, and volunteers</w:t>
      </w:r>
      <w:r w:rsidRPr="00B40126">
        <w:t xml:space="preserve"> of </w:t>
      </w:r>
      <w:r w:rsidRPr="00B40126" w:rsidR="00DF0189">
        <w:t>Kenai</w:t>
      </w:r>
      <w:r w:rsidRPr="00B40126" w:rsidR="00803138">
        <w:t xml:space="preserve"> </w:t>
      </w:r>
      <w:r w:rsidRPr="00B40126">
        <w:t xml:space="preserve">who perform, supervise, oversee, or manage the performance of, duties that relate to </w:t>
      </w:r>
      <w:r w:rsidRPr="00B40126" w:rsidR="00803138">
        <w:t>K</w:t>
      </w:r>
      <w:r w:rsidRPr="00B40126" w:rsidR="00DF0189">
        <w:t>enai</w:t>
      </w:r>
      <w:r w:rsidRPr="00B40126" w:rsidR="00803138">
        <w:t xml:space="preserve">’s </w:t>
      </w:r>
      <w:r w:rsidRPr="00B40126">
        <w:t xml:space="preserve">responsibilities </w:t>
      </w:r>
      <w:r w:rsidRPr="00B40126" w:rsidR="006C3E51">
        <w:t xml:space="preserve">as a radio station licensee </w:t>
      </w:r>
      <w:r w:rsidRPr="00B40126">
        <w:t>under the Communications Laws.</w:t>
      </w:r>
    </w:p>
    <w:p w:rsidR="00C16461" w:rsidRPr="00B40126" w:rsidP="002235B3" w14:paraId="1FDE0EA2" w14:textId="77777777">
      <w:pPr>
        <w:numPr>
          <w:ilvl w:val="0"/>
          <w:numId w:val="5"/>
        </w:numPr>
        <w:tabs>
          <w:tab w:val="clear" w:pos="1224"/>
        </w:tabs>
        <w:spacing w:after="120"/>
        <w:ind w:left="1890"/>
      </w:pPr>
      <w:r w:rsidRPr="00B40126">
        <w:t xml:space="preserve">“EAS Rules” means </w:t>
      </w:r>
      <w:r w:rsidRPr="00B40126" w:rsidR="0012278C">
        <w:t>s</w:t>
      </w:r>
      <w:r w:rsidRPr="00B40126">
        <w:t>ections 11.15, 11.35, and 11.52 of the Rules.</w:t>
      </w:r>
    </w:p>
    <w:p w:rsidR="00AC3FDA" w:rsidRPr="00B40126" w:rsidP="002235B3" w14:paraId="24E41EDE" w14:textId="77777777">
      <w:pPr>
        <w:numPr>
          <w:ilvl w:val="0"/>
          <w:numId w:val="5"/>
        </w:numPr>
        <w:tabs>
          <w:tab w:val="clear" w:pos="1224"/>
        </w:tabs>
        <w:spacing w:after="120"/>
        <w:ind w:left="1890"/>
      </w:pPr>
      <w:r w:rsidRPr="00B40126">
        <w:t xml:space="preserve">“Effective Date” means the date by which </w:t>
      </w:r>
      <w:r w:rsidRPr="00B40126" w:rsidR="0012278C">
        <w:t xml:space="preserve">all of the following have been accomplished: </w:t>
      </w:r>
      <w:r w:rsidRPr="00B40126">
        <w:t xml:space="preserve">the </w:t>
      </w:r>
      <w:r w:rsidRPr="00B40126" w:rsidR="0012278C">
        <w:t>Commission</w:t>
      </w:r>
      <w:r w:rsidRPr="00B40126">
        <w:t xml:space="preserve"> and </w:t>
      </w:r>
      <w:r w:rsidRPr="00B40126" w:rsidR="00F52737">
        <w:t>K</w:t>
      </w:r>
      <w:r w:rsidRPr="00B40126" w:rsidR="00733767">
        <w:t>enai</w:t>
      </w:r>
      <w:r w:rsidRPr="00B40126">
        <w:t xml:space="preserve"> have signed the Consent Decree</w:t>
      </w:r>
      <w:r w:rsidRPr="00B40126" w:rsidR="0012278C">
        <w:t xml:space="preserve"> and the Commission has released the Adopting Order adopting the Consent Decree</w:t>
      </w:r>
      <w:r w:rsidRPr="00B40126">
        <w:t>.</w:t>
      </w:r>
    </w:p>
    <w:p w:rsidR="00AC3FDA" w:rsidRPr="00B40126" w:rsidP="002235B3" w14:paraId="5E80DF19" w14:textId="77777777">
      <w:pPr>
        <w:numPr>
          <w:ilvl w:val="0"/>
          <w:numId w:val="5"/>
        </w:numPr>
        <w:tabs>
          <w:tab w:val="clear" w:pos="1224"/>
        </w:tabs>
        <w:spacing w:after="120"/>
        <w:ind w:left="1890"/>
      </w:pPr>
      <w:r w:rsidRPr="00B40126">
        <w:t xml:space="preserve">“Investigation” means the investigation commenced by the Bureau in File No. </w:t>
      </w:r>
      <w:r w:rsidRPr="00B40126" w:rsidR="0076165E">
        <w:t>EB-FIELDWR-13-00009787</w:t>
      </w:r>
      <w:r w:rsidRPr="00B40126" w:rsidR="006C3E51">
        <w:t xml:space="preserve"> regarding</w:t>
      </w:r>
      <w:r w:rsidRPr="00B40126" w:rsidR="0031472A">
        <w:t xml:space="preserve"> </w:t>
      </w:r>
      <w:r w:rsidRPr="00B40126">
        <w:t xml:space="preserve">whether </w:t>
      </w:r>
      <w:r w:rsidRPr="00B40126" w:rsidR="00F52737">
        <w:t>K</w:t>
      </w:r>
      <w:r w:rsidRPr="00B40126" w:rsidR="00733767">
        <w:t>enai</w:t>
      </w:r>
      <w:r w:rsidRPr="00B40126">
        <w:t xml:space="preserve"> </w:t>
      </w:r>
      <w:r w:rsidRPr="00B40126" w:rsidR="0076165E">
        <w:t xml:space="preserve">violated </w:t>
      </w:r>
      <w:r w:rsidRPr="00B40126" w:rsidR="0031472A">
        <w:t>provisions of the Communications Laws relating to</w:t>
      </w:r>
      <w:r w:rsidRPr="00B40126" w:rsidR="0076165E">
        <w:t xml:space="preserve"> the EAS</w:t>
      </w:r>
      <w:r w:rsidRPr="00B40126" w:rsidR="00064DDE">
        <w:t xml:space="preserve"> Rules</w:t>
      </w:r>
      <w:r w:rsidRPr="00B40126" w:rsidR="0076165E">
        <w:t xml:space="preserve">, </w:t>
      </w:r>
      <w:r w:rsidRPr="00B40126" w:rsidR="00064DDE">
        <w:t xml:space="preserve">the </w:t>
      </w:r>
      <w:r w:rsidRPr="00B40126" w:rsidR="006C3E51">
        <w:t>B</w:t>
      </w:r>
      <w:r w:rsidRPr="00B40126" w:rsidR="0076165E">
        <w:t xml:space="preserve">roadcast </w:t>
      </w:r>
      <w:r w:rsidRPr="00B40126" w:rsidR="00F32D8B">
        <w:t xml:space="preserve">Operating </w:t>
      </w:r>
      <w:r w:rsidRPr="00B40126" w:rsidR="006C3E51">
        <w:t xml:space="preserve">Rules, </w:t>
      </w:r>
      <w:r w:rsidRPr="00B40126" w:rsidR="00064DDE">
        <w:t xml:space="preserve">the </w:t>
      </w:r>
      <w:r w:rsidRPr="00B40126" w:rsidR="006C3E51">
        <w:t xml:space="preserve">Broadcast </w:t>
      </w:r>
      <w:r w:rsidRPr="00B40126" w:rsidR="00F32D8B">
        <w:t xml:space="preserve">Technical </w:t>
      </w:r>
      <w:r w:rsidRPr="00B40126" w:rsidR="006C3E51">
        <w:t>R</w:t>
      </w:r>
      <w:r w:rsidRPr="00B40126" w:rsidR="0076165E">
        <w:t>ules, and</w:t>
      </w:r>
      <w:r w:rsidRPr="00B40126" w:rsidR="0031472A">
        <w:t xml:space="preserve"> </w:t>
      </w:r>
      <w:r w:rsidRPr="00B40126" w:rsidR="0012278C">
        <w:t>s</w:t>
      </w:r>
      <w:r w:rsidRPr="00B40126" w:rsidR="006C3E51">
        <w:t>ections 1.89 and 73.1015 of the Rules</w:t>
      </w:r>
      <w:r w:rsidR="00493497">
        <w:t>,</w:t>
      </w:r>
      <w:r w:rsidR="00444C00">
        <w:t xml:space="preserve"> </w:t>
      </w:r>
      <w:bookmarkStart w:id="10" w:name="_Hlk9421886"/>
      <w:r w:rsidRPr="001D2CB8" w:rsidR="00026D9F">
        <w:t xml:space="preserve">as they were in effect at the time of the </w:t>
      </w:r>
      <w:r w:rsidR="00493497">
        <w:t xml:space="preserve">June 2013 </w:t>
      </w:r>
      <w:r w:rsidRPr="001D2CB8" w:rsidR="00026D9F">
        <w:t>station inspection</w:t>
      </w:r>
      <w:bookmarkEnd w:id="10"/>
      <w:r w:rsidRPr="00B40126">
        <w:t>.</w:t>
      </w:r>
      <w:r>
        <w:rPr>
          <w:rStyle w:val="FootnoteReference"/>
        </w:rPr>
        <w:footnoteReference w:id="19"/>
      </w:r>
    </w:p>
    <w:p w:rsidR="00977B37" w:rsidRPr="00B40126" w:rsidP="002235B3" w14:paraId="10FBA19E" w14:textId="77777777">
      <w:pPr>
        <w:numPr>
          <w:ilvl w:val="0"/>
          <w:numId w:val="5"/>
        </w:numPr>
        <w:tabs>
          <w:tab w:val="clear" w:pos="1224"/>
        </w:tabs>
        <w:spacing w:after="120"/>
        <w:ind w:left="1890"/>
      </w:pPr>
      <w:r w:rsidRPr="00B40126">
        <w:t>“</w:t>
      </w:r>
      <w:r w:rsidRPr="00B40126" w:rsidR="00DF0189">
        <w:t>Kenai</w:t>
      </w:r>
      <w:r w:rsidRPr="00B40126">
        <w:t xml:space="preserve">” or “Company” means </w:t>
      </w:r>
      <w:bookmarkStart w:id="11" w:name="_Hlk8816262"/>
      <w:r w:rsidRPr="00B40126" w:rsidR="00FF0D90">
        <w:t>Kenai Educational Media, Inc.</w:t>
      </w:r>
      <w:r w:rsidRPr="00B40126" w:rsidR="00F52737">
        <w:t xml:space="preserve"> </w:t>
      </w:r>
      <w:r w:rsidRPr="00B40126">
        <w:t>and its affiliates, subsidiaries, predecessors-in-interest,</w:t>
      </w:r>
      <w:r w:rsidRPr="00B40126" w:rsidR="0090156F">
        <w:t xml:space="preserve"> and</w:t>
      </w:r>
      <w:r w:rsidRPr="00B40126">
        <w:t xml:space="preserve"> successors-in-interest</w:t>
      </w:r>
      <w:bookmarkEnd w:id="11"/>
      <w:r w:rsidRPr="00B40126">
        <w:t>.</w:t>
      </w:r>
    </w:p>
    <w:p w:rsidR="00AC3FDA" w:rsidRPr="00B40126" w:rsidP="002235B3" w14:paraId="2073F494" w14:textId="77777777">
      <w:pPr>
        <w:numPr>
          <w:ilvl w:val="0"/>
          <w:numId w:val="5"/>
        </w:numPr>
        <w:tabs>
          <w:tab w:val="clear" w:pos="1224"/>
        </w:tabs>
        <w:spacing w:after="120"/>
        <w:ind w:left="1890"/>
      </w:pPr>
      <w:r w:rsidRPr="00B40126">
        <w:t xml:space="preserve">“NAL” means the Notice of Apparent Liability for Forfeiture and Order issued to </w:t>
      </w:r>
      <w:r w:rsidRPr="00B40126" w:rsidR="00977B37">
        <w:t>K</w:t>
      </w:r>
      <w:r w:rsidRPr="00B40126" w:rsidR="003875C6">
        <w:t>enai</w:t>
      </w:r>
      <w:r w:rsidRPr="00B40126">
        <w:t xml:space="preserve"> on </w:t>
      </w:r>
      <w:r w:rsidRPr="00B40126" w:rsidR="001F7457">
        <w:t>July 19</w:t>
      </w:r>
      <w:r w:rsidRPr="00B40126">
        <w:t>, 201</w:t>
      </w:r>
      <w:r w:rsidRPr="00B40126" w:rsidR="001F7457">
        <w:t>7</w:t>
      </w:r>
      <w:r w:rsidRPr="00B40126">
        <w:t>, proposing a $</w:t>
      </w:r>
      <w:r w:rsidRPr="00B40126" w:rsidR="00FF4352">
        <w:t>66</w:t>
      </w:r>
      <w:r w:rsidRPr="00B40126">
        <w:t>,000 forfeiture for apparent violations</w:t>
      </w:r>
      <w:r w:rsidRPr="00B40126" w:rsidR="006E4736">
        <w:t xml:space="preserve"> of the</w:t>
      </w:r>
      <w:r w:rsidRPr="00B40126">
        <w:t xml:space="preserve"> </w:t>
      </w:r>
      <w:r w:rsidRPr="00B40126" w:rsidR="006E4736">
        <w:t xml:space="preserve">EAS Rules, </w:t>
      </w:r>
      <w:r w:rsidRPr="00B40126" w:rsidR="00064DDE">
        <w:t xml:space="preserve">the </w:t>
      </w:r>
      <w:r w:rsidRPr="00B40126" w:rsidR="006E4736">
        <w:t xml:space="preserve">Broadcast Operating Rules, </w:t>
      </w:r>
      <w:r w:rsidRPr="00B40126" w:rsidR="00064DDE">
        <w:t xml:space="preserve">the </w:t>
      </w:r>
      <w:r w:rsidRPr="00B40126" w:rsidR="006E4736">
        <w:t>Broadcast Technical Rules</w:t>
      </w:r>
      <w:r w:rsidRPr="00B40126" w:rsidR="001F7457">
        <w:t xml:space="preserve">, and </w:t>
      </w:r>
      <w:r w:rsidRPr="00B40126" w:rsidR="0012278C">
        <w:t>s</w:t>
      </w:r>
      <w:r w:rsidRPr="00B40126" w:rsidR="001F7457">
        <w:t xml:space="preserve">ections 1.89 and 73.1015 of the </w:t>
      </w:r>
      <w:r w:rsidRPr="00B40126" w:rsidR="00064DDE">
        <w:t>R</w:t>
      </w:r>
      <w:r w:rsidRPr="00B40126" w:rsidR="001F7457">
        <w:t>ules</w:t>
      </w:r>
      <w:r w:rsidR="00493497">
        <w:t>,</w:t>
      </w:r>
      <w:r w:rsidR="00026D9F">
        <w:t xml:space="preserve"> </w:t>
      </w:r>
      <w:r w:rsidRPr="001D2CB8" w:rsidR="00026D9F">
        <w:t xml:space="preserve">as they were in effect at the time of the </w:t>
      </w:r>
      <w:r w:rsidR="00493497">
        <w:t xml:space="preserve">June 2013 </w:t>
      </w:r>
      <w:r w:rsidRPr="001D2CB8" w:rsidR="00026D9F">
        <w:t>station inspection</w:t>
      </w:r>
      <w:r w:rsidRPr="00E462C9">
        <w:t>.</w:t>
      </w:r>
      <w:r>
        <w:rPr>
          <w:rStyle w:val="FootnoteReference"/>
          <w:sz w:val="22"/>
        </w:rPr>
        <w:footnoteReference w:id="20"/>
      </w:r>
    </w:p>
    <w:p w:rsidR="00AC3FDA" w:rsidRPr="00B40126" w:rsidP="002235B3" w14:paraId="1B7AA4DD" w14:textId="77777777">
      <w:pPr>
        <w:widowControl/>
        <w:numPr>
          <w:ilvl w:val="0"/>
          <w:numId w:val="5"/>
        </w:numPr>
        <w:tabs>
          <w:tab w:val="clear" w:pos="1224"/>
        </w:tabs>
        <w:spacing w:after="120"/>
        <w:ind w:left="1886"/>
      </w:pPr>
      <w:r w:rsidRPr="00B40126">
        <w:t xml:space="preserve">“NAL Response” means the written response to the NAL that </w:t>
      </w:r>
      <w:r w:rsidRPr="00B40126" w:rsidR="00977B37">
        <w:t>K</w:t>
      </w:r>
      <w:r w:rsidRPr="00B40126" w:rsidR="003875C6">
        <w:t>enai</w:t>
      </w:r>
      <w:r w:rsidRPr="00B40126">
        <w:t xml:space="preserve"> transmitted to the Commission on </w:t>
      </w:r>
      <w:r w:rsidRPr="00B40126" w:rsidR="0076165E">
        <w:t xml:space="preserve">September </w:t>
      </w:r>
      <w:r w:rsidRPr="00B40126" w:rsidR="00C11F7A">
        <w:t>6</w:t>
      </w:r>
      <w:r w:rsidRPr="00B40126">
        <w:t>, 201</w:t>
      </w:r>
      <w:r w:rsidRPr="00B40126" w:rsidR="00363806">
        <w:t>7</w:t>
      </w:r>
      <w:r w:rsidRPr="00B40126" w:rsidR="00A2239C">
        <w:t xml:space="preserve">, and </w:t>
      </w:r>
      <w:r w:rsidRPr="00B40126" w:rsidR="00F676F2">
        <w:t xml:space="preserve">its </w:t>
      </w:r>
      <w:r w:rsidRPr="00B40126" w:rsidR="00A2239C">
        <w:t xml:space="preserve">supplemental </w:t>
      </w:r>
      <w:r w:rsidRPr="00B40126" w:rsidR="00385DE4">
        <w:t xml:space="preserve">responses </w:t>
      </w:r>
      <w:r w:rsidRPr="00B40126" w:rsidR="00F676F2">
        <w:t xml:space="preserve">that it </w:t>
      </w:r>
      <w:r w:rsidRPr="00B40126" w:rsidR="00A2239C">
        <w:t>submitted on January 5, 2018, and February 6, 2018</w:t>
      </w:r>
      <w:r w:rsidRPr="00B40126">
        <w:t>.</w:t>
      </w:r>
      <w:r>
        <w:rPr>
          <w:rStyle w:val="FootnoteReference"/>
          <w:sz w:val="22"/>
        </w:rPr>
        <w:footnoteReference w:id="21"/>
      </w:r>
    </w:p>
    <w:p w:rsidR="00C73E0C" w:rsidRPr="00B40126" w:rsidP="002235B3" w14:paraId="4B13769F" w14:textId="77777777">
      <w:pPr>
        <w:numPr>
          <w:ilvl w:val="0"/>
          <w:numId w:val="5"/>
        </w:numPr>
        <w:tabs>
          <w:tab w:val="clear" w:pos="1224"/>
        </w:tabs>
        <w:spacing w:after="120"/>
        <w:ind w:left="1890"/>
      </w:pPr>
      <w:r w:rsidRPr="00B40126">
        <w:t>“Operating Procedures” means the standard internal operating procedures and compliance policies established by K</w:t>
      </w:r>
      <w:r w:rsidRPr="00B40126" w:rsidR="003875C6">
        <w:t>enai</w:t>
      </w:r>
      <w:r w:rsidRPr="00B40126">
        <w:t xml:space="preserve"> to implement the Compliance Plan.</w:t>
      </w:r>
    </w:p>
    <w:p w:rsidR="00AC3FDA" w:rsidRPr="00B40126" w:rsidP="002235B3" w14:paraId="44BA7E6A" w14:textId="77777777">
      <w:pPr>
        <w:numPr>
          <w:ilvl w:val="0"/>
          <w:numId w:val="5"/>
        </w:numPr>
        <w:tabs>
          <w:tab w:val="clear" w:pos="1224"/>
        </w:tabs>
        <w:spacing w:after="120"/>
        <w:ind w:left="1890"/>
      </w:pPr>
      <w:r w:rsidRPr="00B40126">
        <w:t xml:space="preserve">“Parties” means </w:t>
      </w:r>
      <w:r w:rsidRPr="00B40126" w:rsidR="009066C6">
        <w:t xml:space="preserve">Kenai </w:t>
      </w:r>
      <w:r w:rsidRPr="00B40126">
        <w:t xml:space="preserve">and the </w:t>
      </w:r>
      <w:r w:rsidRPr="00B40126" w:rsidR="0012278C">
        <w:t>Commission</w:t>
      </w:r>
      <w:r w:rsidRPr="00B40126">
        <w:t>, each of which is a “Party.”</w:t>
      </w:r>
    </w:p>
    <w:p w:rsidR="00AC3FDA" w:rsidRPr="00B40126" w:rsidP="002235B3" w14:paraId="41907B61" w14:textId="77777777">
      <w:pPr>
        <w:numPr>
          <w:ilvl w:val="0"/>
          <w:numId w:val="5"/>
        </w:numPr>
        <w:tabs>
          <w:tab w:val="clear" w:pos="1224"/>
        </w:tabs>
        <w:spacing w:after="120"/>
        <w:ind w:left="1890"/>
      </w:pPr>
      <w:r w:rsidRPr="00B40126">
        <w:t>“Rules” means the Commission’s regulations found in Title 47 of the Code of Federal Regulations.</w:t>
      </w:r>
    </w:p>
    <w:p w:rsidR="000215C1" w:rsidRPr="00B40126" w:rsidP="002235B3" w14:paraId="5EDA0E08" w14:textId="77777777">
      <w:pPr>
        <w:numPr>
          <w:ilvl w:val="0"/>
          <w:numId w:val="5"/>
        </w:numPr>
        <w:tabs>
          <w:tab w:val="clear" w:pos="1224"/>
        </w:tabs>
        <w:spacing w:after="120"/>
        <w:ind w:left="1890"/>
      </w:pPr>
      <w:r w:rsidRPr="00B40126">
        <w:t>“Station” means KIBH-FM, Seward, Alaska (Facility ID No. 176521).</w:t>
      </w:r>
    </w:p>
    <w:p w:rsidR="00AC3FDA" w:rsidRPr="00B40126" w:rsidP="00AC3FDA" w14:paraId="6E5921EB" w14:textId="77777777">
      <w:pPr>
        <w:pStyle w:val="Heading1"/>
        <w:rPr>
          <w:rFonts w:ascii="Times New Roman" w:hAnsi="Times New Roman"/>
        </w:rPr>
      </w:pPr>
      <w:r w:rsidRPr="00B40126">
        <w:rPr>
          <w:rFonts w:ascii="Times New Roman" w:hAnsi="Times New Roman"/>
        </w:rPr>
        <w:t>BACKGROUND</w:t>
      </w:r>
    </w:p>
    <w:p w:rsidR="00AC3FDA" w:rsidRPr="00B40126" w:rsidP="002235B3" w14:paraId="6C772C7B" w14:textId="77777777">
      <w:pPr>
        <w:pStyle w:val="ParaNum"/>
        <w:numPr>
          <w:ilvl w:val="0"/>
          <w:numId w:val="3"/>
        </w:numPr>
        <w:tabs>
          <w:tab w:val="clear" w:pos="1080"/>
          <w:tab w:val="num" w:pos="1440"/>
        </w:tabs>
      </w:pPr>
      <w:r w:rsidRPr="00B40126">
        <w:t xml:space="preserve">The </w:t>
      </w:r>
      <w:r w:rsidRPr="00B40126" w:rsidR="00A11888">
        <w:t>EAS Rules</w:t>
      </w:r>
      <w:r w:rsidRPr="00B40126">
        <w:t xml:space="preserve"> ensure that the public can receive accurate and </w:t>
      </w:r>
      <w:r w:rsidRPr="00B40126">
        <w:rPr>
          <w:color w:val="000000"/>
        </w:rPr>
        <w:t>expedient warnings during times of emergencies</w:t>
      </w:r>
      <w:r w:rsidRPr="00B40126" w:rsidR="00064DDE">
        <w:rPr>
          <w:color w:val="000000"/>
        </w:rPr>
        <w:t>.  The Broadcast Operating Rules and the Broadcast Technical Rules</w:t>
      </w:r>
      <w:r w:rsidRPr="00B40126" w:rsidR="00B921CF">
        <w:rPr>
          <w:color w:val="000000"/>
        </w:rPr>
        <w:t xml:space="preserve">, </w:t>
      </w:r>
      <w:r w:rsidRPr="00B40126" w:rsidR="0008130D">
        <w:rPr>
          <w:color w:val="000000"/>
        </w:rPr>
        <w:t>collectively,</w:t>
      </w:r>
      <w:r w:rsidR="0008130D">
        <w:rPr>
          <w:color w:val="000000"/>
        </w:rPr>
        <w:t xml:space="preserve"> </w:t>
      </w:r>
      <w:r w:rsidRPr="00B40126" w:rsidR="0008130D">
        <w:rPr>
          <w:color w:val="000000"/>
        </w:rPr>
        <w:t>ensure that a station can serve the needs of the community</w:t>
      </w:r>
      <w:r w:rsidR="0008130D">
        <w:rPr>
          <w:color w:val="000000"/>
        </w:rPr>
        <w:t>,</w:t>
      </w:r>
      <w:r w:rsidRPr="00C62453" w:rsidR="0008130D">
        <w:rPr>
          <w:color w:val="000000"/>
        </w:rPr>
        <w:t xml:space="preserve"> </w:t>
      </w:r>
      <w:r w:rsidRPr="00C62453" w:rsidR="0008130D">
        <w:rPr>
          <w:color w:val="000000"/>
        </w:rPr>
        <w:t>protect other licensees from harmful interference</w:t>
      </w:r>
      <w:r w:rsidRPr="00B40126" w:rsidR="0008130D">
        <w:rPr>
          <w:color w:val="000000"/>
        </w:rPr>
        <w:t xml:space="preserve">, </w:t>
      </w:r>
      <w:r w:rsidR="0008130D">
        <w:rPr>
          <w:color w:val="000000"/>
        </w:rPr>
        <w:t xml:space="preserve">and </w:t>
      </w:r>
      <w:r w:rsidRPr="00B40126" w:rsidR="0008130D">
        <w:rPr>
          <w:color w:val="000000"/>
        </w:rPr>
        <w:t xml:space="preserve">provide the Commission and </w:t>
      </w:r>
      <w:r w:rsidR="0008130D">
        <w:rPr>
          <w:color w:val="000000"/>
        </w:rPr>
        <w:t xml:space="preserve">the </w:t>
      </w:r>
      <w:r w:rsidRPr="00B40126" w:rsidR="0008130D">
        <w:rPr>
          <w:color w:val="000000"/>
        </w:rPr>
        <w:t>public with information about station programming and operations</w:t>
      </w:r>
      <w:r w:rsidRPr="00B40126">
        <w:rPr>
          <w:color w:val="000000"/>
        </w:rPr>
        <w:t xml:space="preserve">.  </w:t>
      </w:r>
      <w:r w:rsidRPr="00CD4465" w:rsidR="00064DDE">
        <w:rPr>
          <w:color w:val="000000"/>
        </w:rPr>
        <w:t>Sections 1.89</w:t>
      </w:r>
      <w:r w:rsidRPr="00B40126" w:rsidR="00064DDE">
        <w:rPr>
          <w:color w:val="000000"/>
        </w:rPr>
        <w:t xml:space="preserve"> and 73.1015 of the Rules require licensees to respond to Commission </w:t>
      </w:r>
      <w:r w:rsidRPr="00CD4465" w:rsidR="00064DDE">
        <w:rPr>
          <w:color w:val="000000"/>
        </w:rPr>
        <w:t>notices</w:t>
      </w:r>
      <w:r w:rsidRPr="00B40126" w:rsidR="00064DDE">
        <w:rPr>
          <w:color w:val="000000"/>
        </w:rPr>
        <w:t xml:space="preserve"> and requests for information, which are necessary for the Commission to carry out its responsibilities.  </w:t>
      </w:r>
      <w:r w:rsidRPr="00B40126" w:rsidR="00AE1A98">
        <w:t>O</w:t>
      </w:r>
      <w:r w:rsidRPr="00B40126" w:rsidR="00A2239C">
        <w:t xml:space="preserve">n June 18, 2013, an agent from the Bureau’s Anchorage Resident Agent Office (Anchorage Office) inspected the main studio </w:t>
      </w:r>
      <w:r w:rsidRPr="00B40126" w:rsidR="00B74378">
        <w:t>for</w:t>
      </w:r>
      <w:r w:rsidRPr="00B40126" w:rsidR="00A2239C">
        <w:t xml:space="preserve"> KIBH-FM, a non-commercial educational station at 222 Fourth Avenue, Seward, Alaska.</w:t>
      </w:r>
      <w:r>
        <w:rPr>
          <w:rStyle w:val="FootnoteReference"/>
          <w:sz w:val="22"/>
        </w:rPr>
        <w:footnoteReference w:id="22"/>
      </w:r>
      <w:r w:rsidRPr="00B40126" w:rsidR="00A2239C">
        <w:t xml:space="preserve">  The inspection revealed several apparent </w:t>
      </w:r>
      <w:r w:rsidRPr="00B40126" w:rsidR="000363D1">
        <w:t xml:space="preserve">violations </w:t>
      </w:r>
      <w:r w:rsidRPr="00B40126" w:rsidR="00A2239C">
        <w:t xml:space="preserve">of the </w:t>
      </w:r>
      <w:r w:rsidRPr="00B40126" w:rsidR="00DB7EBA">
        <w:t>R</w:t>
      </w:r>
      <w:r w:rsidRPr="00B40126" w:rsidR="00A2239C">
        <w:t xml:space="preserve">ules, including </w:t>
      </w:r>
      <w:r w:rsidRPr="00B40126" w:rsidR="00105477">
        <w:t>the</w:t>
      </w:r>
      <w:r w:rsidRPr="00B40126" w:rsidR="00A2239C">
        <w:t xml:space="preserve"> EAS </w:t>
      </w:r>
      <w:r w:rsidRPr="00B40126" w:rsidR="00105477">
        <w:t>R</w:t>
      </w:r>
      <w:r w:rsidRPr="00B40126" w:rsidR="00A2239C">
        <w:t>ules</w:t>
      </w:r>
      <w:r w:rsidRPr="00B40126" w:rsidR="002009C4">
        <w:t>,</w:t>
      </w:r>
      <w:r w:rsidRPr="00B40126" w:rsidR="00A2239C">
        <w:t xml:space="preserve"> </w:t>
      </w:r>
      <w:r w:rsidRPr="00B40126" w:rsidR="00AE1A98">
        <w:t xml:space="preserve">the Broadcast Operating Rules, </w:t>
      </w:r>
      <w:r w:rsidRPr="00B40126" w:rsidR="00382BA9">
        <w:t xml:space="preserve">and </w:t>
      </w:r>
      <w:r w:rsidRPr="00B40126" w:rsidR="00AE1A98">
        <w:t>the Broadcast Technical Rules</w:t>
      </w:r>
      <w:r w:rsidRPr="00B40126" w:rsidR="00A2239C">
        <w:t xml:space="preserve">.  Subsequently, pursuant to </w:t>
      </w:r>
      <w:r w:rsidRPr="00B40126" w:rsidR="00AE1A98">
        <w:t>s</w:t>
      </w:r>
      <w:r w:rsidRPr="00B40126" w:rsidR="00A2239C">
        <w:t xml:space="preserve">ection 1.89 of the </w:t>
      </w:r>
      <w:r w:rsidRPr="00B40126" w:rsidR="00DB7EBA">
        <w:t>R</w:t>
      </w:r>
      <w:r w:rsidRPr="00B40126" w:rsidR="00A2239C">
        <w:t xml:space="preserve">ules, </w:t>
      </w:r>
      <w:r w:rsidRPr="00B40126" w:rsidR="00A2239C">
        <w:rPr>
          <w:spacing w:val="-2"/>
        </w:rPr>
        <w:t>the Anchorage Office s</w:t>
      </w:r>
      <w:r w:rsidRPr="00B40126" w:rsidR="00A2239C">
        <w:t xml:space="preserve">ent </w:t>
      </w:r>
      <w:r w:rsidRPr="00B40126" w:rsidR="002009C4">
        <w:t>K</w:t>
      </w:r>
      <w:r w:rsidRPr="00B40126" w:rsidR="003875C6">
        <w:t>enai</w:t>
      </w:r>
      <w:r w:rsidRPr="00B40126" w:rsidR="002009C4">
        <w:t xml:space="preserve"> </w:t>
      </w:r>
      <w:r w:rsidRPr="00B40126" w:rsidR="003960C4">
        <w:t>several NOVs</w:t>
      </w:r>
      <w:r w:rsidRPr="00B40126" w:rsidR="00DB7EBA">
        <w:t xml:space="preserve"> and warning letters</w:t>
      </w:r>
      <w:r w:rsidRPr="00B40126" w:rsidR="00F865F9">
        <w:t>,</w:t>
      </w:r>
      <w:r>
        <w:rPr>
          <w:rStyle w:val="FootnoteReference"/>
          <w:sz w:val="22"/>
        </w:rPr>
        <w:footnoteReference w:id="23"/>
      </w:r>
      <w:r w:rsidRPr="00B40126" w:rsidR="00A2239C">
        <w:t xml:space="preserve"> </w:t>
      </w:r>
      <w:r w:rsidRPr="00B40126" w:rsidR="003960C4">
        <w:t>e</w:t>
      </w:r>
      <w:r w:rsidRPr="00B40126" w:rsidR="00A2239C">
        <w:t>ach direct</w:t>
      </w:r>
      <w:r w:rsidRPr="00B40126" w:rsidR="003960C4">
        <w:t>ing</w:t>
      </w:r>
      <w:r w:rsidRPr="00B40126" w:rsidR="00A2239C">
        <w:t xml:space="preserve"> K</w:t>
      </w:r>
      <w:r w:rsidRPr="00B40126" w:rsidR="003875C6">
        <w:t>enai</w:t>
      </w:r>
      <w:r w:rsidRPr="00B40126" w:rsidR="00A2239C">
        <w:t xml:space="preserve"> to respond within 20 days</w:t>
      </w:r>
      <w:r w:rsidRPr="00B40126" w:rsidR="00561B18">
        <w:t>,</w:t>
      </w:r>
      <w:r w:rsidRPr="00B40126" w:rsidR="00A2239C">
        <w:t xml:space="preserve"> </w:t>
      </w:r>
      <w:r w:rsidRPr="00B40126" w:rsidR="00DB7EBA">
        <w:t xml:space="preserve">to </w:t>
      </w:r>
      <w:r w:rsidRPr="00B40126" w:rsidR="00A2239C">
        <w:t>provide an explanation</w:t>
      </w:r>
      <w:r w:rsidRPr="00B40126" w:rsidR="00DB7EBA">
        <w:t xml:space="preserve"> for the violations</w:t>
      </w:r>
      <w:r w:rsidRPr="00B40126" w:rsidR="00561B18">
        <w:t>, and to delineate</w:t>
      </w:r>
      <w:r w:rsidRPr="00B40126" w:rsidR="00A2239C">
        <w:t xml:space="preserve"> the corrective actions proposed or taken to address each violation observed during the June 2013 inspection.</w:t>
      </w:r>
      <w:r>
        <w:rPr>
          <w:rStyle w:val="FootnoteReference"/>
          <w:sz w:val="22"/>
        </w:rPr>
        <w:footnoteReference w:id="24"/>
      </w:r>
      <w:r w:rsidRPr="00B40126" w:rsidR="00A2239C">
        <w:t xml:space="preserve">  </w:t>
      </w:r>
      <w:r w:rsidRPr="00B40126" w:rsidR="002009C4">
        <w:t>All such communications were sent to K</w:t>
      </w:r>
      <w:r w:rsidRPr="00B40126" w:rsidR="003875C6">
        <w:t>enai</w:t>
      </w:r>
      <w:r w:rsidRPr="00B40126" w:rsidR="002009C4">
        <w:t xml:space="preserve"> at its address of record at the Commission.  </w:t>
      </w:r>
      <w:r w:rsidRPr="00B40126" w:rsidR="00A2239C">
        <w:t>The Anchorage Office did not receive a response to any of the communications.</w:t>
      </w:r>
      <w:r>
        <w:rPr>
          <w:rStyle w:val="FootnoteReference"/>
          <w:sz w:val="22"/>
        </w:rPr>
        <w:footnoteReference w:id="25"/>
      </w:r>
    </w:p>
    <w:p w:rsidR="00AC3FDA" w:rsidRPr="00B40126" w:rsidP="002235B3" w14:paraId="32F24B1E" w14:textId="77777777">
      <w:pPr>
        <w:pStyle w:val="ParaNum"/>
        <w:numPr>
          <w:ilvl w:val="0"/>
          <w:numId w:val="3"/>
        </w:numPr>
        <w:tabs>
          <w:tab w:val="clear" w:pos="1080"/>
          <w:tab w:val="num" w:pos="1440"/>
        </w:tabs>
      </w:pPr>
      <w:r w:rsidRPr="00B40126">
        <w:t xml:space="preserve">On July 19, 2017, the Commission issued </w:t>
      </w:r>
      <w:r w:rsidRPr="00B40126" w:rsidR="00DB7EBA">
        <w:t>the</w:t>
      </w:r>
      <w:r w:rsidRPr="00B40126">
        <w:t xml:space="preserve"> </w:t>
      </w:r>
      <w:r w:rsidRPr="00B40126">
        <w:rPr>
          <w:i/>
        </w:rPr>
        <w:t>NAL</w:t>
      </w:r>
      <w:r w:rsidRPr="00B40126" w:rsidR="00DB7EBA">
        <w:t>,</w:t>
      </w:r>
      <w:r w:rsidRPr="00B40126">
        <w:t xml:space="preserve"> proposing a $66,000 forfeiture against K</w:t>
      </w:r>
      <w:r w:rsidRPr="00B40126" w:rsidR="003875C6">
        <w:t>enai</w:t>
      </w:r>
      <w:r w:rsidRPr="00B40126">
        <w:t xml:space="preserve"> for willful violations </w:t>
      </w:r>
      <w:r w:rsidRPr="00B40126">
        <w:rPr>
          <w:spacing w:val="-2"/>
        </w:rPr>
        <w:t>of</w:t>
      </w:r>
      <w:r w:rsidRPr="00B40126">
        <w:t xml:space="preserve"> </w:t>
      </w:r>
      <w:r w:rsidRPr="00B40126" w:rsidR="00DB7EBA">
        <w:t xml:space="preserve">the EAS Rules, the Broadcast Operating Rules, and the Broadcast Technical Rules, </w:t>
      </w:r>
      <w:r w:rsidRPr="00B40126">
        <w:t>and</w:t>
      </w:r>
      <w:r w:rsidRPr="00B40126" w:rsidR="003960C4">
        <w:t xml:space="preserve"> for</w:t>
      </w:r>
      <w:r w:rsidRPr="00B40126">
        <w:t xml:space="preserve"> willful and repeated violations of </w:t>
      </w:r>
      <w:r w:rsidRPr="00B40126" w:rsidR="00AE1A98">
        <w:t>s</w:t>
      </w:r>
      <w:r w:rsidRPr="00B40126">
        <w:t xml:space="preserve">ections 1.89(b) and 73.1015 of the </w:t>
      </w:r>
      <w:r w:rsidRPr="00B40126" w:rsidR="00DB7EBA">
        <w:t>R</w:t>
      </w:r>
      <w:r w:rsidRPr="00B40126">
        <w:t>ules.</w:t>
      </w:r>
      <w:r>
        <w:rPr>
          <w:rStyle w:val="FootnoteReference"/>
          <w:sz w:val="22"/>
        </w:rPr>
        <w:footnoteReference w:id="26"/>
      </w:r>
      <w:r w:rsidRPr="00B40126">
        <w:rPr>
          <w:spacing w:val="-2"/>
        </w:rPr>
        <w:t xml:space="preserve">  </w:t>
      </w:r>
      <w:r w:rsidRPr="00B40126" w:rsidR="00803138">
        <w:rPr>
          <w:spacing w:val="-2"/>
        </w:rPr>
        <w:t xml:space="preserve">On September 11, 2017, </w:t>
      </w:r>
      <w:r w:rsidRPr="00B40126" w:rsidR="00561B18">
        <w:rPr>
          <w:spacing w:val="-2"/>
        </w:rPr>
        <w:t xml:space="preserve">in </w:t>
      </w:r>
      <w:r w:rsidRPr="00B40126" w:rsidR="00AE1A98">
        <w:rPr>
          <w:spacing w:val="-2"/>
        </w:rPr>
        <w:t>the</w:t>
      </w:r>
      <w:r w:rsidRPr="00B40126" w:rsidR="00561B18">
        <w:rPr>
          <w:spacing w:val="-2"/>
        </w:rPr>
        <w:t xml:space="preserve"> NAL </w:t>
      </w:r>
      <w:r w:rsidRPr="00B40126" w:rsidR="000677D0">
        <w:rPr>
          <w:spacing w:val="-2"/>
        </w:rPr>
        <w:t>R</w:t>
      </w:r>
      <w:r w:rsidRPr="00B40126" w:rsidR="00561B18">
        <w:rPr>
          <w:spacing w:val="-2"/>
        </w:rPr>
        <w:t xml:space="preserve">esponse, </w:t>
      </w:r>
      <w:r w:rsidRPr="00B40126" w:rsidR="00803138">
        <w:t>K</w:t>
      </w:r>
      <w:r w:rsidRPr="00B40126" w:rsidR="003875C6">
        <w:t>enai</w:t>
      </w:r>
      <w:r w:rsidRPr="00B40126" w:rsidR="00803138">
        <w:t xml:space="preserve"> </w:t>
      </w:r>
      <w:r w:rsidRPr="00B40126" w:rsidR="00382BA9">
        <w:t xml:space="preserve">did </w:t>
      </w:r>
      <w:r w:rsidRPr="00B40126" w:rsidR="003960C4">
        <w:t xml:space="preserve">not contest the violations described in the </w:t>
      </w:r>
      <w:r w:rsidRPr="00B40126" w:rsidR="003960C4">
        <w:rPr>
          <w:i/>
        </w:rPr>
        <w:t>NAL</w:t>
      </w:r>
      <w:r w:rsidRPr="00B40126" w:rsidR="003960C4">
        <w:t xml:space="preserve">, but </w:t>
      </w:r>
      <w:r w:rsidRPr="00B40126" w:rsidR="00730A2E">
        <w:t xml:space="preserve">instead </w:t>
      </w:r>
      <w:r w:rsidRPr="00B40126" w:rsidR="00CA3930">
        <w:t>request</w:t>
      </w:r>
      <w:r w:rsidRPr="00B40126" w:rsidR="00382BA9">
        <w:t>ed</w:t>
      </w:r>
      <w:r w:rsidRPr="00B40126" w:rsidR="000677D0">
        <w:t xml:space="preserve"> that the Commission substantially reduce or cancel </w:t>
      </w:r>
      <w:r w:rsidRPr="00B40126" w:rsidR="00CA3930">
        <w:t xml:space="preserve">the forfeiture based on its </w:t>
      </w:r>
      <w:r w:rsidRPr="00B40126" w:rsidR="00CA3930">
        <w:t>inability to pay</w:t>
      </w:r>
      <w:r w:rsidRPr="00B40126" w:rsidR="00D177F0">
        <w:t xml:space="preserve"> the proposed forfeiture</w:t>
      </w:r>
      <w:r w:rsidRPr="00B40126" w:rsidR="00CA3930">
        <w:t>.</w:t>
      </w:r>
      <w:r>
        <w:rPr>
          <w:rStyle w:val="FootnoteReference"/>
          <w:sz w:val="22"/>
        </w:rPr>
        <w:footnoteReference w:id="27"/>
      </w:r>
      <w:r w:rsidRPr="00B40126">
        <w:t xml:space="preserve">  </w:t>
      </w:r>
      <w:r w:rsidRPr="00B40126" w:rsidR="000363D1">
        <w:t>In addition, K</w:t>
      </w:r>
      <w:r w:rsidRPr="00B40126" w:rsidR="003875C6">
        <w:t>enai</w:t>
      </w:r>
      <w:r w:rsidRPr="00B40126" w:rsidR="000363D1">
        <w:t xml:space="preserve"> state</w:t>
      </w:r>
      <w:r w:rsidRPr="00B40126" w:rsidR="00382BA9">
        <w:t>d</w:t>
      </w:r>
      <w:r w:rsidRPr="00B40126" w:rsidR="000363D1">
        <w:t xml:space="preserve"> </w:t>
      </w:r>
      <w:r w:rsidRPr="00B40126" w:rsidR="00382BA9">
        <w:t xml:space="preserve">that </w:t>
      </w:r>
      <w:r w:rsidRPr="00B40126" w:rsidR="000363D1">
        <w:t xml:space="preserve">it addressed all of the deficiencies identified in the </w:t>
      </w:r>
      <w:r w:rsidRPr="00B40126" w:rsidR="000363D1">
        <w:rPr>
          <w:i/>
        </w:rPr>
        <w:t>NAL</w:t>
      </w:r>
      <w:r w:rsidRPr="00B40126" w:rsidR="000677D0">
        <w:t>.</w:t>
      </w:r>
      <w:r>
        <w:rPr>
          <w:rStyle w:val="FootnoteReference"/>
          <w:sz w:val="22"/>
        </w:rPr>
        <w:footnoteReference w:id="28"/>
      </w:r>
      <w:r w:rsidRPr="00B40126" w:rsidR="000363D1">
        <w:t xml:space="preserve">  </w:t>
      </w:r>
      <w:r w:rsidRPr="00B40126" w:rsidR="00D177F0">
        <w:t xml:space="preserve">In supplemental </w:t>
      </w:r>
      <w:r w:rsidRPr="00B40126" w:rsidR="000677D0">
        <w:t>filings, on January 5, 2018, and February 6, 2018</w:t>
      </w:r>
      <w:r w:rsidRPr="00B40126" w:rsidR="00D177F0">
        <w:t>, K</w:t>
      </w:r>
      <w:r w:rsidRPr="00B40126" w:rsidR="003875C6">
        <w:t>enai</w:t>
      </w:r>
      <w:r w:rsidRPr="00B40126" w:rsidR="00D177F0">
        <w:t xml:space="preserve"> submitted financial </w:t>
      </w:r>
      <w:r w:rsidRPr="00B40126" w:rsidR="00561B18">
        <w:t>evidence to further support its inability to pay claim</w:t>
      </w:r>
      <w:r w:rsidRPr="00B40126" w:rsidR="00D177F0">
        <w:t>.</w:t>
      </w:r>
      <w:r>
        <w:rPr>
          <w:rStyle w:val="FootnoteReference"/>
          <w:sz w:val="22"/>
        </w:rPr>
        <w:footnoteReference w:id="29"/>
      </w:r>
      <w:r w:rsidRPr="00B40126" w:rsidR="00D177F0">
        <w:t xml:space="preserve">  </w:t>
      </w:r>
      <w:r w:rsidRPr="00B40126" w:rsidR="00E44C47">
        <w:t>In total, K</w:t>
      </w:r>
      <w:r w:rsidRPr="00B40126" w:rsidR="003875C6">
        <w:t>enai</w:t>
      </w:r>
      <w:r w:rsidRPr="00B40126" w:rsidR="00E44C47">
        <w:t xml:space="preserve"> submitted information establishing its inability to pay the proposed fine, including </w:t>
      </w:r>
      <w:r w:rsidRPr="00B40126" w:rsidR="00461958">
        <w:t xml:space="preserve">but not limited to (i) </w:t>
      </w:r>
      <w:r w:rsidRPr="00B40126" w:rsidR="00E44C47">
        <w:t xml:space="preserve">three years of Federal tax filings, </w:t>
      </w:r>
      <w:r w:rsidRPr="00B40126" w:rsidR="00461958">
        <w:t>(ii) records documenting that it has no income and is primarily supported by monetary and equipment donations from individuals, vendors, and organizations in the local community, (iii) a declaration stating that it has “no liquid assets, lines of credit, investments, vehicles, loans receivable or real estate.”</w:t>
      </w:r>
      <w:r>
        <w:rPr>
          <w:rStyle w:val="FootnoteReference"/>
          <w:sz w:val="22"/>
        </w:rPr>
        <w:footnoteReference w:id="30"/>
      </w:r>
      <w:r w:rsidRPr="00B40126" w:rsidR="00461958">
        <w:t xml:space="preserve">  </w:t>
      </w:r>
      <w:r w:rsidRPr="00B40126">
        <w:t xml:space="preserve">Subsequently, </w:t>
      </w:r>
      <w:r w:rsidRPr="00B40126" w:rsidR="00803138">
        <w:t xml:space="preserve">the </w:t>
      </w:r>
      <w:r w:rsidRPr="00B40126" w:rsidR="00AE1A98">
        <w:t>Commission</w:t>
      </w:r>
      <w:r w:rsidRPr="00B40126" w:rsidR="00803138">
        <w:t xml:space="preserve"> and </w:t>
      </w:r>
      <w:r w:rsidRPr="00B40126" w:rsidR="009066C6">
        <w:t>K</w:t>
      </w:r>
      <w:r w:rsidRPr="00B40126" w:rsidR="003875C6">
        <w:t>enai</w:t>
      </w:r>
      <w:r w:rsidRPr="00B40126">
        <w:t xml:space="preserve"> engaged in settlement negotiations.  To settle this matter, the </w:t>
      </w:r>
      <w:r w:rsidRPr="00B40126" w:rsidR="00AE1A98">
        <w:t xml:space="preserve">Commission </w:t>
      </w:r>
      <w:r w:rsidRPr="00B40126">
        <w:t xml:space="preserve">and </w:t>
      </w:r>
      <w:r w:rsidRPr="00B40126" w:rsidR="003875C6">
        <w:t xml:space="preserve">Kenai </w:t>
      </w:r>
      <w:r w:rsidRPr="00B40126">
        <w:t xml:space="preserve">enter into this Consent Decree and agree to the following terms and conditions. </w:t>
      </w:r>
    </w:p>
    <w:p w:rsidR="00AC3FDA" w:rsidRPr="00B40126" w:rsidP="00AC3FDA" w14:paraId="14388F0C" w14:textId="77777777">
      <w:pPr>
        <w:pStyle w:val="Heading1"/>
        <w:rPr>
          <w:rFonts w:ascii="Times New Roman" w:hAnsi="Times New Roman"/>
        </w:rPr>
      </w:pPr>
      <w:bookmarkStart w:id="14" w:name="FN[FN18]"/>
      <w:bookmarkEnd w:id="14"/>
      <w:r w:rsidRPr="00B40126">
        <w:rPr>
          <w:rFonts w:ascii="Times New Roman" w:hAnsi="Times New Roman"/>
        </w:rPr>
        <w:t>TERMS OF AGREEMENT</w:t>
      </w:r>
    </w:p>
    <w:p w:rsidR="00AC3FDA" w:rsidRPr="00B40126" w:rsidP="002235B3" w14:paraId="58D48E55" w14:textId="77777777">
      <w:pPr>
        <w:pStyle w:val="ParaNum"/>
        <w:numPr>
          <w:ilvl w:val="0"/>
          <w:numId w:val="3"/>
        </w:numPr>
        <w:tabs>
          <w:tab w:val="clear" w:pos="1080"/>
          <w:tab w:val="num" w:pos="1440"/>
        </w:tabs>
      </w:pPr>
      <w:r w:rsidRPr="00B40126">
        <w:rPr>
          <w:b/>
          <w:u w:val="single"/>
        </w:rPr>
        <w:t>Adopting Order</w:t>
      </w:r>
      <w:r w:rsidRPr="00B40126">
        <w:t xml:space="preserve">.  The provisions of this Consent Decree shall be incorporated by the </w:t>
      </w:r>
      <w:r w:rsidRPr="00B40126" w:rsidR="005D1022">
        <w:t xml:space="preserve">Commission </w:t>
      </w:r>
      <w:r w:rsidRPr="00B40126">
        <w:t>in an Adopting Order.</w:t>
      </w:r>
    </w:p>
    <w:p w:rsidR="00AC3FDA" w:rsidRPr="00B40126" w:rsidP="002235B3" w14:paraId="6D653DF3" w14:textId="77777777">
      <w:pPr>
        <w:pStyle w:val="ParaNum"/>
        <w:numPr>
          <w:ilvl w:val="0"/>
          <w:numId w:val="3"/>
        </w:numPr>
        <w:tabs>
          <w:tab w:val="clear" w:pos="1080"/>
          <w:tab w:val="num" w:pos="1440"/>
        </w:tabs>
      </w:pPr>
      <w:r w:rsidRPr="00B40126">
        <w:rPr>
          <w:b/>
          <w:u w:val="single"/>
        </w:rPr>
        <w:t>Jurisdiction</w:t>
      </w:r>
      <w:r w:rsidRPr="00B40126">
        <w:t xml:space="preserve">.  </w:t>
      </w:r>
      <w:r w:rsidRPr="00B40126" w:rsidR="00F865F9">
        <w:t>K</w:t>
      </w:r>
      <w:r w:rsidRPr="00B40126" w:rsidR="003875C6">
        <w:t>enai</w:t>
      </w:r>
      <w:r w:rsidRPr="00B40126">
        <w:t xml:space="preserve"> agrees that the </w:t>
      </w:r>
      <w:r w:rsidRPr="00B40126" w:rsidR="005D1022">
        <w:t xml:space="preserve">Commission </w:t>
      </w:r>
      <w:r w:rsidRPr="00B40126">
        <w:t xml:space="preserve">has jurisdiction over </w:t>
      </w:r>
      <w:r w:rsidRPr="00B40126" w:rsidR="00F865F9">
        <w:t xml:space="preserve">it </w:t>
      </w:r>
      <w:r w:rsidRPr="00B40126">
        <w:t>and the matters contained in this Consent Decree and has the authority to enter into and adopt this Consent Decree.</w:t>
      </w:r>
    </w:p>
    <w:p w:rsidR="00AC3FDA" w:rsidRPr="00B40126" w:rsidP="002235B3" w14:paraId="600682C5" w14:textId="77777777">
      <w:pPr>
        <w:pStyle w:val="ParaNum"/>
        <w:numPr>
          <w:ilvl w:val="0"/>
          <w:numId w:val="3"/>
        </w:numPr>
        <w:tabs>
          <w:tab w:val="clear" w:pos="1080"/>
          <w:tab w:val="num" w:pos="1440"/>
        </w:tabs>
      </w:pPr>
      <w:r w:rsidRPr="00B40126">
        <w:rPr>
          <w:b/>
          <w:u w:val="single"/>
        </w:rPr>
        <w:t>Effective Date; Violations</w:t>
      </w:r>
      <w:r w:rsidRPr="00B40126">
        <w:t>.  The Parties agree that this Consent Decree shall become effective on the Effective Date as defined herein.  As of the Effective Date, the Parties agree that this Consent Decree shall have the same force and effect as any other order of the Commission.</w:t>
      </w:r>
    </w:p>
    <w:p w:rsidR="00AC3FDA" w:rsidRPr="00B40126" w:rsidP="002235B3" w14:paraId="74D3A431" w14:textId="77777777">
      <w:pPr>
        <w:pStyle w:val="ParaNum"/>
        <w:numPr>
          <w:ilvl w:val="0"/>
          <w:numId w:val="3"/>
        </w:numPr>
        <w:tabs>
          <w:tab w:val="clear" w:pos="1080"/>
          <w:tab w:val="num" w:pos="1440"/>
        </w:tabs>
      </w:pPr>
      <w:r w:rsidRPr="00B40126">
        <w:rPr>
          <w:b/>
          <w:u w:val="single"/>
        </w:rPr>
        <w:t>Termination of Investigation</w:t>
      </w:r>
      <w:r w:rsidRPr="00B40126">
        <w:t xml:space="preserve">.  In express reliance on the covenants and representations in this Consent Decree and to avoid further expenditure of public resources, the </w:t>
      </w:r>
      <w:r w:rsidRPr="00B40126" w:rsidR="00683BE0">
        <w:t>Commission</w:t>
      </w:r>
      <w:r w:rsidRPr="00B40126">
        <w:t xml:space="preserve"> agrees to terminate the Investigation.  In consideration for </w:t>
      </w:r>
      <w:r w:rsidRPr="00B40126" w:rsidR="004A286B">
        <w:t xml:space="preserve">terminating </w:t>
      </w:r>
      <w:r w:rsidRPr="00B40126">
        <w:t xml:space="preserve">the Investigation, </w:t>
      </w:r>
      <w:r w:rsidRPr="00B40126" w:rsidR="0090156F">
        <w:t>the Company</w:t>
      </w:r>
      <w:r w:rsidRPr="00B40126">
        <w:t xml:space="preserve"> agrees to the terms, conditions, and procedures contained herein.  The </w:t>
      </w:r>
      <w:r w:rsidRPr="00B40126" w:rsidR="00683BE0">
        <w:t>Commission</w:t>
      </w:r>
      <w:r w:rsidRPr="00B40126">
        <w:t xml:space="preserve">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sidRPr="00B40126" w:rsidR="003875C6">
        <w:t xml:space="preserve">Kenai </w:t>
      </w:r>
      <w:r w:rsidRPr="00B40126">
        <w:t xml:space="preserve">concerning the matters that were the subject of the Investigation.  The </w:t>
      </w:r>
      <w:r w:rsidRPr="00B40126" w:rsidR="00683BE0">
        <w:t xml:space="preserve">Commission </w:t>
      </w:r>
      <w:r w:rsidRPr="00B40126">
        <w:t xml:space="preserve">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w:t>
      </w:r>
      <w:r w:rsidRPr="00B40126" w:rsidR="003875C6">
        <w:t xml:space="preserve">Kenai’s </w:t>
      </w:r>
      <w:r w:rsidRPr="00B40126">
        <w:t>basic qualifications to be a Commission licensee or hold Commission licenses or authorizations.</w:t>
      </w:r>
      <w:r>
        <w:rPr>
          <w:rStyle w:val="FootnoteReference"/>
          <w:sz w:val="22"/>
        </w:rPr>
        <w:footnoteReference w:id="31"/>
      </w:r>
    </w:p>
    <w:p w:rsidR="00AC3FDA" w:rsidRPr="00B40126" w:rsidP="002235B3" w14:paraId="764EE9D4" w14:textId="59903C34">
      <w:pPr>
        <w:pStyle w:val="ParaNum"/>
        <w:numPr>
          <w:ilvl w:val="0"/>
          <w:numId w:val="3"/>
        </w:numPr>
        <w:tabs>
          <w:tab w:val="clear" w:pos="1080"/>
          <w:tab w:val="num" w:pos="1440"/>
        </w:tabs>
      </w:pPr>
      <w:r w:rsidRPr="00B40126">
        <w:rPr>
          <w:b/>
          <w:u w:val="single"/>
        </w:rPr>
        <w:t>Admission of Liability</w:t>
      </w:r>
      <w:r w:rsidRPr="00B40126">
        <w:t xml:space="preserve">.  </w:t>
      </w:r>
      <w:r w:rsidRPr="00B40126" w:rsidR="00640557">
        <w:t>K</w:t>
      </w:r>
      <w:r w:rsidRPr="00B40126" w:rsidR="002F7A4D">
        <w:t>enai</w:t>
      </w:r>
      <w:r w:rsidRPr="00B40126">
        <w:t xml:space="preserve"> admits for the purpose of this Consent Decree and for Commission civil enforcement purposes, and in express reliance on the provisions of </w:t>
      </w:r>
      <w:r w:rsidRPr="00B40126" w:rsidR="00683BE0">
        <w:t>p</w:t>
      </w:r>
      <w:r w:rsidRPr="00B40126">
        <w:t xml:space="preserve">aragraph </w:t>
      </w:r>
      <w:r w:rsidRPr="00B40126" w:rsidR="003C402A">
        <w:t xml:space="preserve">8 </w:t>
      </w:r>
      <w:r w:rsidRPr="00B40126">
        <w:t xml:space="preserve">herein, that </w:t>
      </w:r>
      <w:r w:rsidRPr="00B40126" w:rsidR="00F83A7E">
        <w:t xml:space="preserve">its </w:t>
      </w:r>
      <w:r w:rsidRPr="00B40126">
        <w:t xml:space="preserve">actions referenced in </w:t>
      </w:r>
      <w:r w:rsidRPr="00B40126" w:rsidR="00683BE0">
        <w:t>p</w:t>
      </w:r>
      <w:r w:rsidRPr="00B40126">
        <w:t>aragraph</w:t>
      </w:r>
      <w:r w:rsidRPr="00B40126" w:rsidR="00161C83">
        <w:t xml:space="preserve"> </w:t>
      </w:r>
      <w:r w:rsidRPr="00B40126" w:rsidR="006F47F3">
        <w:fldChar w:fldCharType="begin"/>
      </w:r>
      <w:r w:rsidRPr="00B40126" w:rsidR="006F47F3">
        <w:instrText xml:space="preserve"> REF _Ref8735331 \r \h </w:instrText>
      </w:r>
      <w:r w:rsidRPr="00B40126" w:rsidR="00B40126">
        <w:instrText xml:space="preserve"> \* MERGEFORMAT </w:instrText>
      </w:r>
      <w:r w:rsidRPr="00B40126" w:rsidR="006F47F3">
        <w:fldChar w:fldCharType="separate"/>
      </w:r>
      <w:r w:rsidR="002235B3">
        <w:t>3</w:t>
      </w:r>
      <w:r w:rsidRPr="00B40126" w:rsidR="006F47F3">
        <w:fldChar w:fldCharType="end"/>
      </w:r>
      <w:r w:rsidRPr="00B40126" w:rsidR="00161C83">
        <w:t xml:space="preserve"> </w:t>
      </w:r>
      <w:r w:rsidRPr="00B40126">
        <w:t xml:space="preserve">herein and in the </w:t>
      </w:r>
      <w:r w:rsidRPr="00B40126">
        <w:rPr>
          <w:i/>
        </w:rPr>
        <w:t>NAL</w:t>
      </w:r>
      <w:r w:rsidRPr="00B40126">
        <w:t xml:space="preserve"> violated </w:t>
      </w:r>
      <w:r w:rsidRPr="00B40126" w:rsidR="00683BE0">
        <w:t>the EAS Rules</w:t>
      </w:r>
      <w:r w:rsidRPr="00B40126" w:rsidR="00161C83">
        <w:t xml:space="preserve">, </w:t>
      </w:r>
      <w:r w:rsidRPr="00B40126" w:rsidR="00683BE0">
        <w:t>the B</w:t>
      </w:r>
      <w:r w:rsidRPr="00B40126" w:rsidR="00161C83">
        <w:t xml:space="preserve">roadcast </w:t>
      </w:r>
      <w:r w:rsidRPr="00B40126" w:rsidR="00683BE0">
        <w:t>T</w:t>
      </w:r>
      <w:r w:rsidRPr="00B40126" w:rsidR="00161C83">
        <w:t>echnical</w:t>
      </w:r>
      <w:r w:rsidRPr="00B40126" w:rsidR="00161C83">
        <w:rPr>
          <w:spacing w:val="-2"/>
        </w:rPr>
        <w:t xml:space="preserve"> </w:t>
      </w:r>
      <w:r w:rsidRPr="00B40126" w:rsidR="00683BE0">
        <w:rPr>
          <w:spacing w:val="-2"/>
        </w:rPr>
        <w:t>R</w:t>
      </w:r>
      <w:r w:rsidRPr="00B40126" w:rsidR="00161C83">
        <w:rPr>
          <w:spacing w:val="-2"/>
        </w:rPr>
        <w:t>ules,</w:t>
      </w:r>
      <w:r w:rsidRPr="00B40126" w:rsidR="00161C83">
        <w:t xml:space="preserve"> </w:t>
      </w:r>
      <w:r w:rsidRPr="00B40126" w:rsidR="00683BE0">
        <w:t>the B</w:t>
      </w:r>
      <w:r w:rsidRPr="00B40126" w:rsidR="00161C83">
        <w:t xml:space="preserve">roadcast </w:t>
      </w:r>
      <w:r w:rsidRPr="00B40126" w:rsidR="00683BE0">
        <w:t>O</w:t>
      </w:r>
      <w:r w:rsidRPr="00B40126" w:rsidR="00161C83">
        <w:t xml:space="preserve">perating </w:t>
      </w:r>
      <w:r w:rsidRPr="00B40126" w:rsidR="00683BE0">
        <w:t>R</w:t>
      </w:r>
      <w:r w:rsidRPr="00B40126" w:rsidR="00161C83">
        <w:t xml:space="preserve">ules, and </w:t>
      </w:r>
      <w:r w:rsidRPr="00B40126" w:rsidR="00683BE0">
        <w:t xml:space="preserve">the </w:t>
      </w:r>
      <w:r w:rsidRPr="00B40126" w:rsidR="00161C83">
        <w:t xml:space="preserve">rules </w:t>
      </w:r>
      <w:r w:rsidRPr="00B40126" w:rsidR="00161C83">
        <w:rPr>
          <w:spacing w:val="-2"/>
        </w:rPr>
        <w:t>requiring that licensees respond to NOVs and Commission requests for information</w:t>
      </w:r>
      <w:r w:rsidRPr="00B40126" w:rsidR="00161C83">
        <w:t>.</w:t>
      </w:r>
      <w:r>
        <w:rPr>
          <w:rStyle w:val="FootnoteReference"/>
          <w:spacing w:val="-2"/>
          <w:sz w:val="22"/>
        </w:rPr>
        <w:footnoteReference w:id="32"/>
      </w:r>
    </w:p>
    <w:p w:rsidR="00232E7E" w:rsidRPr="00B40126" w:rsidP="0016302C" w14:paraId="4C6D57EF" w14:textId="1C22DDF2">
      <w:pPr>
        <w:pStyle w:val="ParaNum"/>
        <w:widowControl/>
      </w:pPr>
      <w:bookmarkStart w:id="15" w:name="_Ref8737743"/>
      <w:bookmarkStart w:id="16" w:name="_Ref357521957"/>
      <w:r w:rsidRPr="00B40126">
        <w:rPr>
          <w:b/>
          <w:u w:val="single"/>
        </w:rPr>
        <w:t>Compliance Officer</w:t>
      </w:r>
      <w:r w:rsidRPr="00B40126">
        <w:rPr>
          <w:b/>
        </w:rPr>
        <w:t>.</w:t>
      </w:r>
      <w:r w:rsidRPr="00B40126">
        <w:t xml:space="preserve">  Within thirty (30) calendar days after the Effective Date, </w:t>
      </w:r>
      <w:r w:rsidRPr="00B40126" w:rsidR="0014372A">
        <w:t>K</w:t>
      </w:r>
      <w:r w:rsidRPr="00B40126" w:rsidR="003875C6">
        <w:t>enai</w:t>
      </w:r>
      <w:r w:rsidRPr="00B40126" w:rsidR="0014372A">
        <w:t xml:space="preserve"> </w:t>
      </w:r>
      <w:r w:rsidRPr="00B40126">
        <w:t xml:space="preserve">shall designate a senior </w:t>
      </w:r>
      <w:r w:rsidRPr="00B40126" w:rsidR="00640557">
        <w:t>officer</w:t>
      </w:r>
      <w:r w:rsidRPr="00B40126">
        <w:t xml:space="preserve"> </w:t>
      </w:r>
      <w:r w:rsidRPr="00B40126" w:rsidR="00425510">
        <w:t xml:space="preserve">or an individual </w:t>
      </w:r>
      <w:r w:rsidRPr="00B40126">
        <w:t xml:space="preserve">with the requisite corporate and organizational authority to serve as </w:t>
      </w:r>
      <w:r w:rsidRPr="00B40126" w:rsidR="00425510">
        <w:t xml:space="preserve">its </w:t>
      </w:r>
      <w:r w:rsidRPr="00B40126">
        <w:t>Compliance Officer and to discharge the duties set forth below</w:t>
      </w:r>
      <w:r w:rsidRPr="00B40126" w:rsidR="00F32D8B">
        <w:t xml:space="preserve"> in </w:t>
      </w:r>
      <w:r w:rsidRPr="00B40126" w:rsidR="00040D9A">
        <w:t>p</w:t>
      </w:r>
      <w:r w:rsidRPr="00B40126" w:rsidR="00F32D8B">
        <w:t xml:space="preserve">aragraphs </w:t>
      </w:r>
      <w:r w:rsidRPr="00B40126" w:rsidR="004B46D1">
        <w:fldChar w:fldCharType="begin"/>
      </w:r>
      <w:r w:rsidRPr="00B40126" w:rsidR="004B46D1">
        <w:instrText xml:space="preserve"> REF _Ref357521857 \r \h </w:instrText>
      </w:r>
      <w:r w:rsidRPr="00B40126" w:rsidR="00B40126">
        <w:instrText xml:space="preserve"> \* MERGEFORMAT </w:instrText>
      </w:r>
      <w:r w:rsidRPr="00B40126" w:rsidR="004B46D1">
        <w:fldChar w:fldCharType="separate"/>
      </w:r>
      <w:r w:rsidR="002235B3">
        <w:t>11</w:t>
      </w:r>
      <w:r w:rsidRPr="00B40126" w:rsidR="004B46D1">
        <w:fldChar w:fldCharType="end"/>
      </w:r>
      <w:r w:rsidRPr="00B40126" w:rsidR="00F32D8B">
        <w:t xml:space="preserve"> </w:t>
      </w:r>
      <w:r w:rsidRPr="00B40126" w:rsidR="00C610BD">
        <w:t>through</w:t>
      </w:r>
      <w:r w:rsidRPr="00B40126" w:rsidR="00A11888">
        <w:t> </w:t>
      </w:r>
      <w:r w:rsidRPr="00B40126" w:rsidR="00E94992">
        <w:fldChar w:fldCharType="begin"/>
      </w:r>
      <w:r w:rsidRPr="00B40126" w:rsidR="00E94992">
        <w:instrText xml:space="preserve"> REF _Ref8736993 \r \h </w:instrText>
      </w:r>
      <w:r w:rsidRPr="00B40126" w:rsidR="00B40126">
        <w:instrText xml:space="preserve"> \* MERGEFORMAT </w:instrText>
      </w:r>
      <w:r w:rsidRPr="00B40126" w:rsidR="00E94992">
        <w:fldChar w:fldCharType="separate"/>
      </w:r>
      <w:r w:rsidR="002235B3">
        <w:t>13</w:t>
      </w:r>
      <w:r w:rsidRPr="00B40126" w:rsidR="00E94992">
        <w:fldChar w:fldCharType="end"/>
      </w:r>
      <w:r w:rsidRPr="00B40126">
        <w:t xml:space="preserve">.  The person designated as the Compliance Officer </w:t>
      </w:r>
      <w:r w:rsidRPr="00B40126" w:rsidR="00425510">
        <w:t xml:space="preserve">shall </w:t>
      </w:r>
      <w:r w:rsidRPr="00B40126">
        <w:t xml:space="preserve">be responsible for developing, implementing, and administering the Compliance Plan and ensuring that </w:t>
      </w:r>
      <w:r w:rsidRPr="00B40126" w:rsidR="003875C6">
        <w:t xml:space="preserve">Kenai </w:t>
      </w:r>
      <w:r w:rsidRPr="00B40126">
        <w:t xml:space="preserve">complies with the terms and conditions of the Compliance Plan and this Consent Decree.  </w:t>
      </w:r>
      <w:r w:rsidRPr="00B40126" w:rsidR="00C73E0C">
        <w:t xml:space="preserve">In addition to the general knowledge of the Communications Laws necessary to discharge his or her duties under this Consent Decree, the Compliance Officer shall have specific knowledge of the EAS Rules, Broadcast </w:t>
      </w:r>
      <w:r w:rsidRPr="00B40126" w:rsidR="00483233">
        <w:t>Technical</w:t>
      </w:r>
      <w:r w:rsidRPr="00B40126" w:rsidR="00C73E0C">
        <w:t xml:space="preserve"> Rules, and Broadcast </w:t>
      </w:r>
      <w:r w:rsidRPr="00B40126" w:rsidR="00483233">
        <w:t>Operating</w:t>
      </w:r>
      <w:r w:rsidRPr="00B40126" w:rsidR="00C73E0C">
        <w:t xml:space="preserve"> Rules</w:t>
      </w:r>
      <w:r w:rsidR="00026D9F">
        <w:t>,</w:t>
      </w:r>
      <w:r w:rsidRPr="002C293D" w:rsidR="002C293D">
        <w:t xml:space="preserve"> </w:t>
      </w:r>
      <w:r w:rsidRPr="00575AED" w:rsidR="002C293D">
        <w:t>and</w:t>
      </w:r>
      <w:r w:rsidRPr="00575AED" w:rsidR="00B36165">
        <w:t xml:space="preserve"> </w:t>
      </w:r>
      <w:r w:rsidRPr="00E221F3" w:rsidR="00B36165">
        <w:t>sections 1.89 and 73.1015 of the Rules</w:t>
      </w:r>
      <w:r w:rsidR="002C293D">
        <w:rPr>
          <w:spacing w:val="-2"/>
        </w:rPr>
        <w:t>,</w:t>
      </w:r>
      <w:r w:rsidR="00026D9F">
        <w:t xml:space="preserve"> </w:t>
      </w:r>
      <w:bookmarkStart w:id="17" w:name="_Hlk9418511"/>
      <w:r w:rsidRPr="001C47F1" w:rsidR="00026D9F">
        <w:t>as they are currently in effect and as they may be amended in the future,</w:t>
      </w:r>
      <w:bookmarkEnd w:id="17"/>
      <w:r w:rsidRPr="00B40126" w:rsidR="00C73E0C">
        <w:t xml:space="preserve"> prior to assuming his/her duties.  </w:t>
      </w:r>
      <w:r w:rsidRPr="00B40126" w:rsidR="0092279A">
        <w:t>K</w:t>
      </w:r>
      <w:r w:rsidRPr="00B40126" w:rsidR="003875C6">
        <w:t>enai</w:t>
      </w:r>
      <w:r w:rsidRPr="00B40126" w:rsidR="0092279A">
        <w:t xml:space="preserve"> must notify the Bureau’s Office of Field Director in writing with</w:t>
      </w:r>
      <w:r w:rsidRPr="00B40126" w:rsidR="001611EF">
        <w:t>in</w:t>
      </w:r>
      <w:r w:rsidRPr="00B40126" w:rsidR="0092279A">
        <w:t xml:space="preserve"> </w:t>
      </w:r>
      <w:r w:rsidRPr="00B40126" w:rsidR="000560C4">
        <w:t xml:space="preserve">five (5) </w:t>
      </w:r>
      <w:r w:rsidRPr="00B40126" w:rsidR="0092279A">
        <w:t>business days of any changes to the Compliance Officer or the Compliance Officer’s contact information.</w:t>
      </w:r>
      <w:bookmarkEnd w:id="15"/>
    </w:p>
    <w:p w:rsidR="00232E7E" w:rsidRPr="00B40126" w:rsidP="002235B3" w14:paraId="19D357A6" w14:textId="77777777">
      <w:pPr>
        <w:pStyle w:val="ParaNum"/>
        <w:numPr>
          <w:ilvl w:val="0"/>
          <w:numId w:val="3"/>
        </w:numPr>
        <w:tabs>
          <w:tab w:val="clear" w:pos="1080"/>
          <w:tab w:val="num" w:pos="1440"/>
        </w:tabs>
      </w:pPr>
      <w:bookmarkStart w:id="18" w:name="_Ref357521857"/>
      <w:r w:rsidRPr="00B40126">
        <w:rPr>
          <w:b/>
          <w:u w:val="single"/>
        </w:rPr>
        <w:t>Compliance Plan</w:t>
      </w:r>
      <w:r w:rsidRPr="00B40126">
        <w:rPr>
          <w:b/>
        </w:rPr>
        <w:t>.</w:t>
      </w:r>
      <w:r w:rsidRPr="00B40126">
        <w:t xml:space="preserve">  For purposes of settling the matters set forth herein, </w:t>
      </w:r>
      <w:r w:rsidRPr="00B40126" w:rsidR="003875C6">
        <w:t xml:space="preserve">Kenai </w:t>
      </w:r>
      <w:r w:rsidRPr="00B40126">
        <w:t xml:space="preserve">agrees that it shall, within sixty (60) calendar days after the Effective Date, develop and implement a Compliance Plan designed to ensure future compliance with the </w:t>
      </w:r>
      <w:r w:rsidR="006B1E85">
        <w:t>Communications Laws</w:t>
      </w:r>
      <w:r w:rsidR="00E92C8F">
        <w:t xml:space="preserve">, including the </w:t>
      </w:r>
      <w:r w:rsidRPr="00B40126" w:rsidR="00C3372A">
        <w:t>EAS Rules, Broadcast Operating Rules</w:t>
      </w:r>
      <w:r w:rsidRPr="00B40126" w:rsidR="00040D9A">
        <w:t>,</w:t>
      </w:r>
      <w:r w:rsidRPr="00B40126" w:rsidR="00C3372A">
        <w:t xml:space="preserve"> and Broadcast Technical Rules</w:t>
      </w:r>
      <w:r w:rsidRPr="00B40126" w:rsidR="00040D9A">
        <w:t>,</w:t>
      </w:r>
      <w:r w:rsidRPr="00B40126" w:rsidR="00C3372A">
        <w:t xml:space="preserve"> </w:t>
      </w:r>
      <w:r w:rsidR="00E92C8F">
        <w:t xml:space="preserve">and sections 1.89 and 73.1015 of the Rules, as they are currently in effect and as they may be amended in the future, </w:t>
      </w:r>
      <w:r w:rsidRPr="00B40126">
        <w:t>and with the terms and conditions of this Consent Decree.</w:t>
      </w:r>
      <w:r w:rsidR="003B4FE5">
        <w:rPr>
          <w:rStyle w:val="FootnoteReference"/>
        </w:rPr>
        <w:t xml:space="preserve"> </w:t>
      </w:r>
      <w:r w:rsidRPr="00B40126">
        <w:t xml:space="preserve">  With respect to the</w:t>
      </w:r>
      <w:r w:rsidRPr="00B40126" w:rsidR="00640557">
        <w:t xml:space="preserve"> </w:t>
      </w:r>
      <w:r w:rsidRPr="00B40126" w:rsidR="00C3372A">
        <w:t>above rules</w:t>
      </w:r>
      <w:r w:rsidRPr="00B40126">
        <w:t xml:space="preserve">, </w:t>
      </w:r>
      <w:r w:rsidRPr="00B40126" w:rsidR="00B67371">
        <w:t>K</w:t>
      </w:r>
      <w:r w:rsidRPr="00B40126" w:rsidR="003875C6">
        <w:t>enai</w:t>
      </w:r>
      <w:r w:rsidRPr="00B40126" w:rsidR="00B67371">
        <w:t xml:space="preserve"> </w:t>
      </w:r>
      <w:r w:rsidRPr="00B40126">
        <w:t>shall implement the following procedures:</w:t>
      </w:r>
      <w:bookmarkEnd w:id="18"/>
    </w:p>
    <w:p w:rsidR="00232E7E" w:rsidRPr="00B40126" w:rsidP="002235B3" w14:paraId="5BD63D64" w14:textId="5DC523A1">
      <w:pPr>
        <w:numPr>
          <w:ilvl w:val="0"/>
          <w:numId w:val="8"/>
        </w:numPr>
        <w:tabs>
          <w:tab w:val="left" w:pos="1440"/>
          <w:tab w:val="left" w:pos="1800"/>
        </w:tabs>
      </w:pPr>
      <w:r w:rsidRPr="00B40126">
        <w:rPr>
          <w:b/>
          <w:u w:val="single"/>
        </w:rPr>
        <w:t>Operating Procedures</w:t>
      </w:r>
      <w:r w:rsidRPr="00B40126">
        <w:rPr>
          <w:b/>
        </w:rPr>
        <w:t>.</w:t>
      </w:r>
      <w:r w:rsidRPr="00B40126">
        <w:t xml:space="preserve">  Within sixty (60) calendar days after the Effective Date, </w:t>
      </w:r>
      <w:r w:rsidRPr="00B40126" w:rsidR="008F6BCC">
        <w:t>K</w:t>
      </w:r>
      <w:r w:rsidRPr="00B40126" w:rsidR="003875C6">
        <w:t>enai</w:t>
      </w:r>
      <w:r w:rsidRPr="00B40126" w:rsidR="008F6BCC">
        <w:t xml:space="preserve"> </w:t>
      </w:r>
      <w:r w:rsidRPr="00B40126">
        <w:t xml:space="preserve">shall establish Operating Procedures that all Covered Employees must follow to help ensure </w:t>
      </w:r>
      <w:r w:rsidRPr="00B40126" w:rsidR="00B67371">
        <w:t>K</w:t>
      </w:r>
      <w:r w:rsidRPr="00B40126" w:rsidR="003875C6">
        <w:t>enai</w:t>
      </w:r>
      <w:r w:rsidRPr="00B40126" w:rsidR="00B67371">
        <w:t xml:space="preserve">’s </w:t>
      </w:r>
      <w:r w:rsidRPr="00B40126">
        <w:t xml:space="preserve">compliance with the </w:t>
      </w:r>
      <w:r w:rsidR="003B4FE5">
        <w:t xml:space="preserve">rules identified in this paragraph </w:t>
      </w:r>
      <w:r w:rsidR="003B4FE5">
        <w:fldChar w:fldCharType="begin"/>
      </w:r>
      <w:r w:rsidR="003B4FE5">
        <w:instrText xml:space="preserve"> REF _Ref357521857 \r \h </w:instrText>
      </w:r>
      <w:r w:rsidR="003B4FE5">
        <w:fldChar w:fldCharType="separate"/>
      </w:r>
      <w:r w:rsidR="002235B3">
        <w:t>11</w:t>
      </w:r>
      <w:r w:rsidR="003B4FE5">
        <w:fldChar w:fldCharType="end"/>
      </w:r>
      <w:r w:rsidRPr="00B40126">
        <w:t xml:space="preserve">.  </w:t>
      </w:r>
      <w:r w:rsidRPr="00B40126" w:rsidR="003875C6">
        <w:t xml:space="preserve">Kenai’s </w:t>
      </w:r>
      <w:r w:rsidRPr="00B40126">
        <w:t xml:space="preserve">Operating Procedures shall include internal procedures and policies specifically designed to ensure that </w:t>
      </w:r>
      <w:r w:rsidRPr="00B40126" w:rsidR="00B67371">
        <w:t>K</w:t>
      </w:r>
      <w:r w:rsidRPr="00B40126" w:rsidR="003875C6">
        <w:t>enai</w:t>
      </w:r>
      <w:r w:rsidRPr="00B40126" w:rsidR="00B67371">
        <w:t xml:space="preserve"> </w:t>
      </w:r>
      <w:r w:rsidRPr="00B40126">
        <w:t xml:space="preserve">complies with </w:t>
      </w:r>
      <w:r w:rsidRPr="00B40126" w:rsidR="00A2798F">
        <w:t xml:space="preserve">the </w:t>
      </w:r>
      <w:r w:rsidR="003B4FE5">
        <w:t xml:space="preserve">rules identified in this paragraph </w:t>
      </w:r>
      <w:r w:rsidR="003B4FE5">
        <w:fldChar w:fldCharType="begin"/>
      </w:r>
      <w:r w:rsidR="003B4FE5">
        <w:instrText xml:space="preserve"> REF _Ref357521857 \r \h </w:instrText>
      </w:r>
      <w:r w:rsidR="003B4FE5">
        <w:fldChar w:fldCharType="separate"/>
      </w:r>
      <w:r w:rsidR="002235B3">
        <w:t>11</w:t>
      </w:r>
      <w:r w:rsidR="003B4FE5">
        <w:fldChar w:fldCharType="end"/>
      </w:r>
      <w:r w:rsidRPr="00B40126">
        <w:t xml:space="preserve">.  </w:t>
      </w:r>
      <w:r w:rsidRPr="00B40126" w:rsidR="00483233">
        <w:t>K</w:t>
      </w:r>
      <w:r w:rsidRPr="00B40126" w:rsidR="003875C6">
        <w:t>enai</w:t>
      </w:r>
      <w:r w:rsidRPr="00B40126" w:rsidR="00483233">
        <w:t xml:space="preserve"> shall also develop a Compliance Checklist that describes the steps that a Covered Employee must follow to ensure compliance with the </w:t>
      </w:r>
      <w:r w:rsidR="003B4FE5">
        <w:t xml:space="preserve">rules identified in this paragraph </w:t>
      </w:r>
      <w:r w:rsidR="003B4FE5">
        <w:fldChar w:fldCharType="begin"/>
      </w:r>
      <w:r w:rsidR="003B4FE5">
        <w:instrText xml:space="preserve"> REF _Ref357521857 \r \h </w:instrText>
      </w:r>
      <w:r w:rsidR="003B4FE5">
        <w:fldChar w:fldCharType="separate"/>
      </w:r>
      <w:r w:rsidR="002235B3">
        <w:t>11</w:t>
      </w:r>
      <w:r w:rsidR="003B4FE5">
        <w:fldChar w:fldCharType="end"/>
      </w:r>
      <w:r w:rsidRPr="00B40126" w:rsidR="00483233">
        <w:t>.</w:t>
      </w:r>
    </w:p>
    <w:p w:rsidR="00232E7E" w:rsidRPr="00B40126" w:rsidP="002235B3" w14:paraId="44FE071C" w14:textId="410F1DF7">
      <w:pPr>
        <w:numPr>
          <w:ilvl w:val="0"/>
          <w:numId w:val="8"/>
        </w:numPr>
        <w:tabs>
          <w:tab w:val="left" w:pos="1440"/>
          <w:tab w:val="left" w:pos="1800"/>
        </w:tabs>
        <w:spacing w:before="240"/>
      </w:pPr>
      <w:r w:rsidRPr="00B40126">
        <w:rPr>
          <w:b/>
          <w:u w:val="single"/>
        </w:rPr>
        <w:t>Compliance Manual</w:t>
      </w:r>
      <w:r w:rsidRPr="00B40126">
        <w:rPr>
          <w:b/>
        </w:rPr>
        <w:t>.</w:t>
      </w:r>
      <w:r w:rsidRPr="00B40126">
        <w:t xml:space="preserve">  Within </w:t>
      </w:r>
      <w:r w:rsidRPr="00B40126" w:rsidR="00C3372A">
        <w:t xml:space="preserve">ninety </w:t>
      </w:r>
      <w:r w:rsidRPr="00B40126">
        <w:t>(</w:t>
      </w:r>
      <w:r w:rsidRPr="00B40126" w:rsidR="00C3372A">
        <w:t>90</w:t>
      </w:r>
      <w:r w:rsidRPr="00B40126">
        <w:t xml:space="preserve">) calendar days after the Effective Date, the Compliance Officer shall develop and distribute a Compliance Manual to all Covered Employees.  The Compliance Manual shall explain the </w:t>
      </w:r>
      <w:r w:rsidR="00AF206A">
        <w:t xml:space="preserve">rules identified in this paragraph </w:t>
      </w:r>
      <w:r w:rsidR="00AF206A">
        <w:fldChar w:fldCharType="begin"/>
      </w:r>
      <w:r w:rsidR="00AF206A">
        <w:instrText xml:space="preserve"> REF _Ref357521857 \r \h </w:instrText>
      </w:r>
      <w:r w:rsidR="00AF206A">
        <w:fldChar w:fldCharType="separate"/>
      </w:r>
      <w:r w:rsidR="002235B3">
        <w:t>11</w:t>
      </w:r>
      <w:r w:rsidR="00AF206A">
        <w:fldChar w:fldCharType="end"/>
      </w:r>
      <w:r w:rsidRPr="00B40126" w:rsidR="002C293D">
        <w:t xml:space="preserve"> </w:t>
      </w:r>
      <w:r w:rsidRPr="00B40126">
        <w:t xml:space="preserve">and set forth the Operating Procedures that Covered Employees shall follow to help ensure </w:t>
      </w:r>
      <w:r w:rsidRPr="00B40126" w:rsidR="00B67371">
        <w:t>K</w:t>
      </w:r>
      <w:r w:rsidRPr="00B40126" w:rsidR="003875C6">
        <w:t>enai</w:t>
      </w:r>
      <w:r w:rsidRPr="00B40126" w:rsidR="00B67371">
        <w:t xml:space="preserve">’s </w:t>
      </w:r>
      <w:r w:rsidRPr="00B40126">
        <w:t>compliance with the</w:t>
      </w:r>
      <w:r w:rsidRPr="00B40126" w:rsidR="00A2798F">
        <w:t>se</w:t>
      </w:r>
      <w:r w:rsidRPr="00B40126">
        <w:t xml:space="preserve"> </w:t>
      </w:r>
      <w:r w:rsidRPr="00B40126" w:rsidR="00A2798F">
        <w:t>r</w:t>
      </w:r>
      <w:r w:rsidRPr="00B40126">
        <w:t xml:space="preserve">ules.  </w:t>
      </w:r>
      <w:r w:rsidRPr="00B40126" w:rsidR="00B67371">
        <w:t>K</w:t>
      </w:r>
      <w:r w:rsidRPr="00B40126" w:rsidR="003875C6">
        <w:t>enai</w:t>
      </w:r>
      <w:r w:rsidRPr="00B40126" w:rsidR="00B67371">
        <w:t xml:space="preserve"> </w:t>
      </w:r>
      <w:r w:rsidRPr="00B40126">
        <w:t xml:space="preserve">shall periodically review and revise the Compliance Manual as necessary to ensure that the information set forth therein remains current and accurate.  </w:t>
      </w:r>
      <w:r w:rsidRPr="00B40126" w:rsidR="0092527B">
        <w:t>K</w:t>
      </w:r>
      <w:r w:rsidRPr="00B40126" w:rsidR="003875C6">
        <w:t>enai</w:t>
      </w:r>
      <w:r w:rsidRPr="00B40126" w:rsidR="0092527B">
        <w:t xml:space="preserve"> </w:t>
      </w:r>
      <w:r w:rsidRPr="00B40126">
        <w:t>shall distribute any revisions to the Compliance Manual promptly to Covered Employees.</w:t>
      </w:r>
    </w:p>
    <w:p w:rsidR="00232E7E" w:rsidRPr="00B40126" w:rsidP="002235B3" w14:paraId="60639895" w14:textId="1047565F">
      <w:pPr>
        <w:numPr>
          <w:ilvl w:val="0"/>
          <w:numId w:val="8"/>
        </w:numPr>
        <w:tabs>
          <w:tab w:val="left" w:pos="1440"/>
          <w:tab w:val="left" w:pos="1800"/>
        </w:tabs>
        <w:spacing w:before="240"/>
      </w:pPr>
      <w:r w:rsidRPr="00B40126">
        <w:rPr>
          <w:b/>
          <w:u w:val="single"/>
        </w:rPr>
        <w:t>Compliance Training Program</w:t>
      </w:r>
      <w:r w:rsidRPr="00B40126">
        <w:rPr>
          <w:b/>
        </w:rPr>
        <w:t>.</w:t>
      </w:r>
      <w:r w:rsidRPr="00B40126">
        <w:t xml:space="preserve">  </w:t>
      </w:r>
      <w:r w:rsidRPr="00B40126" w:rsidR="00B67371">
        <w:t>K</w:t>
      </w:r>
      <w:r w:rsidRPr="00B40126" w:rsidR="003875C6">
        <w:t>enai</w:t>
      </w:r>
      <w:r w:rsidRPr="00B40126" w:rsidR="00B67371">
        <w:t xml:space="preserve"> </w:t>
      </w:r>
      <w:r w:rsidRPr="00B40126">
        <w:t xml:space="preserve">shall establish and implement a Compliance Training Program on compliance with the Operating Procedures.  As part of the Compliance Training Program, Covered Employees shall be advised of </w:t>
      </w:r>
      <w:r w:rsidRPr="00B40126" w:rsidR="00B67371">
        <w:t>K</w:t>
      </w:r>
      <w:r w:rsidRPr="00B40126" w:rsidR="003875C6">
        <w:t>enai</w:t>
      </w:r>
      <w:r w:rsidRPr="00B40126">
        <w:t xml:space="preserve">’s obligation to report any noncompliance with the </w:t>
      </w:r>
      <w:r w:rsidR="00AF206A">
        <w:t xml:space="preserve">rules identified in this paragraph </w:t>
      </w:r>
      <w:r w:rsidR="00AF206A">
        <w:fldChar w:fldCharType="begin"/>
      </w:r>
      <w:r w:rsidR="00AF206A">
        <w:instrText xml:space="preserve"> REF _Ref357521857 \r \h </w:instrText>
      </w:r>
      <w:r w:rsidR="00AF206A">
        <w:fldChar w:fldCharType="separate"/>
      </w:r>
      <w:r w:rsidR="002235B3">
        <w:t>11</w:t>
      </w:r>
      <w:r w:rsidR="00AF206A">
        <w:fldChar w:fldCharType="end"/>
      </w:r>
      <w:r w:rsidR="002C293D">
        <w:rPr>
          <w:spacing w:val="-2"/>
        </w:rPr>
        <w:t>,</w:t>
      </w:r>
      <w:r w:rsidRPr="00B40126" w:rsidR="00A2798F">
        <w:t xml:space="preserve"> </w:t>
      </w:r>
      <w:r w:rsidRPr="00B40126">
        <w:t>and shall be instructed on how to disclose noncompliance to the Compliance Officer</w:t>
      </w:r>
      <w:r w:rsidRPr="0070761D" w:rsidR="0070761D">
        <w:t xml:space="preserve"> </w:t>
      </w:r>
      <w:r w:rsidR="0070761D">
        <w:t>in accordance with</w:t>
      </w:r>
      <w:r w:rsidRPr="00B40126" w:rsidR="0070761D">
        <w:t xml:space="preserve"> paragraph </w:t>
      </w:r>
      <w:r w:rsidRPr="00B40126" w:rsidR="0070761D">
        <w:fldChar w:fldCharType="begin"/>
      </w:r>
      <w:r w:rsidRPr="00B40126" w:rsidR="0070761D">
        <w:instrText xml:space="preserve"> REF _Ref321323028 \r \h  \* MERGEFORMAT </w:instrText>
      </w:r>
      <w:r w:rsidRPr="00B40126" w:rsidR="0070761D">
        <w:fldChar w:fldCharType="separate"/>
      </w:r>
      <w:r w:rsidR="002235B3">
        <w:t>12</w:t>
      </w:r>
      <w:r w:rsidRPr="00B40126" w:rsidR="0070761D">
        <w:fldChar w:fldCharType="end"/>
      </w:r>
      <w:r w:rsidRPr="00B40126" w:rsidR="0070761D">
        <w:t xml:space="preserve"> of this Consent Decree</w:t>
      </w:r>
      <w:r w:rsidRPr="00B40126">
        <w:t xml:space="preserve">.  All Covered Employees shall be trained pursuant to the Compliance Training Program within </w:t>
      </w:r>
      <w:r w:rsidRPr="00B40126" w:rsidR="00C3372A">
        <w:t xml:space="preserve">one hundred twenty </w:t>
      </w:r>
      <w:r w:rsidRPr="00B40126">
        <w:t>(</w:t>
      </w:r>
      <w:r w:rsidRPr="00B40126" w:rsidR="00C3372A">
        <w:t>12</w:t>
      </w:r>
      <w:r w:rsidRPr="00B40126">
        <w:t xml:space="preserve">0) calendar days after the Effective Date.  Any person who becomes a Covered Employee at any time after the Initial Training Program shall be trained within thirty (30) calendar days after the date such person becomes a Covered Employee.  </w:t>
      </w:r>
      <w:r w:rsidRPr="00B40126" w:rsidR="00B67371">
        <w:t>K</w:t>
      </w:r>
      <w:r w:rsidRPr="00B40126" w:rsidR="003875C6">
        <w:t>enai</w:t>
      </w:r>
      <w:r w:rsidRPr="00B40126" w:rsidR="00B67371">
        <w:t xml:space="preserve"> </w:t>
      </w:r>
      <w:r w:rsidRPr="00B40126">
        <w:t>shall conduct compliance training on an annual basis and shall periodically review and revise the Compliance Training Program as necessary to ensure that it remains current and complete and to enhance its effectiveness.</w:t>
      </w:r>
    </w:p>
    <w:p w:rsidR="00232E7E" w:rsidRPr="00B40126" w:rsidP="002235B3" w14:paraId="67E17D0B" w14:textId="6913B905">
      <w:pPr>
        <w:pStyle w:val="ParaNum"/>
        <w:widowControl/>
        <w:numPr>
          <w:ilvl w:val="0"/>
          <w:numId w:val="3"/>
        </w:numPr>
        <w:tabs>
          <w:tab w:val="clear" w:pos="1080"/>
          <w:tab w:val="num" w:pos="1440"/>
        </w:tabs>
        <w:spacing w:before="240"/>
      </w:pPr>
      <w:bookmarkStart w:id="19" w:name="_Ref321323028"/>
      <w:r w:rsidRPr="00B40126">
        <w:rPr>
          <w:b/>
          <w:u w:val="single"/>
        </w:rPr>
        <w:t>Reporting Noncompliance</w:t>
      </w:r>
      <w:r w:rsidRPr="00B40126">
        <w:rPr>
          <w:b/>
        </w:rPr>
        <w:t>.</w:t>
      </w:r>
      <w:r w:rsidRPr="00B40126">
        <w:t xml:space="preserve">  </w:t>
      </w:r>
      <w:r w:rsidRPr="00B40126" w:rsidR="00657EF4">
        <w:t>K</w:t>
      </w:r>
      <w:r w:rsidRPr="00B40126" w:rsidR="003875C6">
        <w:t>enai</w:t>
      </w:r>
      <w:r w:rsidRPr="00B40126" w:rsidR="00657EF4">
        <w:t xml:space="preserve"> </w:t>
      </w:r>
      <w:r w:rsidRPr="00B40126">
        <w:t xml:space="preserve">shall report any noncompliance with the </w:t>
      </w:r>
      <w:r w:rsidR="00C6473D">
        <w:t xml:space="preserve">rules identified in paragraph </w:t>
      </w:r>
      <w:r w:rsidR="00C6473D">
        <w:fldChar w:fldCharType="begin"/>
      </w:r>
      <w:r w:rsidR="00C6473D">
        <w:instrText xml:space="preserve"> REF _Ref357521857 \r \h </w:instrText>
      </w:r>
      <w:r w:rsidR="00C6473D">
        <w:fldChar w:fldCharType="separate"/>
      </w:r>
      <w:r w:rsidR="002235B3">
        <w:t>11</w:t>
      </w:r>
      <w:r w:rsidR="00C6473D">
        <w:fldChar w:fldCharType="end"/>
      </w:r>
      <w:r w:rsidRPr="00B40126" w:rsidR="00040D9A">
        <w:t xml:space="preserve"> </w:t>
      </w:r>
      <w:r w:rsidRPr="00B40126">
        <w:t xml:space="preserve">and with the terms and conditions of this Consent Decree within fifteen (15) calendar days after discovery of such noncompliance.  Such reports shall include a detailed explanation of (i) each instance of noncompliance; (ii) the steps that </w:t>
      </w:r>
      <w:r w:rsidRPr="00B40126" w:rsidR="00657EF4">
        <w:t>K</w:t>
      </w:r>
      <w:r w:rsidRPr="00B40126" w:rsidR="003875C6">
        <w:t>enai</w:t>
      </w:r>
      <w:r w:rsidRPr="00B40126" w:rsidR="00657EF4">
        <w:t xml:space="preserve"> </w:t>
      </w:r>
      <w:r w:rsidRPr="00B40126">
        <w:t xml:space="preserve">has taken or will take to remedy such noncompliance; (iii) the schedule on which such remedial actions will be taken; and (iv) the steps that </w:t>
      </w:r>
      <w:r w:rsidRPr="00B40126" w:rsidR="00657EF4">
        <w:t>K</w:t>
      </w:r>
      <w:r w:rsidRPr="00B40126" w:rsidR="003875C6">
        <w:t>enai</w:t>
      </w:r>
      <w:r w:rsidRPr="00B40126" w:rsidR="00657EF4">
        <w:t xml:space="preserve"> </w:t>
      </w:r>
      <w:r w:rsidRPr="00B40126">
        <w:t xml:space="preserve">has taken or will take to prevent the recurrence of any such noncompliance.  All reports of noncompliance shall be submitted to the </w:t>
      </w:r>
      <w:r w:rsidRPr="00B40126" w:rsidR="00657EF4">
        <w:t>Federal Communications Commission,</w:t>
      </w:r>
      <w:r w:rsidRPr="00B40126" w:rsidR="00F32D8B">
        <w:t xml:space="preserve"> </w:t>
      </w:r>
      <w:r w:rsidRPr="00B40126" w:rsidR="0092279A">
        <w:t xml:space="preserve">Office of the Field Director, </w:t>
      </w:r>
      <w:r w:rsidRPr="00B40126" w:rsidR="00640557">
        <w:t xml:space="preserve">Enforcement Bureau, </w:t>
      </w:r>
      <w:r w:rsidRPr="00B40126" w:rsidR="00657EF4">
        <w:t xml:space="preserve">445 12th Street, S.W., Washington, D.C. 20554, </w:t>
      </w:r>
      <w:r w:rsidRPr="00B40126">
        <w:t>with a copy submitted electronically to Joy M. Ragsdale at Joy.Ragsdale@fcc.gov.</w:t>
      </w:r>
      <w:bookmarkEnd w:id="19"/>
    </w:p>
    <w:p w:rsidR="00232E7E" w:rsidRPr="00B40126" w:rsidP="002235B3" w14:paraId="508704EF" w14:textId="77777777">
      <w:pPr>
        <w:pStyle w:val="ParaNum"/>
        <w:numPr>
          <w:ilvl w:val="0"/>
          <w:numId w:val="3"/>
        </w:numPr>
        <w:tabs>
          <w:tab w:val="clear" w:pos="1080"/>
          <w:tab w:val="num" w:pos="1440"/>
        </w:tabs>
        <w:rPr>
          <w:caps/>
        </w:rPr>
      </w:pPr>
      <w:bookmarkStart w:id="20" w:name="_Ref8736993"/>
      <w:r w:rsidRPr="00B40126">
        <w:rPr>
          <w:b/>
          <w:u w:val="single"/>
        </w:rPr>
        <w:t>Compliance Reports</w:t>
      </w:r>
      <w:r w:rsidRPr="00B40126">
        <w:rPr>
          <w:b/>
        </w:rPr>
        <w:t>.</w:t>
      </w:r>
      <w:r w:rsidRPr="00B40126">
        <w:t xml:space="preserve">  </w:t>
      </w:r>
      <w:r w:rsidRPr="00B40126" w:rsidR="008F6BCC">
        <w:t>K</w:t>
      </w:r>
      <w:r w:rsidRPr="00B40126" w:rsidR="003875C6">
        <w:t>enai</w:t>
      </w:r>
      <w:r w:rsidRPr="00B40126">
        <w:t xml:space="preserve"> shall file Compliance Reports with the Commission ninety (90) calendar days after the Effective Date, twelve (12) months after the Effective Date, </w:t>
      </w:r>
      <w:r w:rsidRPr="00B40126" w:rsidR="00A11888">
        <w:t xml:space="preserve">twenty-four </w:t>
      </w:r>
      <w:r w:rsidRPr="00B40126" w:rsidR="00DA2BB0">
        <w:t xml:space="preserve">(24) </w:t>
      </w:r>
      <w:r w:rsidRPr="00B40126" w:rsidR="00A11888">
        <w:t xml:space="preserve">months after the Effective Date, </w:t>
      </w:r>
      <w:r w:rsidRPr="00B40126" w:rsidR="00640557">
        <w:t xml:space="preserve">and </w:t>
      </w:r>
      <w:r w:rsidRPr="00B40126" w:rsidR="00DA1C4F">
        <w:t>on January 31, 202</w:t>
      </w:r>
      <w:r w:rsidRPr="00B40126" w:rsidR="00A11888">
        <w:t>2</w:t>
      </w:r>
      <w:r w:rsidRPr="00B40126">
        <w:t>.</w:t>
      </w:r>
      <w:bookmarkEnd w:id="20"/>
    </w:p>
    <w:p w:rsidR="00232E7E" w:rsidRPr="00B40126" w:rsidP="002235B3" w14:paraId="66D51AEA" w14:textId="34C19F71">
      <w:pPr>
        <w:numPr>
          <w:ilvl w:val="0"/>
          <w:numId w:val="9"/>
        </w:numPr>
        <w:tabs>
          <w:tab w:val="left" w:pos="720"/>
          <w:tab w:val="left" w:pos="1440"/>
        </w:tabs>
        <w:spacing w:before="240" w:after="240"/>
      </w:pPr>
      <w:r w:rsidRPr="00B40126">
        <w:t xml:space="preserve">Each Compliance Report shall include a detailed description of </w:t>
      </w:r>
      <w:r w:rsidRPr="00B40126" w:rsidR="00657EF4">
        <w:t>K</w:t>
      </w:r>
      <w:r w:rsidRPr="00B40126" w:rsidR="003875C6">
        <w:t>enai</w:t>
      </w:r>
      <w:r w:rsidR="00930937">
        <w:t>’</w:t>
      </w:r>
      <w:r w:rsidRPr="00B40126" w:rsidR="00657EF4">
        <w:t>s</w:t>
      </w:r>
      <w:r w:rsidRPr="00B40126" w:rsidR="009D629F">
        <w:t xml:space="preserve"> </w:t>
      </w:r>
      <w:r w:rsidRPr="00B40126">
        <w:t xml:space="preserve">efforts during the relevant period to comply with </w:t>
      </w:r>
      <w:r w:rsidR="00807BF7">
        <w:t xml:space="preserve">the rules identified in paragraph </w:t>
      </w:r>
      <w:r w:rsidR="00807BF7">
        <w:fldChar w:fldCharType="begin"/>
      </w:r>
      <w:r w:rsidR="00807BF7">
        <w:instrText xml:space="preserve"> REF _Ref357521857 \r \h </w:instrText>
      </w:r>
      <w:r w:rsidR="00807BF7">
        <w:fldChar w:fldCharType="separate"/>
      </w:r>
      <w:r w:rsidR="002235B3">
        <w:t>11</w:t>
      </w:r>
      <w:r w:rsidR="00807BF7">
        <w:fldChar w:fldCharType="end"/>
      </w:r>
      <w:r w:rsidR="00807BF7">
        <w:t xml:space="preserve"> and </w:t>
      </w:r>
      <w:r w:rsidRPr="00B40126">
        <w:t xml:space="preserve">the terms and conditions of this Consent Decree.  In addition, each Compliance Report shall include a certification by the Compliance Officer, as an agent of and on behalf of </w:t>
      </w:r>
      <w:r w:rsidRPr="00B40126" w:rsidR="00657EF4">
        <w:t>K</w:t>
      </w:r>
      <w:r w:rsidRPr="00B40126" w:rsidR="003875C6">
        <w:t>enai</w:t>
      </w:r>
      <w:r w:rsidRPr="00B40126">
        <w:t xml:space="preserve">, stating that the Compliance Officer has personal knowledge that </w:t>
      </w:r>
      <w:r w:rsidRPr="00B40126" w:rsidR="008F6BCC">
        <w:t>K</w:t>
      </w:r>
      <w:r w:rsidRPr="00B40126" w:rsidR="003875C6">
        <w:t>enai</w:t>
      </w:r>
      <w:r w:rsidRPr="00B40126">
        <w:t xml:space="preserve"> (</w:t>
      </w:r>
      <w:r w:rsidRPr="00B40126">
        <w:t>i</w:t>
      </w:r>
      <w:r w:rsidRPr="00B40126">
        <w:t xml:space="preserve">)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w:t>
      </w:r>
      <w:r w:rsidRPr="00B40126" w:rsidR="003128ED">
        <w:t>p</w:t>
      </w:r>
      <w:r w:rsidRPr="00B40126">
        <w:t xml:space="preserve">aragraph </w:t>
      </w:r>
      <w:r w:rsidRPr="00B40126" w:rsidR="003128ED">
        <w:fldChar w:fldCharType="begin"/>
      </w:r>
      <w:r w:rsidRPr="00B40126" w:rsidR="003128ED">
        <w:instrText xml:space="preserve"> REF _Ref321323028 \r \h </w:instrText>
      </w:r>
      <w:r w:rsidRPr="00B40126" w:rsidR="00B40126">
        <w:instrText xml:space="preserve"> \* MERGEFORMAT </w:instrText>
      </w:r>
      <w:r w:rsidRPr="00B40126" w:rsidR="003128ED">
        <w:fldChar w:fldCharType="separate"/>
      </w:r>
      <w:r w:rsidR="002235B3">
        <w:t>12</w:t>
      </w:r>
      <w:r w:rsidRPr="00B40126" w:rsidR="003128ED">
        <w:fldChar w:fldCharType="end"/>
      </w:r>
      <w:r w:rsidRPr="00B40126" w:rsidR="00F32D8B">
        <w:rPr>
          <w:b/>
        </w:rPr>
        <w:t xml:space="preserve"> </w:t>
      </w:r>
      <w:r w:rsidRPr="00B40126">
        <w:t>of this Consent Decree.</w:t>
      </w:r>
    </w:p>
    <w:p w:rsidR="00232E7E" w:rsidRPr="00B40126" w:rsidP="002235B3" w14:paraId="187677E6" w14:textId="77777777">
      <w:pPr>
        <w:numPr>
          <w:ilvl w:val="0"/>
          <w:numId w:val="9"/>
        </w:numPr>
        <w:tabs>
          <w:tab w:val="left" w:pos="720"/>
          <w:tab w:val="left" w:pos="1440"/>
        </w:tabs>
        <w:spacing w:after="240"/>
      </w:pPr>
      <w:r w:rsidRPr="00B40126">
        <w:t xml:space="preserve">The Compliance Officer’s certification shall be accompanied by a statement explaining the basis for such certification and shall comply with </w:t>
      </w:r>
      <w:r w:rsidRPr="00B40126" w:rsidR="003128ED">
        <w:t>s</w:t>
      </w:r>
      <w:r w:rsidRPr="00B40126">
        <w:t>ection 1.16 of the Rules and be subscribed to as true under penalty of perjury in substantially the form set forth therein.</w:t>
      </w:r>
      <w:r>
        <w:rPr>
          <w:rStyle w:val="FootnoteReference"/>
          <w:sz w:val="22"/>
        </w:rPr>
        <w:footnoteReference w:id="33"/>
      </w:r>
    </w:p>
    <w:p w:rsidR="00232E7E" w:rsidRPr="00B40126" w:rsidP="002235B3" w14:paraId="13E273D2" w14:textId="77777777">
      <w:pPr>
        <w:numPr>
          <w:ilvl w:val="0"/>
          <w:numId w:val="9"/>
        </w:numPr>
        <w:tabs>
          <w:tab w:val="left" w:pos="720"/>
          <w:tab w:val="left" w:pos="1440"/>
        </w:tabs>
        <w:spacing w:after="240"/>
      </w:pPr>
      <w:r w:rsidRPr="00B40126">
        <w:t xml:space="preserve">If the Compliance Officer cannot provide the requisite certification, the Compliance Officer, as an agent of and on behalf of </w:t>
      </w:r>
      <w:r w:rsidRPr="00B40126" w:rsidR="00657EF4">
        <w:t>K</w:t>
      </w:r>
      <w:r w:rsidRPr="00B40126" w:rsidR="003875C6">
        <w:t>enai</w:t>
      </w:r>
      <w:r w:rsidRPr="00B40126">
        <w:t xml:space="preserve">, shall provide the Commission with a detailed explanation of the reason(s) why and describe fully (i) each instance of noncompliance; (ii) the steps that </w:t>
      </w:r>
      <w:r w:rsidRPr="00B40126" w:rsidR="00657EF4">
        <w:t>K</w:t>
      </w:r>
      <w:r w:rsidRPr="00B40126" w:rsidR="003875C6">
        <w:t>enai</w:t>
      </w:r>
      <w:r w:rsidRPr="00B40126" w:rsidR="00657EF4">
        <w:t xml:space="preserve"> </w:t>
      </w:r>
      <w:r w:rsidRPr="00B40126">
        <w:t xml:space="preserve">has taken or will take to remedy such noncompliance, including the schedule on which proposed remedial actions will be taken; and (iii) the steps that </w:t>
      </w:r>
      <w:r w:rsidRPr="00B40126" w:rsidR="003875C6">
        <w:t xml:space="preserve">Kenai </w:t>
      </w:r>
      <w:r w:rsidRPr="00B40126">
        <w:t>has taken or will take to prevent the recurrence of any such noncompliance, including the schedule on which such preventive action will be taken.</w:t>
      </w:r>
    </w:p>
    <w:p w:rsidR="00232E7E" w:rsidRPr="00B40126" w:rsidP="002235B3" w14:paraId="7181FAC8" w14:textId="77777777">
      <w:pPr>
        <w:numPr>
          <w:ilvl w:val="0"/>
          <w:numId w:val="9"/>
        </w:numPr>
        <w:tabs>
          <w:tab w:val="left" w:pos="720"/>
          <w:tab w:val="left" w:pos="1440"/>
        </w:tabs>
        <w:ind w:left="1800" w:hanging="450"/>
      </w:pPr>
      <w:r w:rsidRPr="00B40126">
        <w:t xml:space="preserve">All Compliance Reports shall be submitted to the </w:t>
      </w:r>
      <w:r w:rsidRPr="00B40126" w:rsidR="00F32D8B">
        <w:t xml:space="preserve">Office of the Field Director, Enforcement Bureau, </w:t>
      </w:r>
      <w:r w:rsidRPr="00B40126" w:rsidR="008F6BCC">
        <w:t xml:space="preserve">Federal Communications Commission, </w:t>
      </w:r>
      <w:r w:rsidRPr="00B40126">
        <w:t>445 12th Street, S.W., Washington, D.C. 20554, with a copy submitted electronically to Joy M. Ragsdale at Joy.Ragsdale@fcc.gov.</w:t>
      </w:r>
    </w:p>
    <w:p w:rsidR="00232E7E" w:rsidRPr="00B40126" w:rsidP="002235B3" w14:paraId="227EAD0A" w14:textId="64BF10DB">
      <w:pPr>
        <w:pStyle w:val="ParaNum"/>
        <w:numPr>
          <w:ilvl w:val="0"/>
          <w:numId w:val="3"/>
        </w:numPr>
        <w:tabs>
          <w:tab w:val="clear" w:pos="1080"/>
          <w:tab w:val="num" w:pos="1440"/>
        </w:tabs>
        <w:spacing w:before="240"/>
      </w:pPr>
      <w:r w:rsidRPr="00B40126">
        <w:rPr>
          <w:b/>
          <w:u w:val="single"/>
        </w:rPr>
        <w:t>Termination Date</w:t>
      </w:r>
      <w:r w:rsidRPr="00B40126">
        <w:rPr>
          <w:b/>
        </w:rPr>
        <w:t xml:space="preserve">.  </w:t>
      </w:r>
      <w:r w:rsidRPr="00B40126">
        <w:t xml:space="preserve">Unless stated otherwise, the obligations set forth in </w:t>
      </w:r>
      <w:r w:rsidRPr="00B40126" w:rsidR="004C6FF7">
        <w:t>p</w:t>
      </w:r>
      <w:r w:rsidRPr="00B40126">
        <w:t xml:space="preserve">aragraphs </w:t>
      </w:r>
      <w:r w:rsidRPr="00B40126" w:rsidR="004C6FF7">
        <w:fldChar w:fldCharType="begin"/>
      </w:r>
      <w:r w:rsidRPr="00B40126" w:rsidR="004C6FF7">
        <w:instrText xml:space="preserve"> REF _Ref8737743 \r \h </w:instrText>
      </w:r>
      <w:r w:rsidRPr="00B40126" w:rsidR="00B40126">
        <w:instrText xml:space="preserve"> \* MERGEFORMAT </w:instrText>
      </w:r>
      <w:r w:rsidRPr="00B40126" w:rsidR="004C6FF7">
        <w:fldChar w:fldCharType="separate"/>
      </w:r>
      <w:r w:rsidR="002235B3">
        <w:t>10</w:t>
      </w:r>
      <w:r w:rsidRPr="00B40126" w:rsidR="004C6FF7">
        <w:fldChar w:fldCharType="end"/>
      </w:r>
      <w:r w:rsidRPr="00B40126">
        <w:t xml:space="preserve"> through </w:t>
      </w:r>
      <w:r w:rsidRPr="00B40126" w:rsidR="004C6FF7">
        <w:fldChar w:fldCharType="begin"/>
      </w:r>
      <w:r w:rsidRPr="00B40126" w:rsidR="004C6FF7">
        <w:instrText xml:space="preserve"> REF _Ref8736993 \r \h </w:instrText>
      </w:r>
      <w:r w:rsidRPr="00B40126" w:rsidR="00B40126">
        <w:instrText xml:space="preserve"> \* MERGEFORMAT </w:instrText>
      </w:r>
      <w:r w:rsidRPr="00B40126" w:rsidR="004C6FF7">
        <w:fldChar w:fldCharType="separate"/>
      </w:r>
      <w:r w:rsidR="002235B3">
        <w:t>13</w:t>
      </w:r>
      <w:r w:rsidRPr="00B40126" w:rsidR="004C6FF7">
        <w:fldChar w:fldCharType="end"/>
      </w:r>
      <w:r w:rsidRPr="00B40126">
        <w:t xml:space="preserve"> of this Consent Decree shall expire </w:t>
      </w:r>
      <w:r w:rsidRPr="00B40126" w:rsidR="005E098F">
        <w:t>on February 1, 2022</w:t>
      </w:r>
      <w:r w:rsidRPr="00B40126">
        <w:t>.</w:t>
      </w:r>
    </w:p>
    <w:p w:rsidR="00E84F72" w:rsidRPr="00B40126" w:rsidP="002235B3" w14:paraId="70C11F23" w14:textId="77777777">
      <w:pPr>
        <w:pStyle w:val="ParaNum"/>
        <w:numPr>
          <w:ilvl w:val="0"/>
          <w:numId w:val="3"/>
        </w:numPr>
        <w:tabs>
          <w:tab w:val="clear" w:pos="1080"/>
          <w:tab w:val="num" w:pos="1440"/>
        </w:tabs>
      </w:pPr>
      <w:bookmarkStart w:id="21" w:name="_Ref8737958"/>
      <w:r w:rsidRPr="00B40126">
        <w:rPr>
          <w:b/>
          <w:u w:val="single"/>
        </w:rPr>
        <w:t>Civil Penalty</w:t>
      </w:r>
      <w:r w:rsidRPr="00B40126">
        <w:t xml:space="preserve">.  In light of </w:t>
      </w:r>
      <w:r w:rsidRPr="00B40126" w:rsidR="00657EF4">
        <w:t>K</w:t>
      </w:r>
      <w:r w:rsidRPr="00B40126" w:rsidR="003875C6">
        <w:t>enai</w:t>
      </w:r>
      <w:r w:rsidRPr="00B40126">
        <w:t xml:space="preserve">’s demonstrated inability to pay, and subject to the provisions of </w:t>
      </w:r>
      <w:r w:rsidRPr="00B40126" w:rsidR="004C6FF7">
        <w:t>p</w:t>
      </w:r>
      <w:r w:rsidRPr="00B40126">
        <w:t xml:space="preserve">aragraph </w:t>
      </w:r>
      <w:r w:rsidRPr="00B40126" w:rsidR="0079586A">
        <w:t xml:space="preserve">16 </w:t>
      </w:r>
      <w:r w:rsidRPr="00B40126">
        <w:t xml:space="preserve">below, </w:t>
      </w:r>
      <w:r w:rsidRPr="00B40126" w:rsidR="00657EF4">
        <w:t>K</w:t>
      </w:r>
      <w:r w:rsidRPr="00B40126" w:rsidR="003875C6">
        <w:t>enai</w:t>
      </w:r>
      <w:r w:rsidRPr="00B40126">
        <w:t xml:space="preserve"> will pay a civil penalty to the United States Treasury in the amount of </w:t>
      </w:r>
      <w:r w:rsidRPr="00B40126" w:rsidR="008F6BCC">
        <w:t>Two Thousand</w:t>
      </w:r>
      <w:r w:rsidRPr="00B40126" w:rsidR="00B01BE0">
        <w:t xml:space="preserve"> </w:t>
      </w:r>
      <w:r w:rsidRPr="00B40126">
        <w:t>Dollars ($</w:t>
      </w:r>
      <w:r w:rsidRPr="00B40126" w:rsidR="008F6BCC">
        <w:t>2,000</w:t>
      </w:r>
      <w:r w:rsidRPr="00B40126">
        <w:t>) (Civil Penalty)</w:t>
      </w:r>
      <w:r w:rsidRPr="00B40126" w:rsidR="009D629F">
        <w:t xml:space="preserve"> </w:t>
      </w:r>
      <w:r w:rsidRPr="00B40126" w:rsidR="002A4505">
        <w:t xml:space="preserve">with an initial payment of </w:t>
      </w:r>
      <w:r w:rsidRPr="00B40126" w:rsidR="004C6FF7">
        <w:t>F</w:t>
      </w:r>
      <w:r w:rsidRPr="00B40126" w:rsidR="00CC01C1">
        <w:t xml:space="preserve">ive </w:t>
      </w:r>
      <w:r w:rsidRPr="00B40126" w:rsidR="004C6FF7">
        <w:t>H</w:t>
      </w:r>
      <w:r w:rsidRPr="00B40126" w:rsidR="002A4505">
        <w:t>undred Dollars ($</w:t>
      </w:r>
      <w:r w:rsidRPr="00B40126" w:rsidR="00CC01C1">
        <w:t>5</w:t>
      </w:r>
      <w:r w:rsidRPr="00B40126" w:rsidR="002A4505">
        <w:t xml:space="preserve">00.00) (Initial Payment) and </w:t>
      </w:r>
      <w:r w:rsidRPr="00B40126" w:rsidR="00CC01C1">
        <w:t>three</w:t>
      </w:r>
      <w:r w:rsidRPr="00B40126" w:rsidR="002A4505">
        <w:t xml:space="preserve"> (</w:t>
      </w:r>
      <w:r w:rsidRPr="00B40126" w:rsidR="00CC01C1">
        <w:t>3</w:t>
      </w:r>
      <w:r w:rsidRPr="00B40126" w:rsidR="002A4505">
        <w:t xml:space="preserve">) quarterly installment payments, each in the amount of </w:t>
      </w:r>
      <w:r w:rsidRPr="00B40126" w:rsidR="004C6FF7">
        <w:t>F</w:t>
      </w:r>
      <w:r w:rsidRPr="00B40126" w:rsidR="00CC01C1">
        <w:t xml:space="preserve">ive </w:t>
      </w:r>
      <w:r w:rsidRPr="00B40126" w:rsidR="004C6FF7">
        <w:t>H</w:t>
      </w:r>
      <w:r w:rsidRPr="00B40126" w:rsidR="002A4505">
        <w:t>undred Dollars ($</w:t>
      </w:r>
      <w:r w:rsidRPr="00B40126" w:rsidR="00CC01C1">
        <w:t>5</w:t>
      </w:r>
      <w:r w:rsidRPr="00B40126" w:rsidR="002A4505">
        <w:t xml:space="preserve">00.00), paid </w:t>
      </w:r>
      <w:r w:rsidRPr="00B40126" w:rsidR="004E6C3C">
        <w:t xml:space="preserve">over the course of </w:t>
      </w:r>
      <w:r w:rsidRPr="00B40126" w:rsidR="00CC01C1">
        <w:t xml:space="preserve">three </w:t>
      </w:r>
      <w:r w:rsidRPr="00B40126" w:rsidR="004E6C3C">
        <w:t xml:space="preserve">additional </w:t>
      </w:r>
      <w:r w:rsidRPr="00B40126" w:rsidR="00CC01C1">
        <w:t xml:space="preserve">calendar quarters </w:t>
      </w:r>
      <w:r w:rsidRPr="00B40126" w:rsidR="002A4505">
        <w:t xml:space="preserve">(each, an </w:t>
      </w:r>
      <w:r w:rsidRPr="00B40126" w:rsidR="002A4505">
        <w:t xml:space="preserve">Installment Payment). </w:t>
      </w:r>
      <w:r w:rsidRPr="00B40126" w:rsidR="00063CBE">
        <w:t xml:space="preserve"> </w:t>
      </w:r>
      <w:r w:rsidRPr="00B40126" w:rsidR="002A4505">
        <w:t>The Initial Payment of $</w:t>
      </w:r>
      <w:r w:rsidRPr="00B40126" w:rsidR="00CC01C1">
        <w:t>5</w:t>
      </w:r>
      <w:r w:rsidRPr="00B40126" w:rsidR="002A4505">
        <w:t>00.00 shall be made within thirty (30) calendar days of the Effective Date.</w:t>
      </w:r>
      <w:r w:rsidRPr="00B40126" w:rsidR="00063CBE">
        <w:t xml:space="preserve"> </w:t>
      </w:r>
      <w:r w:rsidRPr="00B40126" w:rsidR="002A4505">
        <w:t xml:space="preserve"> Thereafter, the Installment Payments are due and payable quarterly on the 18th of the month starting on </w:t>
      </w:r>
      <w:r w:rsidRPr="00B40126" w:rsidR="00C572A9">
        <w:t>December</w:t>
      </w:r>
      <w:r w:rsidRPr="00B40126" w:rsidR="002A4505">
        <w:t xml:space="preserve"> 18, 201</w:t>
      </w:r>
      <w:r w:rsidRPr="00B40126" w:rsidR="004E6C3C">
        <w:t>9</w:t>
      </w:r>
      <w:r w:rsidRPr="00B40126" w:rsidR="002A4505">
        <w:t xml:space="preserve">, with a final Installment Payment </w:t>
      </w:r>
      <w:r w:rsidRPr="00B40126" w:rsidR="004E6C3C">
        <w:t xml:space="preserve">due </w:t>
      </w:r>
      <w:r w:rsidRPr="00B40126" w:rsidR="002A4505">
        <w:t xml:space="preserve">on </w:t>
      </w:r>
      <w:r w:rsidRPr="00B40126" w:rsidR="00C572A9">
        <w:t>June</w:t>
      </w:r>
      <w:r w:rsidRPr="00B40126" w:rsidR="004E6C3C">
        <w:t xml:space="preserve"> </w:t>
      </w:r>
      <w:r w:rsidRPr="00B40126" w:rsidR="002A4505">
        <w:t xml:space="preserve">18, 2020. </w:t>
      </w:r>
      <w:r w:rsidRPr="00B40126" w:rsidR="00C572A9">
        <w:t xml:space="preserve"> </w:t>
      </w:r>
      <w:r w:rsidRPr="00B40126" w:rsidR="00EB1B7A">
        <w:t>K</w:t>
      </w:r>
      <w:r w:rsidRPr="00B40126" w:rsidR="003875C6">
        <w:t>enai</w:t>
      </w:r>
      <w:r w:rsidRPr="00B40126">
        <w:t xml:space="preserve"> acknowledges and agrees that upon execution of this Consent Decree, the Civil </w:t>
      </w:r>
      <w:r w:rsidRPr="00B40126" w:rsidR="008F6BCC">
        <w:t xml:space="preserve">Penalty </w:t>
      </w:r>
      <w:r w:rsidRPr="00B40126" w:rsidR="00CC01C1">
        <w:t xml:space="preserve">and each Installment Payment </w:t>
      </w:r>
      <w:r w:rsidRPr="00B40126">
        <w:t xml:space="preserve">shall become a “Claim” or “Debt” as defined in </w:t>
      </w:r>
      <w:r w:rsidRPr="00B40126" w:rsidR="004C6FF7">
        <w:t>s</w:t>
      </w:r>
      <w:r w:rsidRPr="00B40126">
        <w:t>ection 3701(b)(1) of the Debt Collection Improvement Act of 1996 (DCIA).</w:t>
      </w:r>
      <w:r>
        <w:rPr>
          <w:rStyle w:val="FootnoteReference"/>
          <w:sz w:val="22"/>
        </w:rPr>
        <w:footnoteReference w:id="34"/>
      </w:r>
      <w:r w:rsidRPr="00B40126">
        <w:t xml:space="preserve">  </w:t>
      </w:r>
      <w:r w:rsidRPr="00B40126" w:rsidR="00EB1B7A">
        <w:t>K</w:t>
      </w:r>
      <w:r w:rsidRPr="00B40126" w:rsidR="003875C6">
        <w:t>enai</w:t>
      </w:r>
      <w:r w:rsidRPr="00B40126">
        <w:t xml:space="preserve"> shall send electronic notification of payment to </w:t>
      </w:r>
      <w:r w:rsidRPr="00B40126" w:rsidR="001231CC">
        <w:rPr>
          <w:rStyle w:val="Hyperlink"/>
          <w:color w:val="auto"/>
          <w:u w:val="none"/>
        </w:rPr>
        <w:t>Joy.Ragsdale@fcc.gov</w:t>
      </w:r>
      <w:r w:rsidRPr="00B40126" w:rsidR="00B01BE0">
        <w:t xml:space="preserve"> </w:t>
      </w:r>
      <w:r w:rsidRPr="00B40126">
        <w:t xml:space="preserve">and </w:t>
      </w:r>
      <w:r w:rsidRPr="00B40126" w:rsidR="001231CC">
        <w:rPr>
          <w:rStyle w:val="Hyperlink"/>
          <w:color w:val="auto"/>
          <w:u w:val="none"/>
        </w:rPr>
        <w:t>field@fcc.gov</w:t>
      </w:r>
      <w:r w:rsidRPr="00B40126">
        <w:t xml:space="preserve"> on the date </w:t>
      </w:r>
      <w:r w:rsidRPr="00B40126" w:rsidR="003E5EDE">
        <w:t xml:space="preserve">each </w:t>
      </w:r>
      <w:r w:rsidRPr="00B40126">
        <w:t>payment is made.</w:t>
      </w:r>
      <w:bookmarkEnd w:id="16"/>
      <w:r w:rsidRPr="00B40126">
        <w:t xml:space="preserve">  </w:t>
      </w:r>
      <w:r w:rsidRPr="00B40126">
        <w:t>Payment of the Civil Penalty must be made by credit card, ACH (Automated Clearing House) debit from a bank account using the Commission’s Fee Filer (the Commission’s online payment system),</w:t>
      </w:r>
      <w:r>
        <w:rPr>
          <w:rStyle w:val="FootnoteReference"/>
          <w:sz w:val="22"/>
        </w:rPr>
        <w:footnoteReference w:id="35"/>
      </w:r>
      <w:r w:rsidRPr="00B40126">
        <w:t xml:space="preserve"> or by wire transfer.  The Commission no longer accepts Civil Penalty payments by check or money order.  Below are instructions that payors should follow based on the form of payment selected:</w:t>
      </w:r>
      <w:r>
        <w:rPr>
          <w:vertAlign w:val="superscript"/>
        </w:rPr>
        <w:footnoteReference w:id="36"/>
      </w:r>
      <w:r w:rsidRPr="00B40126">
        <w:t xml:space="preserve"> </w:t>
      </w:r>
    </w:p>
    <w:p w:rsidR="00E84F72" w:rsidRPr="00B40126" w:rsidP="002235B3" w14:paraId="3BD47EFF" w14:textId="77777777">
      <w:pPr>
        <w:numPr>
          <w:ilvl w:val="0"/>
          <w:numId w:val="11"/>
        </w:numPr>
        <w:spacing w:after="120"/>
      </w:pPr>
      <w:bookmarkStart w:id="22" w:name="_Hlk499800471"/>
      <w:r w:rsidRPr="00B4012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rPr>
        <w:footnoteReference w:id="37"/>
      </w:r>
      <w:r w:rsidRPr="00B40126">
        <w:t xml:space="preserve">  For additional detail and wire transfer instructions, go to </w:t>
      </w:r>
      <w:r w:rsidRPr="00B40126" w:rsidR="006F7418">
        <w:rPr>
          <w:rStyle w:val="Hyperlink"/>
          <w:color w:val="auto"/>
        </w:rPr>
        <w:t>https://www.fcc.gov/licensing-databases/fees/wire-transfer</w:t>
      </w:r>
      <w:r w:rsidRPr="00B40126">
        <w:t xml:space="preserve">.  </w:t>
      </w:r>
    </w:p>
    <w:p w:rsidR="00E84F72" w:rsidRPr="00B40126" w:rsidP="002235B3" w14:paraId="6218CB16" w14:textId="77777777">
      <w:pPr>
        <w:numPr>
          <w:ilvl w:val="0"/>
          <w:numId w:val="11"/>
        </w:numPr>
        <w:spacing w:after="120"/>
      </w:pPr>
      <w:r w:rsidRPr="00B40126">
        <w:t xml:space="preserve">Payment by credit card must be made by using the Commission’s Fee Filer website at </w:t>
      </w:r>
      <w:hyperlink r:id="rId9" w:history="1">
        <w:r w:rsidRPr="00B40126">
          <w:rPr>
            <w:u w:val="single"/>
          </w:rPr>
          <w:t>https://apps.fcc.gov/FeeFiler/login.cfm</w:t>
        </w:r>
      </w:hyperlink>
      <w:r w:rsidRPr="00B40126">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AC3FDA" w:rsidRPr="00B40126" w:rsidP="002235B3" w14:paraId="6C33EBA6" w14:textId="77777777">
      <w:pPr>
        <w:numPr>
          <w:ilvl w:val="0"/>
          <w:numId w:val="11"/>
        </w:numPr>
        <w:spacing w:after="120"/>
        <w:rPr>
          <w:rFonts w:eastAsia="MS Mincho"/>
        </w:rPr>
      </w:pPr>
      <w:r w:rsidRPr="00B40126">
        <w:t xml:space="preserve">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w:t>
      </w:r>
      <w:r w:rsidRPr="00B40126" w:rsidR="00632030">
        <w:t>–</w:t>
      </w:r>
      <w:r w:rsidRPr="00B40126">
        <w:t xml:space="preserve">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1"/>
      <w:bookmarkEnd w:id="22"/>
    </w:p>
    <w:p w:rsidR="00AC3FDA" w:rsidRPr="00B40126" w:rsidP="002235B3" w14:paraId="1EE42549" w14:textId="56B1D65F">
      <w:pPr>
        <w:pStyle w:val="ParaNum"/>
        <w:numPr>
          <w:ilvl w:val="0"/>
          <w:numId w:val="3"/>
        </w:numPr>
        <w:tabs>
          <w:tab w:val="clear" w:pos="1080"/>
          <w:tab w:val="num" w:pos="1440"/>
        </w:tabs>
      </w:pPr>
      <w:bookmarkStart w:id="23" w:name="_Ref8737788"/>
      <w:r w:rsidRPr="00B40126">
        <w:rPr>
          <w:b/>
          <w:u w:val="single"/>
        </w:rPr>
        <w:t>Event of Default</w:t>
      </w:r>
      <w:r w:rsidRPr="00B40126">
        <w:rPr>
          <w:i/>
        </w:rPr>
        <w:t>.</w:t>
      </w:r>
      <w:r w:rsidRPr="00B40126">
        <w:t xml:space="preserve">  </w:t>
      </w:r>
      <w:r w:rsidRPr="00B40126" w:rsidR="00EB1B7A">
        <w:t>K</w:t>
      </w:r>
      <w:r w:rsidRPr="00B40126" w:rsidR="003875C6">
        <w:t>enai</w:t>
      </w:r>
      <w:r w:rsidRPr="00B40126" w:rsidR="00EB1B7A">
        <w:t xml:space="preserve"> </w:t>
      </w:r>
      <w:r w:rsidRPr="00B40126">
        <w:t xml:space="preserve">agrees that an Event of Default shall occur upon (1) the failure to pay the Civil Penalty to the U.S. Treasury on or before the </w:t>
      </w:r>
      <w:r w:rsidRPr="00B40126" w:rsidR="00F07E0E">
        <w:t xml:space="preserve">due </w:t>
      </w:r>
      <w:r w:rsidRPr="00B40126">
        <w:t>date</w:t>
      </w:r>
      <w:r w:rsidRPr="00B40126" w:rsidR="00F07E0E">
        <w:t>s</w:t>
      </w:r>
      <w:r w:rsidRPr="00B40126">
        <w:t xml:space="preserve"> specified in </w:t>
      </w:r>
      <w:r w:rsidRPr="00B40126" w:rsidR="004C6FF7">
        <w:t>p</w:t>
      </w:r>
      <w:r w:rsidRPr="00B40126">
        <w:t xml:space="preserve">aragraph </w:t>
      </w:r>
      <w:r w:rsidRPr="00B40126" w:rsidR="004C6FF7">
        <w:fldChar w:fldCharType="begin"/>
      </w:r>
      <w:r w:rsidRPr="00B40126" w:rsidR="004C6FF7">
        <w:instrText xml:space="preserve"> REF _Ref8737958 \r \h </w:instrText>
      </w:r>
      <w:r w:rsidRPr="00B40126" w:rsidR="00B40126">
        <w:instrText xml:space="preserve"> \* MERGEFORMAT </w:instrText>
      </w:r>
      <w:r w:rsidRPr="00B40126" w:rsidR="004C6FF7">
        <w:fldChar w:fldCharType="separate"/>
      </w:r>
      <w:r w:rsidR="002235B3">
        <w:t>15</w:t>
      </w:r>
      <w:r w:rsidRPr="00B40126" w:rsidR="004C6FF7">
        <w:fldChar w:fldCharType="end"/>
      </w:r>
      <w:r w:rsidRPr="00B40126" w:rsidR="00F07E0E">
        <w:t xml:space="preserve"> of this Consent Decree</w:t>
      </w:r>
      <w:r w:rsidRPr="00B40126">
        <w:t>; (2) the release of an order by the Commission</w:t>
      </w:r>
      <w:r w:rsidRPr="00B40126" w:rsidR="00DA2BB0">
        <w:t xml:space="preserve"> on or before February 1, 2022</w:t>
      </w:r>
      <w:r w:rsidRPr="00B40126">
        <w:t xml:space="preserve">, such as a Notice of Apparent Liability for Forfeiture that is uncontested or a Forfeiture Order, finding that </w:t>
      </w:r>
      <w:r w:rsidRPr="00B40126" w:rsidR="00EB1B7A">
        <w:t>K</w:t>
      </w:r>
      <w:r w:rsidRPr="00B40126" w:rsidR="003875C6">
        <w:t>enai</w:t>
      </w:r>
      <w:r w:rsidRPr="00B40126">
        <w:t xml:space="preserve"> violated </w:t>
      </w:r>
      <w:r w:rsidRPr="00B40126" w:rsidR="00A3466F">
        <w:t xml:space="preserve">the rules described in </w:t>
      </w:r>
      <w:r w:rsidRPr="00B40126" w:rsidR="004C6FF7">
        <w:t>p</w:t>
      </w:r>
      <w:r w:rsidRPr="00B40126" w:rsidR="00A3466F">
        <w:t xml:space="preserve">aragraph </w:t>
      </w:r>
      <w:r w:rsidRPr="00B40126" w:rsidR="004C6FF7">
        <w:fldChar w:fldCharType="begin"/>
      </w:r>
      <w:r w:rsidRPr="00B40126" w:rsidR="004C6FF7">
        <w:instrText xml:space="preserve"> REF _Ref8737981 \r \h </w:instrText>
      </w:r>
      <w:r w:rsidRPr="00B40126" w:rsidR="00B40126">
        <w:instrText xml:space="preserve"> \* MERGEFORMAT </w:instrText>
      </w:r>
      <w:r w:rsidRPr="00B40126" w:rsidR="004C6FF7">
        <w:fldChar w:fldCharType="separate"/>
      </w:r>
      <w:r w:rsidR="002235B3">
        <w:t>1</w:t>
      </w:r>
      <w:r w:rsidRPr="00B40126" w:rsidR="004C6FF7">
        <w:fldChar w:fldCharType="end"/>
      </w:r>
      <w:r w:rsidRPr="00B40126" w:rsidR="00BE54FA">
        <w:t xml:space="preserve"> </w:t>
      </w:r>
      <w:r w:rsidRPr="00B40126" w:rsidR="00A3466F">
        <w:t>of this Consent Decree</w:t>
      </w:r>
      <w:r w:rsidRPr="00B40126">
        <w:t xml:space="preserve">; (3) an admission of non-compliance required by </w:t>
      </w:r>
      <w:r w:rsidRPr="00B40126" w:rsidR="004C6FF7">
        <w:t>p</w:t>
      </w:r>
      <w:r w:rsidRPr="00B40126">
        <w:t xml:space="preserve">aragraph </w:t>
      </w:r>
      <w:r w:rsidRPr="00B40126" w:rsidR="004C6FF7">
        <w:fldChar w:fldCharType="begin"/>
      </w:r>
      <w:r w:rsidRPr="00B40126" w:rsidR="004C6FF7">
        <w:instrText xml:space="preserve"> REF _Ref321323028 \r \h </w:instrText>
      </w:r>
      <w:r w:rsidRPr="00B40126" w:rsidR="00B40126">
        <w:instrText xml:space="preserve"> \* MERGEFORMAT </w:instrText>
      </w:r>
      <w:r w:rsidRPr="00B40126" w:rsidR="004C6FF7">
        <w:fldChar w:fldCharType="separate"/>
      </w:r>
      <w:r w:rsidR="002235B3">
        <w:t>12</w:t>
      </w:r>
      <w:r w:rsidRPr="00B40126" w:rsidR="004C6FF7">
        <w:fldChar w:fldCharType="end"/>
      </w:r>
      <w:r w:rsidRPr="00B40126">
        <w:t xml:space="preserve">; or (4) the release of an order by the Commission finding that </w:t>
      </w:r>
      <w:r w:rsidRPr="00B40126" w:rsidR="00EB1B7A">
        <w:t>K</w:t>
      </w:r>
      <w:r w:rsidRPr="00B40126" w:rsidR="003875C6">
        <w:t>enai</w:t>
      </w:r>
      <w:r w:rsidRPr="00B40126">
        <w:t xml:space="preserve"> materially </w:t>
      </w:r>
      <w:r w:rsidRPr="00B40126">
        <w:t xml:space="preserve">misstated </w:t>
      </w:r>
      <w:r w:rsidRPr="00B40126" w:rsidR="00657EF4">
        <w:t xml:space="preserve">its </w:t>
      </w:r>
      <w:r w:rsidRPr="00B40126">
        <w:t xml:space="preserve">financial condition in the documents </w:t>
      </w:r>
      <w:r w:rsidRPr="00B40126" w:rsidR="00657EF4">
        <w:t xml:space="preserve">it </w:t>
      </w:r>
      <w:r w:rsidRPr="00B40126">
        <w:t xml:space="preserve">produced to support </w:t>
      </w:r>
      <w:r w:rsidRPr="00B40126" w:rsidR="00657EF4">
        <w:t xml:space="preserve">its </w:t>
      </w:r>
      <w:r w:rsidRPr="00B40126">
        <w:t>claim of inability to pay</w:t>
      </w:r>
      <w:r w:rsidRPr="00B40126" w:rsidR="000A4C00">
        <w:t xml:space="preserve"> in response to the </w:t>
      </w:r>
      <w:r w:rsidRPr="00B40126" w:rsidR="000A4C00">
        <w:rPr>
          <w:i/>
        </w:rPr>
        <w:t>NAL</w:t>
      </w:r>
      <w:r w:rsidRPr="00B40126">
        <w:t>.</w:t>
      </w:r>
      <w:bookmarkEnd w:id="23"/>
      <w:r w:rsidRPr="00B40126">
        <w:t xml:space="preserve">  </w:t>
      </w:r>
    </w:p>
    <w:p w:rsidR="00AC3FDA" w:rsidRPr="00B40126" w:rsidP="002235B3" w14:paraId="31771D3D" w14:textId="07096264">
      <w:pPr>
        <w:pStyle w:val="ParaNum"/>
        <w:numPr>
          <w:ilvl w:val="0"/>
          <w:numId w:val="3"/>
        </w:numPr>
        <w:tabs>
          <w:tab w:val="clear" w:pos="1080"/>
          <w:tab w:val="num" w:pos="1440"/>
        </w:tabs>
      </w:pPr>
      <w:r w:rsidRPr="00B40126">
        <w:rPr>
          <w:b/>
          <w:u w:val="single"/>
        </w:rPr>
        <w:t>Interest, Charges for Collection, and Acceleration of Maturity Date</w:t>
      </w:r>
      <w:r w:rsidRPr="00B40126">
        <w:t>.</w:t>
      </w:r>
      <w:r w:rsidRPr="00B40126" w:rsidR="00F07E0E">
        <w:t xml:space="preserve"> </w:t>
      </w:r>
      <w:r w:rsidRPr="00B40126">
        <w:t xml:space="preserve"> Upon an Event of Default, all procedures for collection permitted by the DCIA and other provisions of law</w:t>
      </w:r>
      <w:r>
        <w:rPr>
          <w:rStyle w:val="FootnoteReference"/>
          <w:sz w:val="22"/>
        </w:rPr>
        <w:footnoteReference w:id="38"/>
      </w:r>
      <w:r w:rsidRPr="00B40126">
        <w:t xml:space="preserve"> may, at the Commission’s discretion, be initiated and the following shall become immediately due and payable, without notice, presentment, demand, protest, or notice of protest of any kind, all of which are waived by </w:t>
      </w:r>
      <w:r w:rsidRPr="00B40126" w:rsidR="004C6FF7">
        <w:t>K</w:t>
      </w:r>
      <w:r w:rsidRPr="00B40126" w:rsidR="003875C6">
        <w:t>enai</w:t>
      </w:r>
      <w:r w:rsidRPr="00B40126">
        <w:t xml:space="preserve">:  (a) any unpaid Civil Penalty referenced in </w:t>
      </w:r>
      <w:r w:rsidRPr="00B40126" w:rsidR="004C6FF7">
        <w:t>p</w:t>
      </w:r>
      <w:r w:rsidRPr="00B40126">
        <w:t xml:space="preserve">aragraph </w:t>
      </w:r>
      <w:r w:rsidRPr="00B40126" w:rsidR="004C6FF7">
        <w:fldChar w:fldCharType="begin"/>
      </w:r>
      <w:r w:rsidRPr="00B40126" w:rsidR="004C6FF7">
        <w:instrText xml:space="preserve"> REF _Ref8737958 \r \h </w:instrText>
      </w:r>
      <w:r w:rsidRPr="00B40126" w:rsidR="00B40126">
        <w:instrText xml:space="preserve"> \* MERGEFORMAT </w:instrText>
      </w:r>
      <w:r w:rsidRPr="00B40126" w:rsidR="004C6FF7">
        <w:fldChar w:fldCharType="separate"/>
      </w:r>
      <w:r w:rsidR="002235B3">
        <w:t>15</w:t>
      </w:r>
      <w:r w:rsidRPr="00B40126" w:rsidR="004C6FF7">
        <w:fldChar w:fldCharType="end"/>
      </w:r>
      <w:r w:rsidRPr="00B40126">
        <w:t>, which shall accrue interest at a rate of the U.S. Prime Rate in effect on the date of the Event of Default plus 4.75 percent per annum from the date of the Event of Default until payment in full; (b) any penalties permitted and/or required by the law, including but not limited to 31 U.S.C. § 3717; and (d) any administrative charge(s), including the costs of collection, litigation, and attorneys’ fees.</w:t>
      </w:r>
      <w:r w:rsidRPr="00B40126">
        <w:rPr>
          <w:i/>
        </w:rPr>
        <w:t xml:space="preserve"> </w:t>
      </w:r>
    </w:p>
    <w:p w:rsidR="00AC3FDA" w:rsidRPr="00B40126" w:rsidP="002235B3" w14:paraId="41A97E15" w14:textId="77777777">
      <w:pPr>
        <w:pStyle w:val="ParaNum"/>
        <w:numPr>
          <w:ilvl w:val="0"/>
          <w:numId w:val="3"/>
        </w:numPr>
        <w:tabs>
          <w:tab w:val="clear" w:pos="1080"/>
          <w:tab w:val="num" w:pos="1440"/>
        </w:tabs>
      </w:pPr>
      <w:r w:rsidRPr="00B40126">
        <w:rPr>
          <w:b/>
          <w:u w:val="single"/>
        </w:rPr>
        <w:t>Waivers</w:t>
      </w:r>
      <w:r w:rsidRPr="00B40126">
        <w:t xml:space="preserve">.  As of the Effective Date, </w:t>
      </w:r>
      <w:r w:rsidRPr="00B40126" w:rsidR="00EB1B7A">
        <w:t>K</w:t>
      </w:r>
      <w:r w:rsidRPr="00B40126" w:rsidR="00453F05">
        <w:t>enai</w:t>
      </w:r>
      <w:r w:rsidRPr="00B40126">
        <w:t xml:space="preserve"> waives any and all rights </w:t>
      </w:r>
      <w:r w:rsidRPr="00B40126" w:rsidR="00657EF4">
        <w:t xml:space="preserve">it </w:t>
      </w:r>
      <w:r w:rsidRPr="00B40126">
        <w:t xml:space="preserve">may have to seek administrative or judicial reconsideration, review, appeal or stay, or to otherwise challenge or contest the validity of this Consent Decree and the Adopting Order.  </w:t>
      </w:r>
      <w:r w:rsidRPr="00B40126" w:rsidR="00EB1B7A">
        <w:t>K</w:t>
      </w:r>
      <w:r w:rsidRPr="00B40126" w:rsidR="00453F05">
        <w:t>enai</w:t>
      </w:r>
      <w:r w:rsidRPr="00B40126">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Pr="00B40126" w:rsidR="00EB1B7A">
        <w:t>K</w:t>
      </w:r>
      <w:r w:rsidRPr="00B40126" w:rsidR="00453F05">
        <w:t>enai</w:t>
      </w:r>
      <w:r w:rsidRPr="00B40126">
        <w:t xml:space="preserve"> nor the Commission shall contest the validity of the Consent Decree or the Adopting Order, and </w:t>
      </w:r>
      <w:r w:rsidRPr="00B40126" w:rsidR="00453F05">
        <w:t xml:space="preserve">Kenai </w:t>
      </w:r>
      <w:r w:rsidRPr="00B40126">
        <w:t xml:space="preserve">shall waive any statutory right to a trial </w:t>
      </w:r>
      <w:r w:rsidRPr="00B40126">
        <w:rPr>
          <w:i/>
        </w:rPr>
        <w:t>de novo</w:t>
      </w:r>
      <w:r w:rsidRPr="00B40126">
        <w:t xml:space="preserve">.  </w:t>
      </w:r>
      <w:r w:rsidRPr="00B40126" w:rsidR="004C6FF7">
        <w:t>K</w:t>
      </w:r>
      <w:r w:rsidRPr="00B40126" w:rsidR="00453F05">
        <w:t>enai</w:t>
      </w:r>
      <w:r w:rsidRPr="00B40126">
        <w:t xml:space="preserve"> hereby agrees to waive any claims </w:t>
      </w:r>
      <w:r w:rsidRPr="00B40126" w:rsidR="00EB1B7A">
        <w:t xml:space="preserve">it </w:t>
      </w:r>
      <w:r w:rsidRPr="00B40126">
        <w:t>may otherwise have under the Equal Access to Justice Act</w:t>
      </w:r>
      <w:r>
        <w:rPr>
          <w:rStyle w:val="FootnoteReference"/>
          <w:sz w:val="22"/>
        </w:rPr>
        <w:footnoteReference w:id="39"/>
      </w:r>
      <w:r w:rsidRPr="00B40126">
        <w:t xml:space="preserve"> relating to the matters addressed in this Consent Decree.</w:t>
      </w:r>
    </w:p>
    <w:p w:rsidR="00AC3FDA" w:rsidRPr="00B40126" w:rsidP="002235B3" w14:paraId="1E56CC10" w14:textId="77777777">
      <w:pPr>
        <w:pStyle w:val="ParaNum"/>
        <w:numPr>
          <w:ilvl w:val="0"/>
          <w:numId w:val="3"/>
        </w:numPr>
        <w:tabs>
          <w:tab w:val="clear" w:pos="1080"/>
          <w:tab w:val="num" w:pos="1440"/>
        </w:tabs>
      </w:pPr>
      <w:r w:rsidRPr="00B40126">
        <w:rPr>
          <w:b/>
          <w:u w:val="single"/>
        </w:rPr>
        <w:t>Severability</w:t>
      </w:r>
      <w:r w:rsidRPr="00B40126">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C3FDA" w:rsidRPr="00B40126" w:rsidP="002235B3" w14:paraId="02DF52E4" w14:textId="77777777">
      <w:pPr>
        <w:pStyle w:val="ParaNum"/>
        <w:numPr>
          <w:ilvl w:val="0"/>
          <w:numId w:val="3"/>
        </w:numPr>
        <w:tabs>
          <w:tab w:val="clear" w:pos="1080"/>
          <w:tab w:val="num" w:pos="1440"/>
        </w:tabs>
      </w:pPr>
      <w:r w:rsidRPr="00B40126">
        <w:rPr>
          <w:b/>
          <w:u w:val="single"/>
        </w:rPr>
        <w:t>Invalidity</w:t>
      </w:r>
      <w:r w:rsidRPr="00B40126">
        <w:t>.  In the event that this Consent Decree in its entirety is rendered invalid by any court of competent jurisdiction, it shall become null and void and may not be used in any manner in any legal proceeding.</w:t>
      </w:r>
    </w:p>
    <w:p w:rsidR="00AC3FDA" w:rsidRPr="00B40126" w:rsidP="002235B3" w14:paraId="4C7B9678" w14:textId="77777777">
      <w:pPr>
        <w:pStyle w:val="ParaNum"/>
        <w:numPr>
          <w:ilvl w:val="0"/>
          <w:numId w:val="3"/>
        </w:numPr>
        <w:tabs>
          <w:tab w:val="clear" w:pos="1080"/>
          <w:tab w:val="num" w:pos="1440"/>
        </w:tabs>
      </w:pPr>
      <w:r w:rsidRPr="00B40126">
        <w:rPr>
          <w:b/>
          <w:u w:val="single"/>
        </w:rPr>
        <w:t>Subsequent Rule or Order</w:t>
      </w:r>
      <w:r w:rsidRPr="00B40126">
        <w:t xml:space="preserve">.  The Parties agree that if any provision of the Consent Decree conflicts with any subsequent Rule or </w:t>
      </w:r>
      <w:r w:rsidRPr="00B40126" w:rsidR="00533C7A">
        <w:t>o</w:t>
      </w:r>
      <w:r w:rsidRPr="00B40126">
        <w:t xml:space="preserve">rder adopted by the Commission (except an </w:t>
      </w:r>
      <w:r w:rsidRPr="00B40126" w:rsidR="00533C7A">
        <w:t>o</w:t>
      </w:r>
      <w:r w:rsidRPr="00B40126">
        <w:t xml:space="preserve">rder specifically intended to revise the terms of this Consent Decree to which </w:t>
      </w:r>
      <w:r w:rsidRPr="00B40126" w:rsidR="00EB1B7A">
        <w:t>K</w:t>
      </w:r>
      <w:r w:rsidRPr="00B40126" w:rsidR="00453F05">
        <w:t>enai</w:t>
      </w:r>
      <w:r w:rsidRPr="00B40126" w:rsidR="009556B7">
        <w:t xml:space="preserve"> </w:t>
      </w:r>
      <w:r w:rsidRPr="00B40126">
        <w:t xml:space="preserve">does not expressly consent) that provision will be superseded by such Rule or </w:t>
      </w:r>
      <w:r w:rsidRPr="00B40126" w:rsidR="00533C7A">
        <w:t>o</w:t>
      </w:r>
      <w:r w:rsidRPr="00B40126">
        <w:t>rder.</w:t>
      </w:r>
    </w:p>
    <w:p w:rsidR="00AC3FDA" w:rsidRPr="00B40126" w:rsidP="002235B3" w14:paraId="3C4868CA" w14:textId="77777777">
      <w:pPr>
        <w:pStyle w:val="ParaNum"/>
        <w:numPr>
          <w:ilvl w:val="0"/>
          <w:numId w:val="3"/>
        </w:numPr>
        <w:tabs>
          <w:tab w:val="clear" w:pos="1080"/>
          <w:tab w:val="num" w:pos="1440"/>
        </w:tabs>
      </w:pPr>
      <w:r w:rsidRPr="00B40126">
        <w:rPr>
          <w:b/>
          <w:u w:val="single"/>
        </w:rPr>
        <w:t>Successors</w:t>
      </w:r>
      <w:r w:rsidRPr="00B40126" w:rsidR="00EB3DDF">
        <w:rPr>
          <w:b/>
          <w:u w:val="single"/>
        </w:rPr>
        <w:t>,</w:t>
      </w:r>
      <w:r w:rsidRPr="00B40126">
        <w:rPr>
          <w:b/>
          <w:u w:val="single"/>
        </w:rPr>
        <w:t xml:space="preserve"> </w:t>
      </w:r>
      <w:r w:rsidRPr="00B40126" w:rsidR="00EB3DDF">
        <w:rPr>
          <w:b/>
          <w:u w:val="single"/>
        </w:rPr>
        <w:t>Assigns</w:t>
      </w:r>
      <w:r w:rsidRPr="00B40126" w:rsidR="00DB4864">
        <w:rPr>
          <w:b/>
          <w:u w:val="single"/>
        </w:rPr>
        <w:t>,</w:t>
      </w:r>
      <w:r w:rsidRPr="00B40126" w:rsidR="00EB3DDF">
        <w:rPr>
          <w:b/>
          <w:u w:val="single"/>
        </w:rPr>
        <w:t xml:space="preserve"> </w:t>
      </w:r>
      <w:r w:rsidRPr="00B40126">
        <w:rPr>
          <w:b/>
          <w:u w:val="single"/>
        </w:rPr>
        <w:t>and</w:t>
      </w:r>
      <w:r w:rsidRPr="00B40126" w:rsidR="00EB3DDF">
        <w:rPr>
          <w:b/>
          <w:u w:val="single"/>
        </w:rPr>
        <w:t xml:space="preserve"> Transfers</w:t>
      </w:r>
      <w:r w:rsidRPr="00B40126">
        <w:t xml:space="preserve">.  </w:t>
      </w:r>
      <w:r w:rsidRPr="00B40126" w:rsidR="000560C4">
        <w:t>T</w:t>
      </w:r>
      <w:r w:rsidRPr="00B40126">
        <w:t xml:space="preserve">his Consent Decree shall be binding on </w:t>
      </w:r>
      <w:r w:rsidRPr="00B40126" w:rsidR="000560C4">
        <w:t>K</w:t>
      </w:r>
      <w:r w:rsidRPr="00B40126" w:rsidR="00453F05">
        <w:t>enai</w:t>
      </w:r>
      <w:r w:rsidRPr="00B40126" w:rsidR="000560C4">
        <w:t xml:space="preserve">’s </w:t>
      </w:r>
      <w:r w:rsidRPr="00B40126">
        <w:t>successors</w:t>
      </w:r>
      <w:r w:rsidRPr="00B40126" w:rsidR="000560C4">
        <w:t>-in-interests</w:t>
      </w:r>
      <w:r w:rsidRPr="00B40126" w:rsidR="00EB1B7A">
        <w:t>,</w:t>
      </w:r>
      <w:r w:rsidRPr="00B40126">
        <w:t xml:space="preserve"> assigns</w:t>
      </w:r>
      <w:r w:rsidRPr="00B40126" w:rsidR="00EB1B7A">
        <w:t>, and transferees</w:t>
      </w:r>
      <w:r w:rsidRPr="00B40126">
        <w:t>.</w:t>
      </w:r>
      <w:r w:rsidRPr="00B40126" w:rsidR="009556B7">
        <w:t xml:space="preserve">  K</w:t>
      </w:r>
      <w:r w:rsidRPr="00B40126" w:rsidR="00453F05">
        <w:t>enai</w:t>
      </w:r>
      <w:r w:rsidRPr="00B40126" w:rsidR="009556B7">
        <w:t xml:space="preserve"> agrees</w:t>
      </w:r>
      <w:r w:rsidRPr="00B40126" w:rsidR="00172574">
        <w:t xml:space="preserve"> to amend its pending </w:t>
      </w:r>
      <w:r w:rsidRPr="00B40126" w:rsidR="009556B7">
        <w:t xml:space="preserve">application to assign the Station </w:t>
      </w:r>
      <w:r w:rsidRPr="00B40126" w:rsidR="00172574">
        <w:t xml:space="preserve">to </w:t>
      </w:r>
      <w:r w:rsidRPr="00B40126" w:rsidR="009556B7">
        <w:t>include a statement executed by the authorized representative of the proposed assignee consenting to assuming the responsibilities and duties of K</w:t>
      </w:r>
      <w:r w:rsidRPr="00B40126" w:rsidR="00453F05">
        <w:t>enai</w:t>
      </w:r>
      <w:r w:rsidRPr="00B40126" w:rsidR="009556B7">
        <w:t xml:space="preserve"> as set forth in this Consent Decree.</w:t>
      </w:r>
    </w:p>
    <w:p w:rsidR="00AC3FDA" w:rsidRPr="00B40126" w:rsidP="002235B3" w14:paraId="40E8ED24" w14:textId="77777777">
      <w:pPr>
        <w:pStyle w:val="ParaNum"/>
        <w:numPr>
          <w:ilvl w:val="0"/>
          <w:numId w:val="3"/>
        </w:numPr>
        <w:tabs>
          <w:tab w:val="clear" w:pos="1080"/>
          <w:tab w:val="num" w:pos="1440"/>
        </w:tabs>
      </w:pPr>
      <w:r w:rsidRPr="00B40126">
        <w:rPr>
          <w:b/>
          <w:u w:val="single"/>
        </w:rPr>
        <w:t>Final Settlement</w:t>
      </w:r>
      <w:r w:rsidRPr="00B40126">
        <w:t>.  The Parties agree and acknowledge that this Consent Decree shall constitute a final settlement between the Parties with respect to the Investigation.</w:t>
      </w:r>
    </w:p>
    <w:p w:rsidR="00AC3FDA" w:rsidRPr="00B40126" w:rsidP="002235B3" w14:paraId="42DE5D2A" w14:textId="77777777">
      <w:pPr>
        <w:pStyle w:val="ParaNum"/>
        <w:numPr>
          <w:ilvl w:val="0"/>
          <w:numId w:val="3"/>
        </w:numPr>
        <w:tabs>
          <w:tab w:val="clear" w:pos="1080"/>
          <w:tab w:val="num" w:pos="1440"/>
        </w:tabs>
      </w:pPr>
      <w:r w:rsidRPr="00B40126">
        <w:rPr>
          <w:b/>
          <w:u w:val="single"/>
        </w:rPr>
        <w:t>Modifications</w:t>
      </w:r>
      <w:r w:rsidRPr="00B40126">
        <w:t>.  This Consent Decree cannot be modified without the advance written consent of both Parties.</w:t>
      </w:r>
    </w:p>
    <w:p w:rsidR="00AC3FDA" w:rsidRPr="00B40126" w:rsidP="002235B3" w14:paraId="67A8DAFD" w14:textId="77777777">
      <w:pPr>
        <w:pStyle w:val="ParaNum"/>
        <w:numPr>
          <w:ilvl w:val="0"/>
          <w:numId w:val="3"/>
        </w:numPr>
        <w:tabs>
          <w:tab w:val="clear" w:pos="1080"/>
          <w:tab w:val="num" w:pos="1440"/>
        </w:tabs>
      </w:pPr>
      <w:r w:rsidRPr="00B40126">
        <w:rPr>
          <w:b/>
          <w:u w:val="single"/>
        </w:rPr>
        <w:t>Paragraph Headings</w:t>
      </w:r>
      <w:r w:rsidRPr="00B40126">
        <w:t>.  The headings of the paragraphs in this Consent Decree are inserted for convenience only and are not intended to affect the meaning or interpretation of this Consent Decree.</w:t>
      </w:r>
    </w:p>
    <w:p w:rsidR="00AC3FDA" w:rsidRPr="00B40126" w:rsidP="002235B3" w14:paraId="53E607BB" w14:textId="77777777">
      <w:pPr>
        <w:pStyle w:val="ParaNum"/>
        <w:numPr>
          <w:ilvl w:val="0"/>
          <w:numId w:val="3"/>
        </w:numPr>
        <w:tabs>
          <w:tab w:val="clear" w:pos="1080"/>
          <w:tab w:val="num" w:pos="1440"/>
        </w:tabs>
        <w:rPr>
          <w:u w:val="single"/>
        </w:rPr>
      </w:pPr>
      <w:r w:rsidRPr="00B40126">
        <w:rPr>
          <w:b/>
          <w:u w:val="single"/>
        </w:rPr>
        <w:t>Authorized Representative</w:t>
      </w:r>
      <w:r w:rsidRPr="00B40126">
        <w:t xml:space="preserve">.  Each Party represents and warrants to the other that it has full power and authority to enter into this Consent Decree.  Each person signing this Consent Decree on </w:t>
      </w:r>
      <w:r w:rsidRPr="00B40126">
        <w:t xml:space="preserve">behalf of a Party hereby represents that he or she is fully authorized by the Party to execute this Consent Decree and to bind the Party to its terms and conditions. </w:t>
      </w:r>
    </w:p>
    <w:p w:rsidR="00AC3FDA" w:rsidRPr="00B40126" w:rsidP="002235B3" w14:paraId="3AC37962" w14:textId="77777777">
      <w:pPr>
        <w:pStyle w:val="ParaNum"/>
        <w:keepNext/>
        <w:widowControl/>
        <w:numPr>
          <w:ilvl w:val="0"/>
          <w:numId w:val="3"/>
        </w:numPr>
        <w:tabs>
          <w:tab w:val="clear" w:pos="1080"/>
          <w:tab w:val="num" w:pos="1440"/>
        </w:tabs>
      </w:pPr>
      <w:r w:rsidRPr="00B40126">
        <w:rPr>
          <w:b/>
          <w:u w:val="single"/>
        </w:rPr>
        <w:t>Counterparts</w:t>
      </w:r>
      <w:r w:rsidRPr="00B40126">
        <w:t>.  This Consent Decree may be signed in counterpart (including electronically or by facsimile).  Each counterpart, when executed and delivered, shall be an original, and all of the counterparts together shall constitute one and the same fully executed instrument.</w:t>
      </w:r>
    </w:p>
    <w:p w:rsidR="00FA2D9A" w:rsidP="00B70BFB" w14:paraId="78148661" w14:textId="77777777">
      <w:pPr>
        <w:keepNext/>
        <w:keepLines/>
      </w:pPr>
      <w:r>
        <w:br/>
      </w:r>
    </w:p>
    <w:p w:rsidR="00FA2D9A" w:rsidP="00B70BFB" w14:paraId="46743904" w14:textId="77777777">
      <w:pPr>
        <w:keepNext/>
        <w:keepLines/>
      </w:pPr>
    </w:p>
    <w:p w:rsidR="00FA2D9A" w:rsidP="00B70BFB" w14:paraId="73BC1901" w14:textId="77777777">
      <w:pPr>
        <w:keepNext/>
        <w:keepLines/>
      </w:pPr>
    </w:p>
    <w:p w:rsidR="00E221F3" w:rsidRPr="00E221F3" w:rsidP="00B70BFB" w14:paraId="1218314E" w14:textId="77777777">
      <w:pPr>
        <w:keepNext/>
        <w:keepLines/>
      </w:pPr>
      <w:r w:rsidRPr="007C0B39">
        <w:t>________________________________</w:t>
      </w:r>
      <w:r>
        <w:br/>
        <w:t>FEDERAL COMMUNICATIONS COMMISSION</w:t>
      </w:r>
      <w:r>
        <w:br/>
        <w:t>Marlene H. Dortch</w:t>
      </w:r>
      <w:r>
        <w:br/>
        <w:t>Secretary</w:t>
      </w:r>
    </w:p>
    <w:p w:rsidR="00E221F3" w:rsidP="00E221F3" w14:paraId="45282D37" w14:textId="77777777">
      <w:pPr>
        <w:keepNext/>
        <w:keepLines/>
      </w:pPr>
      <w:bookmarkStart w:id="24" w:name="_Hlk9515491"/>
    </w:p>
    <w:p w:rsidR="00B70BFB" w:rsidRPr="00E221F3" w:rsidP="00E221F3" w14:paraId="315B7371" w14:textId="77777777">
      <w:pPr>
        <w:keepNext/>
        <w:keepLines/>
      </w:pPr>
    </w:p>
    <w:p w:rsidR="00E221F3" w:rsidRPr="00E221F3" w:rsidP="00E221F3" w14:paraId="1C689570" w14:textId="77777777">
      <w:pPr>
        <w:keepNext/>
        <w:keepLines/>
      </w:pPr>
      <w:r w:rsidRPr="00E221F3">
        <w:t>________________________________</w:t>
      </w:r>
    </w:p>
    <w:p w:rsidR="00E221F3" w:rsidRPr="00E221F3" w:rsidP="00E221F3" w14:paraId="7339A5ED" w14:textId="77777777">
      <w:pPr>
        <w:keepNext/>
        <w:keepLines/>
      </w:pPr>
      <w:r w:rsidRPr="00E221F3">
        <w:t>Date</w:t>
      </w:r>
    </w:p>
    <w:p w:rsidR="00AC3FDA" w:rsidP="00AC3FDA" w14:paraId="059F76CD" w14:textId="77777777">
      <w:pPr>
        <w:keepNext/>
        <w:keepLines/>
      </w:pPr>
    </w:p>
    <w:bookmarkEnd w:id="24"/>
    <w:p w:rsidR="00B70BFB" w:rsidP="00AC3FDA" w14:paraId="519D5A22" w14:textId="77777777">
      <w:pPr>
        <w:keepNext/>
        <w:keepLines/>
      </w:pPr>
      <w:r>
        <w:br/>
      </w:r>
    </w:p>
    <w:p w:rsidR="00FA2D9A" w:rsidP="00AC3FDA" w14:paraId="1C97A504" w14:textId="77777777">
      <w:pPr>
        <w:keepNext/>
        <w:keepLines/>
      </w:pPr>
    </w:p>
    <w:p w:rsidR="00FA2D9A" w:rsidP="00AC3FDA" w14:paraId="00A25C0E" w14:textId="77777777">
      <w:pPr>
        <w:keepNext/>
        <w:keepLines/>
      </w:pPr>
    </w:p>
    <w:p w:rsidR="00FA2D9A" w:rsidRPr="00B40126" w:rsidP="00AC3FDA" w14:paraId="6FB23124" w14:textId="77777777">
      <w:pPr>
        <w:keepNext/>
        <w:keepLines/>
      </w:pPr>
    </w:p>
    <w:p w:rsidR="00FA2D9A" w:rsidP="00B70BFB" w14:paraId="22142ACA" w14:textId="77777777">
      <w:pPr>
        <w:keepNext/>
        <w:keepLines/>
      </w:pPr>
      <w:r w:rsidRPr="00B40126">
        <w:t>_____________________________</w:t>
      </w:r>
      <w:r w:rsidRPr="00B40126" w:rsidR="00FE5BFC">
        <w:t>____</w:t>
      </w:r>
      <w:r w:rsidRPr="00B40126">
        <w:t>___</w:t>
      </w:r>
      <w:r w:rsidR="00B70BFB">
        <w:br/>
      </w:r>
      <w:r w:rsidRPr="00B40126" w:rsidR="00EB1B7A">
        <w:t>Cindy Clock</w:t>
      </w:r>
      <w:r w:rsidR="00B70BFB">
        <w:br/>
      </w:r>
      <w:r w:rsidRPr="00B40126" w:rsidR="000215C1">
        <w:t xml:space="preserve">President </w:t>
      </w:r>
      <w:r w:rsidR="00B70BFB">
        <w:br/>
      </w:r>
      <w:r w:rsidRPr="00B40126" w:rsidR="000215C1">
        <w:t>Kenai Educational Media, Inc.</w:t>
      </w:r>
    </w:p>
    <w:p w:rsidR="00FA2D9A" w:rsidP="00FA2D9A" w14:paraId="7ABA5E5F" w14:textId="77777777">
      <w:pPr>
        <w:keepNext/>
        <w:keepLines/>
      </w:pPr>
    </w:p>
    <w:p w:rsidR="00FA2D9A" w:rsidP="00FA2D9A" w14:paraId="5AC35E4B" w14:textId="77777777">
      <w:pPr>
        <w:keepNext/>
        <w:keepLines/>
      </w:pPr>
    </w:p>
    <w:p w:rsidR="00FA2D9A" w:rsidP="00FA2D9A" w14:paraId="14053FC9" w14:textId="77777777">
      <w:pPr>
        <w:keepNext/>
        <w:keepLines/>
      </w:pPr>
      <w:r>
        <w:t>________________________________</w:t>
      </w:r>
    </w:p>
    <w:p w:rsidR="00FA2D9A" w:rsidP="00FA2D9A" w14:paraId="286CC203" w14:textId="77777777">
      <w:pPr>
        <w:keepNext/>
        <w:keepLines/>
      </w:pPr>
      <w:r>
        <w:t>Date</w:t>
      </w:r>
    </w:p>
    <w:p w:rsidR="002C00E8" w:rsidRPr="00B40126" w:rsidP="00FA2D9A" w14:paraId="6F5BA535" w14:textId="77777777">
      <w:pPr>
        <w:keepNext/>
        <w:keepLines/>
      </w:pPr>
    </w:p>
    <w:sectPr w:rsidSect="00DB349B">
      <w:footnotePr>
        <w:numRestart w:val="eachSect"/>
      </w:footnotePr>
      <w:endnotePr>
        <w:numFmt w:val="decimal"/>
      </w:endnotePr>
      <w:pgSz w:w="12240" w:h="15840"/>
      <w:pgMar w:top="1267"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668" w:rsidRPr="006160CE" w:rsidP="00DB349B" w14:paraId="41DEAE26" w14:textId="77777777">
    <w:pPr>
      <w:pStyle w:val="Footer"/>
      <w:jc w:val="center"/>
      <w:rPr>
        <w:noProof/>
      </w:rPr>
    </w:pPr>
    <w:r w:rsidRPr="006160CE">
      <w:fldChar w:fldCharType="begin"/>
    </w:r>
    <w:r w:rsidRPr="006160CE">
      <w:instrText xml:space="preserve"> PAGE   \* MERGEFORMAT </w:instrText>
    </w:r>
    <w:r w:rsidRPr="006160CE">
      <w:fldChar w:fldCharType="separate"/>
    </w:r>
    <w:r w:rsidRPr="006160CE">
      <w:rPr>
        <w:noProof/>
      </w:rPr>
      <w:t>5</w:t>
    </w:r>
    <w:r w:rsidRPr="006160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668" w14:paraId="01B00E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519B" w14:paraId="3B6C4B71" w14:textId="77777777">
      <w:r>
        <w:separator/>
      </w:r>
    </w:p>
  </w:footnote>
  <w:footnote w:type="continuationSeparator" w:id="1">
    <w:p w:rsidR="004D519B" w:rsidP="00C721AC" w14:paraId="724CF988" w14:textId="77777777">
      <w:pPr>
        <w:spacing w:before="120"/>
        <w:rPr>
          <w:sz w:val="20"/>
        </w:rPr>
      </w:pPr>
      <w:r>
        <w:rPr>
          <w:sz w:val="20"/>
        </w:rPr>
        <w:t xml:space="preserve">(Continued from previous page)  </w:t>
      </w:r>
      <w:r>
        <w:rPr>
          <w:sz w:val="20"/>
        </w:rPr>
        <w:separator/>
      </w:r>
    </w:p>
  </w:footnote>
  <w:footnote w:type="continuationNotice" w:id="2">
    <w:p w:rsidR="004D519B" w:rsidP="00C721AC" w14:paraId="40685907" w14:textId="77777777">
      <w:pPr>
        <w:jc w:val="right"/>
        <w:rPr>
          <w:sz w:val="20"/>
        </w:rPr>
      </w:pPr>
    </w:p>
  </w:footnote>
  <w:footnote w:id="3">
    <w:p w:rsidR="00571668" w:rsidRPr="00CA02C1" w:rsidP="00B671EE" w14:paraId="34FF72E0" w14:textId="77777777">
      <w:pPr>
        <w:pStyle w:val="FootnoteText"/>
      </w:pPr>
      <w:r w:rsidRPr="00CA02C1">
        <w:rPr>
          <w:rStyle w:val="FootnoteReference"/>
        </w:rPr>
        <w:footnoteRef/>
      </w:r>
      <w:r w:rsidRPr="00CA02C1">
        <w:t xml:space="preserve"> </w:t>
      </w:r>
      <w:r w:rsidRPr="00CA02C1">
        <w:rPr>
          <w:snapToGrid w:val="0"/>
        </w:rPr>
        <w:t xml:space="preserve">The investigation began under File No. EB-FIELDWR-13-00009787 </w:t>
      </w:r>
      <w:r w:rsidRPr="00CA02C1">
        <w:rPr>
          <w:snapToGrid w:val="0"/>
          <w:spacing w:val="-2"/>
        </w:rPr>
        <w:t xml:space="preserve">and was subsequently assigned </w:t>
      </w:r>
      <w:r w:rsidRPr="00CA02C1">
        <w:rPr>
          <w:snapToGrid w:val="0"/>
        </w:rPr>
        <w:t>File No. EB-FIELDWR-16-00022001.  Any future correspondence with the Commission concerning this matter should reflect the new case number.</w:t>
      </w:r>
    </w:p>
  </w:footnote>
  <w:footnote w:id="4">
    <w:p w:rsidR="00571668" w:rsidP="00095326" w14:paraId="46E6C82D" w14:textId="77777777">
      <w:pPr>
        <w:pStyle w:val="FootnoteText"/>
      </w:pPr>
      <w:r>
        <w:rPr>
          <w:rStyle w:val="FootnoteReference"/>
        </w:rPr>
        <w:footnoteRef/>
      </w:r>
      <w:r>
        <w:t xml:space="preserve"> </w:t>
      </w:r>
      <w:r w:rsidRPr="00A12117">
        <w:rPr>
          <w:i/>
        </w:rPr>
        <w:t>Kenai Educ. Media, Inc.,</w:t>
      </w:r>
      <w:r w:rsidRPr="00A12117">
        <w:t xml:space="preserve"> Notice of Apparent Liability for Forfeiture and Order, 32 FCC Rcd 6211 (2017). </w:t>
      </w:r>
      <w:r w:rsidRPr="00CA02C1">
        <w:t xml:space="preserve"> </w:t>
      </w:r>
      <w:r w:rsidRPr="00A12117">
        <w:t xml:space="preserve">The </w:t>
      </w:r>
      <w:r w:rsidR="00676D50">
        <w:t>Notice of Apparent Liability for Forfeiture and Order</w:t>
      </w:r>
      <w:r w:rsidRPr="00A12117">
        <w:t xml:space="preserve"> includes a more complete discussion of the facts and history of this case and is incorporated herein by reference.</w:t>
      </w:r>
    </w:p>
  </w:footnote>
  <w:footnote w:id="5">
    <w:p w:rsidR="009B38FC" w14:paraId="1E9A4728" w14:textId="77777777">
      <w:pPr>
        <w:pStyle w:val="FootnoteText"/>
      </w:pPr>
      <w:r>
        <w:rPr>
          <w:rStyle w:val="FootnoteReference"/>
        </w:rPr>
        <w:footnoteRef/>
      </w:r>
      <w:r>
        <w:t xml:space="preserve"> Kenai Educational Media, Inc</w:t>
      </w:r>
      <w:r w:rsidR="00DF0189">
        <w:t>.</w:t>
      </w:r>
      <w:r>
        <w:t xml:space="preserve">, Response to Notice of Apparent Liability for Forfeiture, dated Sept. 6, 2017 (on file in </w:t>
      </w:r>
      <w:r w:rsidRPr="00A12117">
        <w:t>EB-FIELDWR-16-00022001</w:t>
      </w:r>
      <w:r>
        <w:t>) (NAL Response); Response to Notice of Apparent Liability filed by Kenai Educational Media, Inc. (received Jan. 5, 2018) (on file in EB-FIELDWR-</w:t>
      </w:r>
      <w:r w:rsidRPr="00823C0D">
        <w:t>16-00022001</w:t>
      </w:r>
      <w:r>
        <w:t>) (First Supplemental NAL Response); Response to Notice of Apparent Liability filed by Kenai Educational Media, Inc. (received Feb. 6, 2018) (on file in EB-FIELDWR-</w:t>
      </w:r>
      <w:r w:rsidRPr="00823C0D">
        <w:t>16-00022001</w:t>
      </w:r>
      <w:r>
        <w:t>) (Second Supplemental NAL Response).</w:t>
      </w:r>
    </w:p>
  </w:footnote>
  <w:footnote w:id="6">
    <w:p w:rsidR="00571668" w14:paraId="1FA89716" w14:textId="77777777">
      <w:pPr>
        <w:pStyle w:val="FootnoteText"/>
      </w:pPr>
      <w:r>
        <w:rPr>
          <w:rStyle w:val="FootnoteReference"/>
        </w:rPr>
        <w:footnoteRef/>
      </w:r>
      <w:r>
        <w:t xml:space="preserve"> </w:t>
      </w:r>
      <w:r w:rsidRPr="00CA02C1">
        <w:t xml:space="preserve">47 </w:t>
      </w:r>
      <w:r w:rsidRPr="0035160E">
        <w:t>CFR §§ 11.15, 11.35(a), 11.52(d)(1).</w:t>
      </w:r>
    </w:p>
  </w:footnote>
  <w:footnote w:id="7">
    <w:p w:rsidR="00571668" w14:paraId="21B8DA65" w14:textId="77777777">
      <w:pPr>
        <w:pStyle w:val="FootnoteText"/>
      </w:pPr>
      <w:r>
        <w:rPr>
          <w:rStyle w:val="FootnoteReference"/>
        </w:rPr>
        <w:footnoteRef/>
      </w:r>
      <w:r>
        <w:t xml:space="preserve"> </w:t>
      </w:r>
      <w:r w:rsidRPr="00151E74">
        <w:rPr>
          <w:i/>
        </w:rPr>
        <w:t>Id</w:t>
      </w:r>
      <w:r>
        <w:t>.</w:t>
      </w:r>
      <w:r w:rsidRPr="00C762C4">
        <w:t xml:space="preserve"> §§ 73.1125(a)</w:t>
      </w:r>
      <w:r>
        <w:t>,</w:t>
      </w:r>
      <w:r w:rsidRPr="00C762C4">
        <w:t xml:space="preserve"> 73.1400</w:t>
      </w:r>
      <w:r>
        <w:t>,</w:t>
      </w:r>
      <w:r w:rsidRPr="00E74E2D">
        <w:t xml:space="preserve"> 73.1870(a) and (b)(3). </w:t>
      </w:r>
    </w:p>
  </w:footnote>
  <w:footnote w:id="8">
    <w:p w:rsidR="00571668" w14:paraId="4B9F1F65" w14:textId="77777777">
      <w:pPr>
        <w:pStyle w:val="FootnoteText"/>
      </w:pPr>
      <w:r>
        <w:rPr>
          <w:rStyle w:val="FootnoteReference"/>
        </w:rPr>
        <w:footnoteRef/>
      </w:r>
      <w:r>
        <w:t xml:space="preserve"> </w:t>
      </w:r>
      <w:r w:rsidRPr="00151E74">
        <w:rPr>
          <w:i/>
        </w:rPr>
        <w:t>Id</w:t>
      </w:r>
      <w:r>
        <w:t>.</w:t>
      </w:r>
      <w:r w:rsidRPr="00E74E2D">
        <w:t xml:space="preserve"> §§ </w:t>
      </w:r>
      <w:r w:rsidRPr="00292341">
        <w:t>73.1230 (</w:t>
      </w:r>
      <w:r w:rsidRPr="004F50F0">
        <w:t>posting</w:t>
      </w:r>
      <w:r w:rsidRPr="00ED4F15">
        <w:t xml:space="preserve"> of</w:t>
      </w:r>
      <w:r w:rsidRPr="00E74E2D">
        <w:t xml:space="preserve"> station license)</w:t>
      </w:r>
      <w:r>
        <w:t xml:space="preserve">; </w:t>
      </w:r>
      <w:r w:rsidRPr="00E74E2D">
        <w:t>73.</w:t>
      </w:r>
      <w:r w:rsidRPr="007B074C">
        <w:t>1840(a)</w:t>
      </w:r>
      <w:r w:rsidRPr="00292341">
        <w:t xml:space="preserve"> (retention of required station logs);</w:t>
      </w:r>
      <w:r>
        <w:t xml:space="preserve"> </w:t>
      </w:r>
      <w:r w:rsidRPr="00E74E2D">
        <w:t>73.3527(a) (maintenance of a station local public inspection file).</w:t>
      </w:r>
    </w:p>
  </w:footnote>
  <w:footnote w:id="9">
    <w:p w:rsidR="00571668" w14:paraId="32844334" w14:textId="77777777">
      <w:pPr>
        <w:pStyle w:val="FootnoteText"/>
      </w:pPr>
      <w:r>
        <w:rPr>
          <w:rStyle w:val="FootnoteReference"/>
        </w:rPr>
        <w:footnoteRef/>
      </w:r>
      <w:r>
        <w:t xml:space="preserve"> </w:t>
      </w:r>
      <w:r w:rsidRPr="00151E74">
        <w:rPr>
          <w:i/>
        </w:rPr>
        <w:t>Id</w:t>
      </w:r>
      <w:r>
        <w:t xml:space="preserve">. </w:t>
      </w:r>
      <w:r w:rsidRPr="00C752FD">
        <w:t>§§</w:t>
      </w:r>
      <w:r>
        <w:t xml:space="preserve"> </w:t>
      </w:r>
      <w:r w:rsidRPr="00332EFE">
        <w:t>1.89(b)</w:t>
      </w:r>
      <w:r>
        <w:t xml:space="preserve"> (duty to respond to a notice of violation); 73.1015 (requirement to respond to Commission request for information).</w:t>
      </w:r>
    </w:p>
  </w:footnote>
  <w:footnote w:id="10">
    <w:p w:rsidR="00571668" w14:paraId="1712EFBE" w14:textId="77777777">
      <w:pPr>
        <w:pStyle w:val="FootnoteText"/>
      </w:pPr>
      <w:r>
        <w:rPr>
          <w:rStyle w:val="FootnoteReference"/>
        </w:rPr>
        <w:footnoteRef/>
      </w:r>
      <w:r>
        <w:t xml:space="preserve"> </w:t>
      </w:r>
      <w:r w:rsidR="00203809">
        <w:t>Second Supplemental NAL Response</w:t>
      </w:r>
      <w:r w:rsidR="00BA3B62">
        <w:t xml:space="preserve"> </w:t>
      </w:r>
      <w:r w:rsidR="00573F30">
        <w:t>at 2</w:t>
      </w:r>
      <w:r w:rsidR="00DC1C23">
        <w:t>.</w:t>
      </w:r>
    </w:p>
  </w:footnote>
  <w:footnote w:id="11">
    <w:p w:rsidR="00571668" w:rsidRPr="00C47FEF" w:rsidP="00A516A7" w14:paraId="4C841B4C" w14:textId="77777777">
      <w:pPr>
        <w:pStyle w:val="FootnoteText"/>
      </w:pPr>
      <w:r>
        <w:rPr>
          <w:rStyle w:val="FootnoteReference"/>
        </w:rPr>
        <w:footnoteRef/>
      </w:r>
      <w:r>
        <w:t xml:space="preserve"> </w:t>
      </w:r>
      <w:r>
        <w:rPr>
          <w:i/>
        </w:rPr>
        <w:t>See</w:t>
      </w:r>
      <w:r>
        <w:t xml:space="preserve"> 47 CFR § 1.93(b).</w:t>
      </w:r>
    </w:p>
  </w:footnote>
  <w:footnote w:id="12">
    <w:p w:rsidR="00571668" w:rsidP="00A516A7" w14:paraId="03181332" w14:textId="77777777">
      <w:pPr>
        <w:pStyle w:val="FootnoteText"/>
      </w:pPr>
      <w:r>
        <w:rPr>
          <w:rStyle w:val="FootnoteReference"/>
        </w:rPr>
        <w:footnoteRef/>
      </w:r>
      <w:r>
        <w:t xml:space="preserve"> 47 U.S.C. §§ 154(i), 503(b).</w:t>
      </w:r>
    </w:p>
  </w:footnote>
  <w:footnote w:id="13">
    <w:p w:rsidR="00571668" w:rsidRPr="00CA02C1" w:rsidP="00DD1452" w14:paraId="4DA51DCF" w14:textId="77777777">
      <w:pPr>
        <w:pStyle w:val="FootnoteText"/>
      </w:pPr>
      <w:r w:rsidRPr="00CA02C1">
        <w:rPr>
          <w:rStyle w:val="FootnoteReference"/>
        </w:rPr>
        <w:footnoteRef/>
      </w:r>
      <w:r w:rsidRPr="00CA02C1">
        <w:t xml:space="preserve"> </w:t>
      </w:r>
      <w:r w:rsidRPr="00CA02C1">
        <w:rPr>
          <w:snapToGrid w:val="0"/>
        </w:rPr>
        <w:t xml:space="preserve">The investigation began under File No. EB-FIELDWR-13-00009787 </w:t>
      </w:r>
      <w:r w:rsidRPr="00CA02C1">
        <w:rPr>
          <w:snapToGrid w:val="0"/>
          <w:spacing w:val="-2"/>
        </w:rPr>
        <w:t xml:space="preserve">and was subsequently assigned </w:t>
      </w:r>
      <w:r w:rsidRPr="00CA02C1">
        <w:rPr>
          <w:snapToGrid w:val="0"/>
        </w:rPr>
        <w:t>File No. EB-FIELDWR-16-00022001.  Any future correspondence with the Commission concerning this matter should reflect the new case number.</w:t>
      </w:r>
    </w:p>
  </w:footnote>
  <w:footnote w:id="14">
    <w:p w:rsidR="00571668" w:rsidRPr="0035160E" w:rsidP="00D73E2F" w14:paraId="52757454" w14:textId="77777777">
      <w:pPr>
        <w:pStyle w:val="FootnoteText"/>
      </w:pPr>
      <w:r w:rsidRPr="00CA02C1">
        <w:rPr>
          <w:rStyle w:val="FootnoteReference"/>
        </w:rPr>
        <w:footnoteRef/>
      </w:r>
      <w:r w:rsidRPr="00CA02C1">
        <w:t xml:space="preserve"> 47 </w:t>
      </w:r>
      <w:r w:rsidRPr="0035160E">
        <w:t xml:space="preserve">CFR §§ 11.15, 11.35(a), 11.52(d)(1). </w:t>
      </w:r>
    </w:p>
  </w:footnote>
  <w:footnote w:id="15">
    <w:p w:rsidR="00571668" w:rsidRPr="00E74E2D" w:rsidP="002009C4" w14:paraId="7EFC9B18" w14:textId="77777777">
      <w:pPr>
        <w:pStyle w:val="FootnoteText"/>
      </w:pPr>
      <w:r>
        <w:rPr>
          <w:rStyle w:val="FootnoteReference"/>
        </w:rPr>
        <w:footnoteRef/>
      </w:r>
      <w:r>
        <w:t xml:space="preserve"> </w:t>
      </w:r>
      <w:r w:rsidRPr="00C9675A">
        <w:rPr>
          <w:i/>
        </w:rPr>
        <w:t>Id</w:t>
      </w:r>
      <w:r>
        <w:t>.</w:t>
      </w:r>
      <w:r w:rsidRPr="00C762C4">
        <w:t xml:space="preserve"> §§ 73.1125(a) (main studio requirements); 73.1400 (transmission </w:t>
      </w:r>
      <w:r w:rsidRPr="00E74E2D">
        <w:t xml:space="preserve">system monitoring and control requirements); 73.1870(a) and (b)(3) (designation of a chief operator of the station).  </w:t>
      </w:r>
      <w:r>
        <w:t>Starting i</w:t>
      </w:r>
      <w:r w:rsidRPr="009B77AD">
        <w:t xml:space="preserve">n </w:t>
      </w:r>
      <w:r>
        <w:t>October 2017</w:t>
      </w:r>
      <w:r w:rsidRPr="009B77AD">
        <w:t xml:space="preserve">, the Commission </w:t>
      </w:r>
      <w:r>
        <w:t xml:space="preserve">issued a series of deregulatory orders that eliminated certain broadcast operational rules at issue here.  </w:t>
      </w:r>
      <w:r w:rsidRPr="00A12117">
        <w:rPr>
          <w:i/>
        </w:rPr>
        <w:t>See</w:t>
      </w:r>
      <w:r>
        <w:rPr>
          <w:i/>
        </w:rPr>
        <w:t>, e.g.,</w:t>
      </w:r>
      <w:r w:rsidRPr="00A12117">
        <w:rPr>
          <w:i/>
        </w:rPr>
        <w:t xml:space="preserve"> </w:t>
      </w:r>
      <w:r>
        <w:rPr>
          <w:i/>
        </w:rPr>
        <w:t xml:space="preserve">December 11, 2018 Media Modernization Order; </w:t>
      </w:r>
      <w:r w:rsidRPr="00A12117">
        <w:rPr>
          <w:i/>
        </w:rPr>
        <w:t>Elimination of Main Studio Rule</w:t>
      </w:r>
      <w:r w:rsidRPr="00A12117">
        <w:t xml:space="preserve">, Report and Order, </w:t>
      </w:r>
      <w:r>
        <w:t>32 FCC Rcd 8158</w:t>
      </w:r>
      <w:r w:rsidRPr="00A12117">
        <w:t xml:space="preserve">, </w:t>
      </w:r>
      <w:r>
        <w:t xml:space="preserve">8161 </w:t>
      </w:r>
      <w:r w:rsidRPr="00A12117">
        <w:t>(2017)</w:t>
      </w:r>
      <w:r>
        <w:t xml:space="preserve"> (</w:t>
      </w:r>
      <w:r w:rsidRPr="009B77AD">
        <w:t>eliminating the main studio and associated staffing requirements in Section 73.1125(a) of the Commission’s rules</w:t>
      </w:r>
      <w:r>
        <w:t>)</w:t>
      </w:r>
      <w:r w:rsidRPr="009B77AD">
        <w:t>.</w:t>
      </w:r>
      <w:r w:rsidRPr="00A12117">
        <w:t xml:space="preserve">  A recent rule change does not relieve a licensee from its obligation to comply with the rule while it is in effect.  </w:t>
      </w:r>
      <w:r w:rsidRPr="00CE70CE">
        <w:rPr>
          <w:i/>
        </w:rPr>
        <w:t>Id</w:t>
      </w:r>
      <w:r>
        <w:t>. at n.133.</w:t>
      </w:r>
    </w:p>
  </w:footnote>
  <w:footnote w:id="16">
    <w:p w:rsidR="00571668" w:rsidRPr="00E74E2D" w:rsidP="002009C4" w14:paraId="3BD6ED17" w14:textId="77777777">
      <w:pPr>
        <w:pStyle w:val="FootnoteText"/>
      </w:pPr>
      <w:r w:rsidRPr="00E74E2D">
        <w:rPr>
          <w:rStyle w:val="FootnoteReference"/>
        </w:rPr>
        <w:footnoteRef/>
      </w:r>
      <w:r w:rsidRPr="00E74E2D">
        <w:t xml:space="preserve"> 47 CFR §§ </w:t>
      </w:r>
      <w:r w:rsidRPr="00292341">
        <w:t>73.1230 (</w:t>
      </w:r>
      <w:r w:rsidRPr="004F50F0">
        <w:t>posting</w:t>
      </w:r>
      <w:r w:rsidRPr="00ED4F15">
        <w:t xml:space="preserve"> of</w:t>
      </w:r>
      <w:r w:rsidRPr="00E74E2D">
        <w:t xml:space="preserve"> station license)</w:t>
      </w:r>
      <w:r>
        <w:t xml:space="preserve">; </w:t>
      </w:r>
      <w:r w:rsidRPr="00E74E2D">
        <w:t>73.</w:t>
      </w:r>
      <w:r w:rsidRPr="007B074C">
        <w:t>1840(a)</w:t>
      </w:r>
      <w:r w:rsidRPr="00292341">
        <w:t xml:space="preserve"> (retention of required station logs); </w:t>
      </w:r>
      <w:r w:rsidRPr="00E74E2D">
        <w:t>73.3527(a) (maintenance of a station local public inspection file)</w:t>
      </w:r>
      <w:r>
        <w:t>.</w:t>
      </w:r>
      <w:r w:rsidRPr="00E74E2D">
        <w:t xml:space="preserve"> </w:t>
      </w:r>
    </w:p>
  </w:footnote>
  <w:footnote w:id="17">
    <w:p w:rsidR="00571668" w:rsidP="002009C4" w14:paraId="3F52717C" w14:textId="77777777">
      <w:pPr>
        <w:pStyle w:val="FootnoteText"/>
      </w:pPr>
      <w:r>
        <w:rPr>
          <w:rStyle w:val="FootnoteReference"/>
        </w:rPr>
        <w:footnoteRef/>
      </w:r>
      <w:r>
        <w:t xml:space="preserve"> </w:t>
      </w:r>
      <w:r w:rsidRPr="002F3647">
        <w:rPr>
          <w:i/>
        </w:rPr>
        <w:t>Id</w:t>
      </w:r>
      <w:r>
        <w:t xml:space="preserve">. </w:t>
      </w:r>
      <w:r w:rsidRPr="00C752FD">
        <w:t>§§</w:t>
      </w:r>
      <w:r>
        <w:t xml:space="preserve"> </w:t>
      </w:r>
      <w:r w:rsidRPr="00332EFE">
        <w:t>1.89(b)</w:t>
      </w:r>
      <w:r>
        <w:t xml:space="preserve"> (duty to respond to a notice of violation); 73.1015 (requirement to respond to Commission request for information). </w:t>
      </w:r>
    </w:p>
  </w:footnote>
  <w:footnote w:id="18">
    <w:p w:rsidR="00571668" w:rsidP="00AC3FDA" w14:paraId="58D86BA0" w14:textId="77777777">
      <w:pPr>
        <w:pStyle w:val="FootnoteText"/>
      </w:pPr>
      <w:r>
        <w:rPr>
          <w:rStyle w:val="FootnoteReference"/>
        </w:rPr>
        <w:footnoteRef/>
      </w:r>
      <w:r>
        <w:t xml:space="preserve"> </w:t>
      </w:r>
      <w:r w:rsidRPr="001B63BB">
        <w:rPr>
          <w:szCs w:val="22"/>
        </w:rPr>
        <w:t xml:space="preserve">47 U.S.C. </w:t>
      </w:r>
      <w:r>
        <w:rPr>
          <w:szCs w:val="22"/>
        </w:rPr>
        <w:t>§</w:t>
      </w:r>
      <w:r w:rsidRPr="001B63BB">
        <w:rPr>
          <w:szCs w:val="22"/>
        </w:rPr>
        <w:t>§ 151</w:t>
      </w:r>
      <w:r>
        <w:rPr>
          <w:szCs w:val="22"/>
        </w:rPr>
        <w:t>,</w:t>
      </w:r>
      <w:r w:rsidRPr="001B63BB">
        <w:rPr>
          <w:szCs w:val="22"/>
        </w:rPr>
        <w:t xml:space="preserve"> </w:t>
      </w:r>
      <w:r w:rsidRPr="001B63BB">
        <w:rPr>
          <w:i/>
          <w:szCs w:val="22"/>
        </w:rPr>
        <w:t>et seq.</w:t>
      </w:r>
    </w:p>
  </w:footnote>
  <w:footnote w:id="19">
    <w:p w:rsidR="00DF19BC" w:rsidRPr="00DF19BC" w14:paraId="01A5C134" w14:textId="77777777">
      <w:pPr>
        <w:pStyle w:val="FootnoteText"/>
      </w:pPr>
      <w:r>
        <w:rPr>
          <w:rStyle w:val="FootnoteReference"/>
        </w:rPr>
        <w:footnoteRef/>
      </w:r>
      <w:r>
        <w:t xml:space="preserve"> </w:t>
      </w:r>
      <w:r>
        <w:rPr>
          <w:i/>
        </w:rPr>
        <w:t>See infra</w:t>
      </w:r>
      <w:r>
        <w:t xml:space="preserve"> para. 3 (discussing June 2013 station inspection).</w:t>
      </w:r>
    </w:p>
  </w:footnote>
  <w:footnote w:id="20">
    <w:p w:rsidR="00571668" w:rsidRPr="00E17CC3" w:rsidP="00AC3FDA" w14:paraId="4EF1A6D4" w14:textId="77777777">
      <w:pPr>
        <w:pStyle w:val="FootnoteText"/>
      </w:pPr>
      <w:r>
        <w:rPr>
          <w:rStyle w:val="FootnoteReference"/>
        </w:rPr>
        <w:footnoteRef/>
      </w:r>
      <w:r>
        <w:rPr>
          <w:i/>
        </w:rPr>
        <w:t xml:space="preserve"> </w:t>
      </w:r>
      <w:r w:rsidRPr="00A12117">
        <w:rPr>
          <w:i/>
        </w:rPr>
        <w:t>Kenai Educ. Media, Inc.,</w:t>
      </w:r>
      <w:r w:rsidRPr="00A12117">
        <w:t xml:space="preserve"> Notice of Apparent Liability for Forfeiture and Order, 32 FCC Rcd 6211 (2017).</w:t>
      </w:r>
    </w:p>
  </w:footnote>
  <w:footnote w:id="21">
    <w:p w:rsidR="00571668" w:rsidP="00AC3FDA" w14:paraId="279A0309" w14:textId="77777777">
      <w:pPr>
        <w:pStyle w:val="FootnoteText"/>
      </w:pPr>
      <w:r>
        <w:rPr>
          <w:rStyle w:val="FootnoteReference"/>
        </w:rPr>
        <w:footnoteRef/>
      </w:r>
      <w:r w:rsidRPr="00DE4837">
        <w:t xml:space="preserve"> </w:t>
      </w:r>
      <w:r>
        <w:t>Kenai Educational Media, Inc</w:t>
      </w:r>
      <w:r w:rsidR="00DF0189">
        <w:t>.</w:t>
      </w:r>
      <w:r>
        <w:t xml:space="preserve">, Response to Notice of Apparent Liability for Forfeiture, dated Sept. 6, 2017 (on file in </w:t>
      </w:r>
      <w:r w:rsidRPr="00A12117">
        <w:t>EB-FIELDWR-16-00022001</w:t>
      </w:r>
      <w:r>
        <w:t>) (NAL Response); Response to Notice of Apparent Liability filed by Kenai Educational Media, Inc. (received Jan. 5, 2018) (on file in EB-FIELDWR-</w:t>
      </w:r>
      <w:r w:rsidRPr="00823C0D">
        <w:t>16-00022001</w:t>
      </w:r>
      <w:r>
        <w:t>) (First Supplemental NAL Response); Response to Notice of Apparent Liability filed by Kenai Educational Media, Inc. (received Feb. 6, 2018) (on file in EB-FIELDWR-</w:t>
      </w:r>
      <w:r w:rsidRPr="00823C0D">
        <w:t>16-00022001</w:t>
      </w:r>
      <w:r>
        <w:t>) (Second Supplemental NAL Response).</w:t>
      </w:r>
    </w:p>
  </w:footnote>
  <w:footnote w:id="22">
    <w:p w:rsidR="00571668" w:rsidRPr="00CA02C1" w:rsidP="00A2239C" w14:paraId="5A73446A" w14:textId="77777777">
      <w:pPr>
        <w:pStyle w:val="FootnoteText"/>
      </w:pPr>
      <w:r w:rsidRPr="00CA02C1">
        <w:rPr>
          <w:rStyle w:val="FootnoteReference"/>
        </w:rPr>
        <w:footnoteRef/>
      </w:r>
      <w:r w:rsidRPr="00CA02C1">
        <w:t xml:space="preserve"> </w:t>
      </w:r>
      <w:r w:rsidRPr="005F0358" w:rsidR="004631A8">
        <w:rPr>
          <w:i/>
        </w:rPr>
        <w:t>NAL</w:t>
      </w:r>
      <w:r w:rsidR="004631A8">
        <w:rPr>
          <w:i/>
        </w:rPr>
        <w:t>,</w:t>
      </w:r>
      <w:r w:rsidRPr="00A12117" w:rsidR="004631A8">
        <w:t xml:space="preserve"> 32 FCC Rcd</w:t>
      </w:r>
      <w:r w:rsidR="004631A8">
        <w:t xml:space="preserve"> at 6211.</w:t>
      </w:r>
    </w:p>
  </w:footnote>
  <w:footnote w:id="23">
    <w:p w:rsidR="00571668" w:rsidRPr="00A12117" w:rsidP="00A2239C" w14:paraId="13146FAD" w14:textId="77777777">
      <w:pPr>
        <w:pStyle w:val="FootnoteText"/>
      </w:pPr>
      <w:r w:rsidRPr="00CA02C1">
        <w:rPr>
          <w:rStyle w:val="FootnoteReference"/>
        </w:rPr>
        <w:footnoteRef/>
      </w:r>
      <w:r w:rsidRPr="00CA02C1">
        <w:t xml:space="preserve"> </w:t>
      </w:r>
      <w:r w:rsidR="004631A8">
        <w:rPr>
          <w:i/>
        </w:rPr>
        <w:t>Id</w:t>
      </w:r>
      <w:r w:rsidRPr="00A12117" w:rsidR="004631A8">
        <w:t>.</w:t>
      </w:r>
      <w:r w:rsidR="004740C1">
        <w:t xml:space="preserve"> </w:t>
      </w:r>
      <w:r>
        <w:t>at 6212, n.18</w:t>
      </w:r>
      <w:r w:rsidRPr="00A12117">
        <w:t>.</w:t>
      </w:r>
    </w:p>
  </w:footnote>
  <w:footnote w:id="24">
    <w:p w:rsidR="00571668" w:rsidRPr="00A12117" w:rsidP="00A2239C" w14:paraId="120CF92C" w14:textId="77777777">
      <w:pPr>
        <w:pStyle w:val="FootnoteText"/>
      </w:pPr>
      <w:r w:rsidRPr="00CA02C1">
        <w:rPr>
          <w:rStyle w:val="FootnoteReference"/>
        </w:rPr>
        <w:footnoteRef/>
      </w:r>
      <w:r w:rsidRPr="00CA02C1">
        <w:t xml:space="preserve"> </w:t>
      </w:r>
      <w:r w:rsidRPr="000649FA">
        <w:rPr>
          <w:i/>
        </w:rPr>
        <w:t>See</w:t>
      </w:r>
      <w:r>
        <w:t xml:space="preserve"> </w:t>
      </w:r>
      <w:r w:rsidRPr="00CA02C1">
        <w:t>Letter from David J. Carlton, Resident Agent, Anchorage Resident Agent Office, Western Region, Enforcement Bureau, to Annette Shacklett</w:t>
      </w:r>
      <w:r w:rsidRPr="0035160E">
        <w:t xml:space="preserve">, President, Kenai Educational Media, Inc. (September 2013 Warning) (incorporated herein by reference); </w:t>
      </w:r>
      <w:bookmarkStart w:id="12" w:name="_Hlk520291006"/>
      <w:r w:rsidRPr="0035160E">
        <w:t>NOV No. V201432780006</w:t>
      </w:r>
      <w:bookmarkEnd w:id="12"/>
      <w:r w:rsidRPr="0035160E">
        <w:t xml:space="preserve"> (Nov. 7, 2013) (November 2013 NOV) (incorporated herein by reference); NOV No. V201632780001, </w:t>
      </w:r>
      <w:r w:rsidRPr="009B77AD">
        <w:rPr>
          <w:rStyle w:val="coidrelatedinfocitations1"/>
        </w:rPr>
        <w:t>2016 WL 1645237</w:t>
      </w:r>
      <w:r w:rsidRPr="009B77AD">
        <w:t xml:space="preserve"> (Apr. 20, 2016) (April 2016 NOV) (</w:t>
      </w:r>
      <w:r w:rsidRPr="00A12117">
        <w:t>incorporated herein by reference)</w:t>
      </w:r>
      <w:r>
        <w:t xml:space="preserve"> </w:t>
      </w:r>
      <w:r w:rsidRPr="00A12117">
        <w:t>(</w:t>
      </w:r>
      <w:r>
        <w:t xml:space="preserve">Notices </w:t>
      </w:r>
      <w:r w:rsidRPr="00A12117">
        <w:t>on file in EBATS File No. EB-FIELDWR-16-00022001).</w:t>
      </w:r>
    </w:p>
  </w:footnote>
  <w:footnote w:id="25">
    <w:p w:rsidR="00571668" w:rsidRPr="00DB7EBA" w14:paraId="16BFBEBD" w14:textId="77777777">
      <w:pPr>
        <w:pStyle w:val="FootnoteText"/>
      </w:pPr>
      <w:r>
        <w:rPr>
          <w:rStyle w:val="FootnoteReference"/>
        </w:rPr>
        <w:footnoteRef/>
      </w:r>
      <w:r>
        <w:t xml:space="preserve"> </w:t>
      </w:r>
      <w:r>
        <w:rPr>
          <w:i/>
        </w:rPr>
        <w:t>See</w:t>
      </w:r>
      <w:r>
        <w:t xml:space="preserve"> </w:t>
      </w:r>
      <w:r>
        <w:rPr>
          <w:i/>
        </w:rPr>
        <w:t>NAL</w:t>
      </w:r>
      <w:r>
        <w:t>, 32 FCC Rcd at 6216, para. 10.</w:t>
      </w:r>
    </w:p>
  </w:footnote>
  <w:footnote w:id="26">
    <w:p w:rsidR="00571668" w:rsidRPr="0035160E" w:rsidP="00BE31F1" w14:paraId="55052383" w14:textId="77777777">
      <w:pPr>
        <w:pStyle w:val="FootnoteText"/>
      </w:pPr>
      <w:r w:rsidRPr="00CA02C1">
        <w:rPr>
          <w:rStyle w:val="FootnoteReference"/>
        </w:rPr>
        <w:footnoteRef/>
      </w:r>
      <w:r w:rsidRPr="00CA02C1">
        <w:t xml:space="preserve"> </w:t>
      </w:r>
      <w:r w:rsidRPr="0035160E">
        <w:t>47 CFR §§ 1.89(b), 11.15, 11.35(a), 11.52(d)(1), 73.1015, 73.1125(a), 73.1230; 73.1400, 73.1840(a), 73.1870(a), (b)(3), 73.3527(a).</w:t>
      </w:r>
    </w:p>
  </w:footnote>
  <w:footnote w:id="27">
    <w:p w:rsidR="00571668" w:rsidP="00D177F0" w14:paraId="4130440A" w14:textId="77777777">
      <w:pPr>
        <w:pStyle w:val="FootnoteText"/>
      </w:pPr>
      <w:r>
        <w:rPr>
          <w:rStyle w:val="FootnoteReference"/>
        </w:rPr>
        <w:footnoteRef/>
      </w:r>
      <w:r>
        <w:t xml:space="preserve"> NAL Response at 1; Second Supplemental NAL Response at 2.</w:t>
      </w:r>
    </w:p>
  </w:footnote>
  <w:footnote w:id="28">
    <w:p w:rsidR="00571668" w:rsidRPr="0035160E" w:rsidP="000363D1" w14:paraId="73AEF93D" w14:textId="77777777">
      <w:pPr>
        <w:pStyle w:val="FootnoteText"/>
      </w:pPr>
      <w:r w:rsidRPr="00CA02C1">
        <w:rPr>
          <w:rStyle w:val="FootnoteReference"/>
        </w:rPr>
        <w:footnoteRef/>
      </w:r>
      <w:r w:rsidRPr="00CA02C1">
        <w:t xml:space="preserve"> </w:t>
      </w:r>
      <w:r w:rsidRPr="00580FEB">
        <w:t>NAL Response</w:t>
      </w:r>
      <w:r w:rsidRPr="0035160E">
        <w:t xml:space="preserve"> at 6.</w:t>
      </w:r>
    </w:p>
  </w:footnote>
  <w:footnote w:id="29">
    <w:p w:rsidR="00571668" w:rsidP="00D177F0" w14:paraId="1A9C8F8D" w14:textId="77777777">
      <w:pPr>
        <w:pStyle w:val="FootnoteText"/>
      </w:pPr>
      <w:r>
        <w:rPr>
          <w:rStyle w:val="FootnoteReference"/>
        </w:rPr>
        <w:footnoteRef/>
      </w:r>
      <w:r>
        <w:t xml:space="preserve"> </w:t>
      </w:r>
      <w:r w:rsidRPr="00A42C3E">
        <w:rPr>
          <w:i/>
        </w:rPr>
        <w:t>See</w:t>
      </w:r>
      <w:r>
        <w:t xml:space="preserve"> First Supplemental NAL Response at </w:t>
      </w:r>
      <w:r w:rsidRPr="00373428" w:rsidR="00A71A1B">
        <w:t>1-2, Attach</w:t>
      </w:r>
      <w:r w:rsidR="001F7E3D">
        <w:t>s</w:t>
      </w:r>
      <w:r w:rsidR="00CD04B9">
        <w:t>.</w:t>
      </w:r>
      <w:r w:rsidR="00A71A1B">
        <w:t xml:space="preserve"> 1-15</w:t>
      </w:r>
      <w:r>
        <w:t xml:space="preserve">; Second Supplemental NAL Response at </w:t>
      </w:r>
      <w:r w:rsidRPr="00373428" w:rsidR="00612961">
        <w:t>1-2</w:t>
      </w:r>
      <w:r w:rsidR="006F13FC">
        <w:t>, Attach</w:t>
      </w:r>
      <w:r w:rsidR="001F7E3D">
        <w:t>s</w:t>
      </w:r>
      <w:r w:rsidR="00CD04B9">
        <w:t>.</w:t>
      </w:r>
      <w:r w:rsidR="00A71A1B">
        <w:t xml:space="preserve"> 1-5</w:t>
      </w:r>
      <w:r>
        <w:t>.</w:t>
      </w:r>
    </w:p>
  </w:footnote>
  <w:footnote w:id="30">
    <w:p w:rsidR="00571668" w:rsidRPr="00461958" w14:paraId="033BC767" w14:textId="77777777">
      <w:pPr>
        <w:pStyle w:val="FootnoteText"/>
      </w:pPr>
      <w:r>
        <w:rPr>
          <w:rStyle w:val="FootnoteReference"/>
        </w:rPr>
        <w:footnoteRef/>
      </w:r>
      <w:r>
        <w:t xml:space="preserve"> </w:t>
      </w:r>
      <w:r>
        <w:rPr>
          <w:i/>
        </w:rPr>
        <w:t>See</w:t>
      </w:r>
      <w:r>
        <w:t xml:space="preserve"> </w:t>
      </w:r>
      <w:bookmarkStart w:id="13" w:name="_Hlk521008585"/>
      <w:r>
        <w:t xml:space="preserve">First Supplemental NAL Response at 2; Second Supplemental NAL Response at 2-3; </w:t>
      </w:r>
      <w:bookmarkEnd w:id="13"/>
      <w:r>
        <w:t>Email</w:t>
      </w:r>
      <w:r w:rsidRPr="00563FCD">
        <w:t xml:space="preserve"> from </w:t>
      </w:r>
      <w:r>
        <w:t xml:space="preserve">Wolfgang Kurtz, </w:t>
      </w:r>
      <w:r w:rsidRPr="00563FCD">
        <w:t xml:space="preserve">Kenai Educational Media, Inc. to </w:t>
      </w:r>
      <w:r>
        <w:t xml:space="preserve">Joy Ragsdale, Acting </w:t>
      </w:r>
      <w:r w:rsidRPr="00563FCD">
        <w:t>Field Counsel, Office of the Field Director, FCC (</w:t>
      </w:r>
      <w:r>
        <w:t>received Jan</w:t>
      </w:r>
      <w:r w:rsidRPr="00563FCD">
        <w:t xml:space="preserve">. </w:t>
      </w:r>
      <w:r>
        <w:t>19</w:t>
      </w:r>
      <w:r w:rsidRPr="00563FCD">
        <w:t>, 201</w:t>
      </w:r>
      <w:r>
        <w:t>8</w:t>
      </w:r>
      <w:r w:rsidRPr="00563FCD">
        <w:t>)</w:t>
      </w:r>
      <w:r>
        <w:t xml:space="preserve"> (on file in EB-FIELDWR-</w:t>
      </w:r>
      <w:r w:rsidRPr="00823C0D">
        <w:t>16-00022001</w:t>
      </w:r>
      <w:r>
        <w:t>); Email</w:t>
      </w:r>
      <w:r w:rsidRPr="00563FCD">
        <w:t xml:space="preserve"> from </w:t>
      </w:r>
      <w:r>
        <w:t>Wolfgang Kurtz, Kenai Educational Media, Inc.</w:t>
      </w:r>
      <w:r w:rsidRPr="00563FCD">
        <w:t xml:space="preserve"> to </w:t>
      </w:r>
      <w:r>
        <w:t xml:space="preserve">Joy Ragsdale, </w:t>
      </w:r>
      <w:r w:rsidRPr="00563FCD">
        <w:t>Field Counsel, Office of the Field Director, FCC (</w:t>
      </w:r>
      <w:r>
        <w:t>received Feb</w:t>
      </w:r>
      <w:r w:rsidRPr="00563FCD">
        <w:t xml:space="preserve">. </w:t>
      </w:r>
      <w:r>
        <w:t>4</w:t>
      </w:r>
      <w:r w:rsidRPr="00563FCD">
        <w:t>, 201</w:t>
      </w:r>
      <w:r>
        <w:t>9</w:t>
      </w:r>
      <w:r w:rsidRPr="00563FCD">
        <w:t>)</w:t>
      </w:r>
      <w:r>
        <w:t xml:space="preserve"> (on file in EB-FIELDWR-</w:t>
      </w:r>
      <w:r w:rsidRPr="00823C0D">
        <w:t>16-00022001</w:t>
      </w:r>
      <w:r>
        <w:t>)</w:t>
      </w:r>
      <w:r w:rsidRPr="00563FCD">
        <w:t>.</w:t>
      </w:r>
    </w:p>
  </w:footnote>
  <w:footnote w:id="31">
    <w:p w:rsidR="00571668" w:rsidP="00AC3FDA" w14:paraId="275D7038" w14:textId="77777777">
      <w:pPr>
        <w:pStyle w:val="FootnoteText"/>
      </w:pPr>
      <w:r>
        <w:rPr>
          <w:rStyle w:val="FootnoteReference"/>
        </w:rPr>
        <w:footnoteRef/>
      </w:r>
      <w:r>
        <w:t xml:space="preserve"> </w:t>
      </w:r>
      <w:r w:rsidRPr="00592235">
        <w:rPr>
          <w:i/>
        </w:rPr>
        <w:t>See</w:t>
      </w:r>
      <w:r>
        <w:t xml:space="preserve"> 47 CFR § 1.93(b).</w:t>
      </w:r>
    </w:p>
  </w:footnote>
  <w:footnote w:id="32">
    <w:p w:rsidR="00571668" w:rsidP="00161C83" w14:paraId="46A6D7DB" w14:textId="77777777">
      <w:pPr>
        <w:pStyle w:val="FootnoteText"/>
      </w:pPr>
      <w:r>
        <w:rPr>
          <w:rStyle w:val="FootnoteReference"/>
        </w:rPr>
        <w:footnoteRef/>
      </w:r>
      <w:r>
        <w:t xml:space="preserve"> </w:t>
      </w:r>
      <w:r w:rsidRPr="00557284">
        <w:rPr>
          <w:i/>
        </w:rPr>
        <w:t>See</w:t>
      </w:r>
      <w:r>
        <w:t xml:space="preserve"> s</w:t>
      </w:r>
      <w:r w:rsidRPr="00557284">
        <w:rPr>
          <w:i/>
        </w:rPr>
        <w:t>upra</w:t>
      </w:r>
      <w:r>
        <w:t xml:space="preserve"> note 5.</w:t>
      </w:r>
    </w:p>
  </w:footnote>
  <w:footnote w:id="33">
    <w:p w:rsidR="00571668" w:rsidP="00232E7E" w14:paraId="09B3D04B" w14:textId="77777777">
      <w:pPr>
        <w:pStyle w:val="FootnoteText"/>
      </w:pPr>
      <w:r w:rsidRPr="00A07FCB">
        <w:rPr>
          <w:rStyle w:val="FootnoteReference"/>
        </w:rPr>
        <w:footnoteRef/>
      </w:r>
      <w:r w:rsidRPr="00A07FCB">
        <w:t xml:space="preserve"> 47 CFR § 1.16.</w:t>
      </w:r>
    </w:p>
  </w:footnote>
  <w:footnote w:id="34">
    <w:p w:rsidR="00571668" w:rsidP="00AC3FDA" w14:paraId="524A77A8" w14:textId="77777777">
      <w:pPr>
        <w:pStyle w:val="FootnoteText"/>
      </w:pPr>
      <w:r>
        <w:rPr>
          <w:rStyle w:val="FootnoteReference"/>
        </w:rPr>
        <w:footnoteRef/>
      </w:r>
      <w:r>
        <w:t xml:space="preserve"> Debt Collection Improvement Act of 1996, Pub. L. No. 104-134, 110 Stat. 1321, 1358 (Apr. 26, 1996).</w:t>
      </w:r>
    </w:p>
  </w:footnote>
  <w:footnote w:id="35">
    <w:p w:rsidR="00571668" w:rsidRPr="005476AB" w:rsidP="00E84F72" w14:paraId="0DDD3A88"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36">
    <w:p w:rsidR="00571668" w:rsidRPr="0027373F" w:rsidP="00E84F72" w14:paraId="7B1B265B" w14:textId="77777777">
      <w:pPr>
        <w:pStyle w:val="FootnoteText"/>
        <w:rPr>
          <w:sz w:val="22"/>
          <w:szCs w:val="22"/>
        </w:rPr>
      </w:pPr>
      <w:r w:rsidRPr="0027373F">
        <w:rPr>
          <w:rStyle w:val="FootnoteReference"/>
        </w:rPr>
        <w:footnoteRef/>
      </w:r>
      <w:r w:rsidRPr="0027373F">
        <w:t xml:space="preserve"> For questions regarding payment procedures, please contact the Financial Operations Group Help Desk by phone at 1-877-480-3201 (option #6), or by e mail at </w:t>
      </w:r>
      <w:hyperlink r:id="rId1" w:history="1">
        <w:r w:rsidRPr="0027373F">
          <w:rPr>
            <w:rStyle w:val="Hyperlink"/>
            <w:color w:val="auto"/>
            <w:u w:val="none"/>
          </w:rPr>
          <w:t>ARINQUIRIES@fcc.gov</w:t>
        </w:r>
      </w:hyperlink>
      <w:r w:rsidRPr="0027373F">
        <w:t>.</w:t>
      </w:r>
    </w:p>
  </w:footnote>
  <w:footnote w:id="37">
    <w:p w:rsidR="00571668" w:rsidRPr="0027373F" w:rsidP="00E84F72" w14:paraId="5B9B5EAD" w14:textId="77777777">
      <w:pPr>
        <w:pStyle w:val="FootnoteText"/>
      </w:pPr>
      <w:r w:rsidRPr="0027373F">
        <w:rPr>
          <w:rStyle w:val="FootnoteReference"/>
        </w:rPr>
        <w:footnoteRef/>
      </w:r>
      <w:r w:rsidRPr="0027373F">
        <w:t xml:space="preserve"> Instructions for completing the form may be obtained at </w:t>
      </w:r>
      <w:hyperlink r:id="rId2" w:history="1">
        <w:r w:rsidRPr="0027373F">
          <w:rPr>
            <w:rStyle w:val="Hyperlink"/>
            <w:color w:val="auto"/>
            <w:u w:val="none"/>
          </w:rPr>
          <w:t>http://www.fcc.gov/Forms/Form159/159.pdf</w:t>
        </w:r>
      </w:hyperlink>
      <w:r w:rsidRPr="0027373F">
        <w:t xml:space="preserve">. </w:t>
      </w:r>
    </w:p>
  </w:footnote>
  <w:footnote w:id="38">
    <w:p w:rsidR="00571668" w:rsidP="00AC3FDA" w14:paraId="728C0928" w14:textId="77777777">
      <w:pPr>
        <w:pStyle w:val="FootnoteText"/>
      </w:pPr>
      <w:r>
        <w:rPr>
          <w:rStyle w:val="FootnoteReference"/>
        </w:rPr>
        <w:footnoteRef/>
      </w:r>
      <w:r>
        <w:t xml:space="preserve"> </w:t>
      </w:r>
      <w:r w:rsidRPr="005A42DF">
        <w:rPr>
          <w:i/>
        </w:rPr>
        <w:t>See</w:t>
      </w:r>
      <w:r>
        <w:t xml:space="preserve"> 31 CFR Part 900, </w:t>
      </w:r>
      <w:r w:rsidRPr="00AA6A84">
        <w:rPr>
          <w:i/>
        </w:rPr>
        <w:t>et seq</w:t>
      </w:r>
      <w:r>
        <w:t>.</w:t>
      </w:r>
    </w:p>
  </w:footnote>
  <w:footnote w:id="39">
    <w:p w:rsidR="00571668" w:rsidP="00AC3FDA" w14:paraId="01483C78" w14:textId="77777777">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668" w:rsidRPr="00B40126" w:rsidP="00DB349B" w14:paraId="09C7094D" w14:textId="77777777">
    <w:pPr>
      <w:tabs>
        <w:tab w:val="center" w:pos="4680"/>
        <w:tab w:val="right" w:pos="9360"/>
      </w:tabs>
    </w:pPr>
    <w:r>
      <w:rPr>
        <w:noProof/>
      </w:rPr>
      <w:pict>
        <v:rect id="Rectangle 6" o:spid="_x0000_s2049" style="width:468pt;height:0.95pt;margin-top:12.65pt;margin-left:0.6pt;mso-position-horizontal-relative:margin;position:absolute;visibility:visible;z-index:-251657216" o:allowincell="f" fillcolor="black" strokeweight="0.05pt">
          <w10:wrap anchorx="margin"/>
        </v:rect>
      </w:pict>
    </w:r>
    <w:r w:rsidRPr="00B40126">
      <w:rPr>
        <w:b/>
      </w:rPr>
      <w:tab/>
      <w:t>Federal Communications Commission</w:t>
    </w:r>
    <w:r w:rsidRPr="00B40126">
      <w:rPr>
        <w:b/>
      </w:rPr>
      <w:tab/>
    </w:r>
    <w:r w:rsidRPr="00B40126">
      <w:rPr>
        <w:b/>
        <w:spacing w:val="-2"/>
      </w:rPr>
      <w:t>FCC 19-</w:t>
    </w:r>
    <w:r w:rsidR="006C086F">
      <w:rPr>
        <w:b/>
        <w:spacing w:val="-2"/>
      </w:rPr>
      <w:t>50</w:t>
    </w:r>
  </w:p>
  <w:p w:rsidR="00571668" w:rsidRPr="00B40126" w:rsidP="00DB349B" w14:paraId="33BC7C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1668" w:rsidRPr="006E06E8" w:rsidP="00DB349B" w14:paraId="21B9A9A6" w14:textId="77777777">
    <w:pPr>
      <w:tabs>
        <w:tab w:val="center" w:pos="4680"/>
        <w:tab w:val="right" w:pos="9360"/>
      </w:tabs>
    </w:pPr>
    <w:r>
      <w:rPr>
        <w:noProof/>
      </w:rPr>
      <w:pict>
        <v:rect id="Rectangle 2" o:spid="_x0000_s2050" style="width:468pt;height:0.95pt;margin-top:12.65pt;margin-left:0.6pt;mso-position-horizontal-relative:margin;position:absolute;visibility:visible;z-index:-251658240" o:allowincell="f" fillcolor="black" strokeweight="0.05pt">
          <w10:wrap anchorx="margin"/>
        </v:rect>
      </w:pict>
    </w:r>
    <w:r w:rsidRPr="006E06E8">
      <w:rPr>
        <w:b/>
      </w:rPr>
      <w:tab/>
      <w:t>Federal Communications Commission</w:t>
    </w:r>
    <w:r w:rsidRPr="006E06E8">
      <w:rPr>
        <w:b/>
      </w:rPr>
      <w:tab/>
    </w:r>
    <w:r w:rsidRPr="006E06E8">
      <w:rPr>
        <w:b/>
        <w:spacing w:val="-2"/>
      </w:rPr>
      <w:t>FCC 19-</w:t>
    </w:r>
    <w:r w:rsidR="006C086F">
      <w:rPr>
        <w:b/>
        <w:spacing w:val="-2"/>
      </w:rPr>
      <w:t>50</w:t>
    </w:r>
  </w:p>
  <w:p w:rsidR="00571668" w:rsidRPr="006E06E8" w:rsidP="00DB349B" w14:paraId="6AAE19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A0837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60AE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FE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945F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0850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A463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308B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FC0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22C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4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D7B67E0"/>
    <w:multiLevelType w:val="hybridMultilevel"/>
    <w:tmpl w:val="E1200378"/>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2">
    <w:nsid w:val="0E480176"/>
    <w:multiLevelType w:val="hybridMultilevel"/>
    <w:tmpl w:val="A46AF0D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28E1E95"/>
    <w:multiLevelType w:val="singleLevel"/>
    <w:tmpl w:val="8E0E45A6"/>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21">
    <w:nsid w:val="76253019"/>
    <w:multiLevelType w:val="hybridMultilevel"/>
    <w:tmpl w:val="3D94BF8E"/>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19"/>
  </w:num>
  <w:num w:numId="2">
    <w:abstractNumId w:val="16"/>
  </w:num>
  <w:num w:numId="3">
    <w:abstractNumId w:val="19"/>
    <w:lvlOverride w:ilvl="0">
      <w:startOverride w:val="1"/>
    </w:lvlOverride>
  </w:num>
  <w:num w:numId="4">
    <w:abstractNumId w:val="18"/>
  </w:num>
  <w:num w:numId="5">
    <w:abstractNumId w:val="12"/>
  </w:num>
  <w:num w:numId="6">
    <w:abstractNumId w:val="19"/>
    <w:lvlOverride w:ilvl="0">
      <w:startOverride w:val="1"/>
    </w:lvlOverride>
  </w:num>
  <w:num w:numId="7">
    <w:abstractNumId w:val="20"/>
  </w:num>
  <w:num w:numId="8">
    <w:abstractNumId w:val="21"/>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7"/>
  </w:num>
  <w:num w:numId="24">
    <w:abstractNumId w:val="15"/>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EE"/>
    <w:rsid w:val="0000427C"/>
    <w:rsid w:val="00004FB9"/>
    <w:rsid w:val="0001075E"/>
    <w:rsid w:val="000135F6"/>
    <w:rsid w:val="00015451"/>
    <w:rsid w:val="00015947"/>
    <w:rsid w:val="00017556"/>
    <w:rsid w:val="0002076F"/>
    <w:rsid w:val="000215C1"/>
    <w:rsid w:val="0002376D"/>
    <w:rsid w:val="00026D9F"/>
    <w:rsid w:val="000279E5"/>
    <w:rsid w:val="00027F82"/>
    <w:rsid w:val="0003324A"/>
    <w:rsid w:val="00034A0F"/>
    <w:rsid w:val="00034ECF"/>
    <w:rsid w:val="00034F29"/>
    <w:rsid w:val="00035A24"/>
    <w:rsid w:val="00036039"/>
    <w:rsid w:val="00036137"/>
    <w:rsid w:val="000363D1"/>
    <w:rsid w:val="00036E11"/>
    <w:rsid w:val="0003770E"/>
    <w:rsid w:val="00037F90"/>
    <w:rsid w:val="00040CA7"/>
    <w:rsid w:val="00040D9A"/>
    <w:rsid w:val="00050B54"/>
    <w:rsid w:val="00053BFB"/>
    <w:rsid w:val="00053EA3"/>
    <w:rsid w:val="00054A72"/>
    <w:rsid w:val="000560C4"/>
    <w:rsid w:val="00063CBE"/>
    <w:rsid w:val="000649FA"/>
    <w:rsid w:val="00064BFD"/>
    <w:rsid w:val="00064DDE"/>
    <w:rsid w:val="000655E0"/>
    <w:rsid w:val="000660D8"/>
    <w:rsid w:val="000677D0"/>
    <w:rsid w:val="00072041"/>
    <w:rsid w:val="00072D51"/>
    <w:rsid w:val="00073BBA"/>
    <w:rsid w:val="00075314"/>
    <w:rsid w:val="00077F2D"/>
    <w:rsid w:val="00081096"/>
    <w:rsid w:val="0008130D"/>
    <w:rsid w:val="00082DF2"/>
    <w:rsid w:val="00085297"/>
    <w:rsid w:val="000866CA"/>
    <w:rsid w:val="000875BF"/>
    <w:rsid w:val="0009088F"/>
    <w:rsid w:val="00090EF4"/>
    <w:rsid w:val="0009329E"/>
    <w:rsid w:val="00093AB0"/>
    <w:rsid w:val="00093D68"/>
    <w:rsid w:val="0009485A"/>
    <w:rsid w:val="00095326"/>
    <w:rsid w:val="00096D8C"/>
    <w:rsid w:val="000A0DB3"/>
    <w:rsid w:val="000A4885"/>
    <w:rsid w:val="000A4C00"/>
    <w:rsid w:val="000B1715"/>
    <w:rsid w:val="000B430C"/>
    <w:rsid w:val="000B5881"/>
    <w:rsid w:val="000B66B9"/>
    <w:rsid w:val="000C0B65"/>
    <w:rsid w:val="000C1853"/>
    <w:rsid w:val="000C7180"/>
    <w:rsid w:val="000D347D"/>
    <w:rsid w:val="000D7B77"/>
    <w:rsid w:val="000E05FE"/>
    <w:rsid w:val="000E3D42"/>
    <w:rsid w:val="000E4635"/>
    <w:rsid w:val="000E4FF0"/>
    <w:rsid w:val="000F0658"/>
    <w:rsid w:val="000F2993"/>
    <w:rsid w:val="000F536C"/>
    <w:rsid w:val="000F738F"/>
    <w:rsid w:val="00101E65"/>
    <w:rsid w:val="00105477"/>
    <w:rsid w:val="00117B14"/>
    <w:rsid w:val="00117B64"/>
    <w:rsid w:val="00121246"/>
    <w:rsid w:val="0012278C"/>
    <w:rsid w:val="00122BD5"/>
    <w:rsid w:val="00122C51"/>
    <w:rsid w:val="001231CC"/>
    <w:rsid w:val="001264F3"/>
    <w:rsid w:val="00130A27"/>
    <w:rsid w:val="00131211"/>
    <w:rsid w:val="0013123E"/>
    <w:rsid w:val="001315A1"/>
    <w:rsid w:val="00132228"/>
    <w:rsid w:val="00133F79"/>
    <w:rsid w:val="00135C83"/>
    <w:rsid w:val="00137A33"/>
    <w:rsid w:val="0014227C"/>
    <w:rsid w:val="0014372A"/>
    <w:rsid w:val="0014640C"/>
    <w:rsid w:val="001472F0"/>
    <w:rsid w:val="00147B17"/>
    <w:rsid w:val="00151E74"/>
    <w:rsid w:val="00151FC7"/>
    <w:rsid w:val="00154346"/>
    <w:rsid w:val="00157FC9"/>
    <w:rsid w:val="001611EF"/>
    <w:rsid w:val="00161731"/>
    <w:rsid w:val="00161C83"/>
    <w:rsid w:val="0016302C"/>
    <w:rsid w:val="00163652"/>
    <w:rsid w:val="0016657E"/>
    <w:rsid w:val="0017207E"/>
    <w:rsid w:val="0017253F"/>
    <w:rsid w:val="00172574"/>
    <w:rsid w:val="001759BD"/>
    <w:rsid w:val="00176B9D"/>
    <w:rsid w:val="00176F3E"/>
    <w:rsid w:val="00180387"/>
    <w:rsid w:val="00180900"/>
    <w:rsid w:val="00181E55"/>
    <w:rsid w:val="0018245C"/>
    <w:rsid w:val="001844CD"/>
    <w:rsid w:val="001870E8"/>
    <w:rsid w:val="001914C3"/>
    <w:rsid w:val="00193392"/>
    <w:rsid w:val="00194A66"/>
    <w:rsid w:val="001964B0"/>
    <w:rsid w:val="001A4E2A"/>
    <w:rsid w:val="001A4F95"/>
    <w:rsid w:val="001B4BB9"/>
    <w:rsid w:val="001B63BB"/>
    <w:rsid w:val="001B7761"/>
    <w:rsid w:val="001C01AF"/>
    <w:rsid w:val="001C14D4"/>
    <w:rsid w:val="001C3351"/>
    <w:rsid w:val="001C47F1"/>
    <w:rsid w:val="001C513C"/>
    <w:rsid w:val="001C519F"/>
    <w:rsid w:val="001D03B9"/>
    <w:rsid w:val="001D1A4E"/>
    <w:rsid w:val="001D2CB8"/>
    <w:rsid w:val="001D6BCF"/>
    <w:rsid w:val="001E01CA"/>
    <w:rsid w:val="001E0863"/>
    <w:rsid w:val="001E0A2B"/>
    <w:rsid w:val="001E1513"/>
    <w:rsid w:val="001E22DD"/>
    <w:rsid w:val="001E2967"/>
    <w:rsid w:val="001E35EB"/>
    <w:rsid w:val="001E7ACD"/>
    <w:rsid w:val="001F046F"/>
    <w:rsid w:val="001F0EF0"/>
    <w:rsid w:val="001F2A6D"/>
    <w:rsid w:val="001F4D71"/>
    <w:rsid w:val="001F50A5"/>
    <w:rsid w:val="001F6148"/>
    <w:rsid w:val="001F7457"/>
    <w:rsid w:val="001F7E3D"/>
    <w:rsid w:val="0020015C"/>
    <w:rsid w:val="002009C4"/>
    <w:rsid w:val="0020157F"/>
    <w:rsid w:val="00203809"/>
    <w:rsid w:val="00205BB4"/>
    <w:rsid w:val="002127B0"/>
    <w:rsid w:val="00214C2D"/>
    <w:rsid w:val="00215792"/>
    <w:rsid w:val="00216602"/>
    <w:rsid w:val="00221DC8"/>
    <w:rsid w:val="00222224"/>
    <w:rsid w:val="002235B3"/>
    <w:rsid w:val="002247F0"/>
    <w:rsid w:val="00230EC0"/>
    <w:rsid w:val="00232E7E"/>
    <w:rsid w:val="002340BB"/>
    <w:rsid w:val="0023470A"/>
    <w:rsid w:val="0023593C"/>
    <w:rsid w:val="00237AE3"/>
    <w:rsid w:val="0024055A"/>
    <w:rsid w:val="00245410"/>
    <w:rsid w:val="00246723"/>
    <w:rsid w:val="00250230"/>
    <w:rsid w:val="002509D8"/>
    <w:rsid w:val="00251CF6"/>
    <w:rsid w:val="00255C40"/>
    <w:rsid w:val="002577A3"/>
    <w:rsid w:val="00257AA1"/>
    <w:rsid w:val="002606EE"/>
    <w:rsid w:val="00260C57"/>
    <w:rsid w:val="002629AB"/>
    <w:rsid w:val="00262F11"/>
    <w:rsid w:val="00270185"/>
    <w:rsid w:val="00270F37"/>
    <w:rsid w:val="0027373F"/>
    <w:rsid w:val="002738E7"/>
    <w:rsid w:val="002759F4"/>
    <w:rsid w:val="00275CF5"/>
    <w:rsid w:val="00276F49"/>
    <w:rsid w:val="0028301F"/>
    <w:rsid w:val="0028497D"/>
    <w:rsid w:val="00285017"/>
    <w:rsid w:val="00292341"/>
    <w:rsid w:val="00294FA9"/>
    <w:rsid w:val="00297DE7"/>
    <w:rsid w:val="002A1E32"/>
    <w:rsid w:val="002A2D2E"/>
    <w:rsid w:val="002A4505"/>
    <w:rsid w:val="002A5EBD"/>
    <w:rsid w:val="002A652D"/>
    <w:rsid w:val="002A6D64"/>
    <w:rsid w:val="002B1C29"/>
    <w:rsid w:val="002B5397"/>
    <w:rsid w:val="002B540F"/>
    <w:rsid w:val="002C00E8"/>
    <w:rsid w:val="002C28D5"/>
    <w:rsid w:val="002C293D"/>
    <w:rsid w:val="002D0EA9"/>
    <w:rsid w:val="002D1703"/>
    <w:rsid w:val="002D5279"/>
    <w:rsid w:val="002E486C"/>
    <w:rsid w:val="002E6D98"/>
    <w:rsid w:val="002F2BE5"/>
    <w:rsid w:val="002F3647"/>
    <w:rsid w:val="002F7A4D"/>
    <w:rsid w:val="0030385F"/>
    <w:rsid w:val="00304192"/>
    <w:rsid w:val="0031258B"/>
    <w:rsid w:val="003128ED"/>
    <w:rsid w:val="00312909"/>
    <w:rsid w:val="00313508"/>
    <w:rsid w:val="0031472A"/>
    <w:rsid w:val="00317270"/>
    <w:rsid w:val="00317788"/>
    <w:rsid w:val="00323701"/>
    <w:rsid w:val="0032526D"/>
    <w:rsid w:val="003256D0"/>
    <w:rsid w:val="00326E83"/>
    <w:rsid w:val="00330D12"/>
    <w:rsid w:val="00331321"/>
    <w:rsid w:val="00332EFE"/>
    <w:rsid w:val="003347F4"/>
    <w:rsid w:val="00335425"/>
    <w:rsid w:val="00337BA9"/>
    <w:rsid w:val="00337EDF"/>
    <w:rsid w:val="00342DE5"/>
    <w:rsid w:val="00343749"/>
    <w:rsid w:val="00343955"/>
    <w:rsid w:val="00346D5A"/>
    <w:rsid w:val="0035160E"/>
    <w:rsid w:val="00351740"/>
    <w:rsid w:val="00351C7D"/>
    <w:rsid w:val="00356BC1"/>
    <w:rsid w:val="00363402"/>
    <w:rsid w:val="003635F1"/>
    <w:rsid w:val="00363806"/>
    <w:rsid w:val="003660ED"/>
    <w:rsid w:val="00367435"/>
    <w:rsid w:val="003700D7"/>
    <w:rsid w:val="00373428"/>
    <w:rsid w:val="003823DD"/>
    <w:rsid w:val="00382BA9"/>
    <w:rsid w:val="003833C9"/>
    <w:rsid w:val="0038423A"/>
    <w:rsid w:val="00385DE4"/>
    <w:rsid w:val="003868AB"/>
    <w:rsid w:val="00386BE5"/>
    <w:rsid w:val="003875C6"/>
    <w:rsid w:val="0039242B"/>
    <w:rsid w:val="0039492F"/>
    <w:rsid w:val="00394A06"/>
    <w:rsid w:val="00395508"/>
    <w:rsid w:val="003960C4"/>
    <w:rsid w:val="00396869"/>
    <w:rsid w:val="003A15CF"/>
    <w:rsid w:val="003A1B82"/>
    <w:rsid w:val="003A6F4D"/>
    <w:rsid w:val="003B0550"/>
    <w:rsid w:val="003B2A03"/>
    <w:rsid w:val="003B4BF8"/>
    <w:rsid w:val="003B4C53"/>
    <w:rsid w:val="003B4FE5"/>
    <w:rsid w:val="003B694F"/>
    <w:rsid w:val="003B7750"/>
    <w:rsid w:val="003C03E7"/>
    <w:rsid w:val="003C1427"/>
    <w:rsid w:val="003C38EC"/>
    <w:rsid w:val="003C402A"/>
    <w:rsid w:val="003C5D22"/>
    <w:rsid w:val="003D1FB4"/>
    <w:rsid w:val="003D75D6"/>
    <w:rsid w:val="003E3089"/>
    <w:rsid w:val="003E516E"/>
    <w:rsid w:val="003E5EDE"/>
    <w:rsid w:val="003E6226"/>
    <w:rsid w:val="003E6CAD"/>
    <w:rsid w:val="003E6EB6"/>
    <w:rsid w:val="003F171C"/>
    <w:rsid w:val="003F1CD3"/>
    <w:rsid w:val="003F2107"/>
    <w:rsid w:val="003F3D9D"/>
    <w:rsid w:val="003F6349"/>
    <w:rsid w:val="0040206C"/>
    <w:rsid w:val="00404168"/>
    <w:rsid w:val="00405753"/>
    <w:rsid w:val="0040688B"/>
    <w:rsid w:val="00407DF4"/>
    <w:rsid w:val="004121F2"/>
    <w:rsid w:val="00412FC5"/>
    <w:rsid w:val="00413793"/>
    <w:rsid w:val="00422276"/>
    <w:rsid w:val="0042319A"/>
    <w:rsid w:val="004242F1"/>
    <w:rsid w:val="00425049"/>
    <w:rsid w:val="00425510"/>
    <w:rsid w:val="00427153"/>
    <w:rsid w:val="00436C37"/>
    <w:rsid w:val="00440795"/>
    <w:rsid w:val="00444ABE"/>
    <w:rsid w:val="00444C00"/>
    <w:rsid w:val="00445A00"/>
    <w:rsid w:val="00451B0F"/>
    <w:rsid w:val="00451F96"/>
    <w:rsid w:val="00451FC0"/>
    <w:rsid w:val="00453F05"/>
    <w:rsid w:val="004558BD"/>
    <w:rsid w:val="00456C87"/>
    <w:rsid w:val="00457887"/>
    <w:rsid w:val="004608A8"/>
    <w:rsid w:val="00461958"/>
    <w:rsid w:val="0046295C"/>
    <w:rsid w:val="004631A8"/>
    <w:rsid w:val="0046472D"/>
    <w:rsid w:val="00464C00"/>
    <w:rsid w:val="0047029B"/>
    <w:rsid w:val="00472C13"/>
    <w:rsid w:val="004740C1"/>
    <w:rsid w:val="00475C9A"/>
    <w:rsid w:val="00477237"/>
    <w:rsid w:val="004803DD"/>
    <w:rsid w:val="004814B9"/>
    <w:rsid w:val="00483233"/>
    <w:rsid w:val="0048456E"/>
    <w:rsid w:val="00484F3B"/>
    <w:rsid w:val="00485595"/>
    <w:rsid w:val="00492B1B"/>
    <w:rsid w:val="00492C32"/>
    <w:rsid w:val="004930E9"/>
    <w:rsid w:val="00493497"/>
    <w:rsid w:val="004A11C5"/>
    <w:rsid w:val="004A2356"/>
    <w:rsid w:val="004A286B"/>
    <w:rsid w:val="004A2ED5"/>
    <w:rsid w:val="004A6A3A"/>
    <w:rsid w:val="004B46D1"/>
    <w:rsid w:val="004C26C3"/>
    <w:rsid w:val="004C2EE3"/>
    <w:rsid w:val="004C3E94"/>
    <w:rsid w:val="004C6FF7"/>
    <w:rsid w:val="004C7204"/>
    <w:rsid w:val="004D1FB8"/>
    <w:rsid w:val="004D519B"/>
    <w:rsid w:val="004D545A"/>
    <w:rsid w:val="004D5B24"/>
    <w:rsid w:val="004D5BEA"/>
    <w:rsid w:val="004D6FF0"/>
    <w:rsid w:val="004E099C"/>
    <w:rsid w:val="004E3323"/>
    <w:rsid w:val="004E45F6"/>
    <w:rsid w:val="004E4A22"/>
    <w:rsid w:val="004E6C3C"/>
    <w:rsid w:val="004E6C41"/>
    <w:rsid w:val="004F3F99"/>
    <w:rsid w:val="004F48CB"/>
    <w:rsid w:val="004F50F0"/>
    <w:rsid w:val="005032E4"/>
    <w:rsid w:val="00511968"/>
    <w:rsid w:val="00512CE9"/>
    <w:rsid w:val="00513E5B"/>
    <w:rsid w:val="00515534"/>
    <w:rsid w:val="00523FE4"/>
    <w:rsid w:val="00533C7A"/>
    <w:rsid w:val="00533DAA"/>
    <w:rsid w:val="0053512B"/>
    <w:rsid w:val="00536737"/>
    <w:rsid w:val="00541C25"/>
    <w:rsid w:val="005436F1"/>
    <w:rsid w:val="00545D40"/>
    <w:rsid w:val="005476AB"/>
    <w:rsid w:val="00547E7C"/>
    <w:rsid w:val="00551643"/>
    <w:rsid w:val="00554FC5"/>
    <w:rsid w:val="0055614C"/>
    <w:rsid w:val="00557284"/>
    <w:rsid w:val="00561B18"/>
    <w:rsid w:val="00563FCD"/>
    <w:rsid w:val="00564BF1"/>
    <w:rsid w:val="00570AF6"/>
    <w:rsid w:val="00571668"/>
    <w:rsid w:val="005719A1"/>
    <w:rsid w:val="00571E99"/>
    <w:rsid w:val="00573F30"/>
    <w:rsid w:val="00575AED"/>
    <w:rsid w:val="005777BE"/>
    <w:rsid w:val="00580E8E"/>
    <w:rsid w:val="00580FEB"/>
    <w:rsid w:val="00582476"/>
    <w:rsid w:val="00585F9A"/>
    <w:rsid w:val="005860FD"/>
    <w:rsid w:val="00587556"/>
    <w:rsid w:val="0059195C"/>
    <w:rsid w:val="00591F7F"/>
    <w:rsid w:val="0059213F"/>
    <w:rsid w:val="00592235"/>
    <w:rsid w:val="00592D35"/>
    <w:rsid w:val="00592EB3"/>
    <w:rsid w:val="005A113E"/>
    <w:rsid w:val="005A21AE"/>
    <w:rsid w:val="005A42DF"/>
    <w:rsid w:val="005A54E4"/>
    <w:rsid w:val="005A670D"/>
    <w:rsid w:val="005A757F"/>
    <w:rsid w:val="005B0F87"/>
    <w:rsid w:val="005B3258"/>
    <w:rsid w:val="005B4473"/>
    <w:rsid w:val="005C0539"/>
    <w:rsid w:val="005D1022"/>
    <w:rsid w:val="005D2175"/>
    <w:rsid w:val="005D3746"/>
    <w:rsid w:val="005D725E"/>
    <w:rsid w:val="005D72A7"/>
    <w:rsid w:val="005E06CF"/>
    <w:rsid w:val="005E098F"/>
    <w:rsid w:val="005E14C2"/>
    <w:rsid w:val="005E1578"/>
    <w:rsid w:val="005E1B05"/>
    <w:rsid w:val="005E65E9"/>
    <w:rsid w:val="005F0358"/>
    <w:rsid w:val="00600DB2"/>
    <w:rsid w:val="00601432"/>
    <w:rsid w:val="006053B8"/>
    <w:rsid w:val="00605530"/>
    <w:rsid w:val="006079ED"/>
    <w:rsid w:val="00607BA5"/>
    <w:rsid w:val="006112F8"/>
    <w:rsid w:val="0061180A"/>
    <w:rsid w:val="0061208E"/>
    <w:rsid w:val="00612961"/>
    <w:rsid w:val="006145E5"/>
    <w:rsid w:val="00615022"/>
    <w:rsid w:val="006160CE"/>
    <w:rsid w:val="00617726"/>
    <w:rsid w:val="0062524E"/>
    <w:rsid w:val="00626EB6"/>
    <w:rsid w:val="00632030"/>
    <w:rsid w:val="00633EAF"/>
    <w:rsid w:val="006346C3"/>
    <w:rsid w:val="0063611C"/>
    <w:rsid w:val="0063696E"/>
    <w:rsid w:val="00640557"/>
    <w:rsid w:val="00640A94"/>
    <w:rsid w:val="00642EAE"/>
    <w:rsid w:val="00645EAB"/>
    <w:rsid w:val="00646DD8"/>
    <w:rsid w:val="00653E9E"/>
    <w:rsid w:val="0065524A"/>
    <w:rsid w:val="00655D03"/>
    <w:rsid w:val="00656147"/>
    <w:rsid w:val="00657EF4"/>
    <w:rsid w:val="0067103E"/>
    <w:rsid w:val="00675A22"/>
    <w:rsid w:val="0067691F"/>
    <w:rsid w:val="00676D50"/>
    <w:rsid w:val="00677436"/>
    <w:rsid w:val="00681AB5"/>
    <w:rsid w:val="00683388"/>
    <w:rsid w:val="00683BE0"/>
    <w:rsid w:val="00683F84"/>
    <w:rsid w:val="006857B0"/>
    <w:rsid w:val="0068794F"/>
    <w:rsid w:val="00687B8D"/>
    <w:rsid w:val="006A0CF0"/>
    <w:rsid w:val="006A1E38"/>
    <w:rsid w:val="006A3A53"/>
    <w:rsid w:val="006A6A81"/>
    <w:rsid w:val="006A6E1A"/>
    <w:rsid w:val="006A721C"/>
    <w:rsid w:val="006B1E85"/>
    <w:rsid w:val="006B4CF6"/>
    <w:rsid w:val="006B4DE5"/>
    <w:rsid w:val="006C086F"/>
    <w:rsid w:val="006C297D"/>
    <w:rsid w:val="006C3E51"/>
    <w:rsid w:val="006C5F6D"/>
    <w:rsid w:val="006D0B53"/>
    <w:rsid w:val="006D0F50"/>
    <w:rsid w:val="006D1387"/>
    <w:rsid w:val="006D23D1"/>
    <w:rsid w:val="006D3343"/>
    <w:rsid w:val="006D6991"/>
    <w:rsid w:val="006E06E8"/>
    <w:rsid w:val="006E14A8"/>
    <w:rsid w:val="006E2369"/>
    <w:rsid w:val="006E3597"/>
    <w:rsid w:val="006E4736"/>
    <w:rsid w:val="006E4A35"/>
    <w:rsid w:val="006E7104"/>
    <w:rsid w:val="006F13FC"/>
    <w:rsid w:val="006F1632"/>
    <w:rsid w:val="006F1875"/>
    <w:rsid w:val="006F36F9"/>
    <w:rsid w:val="006F47F3"/>
    <w:rsid w:val="006F7393"/>
    <w:rsid w:val="006F7418"/>
    <w:rsid w:val="0070224F"/>
    <w:rsid w:val="00702C33"/>
    <w:rsid w:val="00702FE2"/>
    <w:rsid w:val="0070405E"/>
    <w:rsid w:val="0070761D"/>
    <w:rsid w:val="007115F7"/>
    <w:rsid w:val="00714EF1"/>
    <w:rsid w:val="007248DE"/>
    <w:rsid w:val="00725333"/>
    <w:rsid w:val="00726998"/>
    <w:rsid w:val="00727AD1"/>
    <w:rsid w:val="00727CA3"/>
    <w:rsid w:val="00730A2E"/>
    <w:rsid w:val="00733767"/>
    <w:rsid w:val="00735C38"/>
    <w:rsid w:val="007371F9"/>
    <w:rsid w:val="0075018B"/>
    <w:rsid w:val="00754020"/>
    <w:rsid w:val="00760221"/>
    <w:rsid w:val="0076165E"/>
    <w:rsid w:val="00761952"/>
    <w:rsid w:val="00764EFB"/>
    <w:rsid w:val="00767218"/>
    <w:rsid w:val="00776EA8"/>
    <w:rsid w:val="00777487"/>
    <w:rsid w:val="00777F20"/>
    <w:rsid w:val="00781EA2"/>
    <w:rsid w:val="007824DF"/>
    <w:rsid w:val="00785689"/>
    <w:rsid w:val="00785897"/>
    <w:rsid w:val="0079586A"/>
    <w:rsid w:val="0079627E"/>
    <w:rsid w:val="0079754B"/>
    <w:rsid w:val="00797B49"/>
    <w:rsid w:val="007A1E6D"/>
    <w:rsid w:val="007A27CD"/>
    <w:rsid w:val="007A691D"/>
    <w:rsid w:val="007A7DC4"/>
    <w:rsid w:val="007B074C"/>
    <w:rsid w:val="007B0EB2"/>
    <w:rsid w:val="007B25B1"/>
    <w:rsid w:val="007B37C6"/>
    <w:rsid w:val="007C0B39"/>
    <w:rsid w:val="007C3980"/>
    <w:rsid w:val="007C625B"/>
    <w:rsid w:val="007D2736"/>
    <w:rsid w:val="007D2899"/>
    <w:rsid w:val="007D3BF0"/>
    <w:rsid w:val="007E55AB"/>
    <w:rsid w:val="007F311C"/>
    <w:rsid w:val="007F49D4"/>
    <w:rsid w:val="007F74FF"/>
    <w:rsid w:val="00803138"/>
    <w:rsid w:val="00807109"/>
    <w:rsid w:val="00807BF7"/>
    <w:rsid w:val="00810B6F"/>
    <w:rsid w:val="008117D2"/>
    <w:rsid w:val="008146A3"/>
    <w:rsid w:val="00822328"/>
    <w:rsid w:val="00822CE0"/>
    <w:rsid w:val="00823C0D"/>
    <w:rsid w:val="00827482"/>
    <w:rsid w:val="0083581E"/>
    <w:rsid w:val="00836114"/>
    <w:rsid w:val="008400E5"/>
    <w:rsid w:val="0084052A"/>
    <w:rsid w:val="008412F0"/>
    <w:rsid w:val="0084143C"/>
    <w:rsid w:val="00841AB1"/>
    <w:rsid w:val="00844212"/>
    <w:rsid w:val="0085235F"/>
    <w:rsid w:val="00852731"/>
    <w:rsid w:val="00852C83"/>
    <w:rsid w:val="0085799C"/>
    <w:rsid w:val="008652D6"/>
    <w:rsid w:val="0086570D"/>
    <w:rsid w:val="00872F26"/>
    <w:rsid w:val="0087345A"/>
    <w:rsid w:val="008742F4"/>
    <w:rsid w:val="00877DEF"/>
    <w:rsid w:val="008803A0"/>
    <w:rsid w:val="00884112"/>
    <w:rsid w:val="0088786C"/>
    <w:rsid w:val="00890187"/>
    <w:rsid w:val="0089223D"/>
    <w:rsid w:val="008942C0"/>
    <w:rsid w:val="008A0546"/>
    <w:rsid w:val="008A2870"/>
    <w:rsid w:val="008A2EE0"/>
    <w:rsid w:val="008A4AB2"/>
    <w:rsid w:val="008A50B0"/>
    <w:rsid w:val="008A68EB"/>
    <w:rsid w:val="008B0463"/>
    <w:rsid w:val="008B1123"/>
    <w:rsid w:val="008B1B5B"/>
    <w:rsid w:val="008B1D5F"/>
    <w:rsid w:val="008B25DC"/>
    <w:rsid w:val="008B2883"/>
    <w:rsid w:val="008B3126"/>
    <w:rsid w:val="008B7658"/>
    <w:rsid w:val="008C0A0C"/>
    <w:rsid w:val="008C2923"/>
    <w:rsid w:val="008C5109"/>
    <w:rsid w:val="008C68F1"/>
    <w:rsid w:val="008D5350"/>
    <w:rsid w:val="008D7ECA"/>
    <w:rsid w:val="008E52A3"/>
    <w:rsid w:val="008E6955"/>
    <w:rsid w:val="008E7B5B"/>
    <w:rsid w:val="008F1616"/>
    <w:rsid w:val="008F2183"/>
    <w:rsid w:val="008F2F46"/>
    <w:rsid w:val="008F6BCC"/>
    <w:rsid w:val="0090156F"/>
    <w:rsid w:val="009066C6"/>
    <w:rsid w:val="00912540"/>
    <w:rsid w:val="00913C95"/>
    <w:rsid w:val="0091722C"/>
    <w:rsid w:val="00921803"/>
    <w:rsid w:val="0092279A"/>
    <w:rsid w:val="00924018"/>
    <w:rsid w:val="0092527B"/>
    <w:rsid w:val="0092559E"/>
    <w:rsid w:val="00926163"/>
    <w:rsid w:val="00926503"/>
    <w:rsid w:val="00930937"/>
    <w:rsid w:val="00931624"/>
    <w:rsid w:val="0093561F"/>
    <w:rsid w:val="00937F17"/>
    <w:rsid w:val="00941F32"/>
    <w:rsid w:val="00944212"/>
    <w:rsid w:val="0094570A"/>
    <w:rsid w:val="00947791"/>
    <w:rsid w:val="009556B7"/>
    <w:rsid w:val="00955C4D"/>
    <w:rsid w:val="00957FE1"/>
    <w:rsid w:val="009614A2"/>
    <w:rsid w:val="00961D50"/>
    <w:rsid w:val="00965367"/>
    <w:rsid w:val="00967099"/>
    <w:rsid w:val="00967AFC"/>
    <w:rsid w:val="009710DB"/>
    <w:rsid w:val="00971B24"/>
    <w:rsid w:val="009726D8"/>
    <w:rsid w:val="0097376F"/>
    <w:rsid w:val="00977B15"/>
    <w:rsid w:val="00977B37"/>
    <w:rsid w:val="009827B5"/>
    <w:rsid w:val="009957A5"/>
    <w:rsid w:val="00997362"/>
    <w:rsid w:val="009A5072"/>
    <w:rsid w:val="009B38FC"/>
    <w:rsid w:val="009B5FD3"/>
    <w:rsid w:val="009B5FF7"/>
    <w:rsid w:val="009B60FB"/>
    <w:rsid w:val="009B77AD"/>
    <w:rsid w:val="009C0AE4"/>
    <w:rsid w:val="009C16F4"/>
    <w:rsid w:val="009C5D43"/>
    <w:rsid w:val="009D013E"/>
    <w:rsid w:val="009D0B5D"/>
    <w:rsid w:val="009D137B"/>
    <w:rsid w:val="009D396E"/>
    <w:rsid w:val="009D5BFE"/>
    <w:rsid w:val="009D629F"/>
    <w:rsid w:val="009E109F"/>
    <w:rsid w:val="009F0B35"/>
    <w:rsid w:val="009F1C24"/>
    <w:rsid w:val="009F43A8"/>
    <w:rsid w:val="009F47B7"/>
    <w:rsid w:val="009F76DB"/>
    <w:rsid w:val="00A01E83"/>
    <w:rsid w:val="00A040D1"/>
    <w:rsid w:val="00A07FCB"/>
    <w:rsid w:val="00A11888"/>
    <w:rsid w:val="00A12117"/>
    <w:rsid w:val="00A14EAF"/>
    <w:rsid w:val="00A1668F"/>
    <w:rsid w:val="00A17DC5"/>
    <w:rsid w:val="00A20AFB"/>
    <w:rsid w:val="00A21BC4"/>
    <w:rsid w:val="00A2239C"/>
    <w:rsid w:val="00A225E8"/>
    <w:rsid w:val="00A259FB"/>
    <w:rsid w:val="00A26EE5"/>
    <w:rsid w:val="00A2798F"/>
    <w:rsid w:val="00A30329"/>
    <w:rsid w:val="00A30A8A"/>
    <w:rsid w:val="00A31E61"/>
    <w:rsid w:val="00A32C3B"/>
    <w:rsid w:val="00A34234"/>
    <w:rsid w:val="00A3430A"/>
    <w:rsid w:val="00A343AE"/>
    <w:rsid w:val="00A344B3"/>
    <w:rsid w:val="00A3466F"/>
    <w:rsid w:val="00A42C3E"/>
    <w:rsid w:val="00A45F4F"/>
    <w:rsid w:val="00A50FDD"/>
    <w:rsid w:val="00A516A7"/>
    <w:rsid w:val="00A54E3C"/>
    <w:rsid w:val="00A600A9"/>
    <w:rsid w:val="00A71A1B"/>
    <w:rsid w:val="00A72D6E"/>
    <w:rsid w:val="00A75266"/>
    <w:rsid w:val="00A77530"/>
    <w:rsid w:val="00A80DC8"/>
    <w:rsid w:val="00A81181"/>
    <w:rsid w:val="00A8120C"/>
    <w:rsid w:val="00A8267D"/>
    <w:rsid w:val="00A83937"/>
    <w:rsid w:val="00A91B58"/>
    <w:rsid w:val="00A93424"/>
    <w:rsid w:val="00A96B79"/>
    <w:rsid w:val="00A96FBE"/>
    <w:rsid w:val="00AA0628"/>
    <w:rsid w:val="00AA0A2E"/>
    <w:rsid w:val="00AA55B7"/>
    <w:rsid w:val="00AA5B9E"/>
    <w:rsid w:val="00AA6A0C"/>
    <w:rsid w:val="00AA6A84"/>
    <w:rsid w:val="00AB1C15"/>
    <w:rsid w:val="00AB2407"/>
    <w:rsid w:val="00AB2C33"/>
    <w:rsid w:val="00AB53DF"/>
    <w:rsid w:val="00AC1E80"/>
    <w:rsid w:val="00AC3FDA"/>
    <w:rsid w:val="00AC538A"/>
    <w:rsid w:val="00AC5E82"/>
    <w:rsid w:val="00AC7CBC"/>
    <w:rsid w:val="00AD3A74"/>
    <w:rsid w:val="00AD6E4B"/>
    <w:rsid w:val="00AE1A98"/>
    <w:rsid w:val="00AE1AA6"/>
    <w:rsid w:val="00AE5F78"/>
    <w:rsid w:val="00AE652B"/>
    <w:rsid w:val="00AF206A"/>
    <w:rsid w:val="00AF3709"/>
    <w:rsid w:val="00AF41AE"/>
    <w:rsid w:val="00AF4911"/>
    <w:rsid w:val="00AF638A"/>
    <w:rsid w:val="00B01BE0"/>
    <w:rsid w:val="00B01D62"/>
    <w:rsid w:val="00B02B44"/>
    <w:rsid w:val="00B02E64"/>
    <w:rsid w:val="00B03651"/>
    <w:rsid w:val="00B074D4"/>
    <w:rsid w:val="00B07E5C"/>
    <w:rsid w:val="00B11C87"/>
    <w:rsid w:val="00B266BB"/>
    <w:rsid w:val="00B26FCA"/>
    <w:rsid w:val="00B27C45"/>
    <w:rsid w:val="00B31686"/>
    <w:rsid w:val="00B31A02"/>
    <w:rsid w:val="00B35EF2"/>
    <w:rsid w:val="00B36165"/>
    <w:rsid w:val="00B40126"/>
    <w:rsid w:val="00B46901"/>
    <w:rsid w:val="00B50D88"/>
    <w:rsid w:val="00B53B39"/>
    <w:rsid w:val="00B5778A"/>
    <w:rsid w:val="00B57CD1"/>
    <w:rsid w:val="00B61324"/>
    <w:rsid w:val="00B65110"/>
    <w:rsid w:val="00B660BB"/>
    <w:rsid w:val="00B671EE"/>
    <w:rsid w:val="00B67371"/>
    <w:rsid w:val="00B70BFB"/>
    <w:rsid w:val="00B716A2"/>
    <w:rsid w:val="00B740BC"/>
    <w:rsid w:val="00B74378"/>
    <w:rsid w:val="00B80C30"/>
    <w:rsid w:val="00B811F7"/>
    <w:rsid w:val="00B876DF"/>
    <w:rsid w:val="00B921CF"/>
    <w:rsid w:val="00B94202"/>
    <w:rsid w:val="00BA0BF3"/>
    <w:rsid w:val="00BA0C31"/>
    <w:rsid w:val="00BA3B62"/>
    <w:rsid w:val="00BA4004"/>
    <w:rsid w:val="00BA5DC6"/>
    <w:rsid w:val="00BA6196"/>
    <w:rsid w:val="00BA6A15"/>
    <w:rsid w:val="00BB01D0"/>
    <w:rsid w:val="00BB0AC2"/>
    <w:rsid w:val="00BB2FE4"/>
    <w:rsid w:val="00BB7453"/>
    <w:rsid w:val="00BB7BE0"/>
    <w:rsid w:val="00BC0129"/>
    <w:rsid w:val="00BC12FE"/>
    <w:rsid w:val="00BC1EF9"/>
    <w:rsid w:val="00BC2FEB"/>
    <w:rsid w:val="00BC6D8C"/>
    <w:rsid w:val="00BC79D5"/>
    <w:rsid w:val="00BD0D27"/>
    <w:rsid w:val="00BD3484"/>
    <w:rsid w:val="00BD5302"/>
    <w:rsid w:val="00BD5BE3"/>
    <w:rsid w:val="00BD6491"/>
    <w:rsid w:val="00BD71A2"/>
    <w:rsid w:val="00BE0020"/>
    <w:rsid w:val="00BE19C1"/>
    <w:rsid w:val="00BE31F1"/>
    <w:rsid w:val="00BE54FA"/>
    <w:rsid w:val="00BE6CB1"/>
    <w:rsid w:val="00BF1D6B"/>
    <w:rsid w:val="00BF6812"/>
    <w:rsid w:val="00BF7B7A"/>
    <w:rsid w:val="00C02C54"/>
    <w:rsid w:val="00C02D0F"/>
    <w:rsid w:val="00C11F7A"/>
    <w:rsid w:val="00C1292D"/>
    <w:rsid w:val="00C131F3"/>
    <w:rsid w:val="00C135B8"/>
    <w:rsid w:val="00C13724"/>
    <w:rsid w:val="00C13FCE"/>
    <w:rsid w:val="00C15B71"/>
    <w:rsid w:val="00C16461"/>
    <w:rsid w:val="00C26613"/>
    <w:rsid w:val="00C325F2"/>
    <w:rsid w:val="00C3372A"/>
    <w:rsid w:val="00C33FC9"/>
    <w:rsid w:val="00C34006"/>
    <w:rsid w:val="00C34994"/>
    <w:rsid w:val="00C37370"/>
    <w:rsid w:val="00C426B1"/>
    <w:rsid w:val="00C433CF"/>
    <w:rsid w:val="00C43707"/>
    <w:rsid w:val="00C447E0"/>
    <w:rsid w:val="00C453D1"/>
    <w:rsid w:val="00C47FEF"/>
    <w:rsid w:val="00C508B9"/>
    <w:rsid w:val="00C537D5"/>
    <w:rsid w:val="00C54669"/>
    <w:rsid w:val="00C572A9"/>
    <w:rsid w:val="00C57AFB"/>
    <w:rsid w:val="00C60A42"/>
    <w:rsid w:val="00C610BD"/>
    <w:rsid w:val="00C621E2"/>
    <w:rsid w:val="00C62453"/>
    <w:rsid w:val="00C6267D"/>
    <w:rsid w:val="00C6473D"/>
    <w:rsid w:val="00C6509D"/>
    <w:rsid w:val="00C66160"/>
    <w:rsid w:val="00C721AC"/>
    <w:rsid w:val="00C73E0C"/>
    <w:rsid w:val="00C752FD"/>
    <w:rsid w:val="00C7615E"/>
    <w:rsid w:val="00C762C4"/>
    <w:rsid w:val="00C76928"/>
    <w:rsid w:val="00C81FE6"/>
    <w:rsid w:val="00C82736"/>
    <w:rsid w:val="00C82DEC"/>
    <w:rsid w:val="00C8709F"/>
    <w:rsid w:val="00C87F12"/>
    <w:rsid w:val="00C90D6A"/>
    <w:rsid w:val="00C9137D"/>
    <w:rsid w:val="00C92710"/>
    <w:rsid w:val="00C956AF"/>
    <w:rsid w:val="00C9675A"/>
    <w:rsid w:val="00C96780"/>
    <w:rsid w:val="00CA02C1"/>
    <w:rsid w:val="00CA21A6"/>
    <w:rsid w:val="00CA245B"/>
    <w:rsid w:val="00CA247E"/>
    <w:rsid w:val="00CA34D4"/>
    <w:rsid w:val="00CA3930"/>
    <w:rsid w:val="00CB0E48"/>
    <w:rsid w:val="00CB489A"/>
    <w:rsid w:val="00CB4A50"/>
    <w:rsid w:val="00CC01C1"/>
    <w:rsid w:val="00CC06EC"/>
    <w:rsid w:val="00CC16E5"/>
    <w:rsid w:val="00CC72B6"/>
    <w:rsid w:val="00CD04B9"/>
    <w:rsid w:val="00CD0C49"/>
    <w:rsid w:val="00CD1BC3"/>
    <w:rsid w:val="00CD1CDD"/>
    <w:rsid w:val="00CD4348"/>
    <w:rsid w:val="00CD4465"/>
    <w:rsid w:val="00CD495D"/>
    <w:rsid w:val="00CD4C4A"/>
    <w:rsid w:val="00CE45A6"/>
    <w:rsid w:val="00CE590F"/>
    <w:rsid w:val="00CE70CE"/>
    <w:rsid w:val="00CF3DDD"/>
    <w:rsid w:val="00CF7E8F"/>
    <w:rsid w:val="00D0218D"/>
    <w:rsid w:val="00D0287D"/>
    <w:rsid w:val="00D05CB5"/>
    <w:rsid w:val="00D06466"/>
    <w:rsid w:val="00D1190C"/>
    <w:rsid w:val="00D11C23"/>
    <w:rsid w:val="00D177F0"/>
    <w:rsid w:val="00D211D5"/>
    <w:rsid w:val="00D23080"/>
    <w:rsid w:val="00D24AEC"/>
    <w:rsid w:val="00D25FB5"/>
    <w:rsid w:val="00D26A44"/>
    <w:rsid w:val="00D27102"/>
    <w:rsid w:val="00D2763D"/>
    <w:rsid w:val="00D2784B"/>
    <w:rsid w:val="00D279C8"/>
    <w:rsid w:val="00D32043"/>
    <w:rsid w:val="00D331C9"/>
    <w:rsid w:val="00D37E0E"/>
    <w:rsid w:val="00D37E88"/>
    <w:rsid w:val="00D41DEF"/>
    <w:rsid w:val="00D42F2B"/>
    <w:rsid w:val="00D440E1"/>
    <w:rsid w:val="00D44223"/>
    <w:rsid w:val="00D4545C"/>
    <w:rsid w:val="00D611A4"/>
    <w:rsid w:val="00D623B2"/>
    <w:rsid w:val="00D623DF"/>
    <w:rsid w:val="00D63BEE"/>
    <w:rsid w:val="00D63EE5"/>
    <w:rsid w:val="00D64A9A"/>
    <w:rsid w:val="00D700E7"/>
    <w:rsid w:val="00D71067"/>
    <w:rsid w:val="00D732CA"/>
    <w:rsid w:val="00D73E2F"/>
    <w:rsid w:val="00D74B9A"/>
    <w:rsid w:val="00D80BCD"/>
    <w:rsid w:val="00D900AC"/>
    <w:rsid w:val="00D909D9"/>
    <w:rsid w:val="00D910CA"/>
    <w:rsid w:val="00D928F9"/>
    <w:rsid w:val="00D92A87"/>
    <w:rsid w:val="00D92E76"/>
    <w:rsid w:val="00DA15E2"/>
    <w:rsid w:val="00DA1C4F"/>
    <w:rsid w:val="00DA2529"/>
    <w:rsid w:val="00DA26A3"/>
    <w:rsid w:val="00DA2BB0"/>
    <w:rsid w:val="00DA6353"/>
    <w:rsid w:val="00DA74E1"/>
    <w:rsid w:val="00DB130A"/>
    <w:rsid w:val="00DB2EBB"/>
    <w:rsid w:val="00DB30CD"/>
    <w:rsid w:val="00DB349B"/>
    <w:rsid w:val="00DB4864"/>
    <w:rsid w:val="00DB5942"/>
    <w:rsid w:val="00DB771C"/>
    <w:rsid w:val="00DB7EBA"/>
    <w:rsid w:val="00DC10A1"/>
    <w:rsid w:val="00DC1C23"/>
    <w:rsid w:val="00DC584A"/>
    <w:rsid w:val="00DC655F"/>
    <w:rsid w:val="00DD0B59"/>
    <w:rsid w:val="00DD1452"/>
    <w:rsid w:val="00DD2FFE"/>
    <w:rsid w:val="00DD7EBD"/>
    <w:rsid w:val="00DE090B"/>
    <w:rsid w:val="00DE1EBC"/>
    <w:rsid w:val="00DE4837"/>
    <w:rsid w:val="00DE59E6"/>
    <w:rsid w:val="00DF0189"/>
    <w:rsid w:val="00DF19BC"/>
    <w:rsid w:val="00DF5D1E"/>
    <w:rsid w:val="00DF62B6"/>
    <w:rsid w:val="00E0035D"/>
    <w:rsid w:val="00E05FD1"/>
    <w:rsid w:val="00E07225"/>
    <w:rsid w:val="00E17CC3"/>
    <w:rsid w:val="00E17EB6"/>
    <w:rsid w:val="00E2051D"/>
    <w:rsid w:val="00E221F3"/>
    <w:rsid w:val="00E23B4C"/>
    <w:rsid w:val="00E241C8"/>
    <w:rsid w:val="00E311D8"/>
    <w:rsid w:val="00E31869"/>
    <w:rsid w:val="00E40126"/>
    <w:rsid w:val="00E41392"/>
    <w:rsid w:val="00E41B0E"/>
    <w:rsid w:val="00E428DF"/>
    <w:rsid w:val="00E44C47"/>
    <w:rsid w:val="00E462C9"/>
    <w:rsid w:val="00E46937"/>
    <w:rsid w:val="00E50F3C"/>
    <w:rsid w:val="00E53815"/>
    <w:rsid w:val="00E5409F"/>
    <w:rsid w:val="00E563C7"/>
    <w:rsid w:val="00E57065"/>
    <w:rsid w:val="00E576CB"/>
    <w:rsid w:val="00E655E0"/>
    <w:rsid w:val="00E679F3"/>
    <w:rsid w:val="00E709CE"/>
    <w:rsid w:val="00E74E2D"/>
    <w:rsid w:val="00E7535B"/>
    <w:rsid w:val="00E770B3"/>
    <w:rsid w:val="00E803F6"/>
    <w:rsid w:val="00E81217"/>
    <w:rsid w:val="00E84CC6"/>
    <w:rsid w:val="00E84F72"/>
    <w:rsid w:val="00E85D7E"/>
    <w:rsid w:val="00E9235A"/>
    <w:rsid w:val="00E92C8F"/>
    <w:rsid w:val="00E94992"/>
    <w:rsid w:val="00EA26CF"/>
    <w:rsid w:val="00EA472C"/>
    <w:rsid w:val="00EA50A6"/>
    <w:rsid w:val="00EB1635"/>
    <w:rsid w:val="00EB1B7A"/>
    <w:rsid w:val="00EB3DDF"/>
    <w:rsid w:val="00EB6960"/>
    <w:rsid w:val="00EC1F33"/>
    <w:rsid w:val="00EC6B7B"/>
    <w:rsid w:val="00ED398C"/>
    <w:rsid w:val="00ED433F"/>
    <w:rsid w:val="00ED4F15"/>
    <w:rsid w:val="00ED7423"/>
    <w:rsid w:val="00EE0439"/>
    <w:rsid w:val="00EE1D76"/>
    <w:rsid w:val="00EE464C"/>
    <w:rsid w:val="00EE6411"/>
    <w:rsid w:val="00EE6443"/>
    <w:rsid w:val="00EE6488"/>
    <w:rsid w:val="00EF05D8"/>
    <w:rsid w:val="00F021FA"/>
    <w:rsid w:val="00F0225A"/>
    <w:rsid w:val="00F048E8"/>
    <w:rsid w:val="00F0697B"/>
    <w:rsid w:val="00F07AA7"/>
    <w:rsid w:val="00F07E0E"/>
    <w:rsid w:val="00F13FB8"/>
    <w:rsid w:val="00F1583E"/>
    <w:rsid w:val="00F16D60"/>
    <w:rsid w:val="00F27136"/>
    <w:rsid w:val="00F307E5"/>
    <w:rsid w:val="00F32D8B"/>
    <w:rsid w:val="00F3763B"/>
    <w:rsid w:val="00F44692"/>
    <w:rsid w:val="00F44F46"/>
    <w:rsid w:val="00F4721C"/>
    <w:rsid w:val="00F5195A"/>
    <w:rsid w:val="00F52737"/>
    <w:rsid w:val="00F62E97"/>
    <w:rsid w:val="00F64209"/>
    <w:rsid w:val="00F655E9"/>
    <w:rsid w:val="00F66135"/>
    <w:rsid w:val="00F676F2"/>
    <w:rsid w:val="00F67EF2"/>
    <w:rsid w:val="00F7144B"/>
    <w:rsid w:val="00F726F1"/>
    <w:rsid w:val="00F75435"/>
    <w:rsid w:val="00F82E41"/>
    <w:rsid w:val="00F83A7E"/>
    <w:rsid w:val="00F8418B"/>
    <w:rsid w:val="00F865F9"/>
    <w:rsid w:val="00F86D53"/>
    <w:rsid w:val="00F903CB"/>
    <w:rsid w:val="00F93BF5"/>
    <w:rsid w:val="00F93CE3"/>
    <w:rsid w:val="00F94243"/>
    <w:rsid w:val="00FA288B"/>
    <w:rsid w:val="00FA2D9A"/>
    <w:rsid w:val="00FA778C"/>
    <w:rsid w:val="00FB36C7"/>
    <w:rsid w:val="00FB48E7"/>
    <w:rsid w:val="00FB5D4D"/>
    <w:rsid w:val="00FB7F90"/>
    <w:rsid w:val="00FC0B15"/>
    <w:rsid w:val="00FC260C"/>
    <w:rsid w:val="00FC38E1"/>
    <w:rsid w:val="00FC4582"/>
    <w:rsid w:val="00FC52B8"/>
    <w:rsid w:val="00FD30EA"/>
    <w:rsid w:val="00FD413C"/>
    <w:rsid w:val="00FD7527"/>
    <w:rsid w:val="00FE45C9"/>
    <w:rsid w:val="00FE5BFC"/>
    <w:rsid w:val="00FF0D90"/>
    <w:rsid w:val="00FF4352"/>
    <w:rsid w:val="00FF54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5A8EA01-5705-4410-ABF2-CD35C128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B8"/>
    <w:pPr>
      <w:widowControl w:val="0"/>
    </w:pPr>
    <w:rPr>
      <w:snapToGrid w:val="0"/>
      <w:kern w:val="28"/>
      <w:sz w:val="22"/>
    </w:rPr>
  </w:style>
  <w:style w:type="paragraph" w:styleId="Heading1">
    <w:name w:val="heading 1"/>
    <w:basedOn w:val="Normal"/>
    <w:next w:val="ParaNum"/>
    <w:link w:val="Heading1Char"/>
    <w:qFormat/>
    <w:rsid w:val="00FC52B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52B8"/>
    <w:pPr>
      <w:keepNext/>
      <w:numPr>
        <w:ilvl w:val="1"/>
        <w:numId w:val="2"/>
      </w:numPr>
      <w:spacing w:after="120"/>
      <w:outlineLvl w:val="1"/>
    </w:pPr>
    <w:rPr>
      <w:b/>
    </w:rPr>
  </w:style>
  <w:style w:type="paragraph" w:styleId="Heading3">
    <w:name w:val="heading 3"/>
    <w:basedOn w:val="Normal"/>
    <w:next w:val="ParaNum"/>
    <w:link w:val="Heading3Char"/>
    <w:qFormat/>
    <w:rsid w:val="00FC52B8"/>
    <w:pPr>
      <w:keepNext/>
      <w:numPr>
        <w:ilvl w:val="2"/>
        <w:numId w:val="2"/>
      </w:numPr>
      <w:tabs>
        <w:tab w:val="left" w:pos="2160"/>
      </w:tabs>
      <w:spacing w:after="120"/>
      <w:outlineLvl w:val="2"/>
    </w:pPr>
    <w:rPr>
      <w:b/>
    </w:rPr>
  </w:style>
  <w:style w:type="paragraph" w:styleId="Heading4">
    <w:name w:val="heading 4"/>
    <w:basedOn w:val="Normal"/>
    <w:next w:val="ParaNum"/>
    <w:qFormat/>
    <w:rsid w:val="00FC52B8"/>
    <w:pPr>
      <w:keepNext/>
      <w:numPr>
        <w:ilvl w:val="3"/>
        <w:numId w:val="2"/>
      </w:numPr>
      <w:tabs>
        <w:tab w:val="left" w:pos="2880"/>
      </w:tabs>
      <w:spacing w:after="120"/>
      <w:outlineLvl w:val="3"/>
    </w:pPr>
    <w:rPr>
      <w:b/>
    </w:rPr>
  </w:style>
  <w:style w:type="paragraph" w:styleId="Heading5">
    <w:name w:val="heading 5"/>
    <w:basedOn w:val="Normal"/>
    <w:next w:val="ParaNum"/>
    <w:qFormat/>
    <w:rsid w:val="00FC52B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C52B8"/>
    <w:pPr>
      <w:numPr>
        <w:ilvl w:val="5"/>
        <w:numId w:val="2"/>
      </w:numPr>
      <w:tabs>
        <w:tab w:val="left" w:pos="4320"/>
      </w:tabs>
      <w:spacing w:after="120"/>
      <w:outlineLvl w:val="5"/>
    </w:pPr>
    <w:rPr>
      <w:b/>
    </w:rPr>
  </w:style>
  <w:style w:type="paragraph" w:styleId="Heading7">
    <w:name w:val="heading 7"/>
    <w:basedOn w:val="Normal"/>
    <w:next w:val="ParaNum"/>
    <w:qFormat/>
    <w:rsid w:val="00FC52B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C52B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C52B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C52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52B8"/>
  </w:style>
  <w:style w:type="paragraph" w:customStyle="1" w:styleId="ParaNum">
    <w:name w:val="ParaNum"/>
    <w:basedOn w:val="Normal"/>
    <w:link w:val="ParaNumChar"/>
    <w:rsid w:val="00FC52B8"/>
    <w:pPr>
      <w:numPr>
        <w:numId w:val="1"/>
      </w:numPr>
      <w:tabs>
        <w:tab w:val="clear" w:pos="1080"/>
        <w:tab w:val="num" w:pos="1440"/>
      </w:tabs>
      <w:spacing w:after="120"/>
    </w:pPr>
  </w:style>
  <w:style w:type="paragraph" w:styleId="EndnoteText">
    <w:name w:val="endnote text"/>
    <w:basedOn w:val="Normal"/>
    <w:semiHidden/>
    <w:rsid w:val="00FC52B8"/>
    <w:rPr>
      <w:sz w:val="20"/>
    </w:rPr>
  </w:style>
  <w:style w:type="character" w:styleId="EndnoteReference">
    <w:name w:val="endnote reference"/>
    <w:semiHidden/>
    <w:rsid w:val="00FC52B8"/>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FC52B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C52B8"/>
    <w:rPr>
      <w:rFonts w:ascii="Times New Roman" w:hAnsi="Times New Roman"/>
      <w:dstrike w:val="0"/>
      <w:color w:val="auto"/>
      <w:sz w:val="20"/>
      <w:vertAlign w:val="superscript"/>
    </w:rPr>
  </w:style>
  <w:style w:type="paragraph" w:styleId="TOC1">
    <w:name w:val="toc 1"/>
    <w:basedOn w:val="Normal"/>
    <w:next w:val="Normal"/>
    <w:semiHidden/>
    <w:rsid w:val="00FC52B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C52B8"/>
    <w:pPr>
      <w:tabs>
        <w:tab w:val="left" w:pos="720"/>
        <w:tab w:val="right" w:leader="dot" w:pos="9360"/>
      </w:tabs>
      <w:suppressAutoHyphens/>
      <w:ind w:left="720" w:right="720" w:hanging="360"/>
    </w:pPr>
    <w:rPr>
      <w:noProof/>
    </w:rPr>
  </w:style>
  <w:style w:type="paragraph" w:styleId="TOC3">
    <w:name w:val="toc 3"/>
    <w:basedOn w:val="Normal"/>
    <w:next w:val="Normal"/>
    <w:semiHidden/>
    <w:rsid w:val="00FC52B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C52B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52B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52B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52B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52B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52B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52B8"/>
    <w:pPr>
      <w:tabs>
        <w:tab w:val="right" w:pos="9360"/>
      </w:tabs>
      <w:suppressAutoHyphens/>
    </w:pPr>
  </w:style>
  <w:style w:type="character" w:customStyle="1" w:styleId="EquationCaption">
    <w:name w:val="_Equation Caption"/>
    <w:rsid w:val="00FC52B8"/>
  </w:style>
  <w:style w:type="paragraph" w:styleId="Header">
    <w:name w:val="header"/>
    <w:basedOn w:val="Normal"/>
    <w:link w:val="HeaderChar"/>
    <w:autoRedefine/>
    <w:rsid w:val="00FC52B8"/>
    <w:pPr>
      <w:tabs>
        <w:tab w:val="center" w:pos="4680"/>
        <w:tab w:val="right" w:pos="9360"/>
      </w:tabs>
    </w:pPr>
    <w:rPr>
      <w:b/>
    </w:rPr>
  </w:style>
  <w:style w:type="paragraph" w:styleId="Footer">
    <w:name w:val="footer"/>
    <w:basedOn w:val="Normal"/>
    <w:link w:val="FooterChar"/>
    <w:uiPriority w:val="99"/>
    <w:rsid w:val="00FC52B8"/>
    <w:pPr>
      <w:tabs>
        <w:tab w:val="center" w:pos="4320"/>
        <w:tab w:val="right" w:pos="8640"/>
      </w:tabs>
    </w:pPr>
  </w:style>
  <w:style w:type="character" w:styleId="PageNumber">
    <w:name w:val="page number"/>
    <w:basedOn w:val="DefaultParagraphFont"/>
    <w:rsid w:val="00FC52B8"/>
  </w:style>
  <w:style w:type="paragraph" w:styleId="BlockText">
    <w:name w:val="Block Text"/>
    <w:basedOn w:val="Normal"/>
    <w:rsid w:val="00FC52B8"/>
    <w:pPr>
      <w:spacing w:after="240"/>
      <w:ind w:left="1440" w:right="1440"/>
    </w:pPr>
  </w:style>
  <w:style w:type="paragraph" w:customStyle="1" w:styleId="Paratitle">
    <w:name w:val="Para title"/>
    <w:basedOn w:val="Normal"/>
    <w:rsid w:val="00FC52B8"/>
    <w:pPr>
      <w:tabs>
        <w:tab w:val="center" w:pos="9270"/>
      </w:tabs>
      <w:spacing w:after="240"/>
    </w:pPr>
    <w:rPr>
      <w:spacing w:val="-2"/>
    </w:rPr>
  </w:style>
  <w:style w:type="paragraph" w:customStyle="1" w:styleId="Bullet">
    <w:name w:val="Bullet"/>
    <w:basedOn w:val="Normal"/>
    <w:rsid w:val="00FC52B8"/>
    <w:pPr>
      <w:tabs>
        <w:tab w:val="left" w:pos="2160"/>
      </w:tabs>
      <w:spacing w:after="220"/>
      <w:ind w:left="2160" w:hanging="720"/>
    </w:pPr>
  </w:style>
  <w:style w:type="paragraph" w:customStyle="1" w:styleId="TableFormat">
    <w:name w:val="TableFormat"/>
    <w:basedOn w:val="Bullet"/>
    <w:rsid w:val="00FC52B8"/>
    <w:pPr>
      <w:tabs>
        <w:tab w:val="clear" w:pos="2160"/>
        <w:tab w:val="left" w:pos="5040"/>
      </w:tabs>
      <w:ind w:left="5040" w:hanging="3600"/>
    </w:pPr>
  </w:style>
  <w:style w:type="paragraph" w:customStyle="1" w:styleId="TOCTitle">
    <w:name w:val="TOC Title"/>
    <w:basedOn w:val="Normal"/>
    <w:rsid w:val="00FC52B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52B8"/>
    <w:pPr>
      <w:jc w:val="center"/>
    </w:pPr>
    <w:rPr>
      <w:rFonts w:ascii="Times New Roman Bold" w:hAnsi="Times New Roman Bold"/>
      <w:b/>
      <w:bCs/>
      <w:caps/>
      <w:szCs w:val="22"/>
    </w:rPr>
  </w:style>
  <w:style w:type="character" w:styleId="Hyperlink">
    <w:name w:val="Hyperlink"/>
    <w:rsid w:val="00FC52B8"/>
    <w:rPr>
      <w:color w:val="0000FF"/>
      <w:u w:val="single"/>
    </w:rPr>
  </w:style>
  <w:style w:type="character" w:customStyle="1" w:styleId="Heading1Char">
    <w:name w:val="Heading 1 Char"/>
    <w:link w:val="Heading1"/>
    <w:locked/>
    <w:rsid w:val="00B671EE"/>
    <w:rPr>
      <w:rFonts w:ascii="Times New Roman Bold" w:hAnsi="Times New Roman Bold"/>
      <w:b/>
      <w:caps/>
      <w:snapToGrid w:val="0"/>
      <w:kern w:val="28"/>
      <w:sz w:val="22"/>
    </w:rPr>
  </w:style>
  <w:style w:type="character" w:customStyle="1" w:styleId="Heading2Char">
    <w:name w:val="Heading 2 Char"/>
    <w:link w:val="Heading2"/>
    <w:locked/>
    <w:rsid w:val="00A30A8A"/>
    <w:rPr>
      <w:b/>
      <w:snapToGrid w:val="0"/>
      <w:kern w:val="28"/>
      <w:sz w:val="22"/>
    </w:rPr>
  </w:style>
  <w:style w:type="character" w:customStyle="1" w:styleId="Heading3Char">
    <w:name w:val="Heading 3 Char"/>
    <w:link w:val="Heading3"/>
    <w:locked/>
    <w:rsid w:val="00B671EE"/>
    <w:rPr>
      <w:b/>
      <w:snapToGrid w:val="0"/>
      <w:kern w:val="28"/>
      <w:sz w:val="22"/>
    </w:rPr>
  </w:style>
  <w:style w:type="paragraph" w:styleId="BodyText">
    <w:name w:val="Body Text"/>
    <w:aliases w:val="b"/>
    <w:basedOn w:val="Normal"/>
    <w:link w:val="BodyTextChar"/>
    <w:uiPriority w:val="99"/>
    <w:rsid w:val="00B671EE"/>
    <w:rPr>
      <w:b/>
      <w:sz w:val="24"/>
      <w:u w:val="single"/>
    </w:rPr>
  </w:style>
  <w:style w:type="character" w:customStyle="1" w:styleId="BodyTextChar">
    <w:name w:val="Body Text Char"/>
    <w:aliases w:val="b Char"/>
    <w:link w:val="BodyText"/>
    <w:uiPriority w:val="99"/>
    <w:rsid w:val="00B671EE"/>
    <w:rPr>
      <w:b/>
      <w:snapToGrid w:val="0"/>
      <w:kern w:val="28"/>
      <w:sz w:val="24"/>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B671EE"/>
  </w:style>
  <w:style w:type="character" w:customStyle="1" w:styleId="ParaNumChar">
    <w:name w:val="ParaNum Char"/>
    <w:link w:val="ParaNum"/>
    <w:locked/>
    <w:rsid w:val="00B671EE"/>
    <w:rPr>
      <w:snapToGrid w:val="0"/>
      <w:kern w:val="28"/>
      <w:sz w:val="22"/>
    </w:rPr>
  </w:style>
  <w:style w:type="character" w:customStyle="1" w:styleId="coidrelatedinfocitations1">
    <w:name w:val="coid_relatedinfo_citations_1"/>
    <w:rsid w:val="00B671EE"/>
  </w:style>
  <w:style w:type="character" w:styleId="Emphasis">
    <w:name w:val="Emphasis"/>
    <w:uiPriority w:val="20"/>
    <w:qFormat/>
    <w:rsid w:val="00B671EE"/>
    <w:rPr>
      <w:i/>
      <w:iCs/>
    </w:rPr>
  </w:style>
  <w:style w:type="character" w:styleId="CommentReference">
    <w:name w:val="annotation reference"/>
    <w:rsid w:val="001D03B9"/>
    <w:rPr>
      <w:sz w:val="16"/>
      <w:szCs w:val="16"/>
    </w:rPr>
  </w:style>
  <w:style w:type="paragraph" w:styleId="CommentText">
    <w:name w:val="annotation text"/>
    <w:basedOn w:val="Normal"/>
    <w:link w:val="CommentTextChar"/>
    <w:rsid w:val="001D03B9"/>
    <w:rPr>
      <w:sz w:val="20"/>
    </w:rPr>
  </w:style>
  <w:style w:type="character" w:customStyle="1" w:styleId="CommentTextChar">
    <w:name w:val="Comment Text Char"/>
    <w:link w:val="CommentText"/>
    <w:rsid w:val="001D03B9"/>
    <w:rPr>
      <w:snapToGrid w:val="0"/>
      <w:kern w:val="28"/>
    </w:rPr>
  </w:style>
  <w:style w:type="paragraph" w:styleId="CommentSubject">
    <w:name w:val="annotation subject"/>
    <w:basedOn w:val="CommentText"/>
    <w:next w:val="CommentText"/>
    <w:link w:val="CommentSubjectChar"/>
    <w:rsid w:val="001D03B9"/>
    <w:rPr>
      <w:b/>
      <w:bCs/>
    </w:rPr>
  </w:style>
  <w:style w:type="character" w:customStyle="1" w:styleId="CommentSubjectChar">
    <w:name w:val="Comment Subject Char"/>
    <w:link w:val="CommentSubject"/>
    <w:rsid w:val="001D03B9"/>
    <w:rPr>
      <w:b/>
      <w:bCs/>
      <w:snapToGrid w:val="0"/>
      <w:kern w:val="28"/>
    </w:rPr>
  </w:style>
  <w:style w:type="paragraph" w:styleId="BalloonText">
    <w:name w:val="Balloon Text"/>
    <w:basedOn w:val="Normal"/>
    <w:link w:val="BalloonTextChar"/>
    <w:rsid w:val="001D03B9"/>
    <w:rPr>
      <w:rFonts w:ascii="Segoe UI" w:hAnsi="Segoe UI" w:cs="Segoe UI"/>
      <w:sz w:val="18"/>
      <w:szCs w:val="18"/>
    </w:rPr>
  </w:style>
  <w:style w:type="character" w:customStyle="1" w:styleId="BalloonTextChar">
    <w:name w:val="Balloon Text Char"/>
    <w:link w:val="BalloonText"/>
    <w:rsid w:val="001D03B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1D1A4E"/>
    <w:rPr>
      <w:color w:val="808080"/>
      <w:shd w:val="clear" w:color="auto" w:fill="E6E6E6"/>
    </w:rPr>
  </w:style>
  <w:style w:type="character" w:customStyle="1" w:styleId="FooterChar">
    <w:name w:val="Footer Char"/>
    <w:link w:val="Footer"/>
    <w:uiPriority w:val="99"/>
    <w:rsid w:val="00FC52B8"/>
    <w:rPr>
      <w:snapToGrid w:val="0"/>
      <w:kern w:val="28"/>
      <w:sz w:val="22"/>
    </w:rPr>
  </w:style>
  <w:style w:type="character" w:styleId="FollowedHyperlink">
    <w:name w:val="FollowedHyperlink"/>
    <w:basedOn w:val="DefaultParagraphFont"/>
    <w:rsid w:val="004930E9"/>
    <w:rPr>
      <w:color w:val="954F72" w:themeColor="followedHyperlink"/>
      <w:u w:val="single"/>
    </w:rPr>
  </w:style>
  <w:style w:type="character" w:customStyle="1" w:styleId="HeaderChar">
    <w:name w:val="Header Char"/>
    <w:link w:val="Header"/>
    <w:rsid w:val="00A516A7"/>
    <w:rPr>
      <w:b/>
      <w:snapToGrid w:val="0"/>
      <w:kern w:val="28"/>
      <w:sz w:val="22"/>
    </w:rPr>
  </w:style>
  <w:style w:type="character" w:customStyle="1" w:styleId="ParanumChar0">
    <w:name w:val="Paranum Char"/>
    <w:uiPriority w:val="99"/>
    <w:rsid w:val="00AC3FDA"/>
    <w:rPr>
      <w:color w:val="000000"/>
      <w:sz w:val="22"/>
      <w:lang w:val="en-US"/>
    </w:rPr>
  </w:style>
  <w:style w:type="paragraph" w:customStyle="1" w:styleId="Paranum0">
    <w:name w:val="Paranum"/>
    <w:autoRedefine/>
    <w:uiPriority w:val="99"/>
    <w:rsid w:val="00AC3FDA"/>
    <w:pPr>
      <w:numPr>
        <w:numId w:val="4"/>
      </w:numPr>
      <w:spacing w:after="240"/>
    </w:pPr>
    <w:rPr>
      <w:rFonts w:eastAsia="ヒラギノ角ゴ Pro W3"/>
      <w:b/>
      <w:color w:val="000000"/>
      <w:sz w:val="22"/>
      <w:szCs w:val="22"/>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2009C4"/>
  </w:style>
  <w:style w:type="paragraph" w:styleId="ListParagraph">
    <w:name w:val="List Paragraph"/>
    <w:basedOn w:val="Normal"/>
    <w:uiPriority w:val="34"/>
    <w:qFormat/>
    <w:rsid w:val="006C297D"/>
    <w:pPr>
      <w:ind w:left="720"/>
    </w:pPr>
    <w:rPr>
      <w:snapToGrid/>
      <w:sz w:val="24"/>
      <w:szCs w:val="24"/>
    </w:rPr>
  </w:style>
  <w:style w:type="paragraph" w:customStyle="1" w:styleId="par1">
    <w:name w:val="par1"/>
    <w:basedOn w:val="Normal"/>
    <w:link w:val="par1Char"/>
    <w:rsid w:val="00232E7E"/>
    <w:pPr>
      <w:numPr>
        <w:numId w:val="7"/>
      </w:numPr>
    </w:pPr>
    <w:rPr>
      <w:snapToGrid/>
    </w:rPr>
  </w:style>
  <w:style w:type="character" w:customStyle="1" w:styleId="par1Char">
    <w:name w:val="par1 Char"/>
    <w:link w:val="par1"/>
    <w:locked/>
    <w:rsid w:val="00232E7E"/>
    <w:rPr>
      <w:kern w:val="28"/>
      <w:sz w:val="22"/>
    </w:rPr>
  </w:style>
  <w:style w:type="paragraph" w:customStyle="1" w:styleId="Heading1A">
    <w:name w:val="Heading 1 A"/>
    <w:next w:val="Normal"/>
    <w:uiPriority w:val="99"/>
    <w:rsid w:val="00232E7E"/>
    <w:pPr>
      <w:keepNext/>
      <w:suppressAutoHyphens/>
      <w:spacing w:after="120"/>
      <w:outlineLvl w:val="0"/>
    </w:pPr>
    <w:rPr>
      <w:rFonts w:ascii="Times New Roman Bold" w:hAnsi="Times New Roman Bold"/>
      <w:caps/>
      <w:color w:val="000000"/>
      <w:sz w:val="24"/>
    </w:rPr>
  </w:style>
  <w:style w:type="paragraph" w:styleId="Revision">
    <w:name w:val="Revision"/>
    <w:hidden/>
    <w:uiPriority w:val="99"/>
    <w:semiHidden/>
    <w:rsid w:val="0075018B"/>
    <w:rPr>
      <w:snapToGrid w:val="0"/>
      <w:kern w:val="28"/>
      <w:sz w:val="22"/>
    </w:rPr>
  </w:style>
  <w:style w:type="paragraph" w:styleId="Bibliography">
    <w:name w:val="Bibliography"/>
    <w:basedOn w:val="Normal"/>
    <w:next w:val="Normal"/>
    <w:uiPriority w:val="37"/>
    <w:semiHidden/>
    <w:unhideWhenUsed/>
    <w:rsid w:val="002235B3"/>
  </w:style>
  <w:style w:type="paragraph" w:styleId="BodyText2">
    <w:name w:val="Body Text 2"/>
    <w:basedOn w:val="Normal"/>
    <w:link w:val="BodyText2Char"/>
    <w:rsid w:val="002235B3"/>
    <w:pPr>
      <w:spacing w:after="120" w:line="480" w:lineRule="auto"/>
    </w:pPr>
  </w:style>
  <w:style w:type="character" w:customStyle="1" w:styleId="BodyText2Char">
    <w:name w:val="Body Text 2 Char"/>
    <w:basedOn w:val="DefaultParagraphFont"/>
    <w:link w:val="BodyText2"/>
    <w:rsid w:val="002235B3"/>
    <w:rPr>
      <w:snapToGrid w:val="0"/>
      <w:kern w:val="28"/>
      <w:sz w:val="22"/>
    </w:rPr>
  </w:style>
  <w:style w:type="paragraph" w:styleId="BodyText3">
    <w:name w:val="Body Text 3"/>
    <w:basedOn w:val="Normal"/>
    <w:link w:val="BodyText3Char"/>
    <w:rsid w:val="002235B3"/>
    <w:pPr>
      <w:spacing w:after="120"/>
    </w:pPr>
    <w:rPr>
      <w:sz w:val="16"/>
      <w:szCs w:val="16"/>
    </w:rPr>
  </w:style>
  <w:style w:type="character" w:customStyle="1" w:styleId="BodyText3Char">
    <w:name w:val="Body Text 3 Char"/>
    <w:basedOn w:val="DefaultParagraphFont"/>
    <w:link w:val="BodyText3"/>
    <w:rsid w:val="002235B3"/>
    <w:rPr>
      <w:snapToGrid w:val="0"/>
      <w:kern w:val="28"/>
      <w:sz w:val="16"/>
      <w:szCs w:val="16"/>
    </w:rPr>
  </w:style>
  <w:style w:type="paragraph" w:styleId="BodyTextFirstIndent">
    <w:name w:val="Body Text First Indent"/>
    <w:basedOn w:val="BodyText"/>
    <w:link w:val="BodyTextFirstIndentChar"/>
    <w:rsid w:val="002235B3"/>
    <w:pPr>
      <w:ind w:firstLine="360"/>
    </w:pPr>
    <w:rPr>
      <w:b w:val="0"/>
      <w:sz w:val="22"/>
      <w:u w:val="none"/>
    </w:rPr>
  </w:style>
  <w:style w:type="character" w:customStyle="1" w:styleId="BodyTextFirstIndentChar">
    <w:name w:val="Body Text First Indent Char"/>
    <w:basedOn w:val="BodyTextChar"/>
    <w:link w:val="BodyTextFirstIndent"/>
    <w:rsid w:val="002235B3"/>
    <w:rPr>
      <w:b w:val="0"/>
      <w:snapToGrid w:val="0"/>
      <w:kern w:val="28"/>
      <w:sz w:val="22"/>
      <w:u w:val="single"/>
    </w:rPr>
  </w:style>
  <w:style w:type="paragraph" w:styleId="BodyTextIndent">
    <w:name w:val="Body Text Indent"/>
    <w:basedOn w:val="Normal"/>
    <w:link w:val="BodyTextIndentChar"/>
    <w:rsid w:val="002235B3"/>
    <w:pPr>
      <w:spacing w:after="120"/>
      <w:ind w:left="360"/>
    </w:pPr>
  </w:style>
  <w:style w:type="character" w:customStyle="1" w:styleId="BodyTextIndentChar">
    <w:name w:val="Body Text Indent Char"/>
    <w:basedOn w:val="DefaultParagraphFont"/>
    <w:link w:val="BodyTextIndent"/>
    <w:rsid w:val="002235B3"/>
    <w:rPr>
      <w:snapToGrid w:val="0"/>
      <w:kern w:val="28"/>
      <w:sz w:val="22"/>
    </w:rPr>
  </w:style>
  <w:style w:type="paragraph" w:styleId="BodyTextFirstIndent2">
    <w:name w:val="Body Text First Indent 2"/>
    <w:basedOn w:val="BodyTextIndent"/>
    <w:link w:val="BodyTextFirstIndent2Char"/>
    <w:rsid w:val="002235B3"/>
    <w:pPr>
      <w:spacing w:after="0"/>
      <w:ind w:firstLine="360"/>
    </w:pPr>
  </w:style>
  <w:style w:type="character" w:customStyle="1" w:styleId="BodyTextFirstIndent2Char">
    <w:name w:val="Body Text First Indent 2 Char"/>
    <w:basedOn w:val="BodyTextIndentChar"/>
    <w:link w:val="BodyTextFirstIndent2"/>
    <w:rsid w:val="002235B3"/>
    <w:rPr>
      <w:snapToGrid w:val="0"/>
      <w:kern w:val="28"/>
      <w:sz w:val="22"/>
    </w:rPr>
  </w:style>
  <w:style w:type="paragraph" w:styleId="BodyTextIndent2">
    <w:name w:val="Body Text Indent 2"/>
    <w:basedOn w:val="Normal"/>
    <w:link w:val="BodyTextIndent2Char"/>
    <w:rsid w:val="002235B3"/>
    <w:pPr>
      <w:spacing w:after="120" w:line="480" w:lineRule="auto"/>
      <w:ind w:left="360"/>
    </w:pPr>
  </w:style>
  <w:style w:type="character" w:customStyle="1" w:styleId="BodyTextIndent2Char">
    <w:name w:val="Body Text Indent 2 Char"/>
    <w:basedOn w:val="DefaultParagraphFont"/>
    <w:link w:val="BodyTextIndent2"/>
    <w:rsid w:val="002235B3"/>
    <w:rPr>
      <w:snapToGrid w:val="0"/>
      <w:kern w:val="28"/>
      <w:sz w:val="22"/>
    </w:rPr>
  </w:style>
  <w:style w:type="paragraph" w:styleId="BodyTextIndent3">
    <w:name w:val="Body Text Indent 3"/>
    <w:basedOn w:val="Normal"/>
    <w:link w:val="BodyTextIndent3Char"/>
    <w:rsid w:val="002235B3"/>
    <w:pPr>
      <w:spacing w:after="120"/>
      <w:ind w:left="360"/>
    </w:pPr>
    <w:rPr>
      <w:sz w:val="16"/>
      <w:szCs w:val="16"/>
    </w:rPr>
  </w:style>
  <w:style w:type="character" w:customStyle="1" w:styleId="BodyTextIndent3Char">
    <w:name w:val="Body Text Indent 3 Char"/>
    <w:basedOn w:val="DefaultParagraphFont"/>
    <w:link w:val="BodyTextIndent3"/>
    <w:rsid w:val="002235B3"/>
    <w:rPr>
      <w:snapToGrid w:val="0"/>
      <w:kern w:val="28"/>
      <w:sz w:val="16"/>
      <w:szCs w:val="16"/>
    </w:rPr>
  </w:style>
  <w:style w:type="paragraph" w:styleId="Caption">
    <w:name w:val="caption"/>
    <w:basedOn w:val="Normal"/>
    <w:next w:val="Normal"/>
    <w:semiHidden/>
    <w:unhideWhenUsed/>
    <w:qFormat/>
    <w:rsid w:val="002235B3"/>
    <w:pPr>
      <w:spacing w:after="200"/>
    </w:pPr>
    <w:rPr>
      <w:i/>
      <w:iCs/>
      <w:color w:val="44546A" w:themeColor="text2"/>
      <w:sz w:val="18"/>
      <w:szCs w:val="18"/>
    </w:rPr>
  </w:style>
  <w:style w:type="paragraph" w:styleId="Closing">
    <w:name w:val="Closing"/>
    <w:basedOn w:val="Normal"/>
    <w:link w:val="ClosingChar"/>
    <w:rsid w:val="002235B3"/>
    <w:pPr>
      <w:ind w:left="4320"/>
    </w:pPr>
  </w:style>
  <w:style w:type="character" w:customStyle="1" w:styleId="ClosingChar">
    <w:name w:val="Closing Char"/>
    <w:basedOn w:val="DefaultParagraphFont"/>
    <w:link w:val="Closing"/>
    <w:rsid w:val="002235B3"/>
    <w:rPr>
      <w:snapToGrid w:val="0"/>
      <w:kern w:val="28"/>
      <w:sz w:val="22"/>
    </w:rPr>
  </w:style>
  <w:style w:type="paragraph" w:styleId="Date">
    <w:name w:val="Date"/>
    <w:basedOn w:val="Normal"/>
    <w:next w:val="Normal"/>
    <w:link w:val="DateChar"/>
    <w:rsid w:val="002235B3"/>
  </w:style>
  <w:style w:type="character" w:customStyle="1" w:styleId="DateChar">
    <w:name w:val="Date Char"/>
    <w:basedOn w:val="DefaultParagraphFont"/>
    <w:link w:val="Date"/>
    <w:rsid w:val="002235B3"/>
    <w:rPr>
      <w:snapToGrid w:val="0"/>
      <w:kern w:val="28"/>
      <w:sz w:val="22"/>
    </w:rPr>
  </w:style>
  <w:style w:type="paragraph" w:styleId="DocumentMap">
    <w:name w:val="Document Map"/>
    <w:basedOn w:val="Normal"/>
    <w:link w:val="DocumentMapChar"/>
    <w:rsid w:val="002235B3"/>
    <w:rPr>
      <w:rFonts w:ascii="Segoe UI" w:hAnsi="Segoe UI" w:cs="Segoe UI"/>
      <w:sz w:val="16"/>
      <w:szCs w:val="16"/>
    </w:rPr>
  </w:style>
  <w:style w:type="character" w:customStyle="1" w:styleId="DocumentMapChar">
    <w:name w:val="Document Map Char"/>
    <w:basedOn w:val="DefaultParagraphFont"/>
    <w:link w:val="DocumentMap"/>
    <w:rsid w:val="002235B3"/>
    <w:rPr>
      <w:rFonts w:ascii="Segoe UI" w:hAnsi="Segoe UI" w:cs="Segoe UI"/>
      <w:snapToGrid w:val="0"/>
      <w:kern w:val="28"/>
      <w:sz w:val="16"/>
      <w:szCs w:val="16"/>
    </w:rPr>
  </w:style>
  <w:style w:type="paragraph" w:styleId="E-mailSignature">
    <w:name w:val="E-mail Signature"/>
    <w:basedOn w:val="Normal"/>
    <w:link w:val="E-mailSignatureChar"/>
    <w:rsid w:val="002235B3"/>
  </w:style>
  <w:style w:type="character" w:customStyle="1" w:styleId="E-mailSignatureChar">
    <w:name w:val="E-mail Signature Char"/>
    <w:basedOn w:val="DefaultParagraphFont"/>
    <w:link w:val="E-mailSignature"/>
    <w:rsid w:val="002235B3"/>
    <w:rPr>
      <w:snapToGrid w:val="0"/>
      <w:kern w:val="28"/>
      <w:sz w:val="22"/>
    </w:rPr>
  </w:style>
  <w:style w:type="paragraph" w:styleId="EnvelopeAddress">
    <w:name w:val="envelope address"/>
    <w:basedOn w:val="Normal"/>
    <w:rsid w:val="002235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235B3"/>
    <w:rPr>
      <w:rFonts w:asciiTheme="majorHAnsi" w:eastAsiaTheme="majorEastAsia" w:hAnsiTheme="majorHAnsi" w:cstheme="majorBidi"/>
      <w:sz w:val="20"/>
    </w:rPr>
  </w:style>
  <w:style w:type="paragraph" w:styleId="HTMLAddress">
    <w:name w:val="HTML Address"/>
    <w:basedOn w:val="Normal"/>
    <w:link w:val="HTMLAddressChar"/>
    <w:rsid w:val="002235B3"/>
    <w:rPr>
      <w:i/>
      <w:iCs/>
    </w:rPr>
  </w:style>
  <w:style w:type="character" w:customStyle="1" w:styleId="HTMLAddressChar">
    <w:name w:val="HTML Address Char"/>
    <w:basedOn w:val="DefaultParagraphFont"/>
    <w:link w:val="HTMLAddress"/>
    <w:rsid w:val="002235B3"/>
    <w:rPr>
      <w:i/>
      <w:iCs/>
      <w:snapToGrid w:val="0"/>
      <w:kern w:val="28"/>
      <w:sz w:val="22"/>
    </w:rPr>
  </w:style>
  <w:style w:type="paragraph" w:styleId="HTMLPreformatted">
    <w:name w:val="HTML Preformatted"/>
    <w:basedOn w:val="Normal"/>
    <w:link w:val="HTMLPreformattedChar"/>
    <w:rsid w:val="002235B3"/>
    <w:rPr>
      <w:rFonts w:ascii="Consolas" w:hAnsi="Consolas"/>
      <w:sz w:val="20"/>
    </w:rPr>
  </w:style>
  <w:style w:type="character" w:customStyle="1" w:styleId="HTMLPreformattedChar">
    <w:name w:val="HTML Preformatted Char"/>
    <w:basedOn w:val="DefaultParagraphFont"/>
    <w:link w:val="HTMLPreformatted"/>
    <w:rsid w:val="002235B3"/>
    <w:rPr>
      <w:rFonts w:ascii="Consolas" w:hAnsi="Consolas"/>
      <w:snapToGrid w:val="0"/>
      <w:kern w:val="28"/>
    </w:rPr>
  </w:style>
  <w:style w:type="paragraph" w:styleId="Index1">
    <w:name w:val="index 1"/>
    <w:basedOn w:val="Normal"/>
    <w:next w:val="Normal"/>
    <w:autoRedefine/>
    <w:rsid w:val="002235B3"/>
    <w:pPr>
      <w:ind w:left="220" w:hanging="220"/>
    </w:pPr>
  </w:style>
  <w:style w:type="paragraph" w:styleId="Index2">
    <w:name w:val="index 2"/>
    <w:basedOn w:val="Normal"/>
    <w:next w:val="Normal"/>
    <w:autoRedefine/>
    <w:rsid w:val="002235B3"/>
    <w:pPr>
      <w:ind w:left="440" w:hanging="220"/>
    </w:pPr>
  </w:style>
  <w:style w:type="paragraph" w:styleId="Index3">
    <w:name w:val="index 3"/>
    <w:basedOn w:val="Normal"/>
    <w:next w:val="Normal"/>
    <w:autoRedefine/>
    <w:rsid w:val="002235B3"/>
    <w:pPr>
      <w:ind w:left="660" w:hanging="220"/>
    </w:pPr>
  </w:style>
  <w:style w:type="paragraph" w:styleId="Index4">
    <w:name w:val="index 4"/>
    <w:basedOn w:val="Normal"/>
    <w:next w:val="Normal"/>
    <w:autoRedefine/>
    <w:rsid w:val="002235B3"/>
    <w:pPr>
      <w:ind w:left="880" w:hanging="220"/>
    </w:pPr>
  </w:style>
  <w:style w:type="paragraph" w:styleId="Index5">
    <w:name w:val="index 5"/>
    <w:basedOn w:val="Normal"/>
    <w:next w:val="Normal"/>
    <w:autoRedefine/>
    <w:rsid w:val="002235B3"/>
    <w:pPr>
      <w:ind w:left="1100" w:hanging="220"/>
    </w:pPr>
  </w:style>
  <w:style w:type="paragraph" w:styleId="Index6">
    <w:name w:val="index 6"/>
    <w:basedOn w:val="Normal"/>
    <w:next w:val="Normal"/>
    <w:autoRedefine/>
    <w:rsid w:val="002235B3"/>
    <w:pPr>
      <w:ind w:left="1320" w:hanging="220"/>
    </w:pPr>
  </w:style>
  <w:style w:type="paragraph" w:styleId="Index7">
    <w:name w:val="index 7"/>
    <w:basedOn w:val="Normal"/>
    <w:next w:val="Normal"/>
    <w:autoRedefine/>
    <w:rsid w:val="002235B3"/>
    <w:pPr>
      <w:ind w:left="1540" w:hanging="220"/>
    </w:pPr>
  </w:style>
  <w:style w:type="paragraph" w:styleId="Index8">
    <w:name w:val="index 8"/>
    <w:basedOn w:val="Normal"/>
    <w:next w:val="Normal"/>
    <w:autoRedefine/>
    <w:rsid w:val="002235B3"/>
    <w:pPr>
      <w:ind w:left="1760" w:hanging="220"/>
    </w:pPr>
  </w:style>
  <w:style w:type="paragraph" w:styleId="Index9">
    <w:name w:val="index 9"/>
    <w:basedOn w:val="Normal"/>
    <w:next w:val="Normal"/>
    <w:autoRedefine/>
    <w:rsid w:val="002235B3"/>
    <w:pPr>
      <w:ind w:left="1980" w:hanging="220"/>
    </w:pPr>
  </w:style>
  <w:style w:type="paragraph" w:styleId="IndexHeading">
    <w:name w:val="index heading"/>
    <w:basedOn w:val="Normal"/>
    <w:next w:val="Index1"/>
    <w:rsid w:val="002235B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235B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235B3"/>
    <w:rPr>
      <w:i/>
      <w:iCs/>
      <w:snapToGrid w:val="0"/>
      <w:color w:val="4472C4" w:themeColor="accent1"/>
      <w:kern w:val="28"/>
      <w:sz w:val="22"/>
    </w:rPr>
  </w:style>
  <w:style w:type="paragraph" w:styleId="List">
    <w:name w:val="List"/>
    <w:basedOn w:val="Normal"/>
    <w:rsid w:val="002235B3"/>
    <w:pPr>
      <w:ind w:left="360" w:hanging="360"/>
      <w:contextualSpacing/>
    </w:pPr>
  </w:style>
  <w:style w:type="paragraph" w:styleId="List2">
    <w:name w:val="List 2"/>
    <w:basedOn w:val="Normal"/>
    <w:rsid w:val="002235B3"/>
    <w:pPr>
      <w:ind w:left="720" w:hanging="360"/>
      <w:contextualSpacing/>
    </w:pPr>
  </w:style>
  <w:style w:type="paragraph" w:styleId="List3">
    <w:name w:val="List 3"/>
    <w:basedOn w:val="Normal"/>
    <w:rsid w:val="002235B3"/>
    <w:pPr>
      <w:ind w:left="1080" w:hanging="360"/>
      <w:contextualSpacing/>
    </w:pPr>
  </w:style>
  <w:style w:type="paragraph" w:styleId="List4">
    <w:name w:val="List 4"/>
    <w:basedOn w:val="Normal"/>
    <w:rsid w:val="002235B3"/>
    <w:pPr>
      <w:ind w:left="1440" w:hanging="360"/>
      <w:contextualSpacing/>
    </w:pPr>
  </w:style>
  <w:style w:type="paragraph" w:styleId="List5">
    <w:name w:val="List 5"/>
    <w:basedOn w:val="Normal"/>
    <w:rsid w:val="002235B3"/>
    <w:pPr>
      <w:ind w:left="1800" w:hanging="360"/>
      <w:contextualSpacing/>
    </w:pPr>
  </w:style>
  <w:style w:type="paragraph" w:styleId="ListBullet">
    <w:name w:val="List Bullet"/>
    <w:basedOn w:val="Normal"/>
    <w:rsid w:val="002235B3"/>
    <w:pPr>
      <w:numPr>
        <w:numId w:val="12"/>
      </w:numPr>
      <w:contextualSpacing/>
    </w:pPr>
  </w:style>
  <w:style w:type="paragraph" w:styleId="ListBullet2">
    <w:name w:val="List Bullet 2"/>
    <w:basedOn w:val="Normal"/>
    <w:rsid w:val="002235B3"/>
    <w:pPr>
      <w:numPr>
        <w:numId w:val="13"/>
      </w:numPr>
      <w:contextualSpacing/>
    </w:pPr>
  </w:style>
  <w:style w:type="paragraph" w:styleId="ListBullet3">
    <w:name w:val="List Bullet 3"/>
    <w:basedOn w:val="Normal"/>
    <w:rsid w:val="002235B3"/>
    <w:pPr>
      <w:numPr>
        <w:numId w:val="14"/>
      </w:numPr>
      <w:contextualSpacing/>
    </w:pPr>
  </w:style>
  <w:style w:type="paragraph" w:styleId="ListBullet4">
    <w:name w:val="List Bullet 4"/>
    <w:basedOn w:val="Normal"/>
    <w:rsid w:val="002235B3"/>
    <w:pPr>
      <w:numPr>
        <w:numId w:val="15"/>
      </w:numPr>
      <w:contextualSpacing/>
    </w:pPr>
  </w:style>
  <w:style w:type="paragraph" w:styleId="ListBullet5">
    <w:name w:val="List Bullet 5"/>
    <w:basedOn w:val="Normal"/>
    <w:rsid w:val="002235B3"/>
    <w:pPr>
      <w:numPr>
        <w:numId w:val="16"/>
      </w:numPr>
      <w:contextualSpacing/>
    </w:pPr>
  </w:style>
  <w:style w:type="paragraph" w:styleId="ListContinue">
    <w:name w:val="List Continue"/>
    <w:basedOn w:val="Normal"/>
    <w:rsid w:val="002235B3"/>
    <w:pPr>
      <w:spacing w:after="120"/>
      <w:ind w:left="360"/>
      <w:contextualSpacing/>
    </w:pPr>
  </w:style>
  <w:style w:type="paragraph" w:styleId="ListContinue2">
    <w:name w:val="List Continue 2"/>
    <w:basedOn w:val="Normal"/>
    <w:rsid w:val="002235B3"/>
    <w:pPr>
      <w:spacing w:after="120"/>
      <w:ind w:left="720"/>
      <w:contextualSpacing/>
    </w:pPr>
  </w:style>
  <w:style w:type="paragraph" w:styleId="ListContinue3">
    <w:name w:val="List Continue 3"/>
    <w:basedOn w:val="Normal"/>
    <w:rsid w:val="002235B3"/>
    <w:pPr>
      <w:spacing w:after="120"/>
      <w:ind w:left="1080"/>
      <w:contextualSpacing/>
    </w:pPr>
  </w:style>
  <w:style w:type="paragraph" w:styleId="ListContinue4">
    <w:name w:val="List Continue 4"/>
    <w:basedOn w:val="Normal"/>
    <w:rsid w:val="002235B3"/>
    <w:pPr>
      <w:spacing w:after="120"/>
      <w:ind w:left="1440"/>
      <w:contextualSpacing/>
    </w:pPr>
  </w:style>
  <w:style w:type="paragraph" w:styleId="ListContinue5">
    <w:name w:val="List Continue 5"/>
    <w:basedOn w:val="Normal"/>
    <w:rsid w:val="002235B3"/>
    <w:pPr>
      <w:spacing w:after="120"/>
      <w:ind w:left="1800"/>
      <w:contextualSpacing/>
    </w:pPr>
  </w:style>
  <w:style w:type="paragraph" w:styleId="ListNumber">
    <w:name w:val="List Number"/>
    <w:basedOn w:val="Normal"/>
    <w:rsid w:val="002235B3"/>
    <w:pPr>
      <w:numPr>
        <w:numId w:val="17"/>
      </w:numPr>
      <w:contextualSpacing/>
    </w:pPr>
  </w:style>
  <w:style w:type="paragraph" w:styleId="ListNumber2">
    <w:name w:val="List Number 2"/>
    <w:basedOn w:val="Normal"/>
    <w:rsid w:val="002235B3"/>
    <w:pPr>
      <w:numPr>
        <w:numId w:val="18"/>
      </w:numPr>
      <w:contextualSpacing/>
    </w:pPr>
  </w:style>
  <w:style w:type="paragraph" w:styleId="ListNumber3">
    <w:name w:val="List Number 3"/>
    <w:basedOn w:val="Normal"/>
    <w:rsid w:val="002235B3"/>
    <w:pPr>
      <w:numPr>
        <w:numId w:val="19"/>
      </w:numPr>
      <w:contextualSpacing/>
    </w:pPr>
  </w:style>
  <w:style w:type="paragraph" w:styleId="ListNumber4">
    <w:name w:val="List Number 4"/>
    <w:basedOn w:val="Normal"/>
    <w:rsid w:val="002235B3"/>
    <w:pPr>
      <w:numPr>
        <w:numId w:val="20"/>
      </w:numPr>
      <w:contextualSpacing/>
    </w:pPr>
  </w:style>
  <w:style w:type="paragraph" w:styleId="ListNumber5">
    <w:name w:val="List Number 5"/>
    <w:basedOn w:val="Normal"/>
    <w:rsid w:val="002235B3"/>
    <w:pPr>
      <w:numPr>
        <w:numId w:val="21"/>
      </w:numPr>
      <w:contextualSpacing/>
    </w:pPr>
  </w:style>
  <w:style w:type="paragraph" w:styleId="Macro">
    <w:name w:val="macro"/>
    <w:link w:val="MacroTextChar"/>
    <w:rsid w:val="002235B3"/>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kern w:val="28"/>
    </w:rPr>
  </w:style>
  <w:style w:type="character" w:customStyle="1" w:styleId="MacroTextChar">
    <w:name w:val="Macro Text Char"/>
    <w:basedOn w:val="DefaultParagraphFont"/>
    <w:link w:val="Macro"/>
    <w:rsid w:val="002235B3"/>
    <w:rPr>
      <w:rFonts w:ascii="Consolas" w:hAnsi="Consolas"/>
      <w:snapToGrid w:val="0"/>
      <w:kern w:val="28"/>
    </w:rPr>
  </w:style>
  <w:style w:type="paragraph" w:styleId="MessageHeader">
    <w:name w:val="Message Header"/>
    <w:basedOn w:val="Normal"/>
    <w:link w:val="MessageHeaderChar"/>
    <w:rsid w:val="002235B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235B3"/>
    <w:rPr>
      <w:rFonts w:asciiTheme="majorHAnsi" w:eastAsiaTheme="majorEastAsia" w:hAnsiTheme="majorHAnsi" w:cstheme="majorBidi"/>
      <w:snapToGrid w:val="0"/>
      <w:kern w:val="28"/>
      <w:sz w:val="24"/>
      <w:szCs w:val="24"/>
      <w:shd w:val="pct20" w:color="auto" w:fill="auto"/>
    </w:rPr>
  </w:style>
  <w:style w:type="paragraph" w:styleId="NoSpacing">
    <w:name w:val="No Spacing"/>
    <w:uiPriority w:val="1"/>
    <w:qFormat/>
    <w:rsid w:val="002235B3"/>
    <w:pPr>
      <w:widowControl w:val="0"/>
    </w:pPr>
    <w:rPr>
      <w:snapToGrid w:val="0"/>
      <w:kern w:val="28"/>
      <w:sz w:val="22"/>
    </w:rPr>
  </w:style>
  <w:style w:type="paragraph" w:styleId="NormalWeb">
    <w:name w:val="Normal (Web)"/>
    <w:basedOn w:val="Normal"/>
    <w:rsid w:val="002235B3"/>
    <w:rPr>
      <w:sz w:val="24"/>
      <w:szCs w:val="24"/>
    </w:rPr>
  </w:style>
  <w:style w:type="paragraph" w:styleId="NormalIndent">
    <w:name w:val="Normal Indent"/>
    <w:basedOn w:val="Normal"/>
    <w:rsid w:val="002235B3"/>
    <w:pPr>
      <w:ind w:left="720"/>
    </w:pPr>
  </w:style>
  <w:style w:type="paragraph" w:styleId="NoteHeading">
    <w:name w:val="Note Heading"/>
    <w:basedOn w:val="Normal"/>
    <w:next w:val="Normal"/>
    <w:link w:val="NoteHeadingChar"/>
    <w:rsid w:val="002235B3"/>
  </w:style>
  <w:style w:type="character" w:customStyle="1" w:styleId="NoteHeadingChar">
    <w:name w:val="Note Heading Char"/>
    <w:basedOn w:val="DefaultParagraphFont"/>
    <w:link w:val="NoteHeading"/>
    <w:rsid w:val="002235B3"/>
    <w:rPr>
      <w:snapToGrid w:val="0"/>
      <w:kern w:val="28"/>
      <w:sz w:val="22"/>
    </w:rPr>
  </w:style>
  <w:style w:type="paragraph" w:styleId="PlainText">
    <w:name w:val="Plain Text"/>
    <w:basedOn w:val="Normal"/>
    <w:link w:val="PlainTextChar"/>
    <w:rsid w:val="002235B3"/>
    <w:rPr>
      <w:rFonts w:ascii="Consolas" w:hAnsi="Consolas"/>
      <w:sz w:val="21"/>
      <w:szCs w:val="21"/>
    </w:rPr>
  </w:style>
  <w:style w:type="character" w:customStyle="1" w:styleId="PlainTextChar">
    <w:name w:val="Plain Text Char"/>
    <w:basedOn w:val="DefaultParagraphFont"/>
    <w:link w:val="PlainText"/>
    <w:rsid w:val="002235B3"/>
    <w:rPr>
      <w:rFonts w:ascii="Consolas" w:hAnsi="Consolas"/>
      <w:snapToGrid w:val="0"/>
      <w:kern w:val="28"/>
      <w:sz w:val="21"/>
      <w:szCs w:val="21"/>
    </w:rPr>
  </w:style>
  <w:style w:type="paragraph" w:styleId="Quote">
    <w:name w:val="Quote"/>
    <w:basedOn w:val="Normal"/>
    <w:next w:val="Normal"/>
    <w:link w:val="QuoteChar"/>
    <w:uiPriority w:val="29"/>
    <w:qFormat/>
    <w:rsid w:val="002235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35B3"/>
    <w:rPr>
      <w:i/>
      <w:iCs/>
      <w:snapToGrid w:val="0"/>
      <w:color w:val="404040" w:themeColor="text1" w:themeTint="BF"/>
      <w:kern w:val="28"/>
      <w:sz w:val="22"/>
    </w:rPr>
  </w:style>
  <w:style w:type="paragraph" w:styleId="Salutation">
    <w:name w:val="Salutation"/>
    <w:basedOn w:val="Normal"/>
    <w:next w:val="Normal"/>
    <w:link w:val="SalutationChar"/>
    <w:rsid w:val="002235B3"/>
  </w:style>
  <w:style w:type="character" w:customStyle="1" w:styleId="SalutationChar">
    <w:name w:val="Salutation Char"/>
    <w:basedOn w:val="DefaultParagraphFont"/>
    <w:link w:val="Salutation"/>
    <w:rsid w:val="002235B3"/>
    <w:rPr>
      <w:snapToGrid w:val="0"/>
      <w:kern w:val="28"/>
      <w:sz w:val="22"/>
    </w:rPr>
  </w:style>
  <w:style w:type="paragraph" w:styleId="Signature">
    <w:name w:val="Signature"/>
    <w:basedOn w:val="Normal"/>
    <w:link w:val="SignatureChar"/>
    <w:rsid w:val="002235B3"/>
    <w:pPr>
      <w:ind w:left="4320"/>
    </w:pPr>
  </w:style>
  <w:style w:type="character" w:customStyle="1" w:styleId="SignatureChar">
    <w:name w:val="Signature Char"/>
    <w:basedOn w:val="DefaultParagraphFont"/>
    <w:link w:val="Signature"/>
    <w:rsid w:val="002235B3"/>
    <w:rPr>
      <w:snapToGrid w:val="0"/>
      <w:kern w:val="28"/>
      <w:sz w:val="22"/>
    </w:rPr>
  </w:style>
  <w:style w:type="paragraph" w:styleId="Subtitle">
    <w:name w:val="Subtitle"/>
    <w:basedOn w:val="Normal"/>
    <w:next w:val="Normal"/>
    <w:link w:val="SubtitleChar"/>
    <w:qFormat/>
    <w:rsid w:val="002235B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2235B3"/>
    <w:rPr>
      <w:rFonts w:asciiTheme="minorHAnsi" w:eastAsiaTheme="minorEastAsia" w:hAnsiTheme="minorHAnsi" w:cstheme="minorBidi"/>
      <w:snapToGrid w:val="0"/>
      <w:color w:val="5A5A5A" w:themeColor="text1" w:themeTint="A5"/>
      <w:spacing w:val="15"/>
      <w:kern w:val="28"/>
      <w:sz w:val="22"/>
      <w:szCs w:val="22"/>
    </w:rPr>
  </w:style>
  <w:style w:type="paragraph" w:styleId="TableofAuthorities">
    <w:name w:val="table of authorities"/>
    <w:basedOn w:val="Normal"/>
    <w:next w:val="Normal"/>
    <w:rsid w:val="002235B3"/>
    <w:pPr>
      <w:ind w:left="220" w:hanging="220"/>
    </w:pPr>
  </w:style>
  <w:style w:type="paragraph" w:styleId="TableofFigures">
    <w:name w:val="table of figures"/>
    <w:basedOn w:val="Normal"/>
    <w:next w:val="Normal"/>
    <w:rsid w:val="002235B3"/>
  </w:style>
  <w:style w:type="paragraph" w:styleId="Title">
    <w:name w:val="Title"/>
    <w:basedOn w:val="Normal"/>
    <w:next w:val="Normal"/>
    <w:link w:val="TitleChar"/>
    <w:qFormat/>
    <w:rsid w:val="002235B3"/>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rsid w:val="002235B3"/>
    <w:rPr>
      <w:rFonts w:asciiTheme="majorHAnsi" w:eastAsiaTheme="majorEastAsia" w:hAnsiTheme="majorHAnsi" w:cstheme="majorBidi"/>
      <w:snapToGrid w:val="0"/>
      <w:spacing w:val="-10"/>
      <w:kern w:val="28"/>
      <w:sz w:val="56"/>
      <w:szCs w:val="56"/>
    </w:rPr>
  </w:style>
  <w:style w:type="paragraph" w:styleId="TOCHeading">
    <w:name w:val="TOC Heading"/>
    <w:basedOn w:val="Heading1"/>
    <w:next w:val="Normal"/>
    <w:uiPriority w:val="39"/>
    <w:semiHidden/>
    <w:unhideWhenUsed/>
    <w:qFormat/>
    <w:rsid w:val="002235B3"/>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