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1065A" w:rsidRPr="0041065A" w:rsidP="0041065A">
      <w:pPr>
        <w:jc w:val="center"/>
        <w:rPr>
          <w:b/>
          <w:szCs w:val="22"/>
        </w:rPr>
      </w:pPr>
      <w:r w:rsidRPr="0041065A">
        <w:rPr>
          <w:b/>
          <w:szCs w:val="22"/>
        </w:rPr>
        <w:t>STATEMENT OF</w:t>
      </w:r>
    </w:p>
    <w:p w:rsidR="00F579CC" w:rsidP="00F579CC">
      <w:pPr>
        <w:jc w:val="center"/>
        <w:rPr>
          <w:b/>
        </w:rPr>
      </w:pPr>
      <w:r w:rsidRPr="00502D1F">
        <w:rPr>
          <w:b/>
        </w:rPr>
        <w:t xml:space="preserve">COMMISSIONER </w:t>
      </w:r>
      <w:r>
        <w:rPr>
          <w:b/>
        </w:rPr>
        <w:t>MICHAEL O’RIELLY,</w:t>
      </w:r>
    </w:p>
    <w:p w:rsidR="00F579CC" w:rsidRPr="00502D1F" w:rsidP="00F579CC">
      <w:pPr>
        <w:jc w:val="center"/>
        <w:rPr>
          <w:b/>
        </w:rPr>
      </w:pPr>
      <w:r>
        <w:rPr>
          <w:b/>
        </w:rPr>
        <w:t>APPROVING IN PART AND DISSENTING IN PART</w:t>
      </w:r>
    </w:p>
    <w:p w:rsidR="00F579CC" w:rsidP="00F579CC">
      <w:pPr>
        <w:spacing w:before="120" w:after="120"/>
        <w:ind w:left="720" w:hanging="720"/>
        <w:rPr>
          <w:szCs w:val="22"/>
        </w:rPr>
      </w:pPr>
      <w:r w:rsidRPr="0041065A">
        <w:rPr>
          <w:szCs w:val="22"/>
        </w:rPr>
        <w:t>Re:</w:t>
      </w:r>
      <w:r w:rsidRPr="0041065A">
        <w:rPr>
          <w:szCs w:val="22"/>
        </w:rPr>
        <w:tab/>
      </w:r>
      <w:r w:rsidRPr="0041065A">
        <w:rPr>
          <w:i/>
          <w:szCs w:val="22"/>
        </w:rPr>
        <w:t>Modernizing the E-Rate Program for Schools and Libraries</w:t>
      </w:r>
      <w:r w:rsidRPr="0041065A">
        <w:rPr>
          <w:szCs w:val="22"/>
        </w:rPr>
        <w:t>, WC Docket No. 13-184,</w:t>
      </w:r>
      <w:r>
        <w:t xml:space="preserve"> </w:t>
      </w:r>
      <w:r w:rsidRPr="0041065A">
        <w:rPr>
          <w:szCs w:val="22"/>
        </w:rPr>
        <w:t>Notice of Proposed Rulemaking</w:t>
      </w:r>
    </w:p>
    <w:p w:rsidR="00F579CC" w:rsidP="00F579CC">
      <w:pPr>
        <w:spacing w:before="120" w:after="120"/>
        <w:ind w:firstLine="720"/>
        <w:rPr>
          <w:szCs w:val="22"/>
        </w:rPr>
      </w:pPr>
      <w:r>
        <w:t>This rulemaking</w:t>
      </w:r>
      <w:r w:rsidRPr="001677A4">
        <w:t xml:space="preserve"> </w:t>
      </w:r>
      <w:r>
        <w:t xml:space="preserve">seeks to establish a more permanent and predictable category two budget approach for E-Rate applicants, and I approve of it to the extent that it would not disrupt the status quo.  Nonetheless, </w:t>
      </w:r>
      <w:r w:rsidRPr="001677A4">
        <w:t>I</w:t>
      </w:r>
      <w:r>
        <w:t xml:space="preserve"> strongly objected to certain components of the five-year budgets adopted in 2014, as did many others, and I cannot endorse maintaining the elements that I have always considered problematic, including the flatly absurd idea devised by the previous Chairman to allocate libraries’ E-Rate support on a square foot basis.  We certainly could have pursued a rulemaking exploring the overall budget approach without having to endorse objectionable policies.  </w:t>
      </w:r>
      <w:bookmarkStart w:id="0" w:name="_GoBack"/>
      <w:bookmarkEnd w:id="0"/>
    </w:p>
    <w:p w:rsidR="00F579CC" w:rsidRPr="00F579CC" w:rsidP="00F579CC">
      <w:pPr>
        <w:spacing w:before="120" w:after="120"/>
        <w:ind w:firstLine="720"/>
        <w:rPr>
          <w:szCs w:val="22"/>
        </w:rPr>
      </w:pPr>
      <w:r w:rsidRPr="00502D1F">
        <w:t xml:space="preserve">That being said, </w:t>
      </w:r>
      <w:r>
        <w:t>my</w:t>
      </w:r>
      <w:r>
        <w:t xml:space="preserve"> misgivings over our category two approach pale in comparison to my concerns over our “special construction” policy.  As I warned back in 2014, insufficient guardrails had the potential to create major USF-supported overbuilding problems, and this consequence has clearly been borne out.  With recent examples of E-Rate-funded special construction builds directly competing against USF-funded fiber networks, we now know that flawed E-Rate rules are directly threatening rural broadband investment and robbing USF ratepayers of their hard-earned investments.  Damage has already been done, and it is high time that we fix the gaping hole in our rules that has allowed for such inefficiency and waste.  While I partially approve of our action today, this item missed an opportunity to take corrective steps.  I am hopeful our next action with respect to E-Rate will be laser-focused on eradicating USF-funded overbuilding.  </w:t>
      </w:r>
    </w:p>
    <w:p w:rsidR="00412FC5" w:rsidRPr="0041065A" w:rsidP="0041065A">
      <w:pPr>
        <w:pStyle w:val="Heading1"/>
        <w:numPr>
          <w:ilvl w:val="0"/>
          <w:numId w:val="0"/>
        </w:numPr>
        <w:ind w:left="720" w:hanging="720"/>
        <w:rPr>
          <w:szCs w:val="22"/>
        </w:r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04119">
    <w:pPr>
      <w:pStyle w:val="Header"/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RPr="00B04119" w:rsidP="00B04119">
    <w:pPr>
      <w:pStyle w:val="Header"/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 w:rsidRPr="00B04119">
      <w:t>Federal Communications Commission</w:t>
    </w:r>
    <w:r w:rsidRPr="00B04119">
      <w:tab/>
    </w:r>
    <w:r w:rsidRPr="00B04119" w:rsidR="0041065A">
      <w:rPr>
        <w:spacing w:val="-2"/>
      </w:rPr>
      <w:t>FCC 19-58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A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677A4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065A"/>
    <w:rsid w:val="00412FC5"/>
    <w:rsid w:val="00422276"/>
    <w:rsid w:val="004242F1"/>
    <w:rsid w:val="00445A00"/>
    <w:rsid w:val="00451B0F"/>
    <w:rsid w:val="004B282E"/>
    <w:rsid w:val="004C2EE3"/>
    <w:rsid w:val="004E4A22"/>
    <w:rsid w:val="00502D1F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4119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579CC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9F124E-95B5-4880-AB14-7CFB9F8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2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B282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B282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B282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B282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B282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B282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B282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B282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B282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B28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282E"/>
  </w:style>
  <w:style w:type="paragraph" w:customStyle="1" w:styleId="ParaNum">
    <w:name w:val="ParaNum"/>
    <w:basedOn w:val="Normal"/>
    <w:rsid w:val="004B282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B282E"/>
    <w:rPr>
      <w:sz w:val="20"/>
    </w:rPr>
  </w:style>
  <w:style w:type="character" w:styleId="EndnoteReference">
    <w:name w:val="endnote reference"/>
    <w:semiHidden/>
    <w:rsid w:val="004B282E"/>
    <w:rPr>
      <w:vertAlign w:val="superscript"/>
    </w:rPr>
  </w:style>
  <w:style w:type="paragraph" w:styleId="FootnoteText">
    <w:name w:val="footnote text"/>
    <w:rsid w:val="004B282E"/>
    <w:pPr>
      <w:spacing w:after="120"/>
    </w:pPr>
  </w:style>
  <w:style w:type="character" w:styleId="FootnoteReference">
    <w:name w:val="footnote reference"/>
    <w:rsid w:val="004B282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B282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B282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B282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B282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B282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B282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B282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B282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B282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B282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B282E"/>
  </w:style>
  <w:style w:type="paragraph" w:styleId="Header">
    <w:name w:val="header"/>
    <w:basedOn w:val="Normal"/>
    <w:autoRedefine/>
    <w:rsid w:val="004B282E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B28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282E"/>
  </w:style>
  <w:style w:type="paragraph" w:styleId="BlockText">
    <w:name w:val="Block Text"/>
    <w:basedOn w:val="Normal"/>
    <w:rsid w:val="004B282E"/>
    <w:pPr>
      <w:spacing w:after="240"/>
      <w:ind w:left="1440" w:right="1440"/>
    </w:pPr>
  </w:style>
  <w:style w:type="paragraph" w:customStyle="1" w:styleId="Paratitle">
    <w:name w:val="Para title"/>
    <w:basedOn w:val="Normal"/>
    <w:rsid w:val="004B282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B282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B282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B282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B282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B28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B282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