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C74D97" w:rsidRPr="00327FE1" w:rsidP="00C74D97">
            <w:pPr>
              <w:tabs>
                <w:tab w:val="center" w:pos="4680"/>
              </w:tabs>
              <w:suppressAutoHyphens/>
              <w:rPr>
                <w:rFonts w:eastAsia="Calibri"/>
                <w:spacing w:val="-2"/>
              </w:rPr>
            </w:pPr>
            <w:r w:rsidRPr="00327FE1">
              <w:rPr>
                <w:rFonts w:eastAsia="Calibri"/>
                <w:spacing w:val="-2"/>
              </w:rPr>
              <w:t>Entercom</w:t>
            </w:r>
            <w:r w:rsidRPr="00327FE1">
              <w:rPr>
                <w:rFonts w:eastAsia="Calibri"/>
                <w:spacing w:val="-2"/>
              </w:rPr>
              <w:t xml:space="preserve"> Sacramento License, LLC</w:t>
            </w:r>
          </w:p>
          <w:p w:rsidR="00C74D97" w:rsidRPr="00327FE1" w:rsidP="00C74D97">
            <w:pPr>
              <w:tabs>
                <w:tab w:val="center" w:pos="4680"/>
              </w:tabs>
              <w:suppressAutoHyphens/>
              <w:rPr>
                <w:rFonts w:eastAsia="Calibri"/>
                <w:spacing w:val="-2"/>
              </w:rPr>
            </w:pPr>
            <w:r w:rsidRPr="00327FE1">
              <w:rPr>
                <w:rFonts w:eastAsia="Calibri"/>
                <w:spacing w:val="-2"/>
              </w:rPr>
              <w:t>Applications for Renewals of Licenses for</w:t>
            </w:r>
          </w:p>
          <w:p w:rsidR="00C74D97" w:rsidRPr="00327FE1" w:rsidP="00C74D97">
            <w:pPr>
              <w:tabs>
                <w:tab w:val="center" w:pos="4680"/>
              </w:tabs>
              <w:suppressAutoHyphens/>
              <w:rPr>
                <w:rFonts w:eastAsia="Calibri"/>
                <w:spacing w:val="-2"/>
              </w:rPr>
            </w:pPr>
          </w:p>
          <w:p w:rsidR="00C74D97" w:rsidRPr="00327FE1" w:rsidP="00C74D97">
            <w:pPr>
              <w:tabs>
                <w:tab w:val="center" w:pos="4680"/>
              </w:tabs>
              <w:suppressAutoHyphens/>
              <w:rPr>
                <w:rFonts w:eastAsia="Calibri"/>
                <w:spacing w:val="-2"/>
              </w:rPr>
            </w:pPr>
            <w:r w:rsidRPr="00327FE1">
              <w:rPr>
                <w:rFonts w:eastAsia="Calibri"/>
                <w:spacing w:val="-2"/>
              </w:rPr>
              <w:t>KUDL(FM), Sacramento, CA</w:t>
            </w:r>
          </w:p>
          <w:p w:rsidR="00C74D97" w:rsidRPr="00327FE1" w:rsidP="00C74D97">
            <w:pPr>
              <w:tabs>
                <w:tab w:val="center" w:pos="4680"/>
              </w:tabs>
              <w:suppressAutoHyphens/>
              <w:rPr>
                <w:rFonts w:eastAsia="Calibri"/>
                <w:spacing w:val="-2"/>
              </w:rPr>
            </w:pPr>
            <w:r w:rsidRPr="00327FE1">
              <w:rPr>
                <w:rFonts w:eastAsia="Calibri"/>
                <w:spacing w:val="-2"/>
              </w:rPr>
              <w:tab/>
            </w:r>
            <w:r w:rsidRPr="00327FE1">
              <w:rPr>
                <w:rFonts w:eastAsia="Calibri"/>
                <w:spacing w:val="-2"/>
              </w:rPr>
              <w:tab/>
            </w:r>
            <w:r w:rsidRPr="00327FE1">
              <w:rPr>
                <w:rFonts w:eastAsia="Calibri"/>
                <w:spacing w:val="-2"/>
              </w:rPr>
              <w:tab/>
            </w:r>
          </w:p>
          <w:p w:rsidR="00C74D97" w:rsidRPr="00327FE1" w:rsidP="00C74D97">
            <w:pPr>
              <w:tabs>
                <w:tab w:val="center" w:pos="4680"/>
              </w:tabs>
              <w:suppressAutoHyphens/>
              <w:rPr>
                <w:rFonts w:eastAsia="Calibri"/>
                <w:spacing w:val="-2"/>
              </w:rPr>
            </w:pPr>
          </w:p>
          <w:p w:rsidR="00C74D97" w:rsidRPr="00327FE1" w:rsidP="00C74D97">
            <w:pPr>
              <w:tabs>
                <w:tab w:val="center" w:pos="4680"/>
              </w:tabs>
              <w:suppressAutoHyphens/>
              <w:rPr>
                <w:rFonts w:eastAsia="Calibri"/>
                <w:spacing w:val="-2"/>
              </w:rPr>
            </w:pPr>
          </w:p>
          <w:p w:rsidR="00C74D97" w:rsidRPr="00327FE1" w:rsidP="00C74D97">
            <w:pPr>
              <w:tabs>
                <w:tab w:val="center" w:pos="4680"/>
              </w:tabs>
              <w:suppressAutoHyphens/>
              <w:rPr>
                <w:rFonts w:eastAsia="Calibri"/>
                <w:spacing w:val="-2"/>
              </w:rPr>
            </w:pPr>
            <w:r w:rsidRPr="00327FE1">
              <w:rPr>
                <w:rFonts w:eastAsia="Calibri"/>
                <w:spacing w:val="-2"/>
              </w:rPr>
              <w:t>KRXQ(FM), Sacramento, CA</w:t>
            </w:r>
          </w:p>
          <w:p w:rsidR="00C74D97" w:rsidRPr="00327FE1" w:rsidP="00C74D97">
            <w:pPr>
              <w:tabs>
                <w:tab w:val="center" w:pos="4680"/>
              </w:tabs>
              <w:suppressAutoHyphens/>
              <w:rPr>
                <w:rFonts w:eastAsia="Calibri"/>
                <w:spacing w:val="-2"/>
              </w:rPr>
            </w:pPr>
          </w:p>
          <w:p w:rsidR="00C74D97" w:rsidRPr="00327FE1" w:rsidP="00C74D97">
            <w:pPr>
              <w:tabs>
                <w:tab w:val="center" w:pos="4680"/>
              </w:tabs>
              <w:suppressAutoHyphens/>
              <w:rPr>
                <w:rFonts w:eastAsia="Calibri"/>
                <w:spacing w:val="-2"/>
              </w:rPr>
            </w:pPr>
          </w:p>
          <w:p w:rsidR="00C74D97" w:rsidRPr="00327FE1" w:rsidP="00C74D97">
            <w:pPr>
              <w:tabs>
                <w:tab w:val="center" w:pos="4680"/>
              </w:tabs>
              <w:suppressAutoHyphens/>
              <w:rPr>
                <w:rFonts w:eastAsia="Calibri"/>
                <w:spacing w:val="-2"/>
              </w:rPr>
            </w:pPr>
          </w:p>
          <w:p w:rsidR="00C74D97" w:rsidRPr="00327FE1" w:rsidP="00C74D97">
            <w:pPr>
              <w:tabs>
                <w:tab w:val="center" w:pos="4680"/>
              </w:tabs>
              <w:suppressAutoHyphens/>
              <w:rPr>
                <w:rFonts w:eastAsia="Calibri"/>
                <w:spacing w:val="-2"/>
              </w:rPr>
            </w:pPr>
            <w:r w:rsidRPr="00327FE1">
              <w:rPr>
                <w:rFonts w:eastAsia="Calibri"/>
                <w:spacing w:val="-2"/>
              </w:rPr>
              <w:t>KSEG(FM), Sacramento, CA</w:t>
            </w:r>
          </w:p>
          <w:p w:rsidR="00C74D97" w:rsidRPr="00327FE1" w:rsidP="00C74D97">
            <w:pPr>
              <w:tabs>
                <w:tab w:val="center" w:pos="4680"/>
              </w:tabs>
              <w:suppressAutoHyphens/>
              <w:rPr>
                <w:rFonts w:eastAsia="Calibri"/>
                <w:spacing w:val="-2"/>
              </w:rPr>
            </w:pPr>
          </w:p>
          <w:p w:rsidR="00C74D97" w:rsidRPr="00327FE1" w:rsidP="00C74D97">
            <w:pPr>
              <w:tabs>
                <w:tab w:val="center" w:pos="4680"/>
              </w:tabs>
              <w:suppressAutoHyphens/>
              <w:rPr>
                <w:rFonts w:eastAsia="Calibri"/>
                <w:spacing w:val="-2"/>
              </w:rPr>
            </w:pPr>
          </w:p>
          <w:p w:rsidR="00C74D97" w:rsidRPr="00327FE1" w:rsidP="00C74D97">
            <w:pPr>
              <w:tabs>
                <w:tab w:val="center" w:pos="4680"/>
              </w:tabs>
              <w:suppressAutoHyphens/>
              <w:rPr>
                <w:rFonts w:eastAsia="Calibri"/>
                <w:spacing w:val="-2"/>
              </w:rPr>
            </w:pPr>
          </w:p>
          <w:p w:rsidR="00C74D97" w:rsidRPr="00327FE1" w:rsidP="00C74D97">
            <w:pPr>
              <w:tabs>
                <w:tab w:val="center" w:pos="4680"/>
              </w:tabs>
              <w:suppressAutoHyphens/>
              <w:rPr>
                <w:rFonts w:eastAsia="Calibri"/>
                <w:spacing w:val="-2"/>
              </w:rPr>
            </w:pPr>
            <w:r w:rsidRPr="00327FE1">
              <w:rPr>
                <w:rFonts w:eastAsia="Calibri"/>
                <w:spacing w:val="-2"/>
              </w:rPr>
              <w:t>KKDO(FM), Fair Oaks, CA</w:t>
            </w:r>
          </w:p>
          <w:p w:rsidR="00C74D97" w:rsidRPr="00327FE1" w:rsidP="00C74D97">
            <w:pPr>
              <w:tabs>
                <w:tab w:val="center" w:pos="4680"/>
              </w:tabs>
              <w:suppressAutoHyphens/>
              <w:rPr>
                <w:rFonts w:eastAsia="Calibri"/>
                <w:spacing w:val="-2"/>
              </w:rPr>
            </w:pPr>
          </w:p>
          <w:p w:rsidR="00C74D97" w:rsidRPr="00327FE1" w:rsidP="00C74D97">
            <w:pPr>
              <w:tabs>
                <w:tab w:val="center" w:pos="4680"/>
              </w:tabs>
              <w:suppressAutoHyphens/>
              <w:rPr>
                <w:rFonts w:eastAsia="Calibri"/>
                <w:spacing w:val="-2"/>
              </w:rPr>
            </w:pPr>
          </w:p>
          <w:p w:rsidR="004C2EE3" w:rsidRPr="007115F7" w:rsidP="00C74D97">
            <w:pPr>
              <w:tabs>
                <w:tab w:val="center" w:pos="4680"/>
              </w:tabs>
              <w:suppressAutoHyphens/>
              <w:rPr>
                <w:spacing w:val="-2"/>
              </w:rPr>
            </w:pPr>
            <w:r w:rsidRPr="00327FE1">
              <w:rPr>
                <w:rFonts w:eastAsia="Calibri"/>
                <w:spacing w:val="-2"/>
              </w:rPr>
              <w:t>KIFM(AM), Sacramento, CA</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C74D97">
            <w:pPr>
              <w:tabs>
                <w:tab w:val="center" w:pos="4680"/>
              </w:tabs>
              <w:suppressAutoHyphens/>
              <w:rPr>
                <w:b/>
                <w:spacing w:val="-2"/>
              </w:rPr>
            </w:pPr>
            <w:r>
              <w:rPr>
                <w:b/>
                <w:spacing w:val="-2"/>
              </w:rPr>
              <w:t>)</w:t>
            </w:r>
          </w:p>
          <w:p w:rsidR="00C74D97">
            <w:pPr>
              <w:tabs>
                <w:tab w:val="center" w:pos="4680"/>
              </w:tabs>
              <w:suppressAutoHyphens/>
              <w:rPr>
                <w:b/>
                <w:spacing w:val="-2"/>
              </w:rPr>
            </w:pPr>
            <w:r>
              <w:rPr>
                <w:b/>
                <w:spacing w:val="-2"/>
              </w:rPr>
              <w:t>)</w:t>
            </w:r>
          </w:p>
          <w:p w:rsidR="00C74D97">
            <w:pPr>
              <w:tabs>
                <w:tab w:val="center" w:pos="4680"/>
              </w:tabs>
              <w:suppressAutoHyphens/>
              <w:rPr>
                <w:b/>
                <w:spacing w:val="-2"/>
              </w:rPr>
            </w:pPr>
            <w:r>
              <w:rPr>
                <w:b/>
                <w:spacing w:val="-2"/>
              </w:rPr>
              <w:t>)</w:t>
            </w:r>
          </w:p>
          <w:p w:rsidR="00C74D97">
            <w:pPr>
              <w:tabs>
                <w:tab w:val="center" w:pos="4680"/>
              </w:tabs>
              <w:suppressAutoHyphens/>
              <w:rPr>
                <w:b/>
                <w:spacing w:val="-2"/>
              </w:rPr>
            </w:pPr>
            <w:r>
              <w:rPr>
                <w:b/>
                <w:spacing w:val="-2"/>
              </w:rPr>
              <w:t>)</w:t>
            </w:r>
          </w:p>
          <w:p w:rsidR="00C74D97">
            <w:pPr>
              <w:tabs>
                <w:tab w:val="center" w:pos="4680"/>
              </w:tabs>
              <w:suppressAutoHyphens/>
              <w:rPr>
                <w:b/>
                <w:spacing w:val="-2"/>
              </w:rPr>
            </w:pPr>
            <w:r>
              <w:rPr>
                <w:b/>
                <w:spacing w:val="-2"/>
              </w:rPr>
              <w:t>)</w:t>
            </w:r>
          </w:p>
          <w:p w:rsidR="00C74D97">
            <w:pPr>
              <w:tabs>
                <w:tab w:val="center" w:pos="4680"/>
              </w:tabs>
              <w:suppressAutoHyphens/>
              <w:rPr>
                <w:b/>
                <w:spacing w:val="-2"/>
              </w:rPr>
            </w:pPr>
            <w:r>
              <w:rPr>
                <w:b/>
                <w:spacing w:val="-2"/>
              </w:rPr>
              <w:t>)</w:t>
            </w:r>
          </w:p>
          <w:p w:rsidR="00C74D97">
            <w:pPr>
              <w:tabs>
                <w:tab w:val="center" w:pos="4680"/>
              </w:tabs>
              <w:suppressAutoHyphens/>
              <w:rPr>
                <w:b/>
                <w:spacing w:val="-2"/>
              </w:rPr>
            </w:pPr>
            <w:r>
              <w:rPr>
                <w:b/>
                <w:spacing w:val="-2"/>
              </w:rPr>
              <w:t>)</w:t>
            </w:r>
          </w:p>
          <w:p w:rsidR="00C74D97">
            <w:pPr>
              <w:tabs>
                <w:tab w:val="center" w:pos="4680"/>
              </w:tabs>
              <w:suppressAutoHyphens/>
              <w:rPr>
                <w:b/>
                <w:spacing w:val="-2"/>
              </w:rPr>
            </w:pPr>
            <w:r>
              <w:rPr>
                <w:b/>
                <w:spacing w:val="-2"/>
              </w:rPr>
              <w:t>)</w:t>
            </w:r>
          </w:p>
          <w:p w:rsidR="00C74D97">
            <w:pPr>
              <w:tabs>
                <w:tab w:val="center" w:pos="4680"/>
              </w:tabs>
              <w:suppressAutoHyphens/>
              <w:rPr>
                <w:b/>
                <w:spacing w:val="-2"/>
              </w:rPr>
            </w:pPr>
            <w:r>
              <w:rPr>
                <w:b/>
                <w:spacing w:val="-2"/>
              </w:rPr>
              <w:t>)</w:t>
            </w:r>
          </w:p>
          <w:p w:rsidR="00C74D97">
            <w:pPr>
              <w:tabs>
                <w:tab w:val="center" w:pos="4680"/>
              </w:tabs>
              <w:suppressAutoHyphens/>
              <w:rPr>
                <w:b/>
                <w:spacing w:val="-2"/>
              </w:rPr>
            </w:pPr>
            <w:r>
              <w:rPr>
                <w:b/>
                <w:spacing w:val="-2"/>
              </w:rPr>
              <w:t>)</w:t>
            </w:r>
          </w:p>
          <w:p w:rsidR="00C74D97">
            <w:pPr>
              <w:tabs>
                <w:tab w:val="center" w:pos="4680"/>
              </w:tabs>
              <w:suppressAutoHyphens/>
              <w:rPr>
                <w:b/>
                <w:spacing w:val="-2"/>
              </w:rPr>
            </w:pPr>
            <w:r>
              <w:rPr>
                <w:b/>
                <w:spacing w:val="-2"/>
              </w:rPr>
              <w:t>)</w:t>
            </w:r>
          </w:p>
          <w:p w:rsidR="00C74D97">
            <w:pPr>
              <w:tabs>
                <w:tab w:val="center" w:pos="4680"/>
              </w:tabs>
              <w:suppressAutoHyphens/>
              <w:rPr>
                <w:b/>
                <w:spacing w:val="-2"/>
              </w:rPr>
            </w:pPr>
            <w:r>
              <w:rPr>
                <w:b/>
                <w:spacing w:val="-2"/>
              </w:rPr>
              <w:t>)</w:t>
            </w:r>
          </w:p>
          <w:p w:rsidR="00C74D97">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C74D97" w:rsidP="00C74D97">
            <w:pPr>
              <w:tabs>
                <w:tab w:val="center" w:pos="4680"/>
              </w:tabs>
              <w:suppressAutoHyphens/>
              <w:rPr>
                <w:rFonts w:eastAsia="Calibri"/>
                <w:spacing w:val="-2"/>
              </w:rPr>
            </w:pPr>
          </w:p>
          <w:p w:rsidR="00C74D97" w:rsidP="00C74D97">
            <w:pPr>
              <w:tabs>
                <w:tab w:val="center" w:pos="4680"/>
              </w:tabs>
              <w:suppressAutoHyphens/>
              <w:rPr>
                <w:rFonts w:eastAsia="Calibri"/>
                <w:spacing w:val="-2"/>
              </w:rPr>
            </w:pPr>
          </w:p>
          <w:p w:rsidR="00C74D97" w:rsidP="00C74D97">
            <w:pPr>
              <w:tabs>
                <w:tab w:val="center" w:pos="4680"/>
              </w:tabs>
              <w:suppressAutoHyphens/>
              <w:rPr>
                <w:rFonts w:eastAsia="Calibri"/>
                <w:spacing w:val="-2"/>
              </w:rPr>
            </w:pPr>
          </w:p>
          <w:p w:rsidR="00C74D97" w:rsidRPr="00327FE1" w:rsidP="00C74D97">
            <w:pPr>
              <w:tabs>
                <w:tab w:val="center" w:pos="4680"/>
              </w:tabs>
              <w:suppressAutoHyphens/>
              <w:rPr>
                <w:rFonts w:eastAsia="Calibri"/>
                <w:spacing w:val="-2"/>
              </w:rPr>
            </w:pPr>
            <w:r w:rsidRPr="00327FE1">
              <w:rPr>
                <w:rFonts w:eastAsia="Calibri"/>
                <w:spacing w:val="-2"/>
              </w:rPr>
              <w:t>File No. BRH-20050728ATP</w:t>
            </w:r>
          </w:p>
          <w:p w:rsidR="00C74D97" w:rsidRPr="00327FE1" w:rsidP="00C74D97">
            <w:pPr>
              <w:tabs>
                <w:tab w:val="center" w:pos="4680"/>
              </w:tabs>
              <w:suppressAutoHyphens/>
              <w:rPr>
                <w:rFonts w:eastAsia="Calibri"/>
                <w:spacing w:val="-2"/>
              </w:rPr>
            </w:pPr>
            <w:r w:rsidRPr="00327FE1">
              <w:rPr>
                <w:rFonts w:eastAsia="Calibri"/>
                <w:spacing w:val="-2"/>
              </w:rPr>
              <w:t>File No. BRH-20130730ANC</w:t>
            </w:r>
          </w:p>
          <w:p w:rsidR="00C74D97" w:rsidRPr="00327FE1" w:rsidP="00C74D97">
            <w:pPr>
              <w:tabs>
                <w:tab w:val="center" w:pos="4680"/>
              </w:tabs>
              <w:suppressAutoHyphens/>
              <w:rPr>
                <w:rFonts w:eastAsia="Calibri"/>
                <w:spacing w:val="-2"/>
              </w:rPr>
            </w:pPr>
            <w:r w:rsidRPr="00327FE1">
              <w:rPr>
                <w:rFonts w:eastAsia="Calibri"/>
                <w:spacing w:val="-2"/>
              </w:rPr>
              <w:t>Facility ID No. 57889</w:t>
            </w:r>
          </w:p>
          <w:p w:rsidR="00C74D97" w:rsidRPr="00327FE1" w:rsidP="00C74D97">
            <w:pPr>
              <w:tabs>
                <w:tab w:val="center" w:pos="4680"/>
              </w:tabs>
              <w:suppressAutoHyphens/>
              <w:rPr>
                <w:rFonts w:eastAsia="Calibri"/>
                <w:spacing w:val="-2"/>
              </w:rPr>
            </w:pPr>
          </w:p>
          <w:p w:rsidR="00C74D97" w:rsidRPr="00327FE1" w:rsidP="00C74D97">
            <w:pPr>
              <w:tabs>
                <w:tab w:val="center" w:pos="4680"/>
              </w:tabs>
              <w:suppressAutoHyphens/>
              <w:rPr>
                <w:rFonts w:eastAsia="Calibri"/>
                <w:spacing w:val="-2"/>
              </w:rPr>
            </w:pPr>
            <w:r w:rsidRPr="00327FE1">
              <w:rPr>
                <w:rFonts w:eastAsia="Calibri"/>
                <w:spacing w:val="-2"/>
              </w:rPr>
              <w:t>File No. BRH-20050728AUQ</w:t>
            </w:r>
          </w:p>
          <w:p w:rsidR="00C74D97" w:rsidRPr="00327FE1" w:rsidP="00C74D97">
            <w:pPr>
              <w:tabs>
                <w:tab w:val="center" w:pos="4680"/>
              </w:tabs>
              <w:suppressAutoHyphens/>
              <w:rPr>
                <w:rFonts w:eastAsia="Calibri"/>
                <w:spacing w:val="-2"/>
              </w:rPr>
            </w:pPr>
            <w:r w:rsidRPr="00327FE1">
              <w:rPr>
                <w:rFonts w:eastAsia="Calibri"/>
                <w:spacing w:val="-2"/>
              </w:rPr>
              <w:t>File No. BRH-20130730ANI</w:t>
            </w:r>
          </w:p>
          <w:p w:rsidR="00C74D97" w:rsidRPr="00327FE1" w:rsidP="00C74D97">
            <w:pPr>
              <w:tabs>
                <w:tab w:val="center" w:pos="4680"/>
              </w:tabs>
              <w:suppressAutoHyphens/>
              <w:rPr>
                <w:rFonts w:eastAsia="Calibri"/>
                <w:spacing w:val="-2"/>
              </w:rPr>
            </w:pPr>
            <w:r w:rsidRPr="00327FE1">
              <w:rPr>
                <w:rFonts w:eastAsia="Calibri"/>
                <w:spacing w:val="-2"/>
              </w:rPr>
              <w:t>Facility ID No. 20354</w:t>
            </w:r>
          </w:p>
          <w:p w:rsidR="00C74D97" w:rsidRPr="00327FE1" w:rsidP="00C74D97">
            <w:pPr>
              <w:tabs>
                <w:tab w:val="center" w:pos="4680"/>
              </w:tabs>
              <w:suppressAutoHyphens/>
              <w:rPr>
                <w:rFonts w:eastAsia="Calibri"/>
                <w:spacing w:val="-2"/>
              </w:rPr>
            </w:pPr>
          </w:p>
          <w:p w:rsidR="00C74D97" w:rsidRPr="00327FE1" w:rsidP="00C74D97">
            <w:pPr>
              <w:tabs>
                <w:tab w:val="center" w:pos="4680"/>
              </w:tabs>
              <w:suppressAutoHyphens/>
              <w:rPr>
                <w:rFonts w:eastAsia="Calibri"/>
                <w:spacing w:val="-2"/>
              </w:rPr>
            </w:pPr>
            <w:r w:rsidRPr="00327FE1">
              <w:rPr>
                <w:rFonts w:eastAsia="Calibri"/>
                <w:spacing w:val="-2"/>
              </w:rPr>
              <w:t>File No. BRH-20050728ATX</w:t>
            </w:r>
          </w:p>
          <w:p w:rsidR="00C74D97" w:rsidRPr="00327FE1" w:rsidP="00C74D97">
            <w:pPr>
              <w:tabs>
                <w:tab w:val="center" w:pos="4680"/>
              </w:tabs>
              <w:suppressAutoHyphens/>
              <w:rPr>
                <w:rFonts w:eastAsia="Calibri"/>
                <w:spacing w:val="-2"/>
              </w:rPr>
            </w:pPr>
            <w:r w:rsidRPr="00327FE1">
              <w:rPr>
                <w:rFonts w:eastAsia="Calibri"/>
                <w:spacing w:val="-2"/>
              </w:rPr>
              <w:t>File No. BRH-20130730ANK</w:t>
            </w:r>
          </w:p>
          <w:p w:rsidR="00C74D97" w:rsidRPr="00327FE1" w:rsidP="00C74D97">
            <w:pPr>
              <w:tabs>
                <w:tab w:val="center" w:pos="4680"/>
              </w:tabs>
              <w:suppressAutoHyphens/>
              <w:rPr>
                <w:rFonts w:eastAsia="Calibri"/>
                <w:spacing w:val="-2"/>
              </w:rPr>
            </w:pPr>
            <w:r w:rsidRPr="00327FE1">
              <w:rPr>
                <w:rFonts w:eastAsia="Calibri"/>
                <w:spacing w:val="-2"/>
              </w:rPr>
              <w:t>Facility ID No. 11281</w:t>
            </w:r>
          </w:p>
          <w:p w:rsidR="00C74D97" w:rsidRPr="00327FE1" w:rsidP="00C74D97">
            <w:pPr>
              <w:tabs>
                <w:tab w:val="center" w:pos="4680"/>
              </w:tabs>
              <w:suppressAutoHyphens/>
              <w:rPr>
                <w:rFonts w:eastAsia="Calibri"/>
                <w:spacing w:val="-2"/>
              </w:rPr>
            </w:pPr>
          </w:p>
          <w:p w:rsidR="00C74D97" w:rsidRPr="00327FE1" w:rsidP="00C74D97">
            <w:pPr>
              <w:tabs>
                <w:tab w:val="center" w:pos="4680"/>
              </w:tabs>
              <w:suppressAutoHyphens/>
              <w:rPr>
                <w:rFonts w:eastAsia="Calibri"/>
                <w:spacing w:val="-2"/>
              </w:rPr>
            </w:pPr>
            <w:r w:rsidRPr="00327FE1">
              <w:rPr>
                <w:rFonts w:eastAsia="Calibri"/>
                <w:spacing w:val="-2"/>
              </w:rPr>
              <w:t>File No. BRH-20130730AND</w:t>
            </w:r>
          </w:p>
          <w:p w:rsidR="00C74D97" w:rsidRPr="00327FE1" w:rsidP="00C74D97">
            <w:pPr>
              <w:tabs>
                <w:tab w:val="center" w:pos="4680"/>
              </w:tabs>
              <w:suppressAutoHyphens/>
              <w:rPr>
                <w:rFonts w:eastAsia="Calibri"/>
                <w:spacing w:val="-2"/>
              </w:rPr>
            </w:pPr>
            <w:r w:rsidRPr="00327FE1">
              <w:rPr>
                <w:rFonts w:eastAsia="Calibri"/>
                <w:spacing w:val="-2"/>
              </w:rPr>
              <w:t>Facility ID No. 6810</w:t>
            </w:r>
          </w:p>
          <w:p w:rsidR="00C74D97" w:rsidRPr="00327FE1" w:rsidP="00C74D97">
            <w:pPr>
              <w:tabs>
                <w:tab w:val="center" w:pos="4680"/>
              </w:tabs>
              <w:suppressAutoHyphens/>
              <w:rPr>
                <w:rFonts w:eastAsia="Calibri"/>
                <w:spacing w:val="-2"/>
              </w:rPr>
            </w:pPr>
          </w:p>
          <w:p w:rsidR="00C74D97" w:rsidRPr="00327FE1" w:rsidP="00C74D97">
            <w:pPr>
              <w:tabs>
                <w:tab w:val="center" w:pos="4680"/>
              </w:tabs>
              <w:suppressAutoHyphens/>
              <w:rPr>
                <w:rFonts w:eastAsia="Calibri"/>
                <w:spacing w:val="-2"/>
              </w:rPr>
            </w:pPr>
            <w:r w:rsidRPr="00327FE1">
              <w:rPr>
                <w:rFonts w:eastAsia="Calibri"/>
                <w:spacing w:val="-2"/>
              </w:rPr>
              <w:t xml:space="preserve">File No. BR-20130730ANG </w:t>
            </w:r>
          </w:p>
          <w:p w:rsidR="004C2EE3" w:rsidP="00C74D97">
            <w:pPr>
              <w:tabs>
                <w:tab w:val="center" w:pos="4680"/>
              </w:tabs>
              <w:suppressAutoHyphens/>
              <w:rPr>
                <w:spacing w:val="-2"/>
              </w:rPr>
            </w:pPr>
            <w:r w:rsidRPr="00327FE1">
              <w:rPr>
                <w:rFonts w:eastAsia="Calibri"/>
                <w:spacing w:val="-2"/>
              </w:rPr>
              <w:t>Facility ID No. 67848</w:t>
            </w:r>
          </w:p>
        </w:tc>
      </w:tr>
    </w:tbl>
    <w:p w:rsidR="004C2EE3" w:rsidP="0070224F"/>
    <w:p w:rsidR="00841AB1" w:rsidP="00F021FA">
      <w:pPr>
        <w:pStyle w:val="StyleBoldCentered"/>
      </w:pPr>
      <w:r>
        <w:t>second order on reconsideration</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C74D97">
        <w:rPr>
          <w:b/>
          <w:spacing w:val="-2"/>
        </w:rPr>
        <w:t>July 3,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74D97">
        <w:rPr>
          <w:b/>
          <w:spacing w:val="-2"/>
        </w:rPr>
        <w:t>July 8, 2019</w:t>
      </w:r>
    </w:p>
    <w:p w:rsidR="00822CE0"/>
    <w:p w:rsidR="004C2EE3">
      <w:pPr>
        <w:rPr>
          <w:spacing w:val="-2"/>
        </w:rPr>
      </w:pPr>
      <w:r>
        <w:t xml:space="preserve">By </w:t>
      </w:r>
      <w:r w:rsidR="004E4A22">
        <w:t>the</w:t>
      </w:r>
      <w:r w:rsidR="002A2D2E">
        <w:t xml:space="preserve"> </w:t>
      </w:r>
      <w:r w:rsidR="00C74D97">
        <w:rPr>
          <w:spacing w:val="-2"/>
        </w:rPr>
        <w:t>Commission</w:t>
      </w:r>
      <w:r>
        <w:rPr>
          <w:spacing w:val="-2"/>
        </w:rPr>
        <w:t>:</w:t>
      </w:r>
    </w:p>
    <w:p w:rsidR="00822CE0">
      <w:pPr>
        <w:rPr>
          <w:spacing w:val="-2"/>
        </w:rPr>
      </w:pPr>
    </w:p>
    <w:p w:rsidR="00C74D97" w:rsidRPr="00314244" w:rsidP="00C74D97">
      <w:pPr>
        <w:pStyle w:val="ParaNum"/>
      </w:pPr>
      <w:r w:rsidRPr="00314244">
        <w:t>We have before us a “Petition for Further Reconsideration” (November 2018 Petition) filed by Edward R. Stolz II (Stolz) seeking reconsideration of the order dismissing in part and denying in part his prior Petition for Reconsideration in this proceeding (July 2018 Petition).</w:t>
      </w:r>
      <w:r>
        <w:rPr>
          <w:rStyle w:val="FootnoteReference"/>
          <w:sz w:val="22"/>
        </w:rPr>
        <w:footnoteReference w:id="3"/>
      </w:r>
      <w:r w:rsidRPr="00314244">
        <w:t xml:space="preserve">  Stolz again seeks the designation for hearing of the captioned license renewal applications (Renewal Applications) filed by a subsidiary of </w:t>
      </w:r>
      <w:r w:rsidRPr="00314244">
        <w:t>Entercom</w:t>
      </w:r>
      <w:r w:rsidRPr="00314244">
        <w:t xml:space="preserve"> Communications Corporation (</w:t>
      </w:r>
      <w:r w:rsidRPr="00314244">
        <w:t>Entercom</w:t>
      </w:r>
      <w:r w:rsidRPr="00314244">
        <w:t>) for five radio stations in the Sacramento market.</w:t>
      </w:r>
      <w:r>
        <w:rPr>
          <w:rStyle w:val="FootnoteReference"/>
          <w:sz w:val="22"/>
        </w:rPr>
        <w:footnoteReference w:id="4"/>
      </w:r>
      <w:r w:rsidRPr="00314244">
        <w:t xml:space="preserve">  We dismiss the November 2018 Petition due to lack of standing and, on alternative and independent grounds, deny it.</w:t>
      </w:r>
    </w:p>
    <w:p w:rsidR="00C74D97" w:rsidRPr="00314244" w:rsidP="00C74D97">
      <w:pPr>
        <w:pStyle w:val="ParaNum"/>
      </w:pPr>
      <w:r w:rsidRPr="00314244">
        <w:t>Throughout this proceeding, the Commission and the Media Bureau (Bureau) have held that: 1) Stolz lacks standing in this proceeding;</w:t>
      </w:r>
      <w:r>
        <w:rPr>
          <w:rStyle w:val="FootnoteReference"/>
          <w:sz w:val="22"/>
        </w:rPr>
        <w:footnoteReference w:id="5"/>
      </w:r>
      <w:r w:rsidRPr="00314244">
        <w:t xml:space="preserve"> and 2) Section 309(k) of the Communications Act of </w:t>
      </w:r>
      <w:r w:rsidRPr="00314244">
        <w:t xml:space="preserve">1934, as amended (Act), precludes designating the Renewal Applications for hearing based on conduct at a separate station formerly licensed to another subsidiary of </w:t>
      </w:r>
      <w:r w:rsidRPr="00314244">
        <w:t>Entercom</w:t>
      </w:r>
      <w:r w:rsidRPr="00314244">
        <w:t>, Station KDND(FM), Sacramento, California.</w:t>
      </w:r>
      <w:r>
        <w:rPr>
          <w:rStyle w:val="FootnoteReference"/>
          <w:sz w:val="22"/>
        </w:rPr>
        <w:footnoteReference w:id="6"/>
      </w:r>
      <w:r w:rsidRPr="00314244">
        <w:t xml:space="preserve">  The November 2018 Petition does not address the Commission’s or the Bureau’s determination that Stolz lacks standing in the proceeding, nor does the November 2018 Petition challenge the Section 309(k) analysis.</w:t>
      </w:r>
      <w:r>
        <w:rPr>
          <w:rStyle w:val="FootnoteReference"/>
          <w:sz w:val="22"/>
        </w:rPr>
        <w:footnoteReference w:id="7"/>
      </w:r>
      <w:r w:rsidRPr="00314244">
        <w:t xml:space="preserve">  Instead, Stolz states that he has filed a Petition for Further Reconsideration seeking designation of the applications submitted in the </w:t>
      </w:r>
      <w:r w:rsidRPr="00314244">
        <w:t>Entercom</w:t>
      </w:r>
      <w:r w:rsidRPr="00314244">
        <w:t xml:space="preserve"> and CBS Corporation (CBS) merger proceeding for hearing.</w:t>
      </w:r>
      <w:r>
        <w:rPr>
          <w:rStyle w:val="FootnoteReference"/>
          <w:sz w:val="22"/>
        </w:rPr>
        <w:footnoteReference w:id="8"/>
      </w:r>
      <w:r w:rsidRPr="00314244">
        <w:t xml:space="preserve">  Stolz argues that the Commission should at the same time designate the Renewal Applications for evidentiary hearing to determine whether </w:t>
      </w:r>
      <w:r w:rsidRPr="00314244">
        <w:t>Entercom</w:t>
      </w:r>
      <w:r w:rsidRPr="00314244">
        <w:t xml:space="preserve"> possesses the character qualifications to hold a Commission license in light of </w:t>
      </w:r>
      <w:r w:rsidRPr="00314244">
        <w:t>Entercom’s</w:t>
      </w:r>
      <w:r w:rsidRPr="00314244">
        <w:t xml:space="preserve"> conduct at KDND.</w:t>
      </w:r>
      <w:r>
        <w:rPr>
          <w:rStyle w:val="FootnoteReference"/>
          <w:sz w:val="22"/>
        </w:rPr>
        <w:footnoteReference w:id="9"/>
      </w:r>
    </w:p>
    <w:p w:rsidR="00C74D97" w:rsidRPr="00314244" w:rsidP="00C74D97">
      <w:pPr>
        <w:pStyle w:val="ParaNum"/>
      </w:pPr>
      <w:r w:rsidRPr="00314244">
        <w:t>We dismiss the November 2018 Petition because, as we have repeatedly held, Stolz lacks standing in this proceeding.</w:t>
      </w:r>
      <w:r>
        <w:rPr>
          <w:rStyle w:val="FootnoteReference"/>
          <w:sz w:val="22"/>
        </w:rPr>
        <w:footnoteReference w:id="10"/>
      </w:r>
      <w:r w:rsidRPr="00314244">
        <w:t xml:space="preserve">  Under Section 405(a) of the Act,</w:t>
      </w:r>
      <w:r>
        <w:rPr>
          <w:rStyle w:val="FootnoteReference"/>
          <w:sz w:val="22"/>
        </w:rPr>
        <w:footnoteReference w:id="11"/>
      </w:r>
      <w:r w:rsidRPr="00314244">
        <w:t xml:space="preserve"> a petitioner for reconsideration must establish it is a “party” to the proceeding or “any other person aggrieved or whose interests are adversely affected thereby.”</w:t>
      </w:r>
      <w:r>
        <w:rPr>
          <w:rStyle w:val="FootnoteReference"/>
          <w:sz w:val="22"/>
        </w:rPr>
        <w:footnoteReference w:id="12"/>
      </w:r>
      <w:r w:rsidRPr="00314244">
        <w:t xml:space="preserve">  Stolz, as an informal objector to the Renewal Applications, rather than as a filer of a valid petition to deny those applications,</w:t>
      </w:r>
      <w:r>
        <w:rPr>
          <w:vertAlign w:val="superscript"/>
        </w:rPr>
        <w:footnoteReference w:id="13"/>
      </w:r>
      <w:r w:rsidRPr="00314244">
        <w:t xml:space="preserve"> is not a “party” to the proceeding for purposes of Section 405(a).</w:t>
      </w:r>
      <w:r>
        <w:rPr>
          <w:vertAlign w:val="superscript"/>
        </w:rPr>
        <w:footnoteReference w:id="14"/>
      </w:r>
      <w:r w:rsidRPr="00314244">
        <w:t xml:space="preserve">  Nor is Stolz a person “aggrieved or whose interests are adversely affected.”  We concluded in </w:t>
      </w:r>
      <w:r w:rsidRPr="00314244">
        <w:t xml:space="preserve">the </w:t>
      </w:r>
      <w:r w:rsidRPr="00314244">
        <w:rPr>
          <w:i/>
        </w:rPr>
        <w:t>AFR Order</w:t>
      </w:r>
      <w:r w:rsidRPr="00314244">
        <w:t xml:space="preserve"> and affirmed in the </w:t>
      </w:r>
      <w:r w:rsidRPr="00314244">
        <w:rPr>
          <w:i/>
        </w:rPr>
        <w:t xml:space="preserve">Order on Reconsideration </w:t>
      </w:r>
      <w:r w:rsidRPr="00314244">
        <w:t>that Stolz failed to show any direct causal connection between the Commission’s grant of the applications and his alleged injury, which concerns his attempt to regain the license for station KUDL.</w:t>
      </w:r>
      <w:r>
        <w:rPr>
          <w:rStyle w:val="FootnoteReference"/>
          <w:sz w:val="22"/>
        </w:rPr>
        <w:footnoteReference w:id="15"/>
      </w:r>
      <w:r w:rsidRPr="00314244">
        <w:t xml:space="preserve">  The November 2018 Petition does not challenge that conclusion or assert that Stolz is aggrieved or adversely affected.  As a result, he is not entitled to seek reconsideration.</w:t>
      </w:r>
      <w:r>
        <w:rPr>
          <w:rStyle w:val="FootnoteReference"/>
          <w:sz w:val="22"/>
        </w:rPr>
        <w:footnoteReference w:id="16"/>
      </w:r>
      <w:r w:rsidRPr="00314244">
        <w:t xml:space="preserve">  Accordingly, we dismiss the November 2018 Petition.  On alternative and independent grounds, we deny the Petition because </w:t>
      </w:r>
      <w:r w:rsidRPr="00726AC4">
        <w:t>Stolz has not identified any findings of fact or conclusions of law that he believes are erroneous</w:t>
      </w:r>
      <w:r>
        <w:rPr>
          <w:rStyle w:val="FootnoteReference"/>
          <w:sz w:val="22"/>
        </w:rPr>
        <w:footnoteReference w:id="17"/>
      </w:r>
      <w:r w:rsidRPr="00314244">
        <w:t xml:space="preserve">—in fact Stolz has failed to make any connection between the substance of his allegations raised against CBS in the </w:t>
      </w:r>
      <w:r w:rsidRPr="00314244">
        <w:t>Entercom</w:t>
      </w:r>
      <w:r w:rsidRPr="00314244">
        <w:t xml:space="preserve">/CBS proceeding and the question of whether </w:t>
      </w:r>
      <w:r w:rsidRPr="00314244">
        <w:t>Entercom</w:t>
      </w:r>
      <w:r w:rsidRPr="00314244">
        <w:t xml:space="preserve"> is entitled to renewal of its licenses. </w:t>
      </w:r>
    </w:p>
    <w:p w:rsidR="00C74D97" w:rsidRPr="00314244" w:rsidP="00C74D97">
      <w:pPr>
        <w:pStyle w:val="ParaNum"/>
      </w:pPr>
      <w:bookmarkStart w:id="3" w:name="_Hlk536439165"/>
      <w:r w:rsidRPr="00314244">
        <w:t xml:space="preserve">Finally, although we find that dismissal or denial of the </w:t>
      </w:r>
      <w:r w:rsidRPr="00314244">
        <w:rPr>
          <w:rFonts w:eastAsia="Calibri"/>
        </w:rPr>
        <w:t xml:space="preserve">November 2018 </w:t>
      </w:r>
      <w:r w:rsidRPr="00314244">
        <w:t>Petition by the Bureau, rather than the Commission, would have been appropriate under Section 1.106(p) of the Rules,</w:t>
      </w:r>
      <w:r>
        <w:rPr>
          <w:rStyle w:val="FootnoteReference"/>
          <w:sz w:val="22"/>
        </w:rPr>
        <w:footnoteReference w:id="18"/>
      </w:r>
      <w:r w:rsidRPr="00314244">
        <w:t xml:space="preserve"> we have decided to act on the </w:t>
      </w:r>
      <w:r w:rsidRPr="00314244">
        <w:rPr>
          <w:rFonts w:eastAsia="Calibri"/>
        </w:rPr>
        <w:t xml:space="preserve">November 2018 </w:t>
      </w:r>
      <w:r w:rsidRPr="00314244">
        <w:t xml:space="preserve">Petition </w:t>
      </w:r>
      <w:r w:rsidRPr="00314244">
        <w:t>in order to</w:t>
      </w:r>
      <w:r w:rsidRPr="00314244">
        <w:t xml:space="preserve"> bring this matter to a conclusion.</w:t>
      </w:r>
      <w:r>
        <w:t xml:space="preserve"> </w:t>
      </w:r>
    </w:p>
    <w:bookmarkEnd w:id="3"/>
    <w:p w:rsidR="00C74D97" w:rsidP="00C74D97">
      <w:pPr>
        <w:pStyle w:val="ParaNum"/>
      </w:pPr>
      <w:r w:rsidRPr="00F8374C">
        <w:rPr>
          <w:b/>
        </w:rPr>
        <w:t>ACCORDINGLY, IT IS ORDERED</w:t>
      </w:r>
      <w:r w:rsidRPr="00314244">
        <w:t xml:space="preserve"> that, pursuant to Section 405(a) of the Communications Act of 1934, as amended, 47 U.S.C. § 405(a), and Section 1.106 of the Commission’s rules, 47 CFR § 1.106, the Petition for Further Reconsideration filed by Edward R. Stolz II on November 26, 2018 </w:t>
      </w:r>
      <w:r w:rsidRPr="00F8374C">
        <w:rPr>
          <w:b/>
        </w:rPr>
        <w:t>IS DISMISSED</w:t>
      </w:r>
      <w:r w:rsidRPr="00314244">
        <w:t xml:space="preserve"> for the reasons stated herein, and alternatively </w:t>
      </w:r>
      <w:r w:rsidRPr="00F8374C">
        <w:rPr>
          <w:b/>
        </w:rPr>
        <w:t>DENIED</w:t>
      </w:r>
      <w:r w:rsidRPr="00314244">
        <w:t>.</w:t>
      </w:r>
    </w:p>
    <w:p w:rsidR="00C74D97" w:rsidP="00571D37">
      <w:r>
        <w:tab/>
      </w:r>
      <w:r>
        <w:tab/>
      </w:r>
      <w:r>
        <w:tab/>
      </w:r>
      <w:r>
        <w:tab/>
      </w:r>
      <w:r>
        <w:tab/>
      </w:r>
      <w:r>
        <w:tab/>
        <w:t>FEDERAL COMMUNICATIONS COMMISSION</w:t>
      </w:r>
    </w:p>
    <w:p w:rsidR="00C74D97" w:rsidP="00571D37"/>
    <w:p w:rsidR="00C74D97" w:rsidP="00571D37"/>
    <w:p w:rsidR="00C74D97" w:rsidP="00571D37"/>
    <w:p w:rsidR="00C74D97" w:rsidP="00571D37"/>
    <w:p w:rsidR="00C74D97" w:rsidP="00571D37">
      <w:r>
        <w:tab/>
      </w:r>
      <w:r>
        <w:tab/>
      </w:r>
      <w:r>
        <w:tab/>
      </w:r>
      <w:r>
        <w:tab/>
      </w:r>
      <w:r>
        <w:tab/>
      </w:r>
      <w:r>
        <w:tab/>
        <w:t>Marlene H. Dortch</w:t>
      </w:r>
    </w:p>
    <w:p w:rsidR="00412FC5" w:rsidP="00C74D97">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D37" w:rsidP="0055614C">
    <w:pPr>
      <w:pStyle w:val="Footer"/>
      <w:framePr w:wrap="around" w:vAnchor="text" w:hAnchor="margin" w:xAlign="center" w:y="1"/>
    </w:pPr>
    <w:r>
      <w:fldChar w:fldCharType="begin"/>
    </w:r>
    <w:r>
      <w:instrText xml:space="preserve">PAGE  </w:instrText>
    </w:r>
    <w:r>
      <w:fldChar w:fldCharType="separate"/>
    </w:r>
    <w:r>
      <w:fldChar w:fldCharType="end"/>
    </w:r>
  </w:p>
  <w:p w:rsidR="00571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D37" w:rsidP="00E87D5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D3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3C1D">
      <w:r>
        <w:separator/>
      </w:r>
    </w:p>
  </w:footnote>
  <w:footnote w:type="continuationSeparator" w:id="1">
    <w:p w:rsidR="000D3C1D" w:rsidP="00C721AC">
      <w:pPr>
        <w:spacing w:before="120"/>
        <w:rPr>
          <w:sz w:val="20"/>
        </w:rPr>
      </w:pPr>
      <w:r>
        <w:rPr>
          <w:sz w:val="20"/>
        </w:rPr>
        <w:t xml:space="preserve">(Continued from previous page)  </w:t>
      </w:r>
      <w:r>
        <w:rPr>
          <w:sz w:val="20"/>
        </w:rPr>
        <w:separator/>
      </w:r>
    </w:p>
  </w:footnote>
  <w:footnote w:type="continuationNotice" w:id="2">
    <w:p w:rsidR="000D3C1D" w:rsidP="00C721AC">
      <w:pPr>
        <w:jc w:val="right"/>
        <w:rPr>
          <w:sz w:val="20"/>
        </w:rPr>
      </w:pPr>
      <w:r>
        <w:rPr>
          <w:sz w:val="20"/>
        </w:rPr>
        <w:t>(continued….)</w:t>
      </w:r>
    </w:p>
  </w:footnote>
  <w:footnote w:id="3">
    <w:p w:rsidR="00571D37" w:rsidRPr="00327FE1" w:rsidP="00C74D97">
      <w:pPr>
        <w:pStyle w:val="FootnoteText"/>
      </w:pPr>
      <w:r w:rsidRPr="00327FE1">
        <w:rPr>
          <w:rStyle w:val="FootnoteReference"/>
        </w:rPr>
        <w:footnoteRef/>
      </w:r>
      <w:r w:rsidRPr="00327FE1">
        <w:t xml:space="preserve"> </w:t>
      </w:r>
      <w:r w:rsidRPr="00327FE1">
        <w:rPr>
          <w:i/>
        </w:rPr>
        <w:t>Entercom</w:t>
      </w:r>
      <w:r w:rsidRPr="00327FE1">
        <w:rPr>
          <w:i/>
        </w:rPr>
        <w:t xml:space="preserve"> Sacramento License, LLC</w:t>
      </w:r>
      <w:r w:rsidRPr="00327FE1">
        <w:t xml:space="preserve">, </w:t>
      </w:r>
      <w:bookmarkStart w:id="1" w:name="_Hlk3292198"/>
      <w:r>
        <w:t xml:space="preserve">Memorandum Opinion and Order, 33 FCC </w:t>
      </w:r>
      <w:r>
        <w:t>Rcd</w:t>
      </w:r>
      <w:r>
        <w:t xml:space="preserve"> 10704 (2018) </w:t>
      </w:r>
      <w:bookmarkEnd w:id="1"/>
      <w:r>
        <w:t>(</w:t>
      </w:r>
      <w:r w:rsidRPr="00C35D85">
        <w:rPr>
          <w:i/>
        </w:rPr>
        <w:t>Order on Reconsideration</w:t>
      </w:r>
      <w:r>
        <w:t xml:space="preserve">); </w:t>
      </w:r>
      <w:r w:rsidRPr="00327FE1">
        <w:t>Me</w:t>
      </w:r>
      <w:r>
        <w:t xml:space="preserve">morandum Opinion and Order, 33 FCC </w:t>
      </w:r>
      <w:r>
        <w:t>Rcd</w:t>
      </w:r>
      <w:r>
        <w:t xml:space="preserve"> 6615 </w:t>
      </w:r>
      <w:r w:rsidRPr="00327FE1">
        <w:t>(2018) (</w:t>
      </w:r>
      <w:r w:rsidRPr="00327FE1">
        <w:rPr>
          <w:i/>
        </w:rPr>
        <w:t>AFR Order</w:t>
      </w:r>
      <w:r w:rsidRPr="00327FE1">
        <w:t>); Letter Order, Ref 1800B3-ATS (MB Nov. 21, 2017)</w:t>
      </w:r>
      <w:r>
        <w:t xml:space="preserve"> (</w:t>
      </w:r>
      <w:r>
        <w:rPr>
          <w:i/>
        </w:rPr>
        <w:t>Second Reconsideration Letter</w:t>
      </w:r>
      <w:r>
        <w:t>)</w:t>
      </w:r>
      <w:r w:rsidRPr="00327FE1">
        <w:t xml:space="preserve">; Letter Order, 32 FCC </w:t>
      </w:r>
      <w:r w:rsidRPr="00327FE1">
        <w:t>Rcd</w:t>
      </w:r>
      <w:r w:rsidRPr="00327FE1">
        <w:t xml:space="preserve"> 6880 (MB 2017) (</w:t>
      </w:r>
      <w:r w:rsidRPr="005511AE">
        <w:rPr>
          <w:i/>
        </w:rPr>
        <w:t>First</w:t>
      </w:r>
      <w:r>
        <w:t xml:space="preserve"> </w:t>
      </w:r>
      <w:r w:rsidRPr="00327FE1">
        <w:rPr>
          <w:i/>
        </w:rPr>
        <w:t xml:space="preserve">Reconsideration </w:t>
      </w:r>
      <w:r>
        <w:rPr>
          <w:i/>
        </w:rPr>
        <w:t>Letter</w:t>
      </w:r>
      <w:r w:rsidRPr="00327FE1">
        <w:t>); Letter Order, Ref. 1800B3-JM (MB Jan. 18, 2017) (</w:t>
      </w:r>
      <w:r w:rsidRPr="00327FE1">
        <w:rPr>
          <w:i/>
        </w:rPr>
        <w:t>Letter Order</w:t>
      </w:r>
      <w:r w:rsidRPr="00327FE1">
        <w:t>).</w:t>
      </w:r>
    </w:p>
  </w:footnote>
  <w:footnote w:id="4">
    <w:p w:rsidR="00571D37" w:rsidP="00C74D97">
      <w:pPr>
        <w:pStyle w:val="FootnoteText"/>
      </w:pPr>
      <w:r>
        <w:rPr>
          <w:rStyle w:val="FootnoteReference"/>
        </w:rPr>
        <w:footnoteRef/>
      </w:r>
      <w:r>
        <w:t xml:space="preserve"> Stolz filed the November 2018 Petition on November 26, 2018.  </w:t>
      </w:r>
      <w:r>
        <w:t>Entercom</w:t>
      </w:r>
      <w:r>
        <w:t xml:space="preserve"> filed an Opposition on December 6, 2018.  Stolz filed a Reply on December 18, 2018.</w:t>
      </w:r>
    </w:p>
  </w:footnote>
  <w:footnote w:id="5">
    <w:p w:rsidR="00571D37" w:rsidRPr="00FB1AD3" w:rsidP="00C74D97">
      <w:pPr>
        <w:pStyle w:val="FootnoteText"/>
      </w:pPr>
      <w:r w:rsidRPr="00327FE1">
        <w:rPr>
          <w:rStyle w:val="FootnoteReference"/>
        </w:rPr>
        <w:footnoteRef/>
      </w:r>
      <w:r w:rsidRPr="00327FE1">
        <w:t xml:space="preserve"> </w:t>
      </w:r>
      <w:r>
        <w:rPr>
          <w:i/>
        </w:rPr>
        <w:t>Order on Reconsideration</w:t>
      </w:r>
      <w:r>
        <w:t xml:space="preserve">, 33 FCC </w:t>
      </w:r>
      <w:r>
        <w:t>Rcd</w:t>
      </w:r>
      <w:r>
        <w:t xml:space="preserve"> at 10705, para. 3;</w:t>
      </w:r>
      <w:r>
        <w:rPr>
          <w:i/>
        </w:rPr>
        <w:t xml:space="preserve"> </w:t>
      </w:r>
      <w:r w:rsidRPr="00327FE1">
        <w:rPr>
          <w:i/>
        </w:rPr>
        <w:t>AFR Order</w:t>
      </w:r>
      <w:r>
        <w:t xml:space="preserve">, 33 FCC </w:t>
      </w:r>
      <w:r>
        <w:t>Rcd</w:t>
      </w:r>
      <w:r>
        <w:t xml:space="preserve"> at 6617-18, paras. 6-9; </w:t>
      </w:r>
      <w:r>
        <w:rPr>
          <w:i/>
        </w:rPr>
        <w:t>Second Reconsideration Letter</w:t>
      </w:r>
      <w:r>
        <w:t xml:space="preserve"> at 3;</w:t>
      </w:r>
      <w:r>
        <w:rPr>
          <w:i/>
        </w:rPr>
        <w:t xml:space="preserve"> First Reconsideration Letter</w:t>
      </w:r>
      <w:r>
        <w:t xml:space="preserve">, 32 FCC </w:t>
      </w:r>
      <w:r>
        <w:t>Rcd</w:t>
      </w:r>
      <w:r>
        <w:t xml:space="preserve"> at 6883.</w:t>
      </w:r>
    </w:p>
  </w:footnote>
  <w:footnote w:id="6">
    <w:p w:rsidR="00571D37" w:rsidRPr="00327FE1" w:rsidP="00C74D97">
      <w:pPr>
        <w:pStyle w:val="FootnoteText"/>
        <w:rPr>
          <w:i/>
        </w:rPr>
      </w:pPr>
      <w:r w:rsidRPr="00327FE1">
        <w:rPr>
          <w:rStyle w:val="FootnoteReference"/>
        </w:rPr>
        <w:footnoteRef/>
      </w:r>
      <w:r w:rsidRPr="00327FE1">
        <w:t xml:space="preserve"> </w:t>
      </w:r>
      <w:r>
        <w:rPr>
          <w:i/>
        </w:rPr>
        <w:t xml:space="preserve">Order on Reconsideration </w:t>
      </w:r>
      <w:r>
        <w:t xml:space="preserve">at 3, para. 4; </w:t>
      </w:r>
      <w:r>
        <w:rPr>
          <w:i/>
        </w:rPr>
        <w:t>AFR Order</w:t>
      </w:r>
      <w:r>
        <w:t xml:space="preserve">, 33 FCC </w:t>
      </w:r>
      <w:r>
        <w:t>Rcd</w:t>
      </w:r>
      <w:r>
        <w:t xml:space="preserve"> at 6618-19</w:t>
      </w:r>
      <w:r w:rsidRPr="00327FE1">
        <w:t>, para. 10;</w:t>
      </w:r>
      <w:r>
        <w:t xml:space="preserve"> </w:t>
      </w:r>
      <w:r>
        <w:rPr>
          <w:i/>
        </w:rPr>
        <w:t>First Reconsideration Letter</w:t>
      </w:r>
      <w:r>
        <w:t xml:space="preserve">, 32 FCC </w:t>
      </w:r>
      <w:r>
        <w:t>Rcd</w:t>
      </w:r>
      <w:r>
        <w:t xml:space="preserve"> at 6883; </w:t>
      </w:r>
      <w:r w:rsidRPr="00327FE1">
        <w:t xml:space="preserve">47 § U.S.C. 309(k); </w:t>
      </w:r>
      <w:r w:rsidRPr="00327FE1">
        <w:rPr>
          <w:i/>
        </w:rPr>
        <w:t xml:space="preserve">see also </w:t>
      </w:r>
      <w:r w:rsidRPr="00327FE1">
        <w:rPr>
          <w:i/>
        </w:rPr>
        <w:t>Entercom</w:t>
      </w:r>
      <w:r w:rsidRPr="00327FE1">
        <w:rPr>
          <w:i/>
        </w:rPr>
        <w:t xml:space="preserve"> License, LLC</w:t>
      </w:r>
      <w:r w:rsidRPr="00327FE1">
        <w:t xml:space="preserve">, Hearing Designation Order and Notice of Opportunity for Hearing, 31 FCC </w:t>
      </w:r>
      <w:r w:rsidRPr="00327FE1">
        <w:t>Rcd</w:t>
      </w:r>
      <w:r w:rsidRPr="00327FE1">
        <w:t xml:space="preserve"> 12196 (2016) (</w:t>
      </w:r>
      <w:r w:rsidRPr="00327FE1">
        <w:rPr>
          <w:i/>
        </w:rPr>
        <w:t>KDND HDO</w:t>
      </w:r>
      <w:r w:rsidRPr="00327FE1">
        <w:t xml:space="preserve">) (designating license renewal application of KDND for hearing); Memorandum, Opinion and Order, 32 FCC </w:t>
      </w:r>
      <w:r w:rsidRPr="00327FE1">
        <w:t>Rcd</w:t>
      </w:r>
      <w:r w:rsidRPr="00327FE1">
        <w:t xml:space="preserve"> 7149 (2017) (</w:t>
      </w:r>
      <w:r w:rsidRPr="00327FE1">
        <w:rPr>
          <w:i/>
        </w:rPr>
        <w:t>KDND Order</w:t>
      </w:r>
      <w:r w:rsidRPr="00327FE1">
        <w:t xml:space="preserve">) (denying </w:t>
      </w:r>
      <w:r w:rsidRPr="00776F26">
        <w:t xml:space="preserve">Stolz’s petition for reconsideration and application for review seeking to designate Renewal Applications for hearing); Order, 33 FCC </w:t>
      </w:r>
      <w:r w:rsidRPr="00776F26">
        <w:t>Rcd</w:t>
      </w:r>
      <w:r w:rsidRPr="00776F26">
        <w:t xml:space="preserve"> 4605 (OGC May 8, 2018) (dismissing petition for reconsideration)</w:t>
      </w:r>
      <w:r>
        <w:t>; Memorandum Opinion and Order, FCC 19-</w:t>
      </w:r>
      <w:r w:rsidR="00E87D5A">
        <w:t>60</w:t>
      </w:r>
      <w:r>
        <w:t xml:space="preserve"> (July 8, 2019) (denying application for review).</w:t>
      </w:r>
      <w:r w:rsidRPr="00776F26">
        <w:t xml:space="preserve"> </w:t>
      </w:r>
      <w:r>
        <w:t xml:space="preserve">The </w:t>
      </w:r>
      <w:r w:rsidRPr="00776F26">
        <w:t xml:space="preserve">KDND hearing was terminated after </w:t>
      </w:r>
      <w:r w:rsidRPr="00776F26">
        <w:t>Entercom</w:t>
      </w:r>
      <w:r w:rsidRPr="00776F26">
        <w:t xml:space="preserve"> surrendered the station’s license</w:t>
      </w:r>
      <w:r>
        <w:t xml:space="preserve">.  </w:t>
      </w:r>
      <w:r w:rsidRPr="00327FE1">
        <w:t>That former station is now identified in the Commission’s licensing database as DKDND, but for clarity will be referred to here as KDND.</w:t>
      </w:r>
    </w:p>
  </w:footnote>
  <w:footnote w:id="7">
    <w:p w:rsidR="00571D37" w:rsidRPr="00563179" w:rsidP="00C74D97">
      <w:pPr>
        <w:pStyle w:val="FootnoteText"/>
      </w:pPr>
      <w:r>
        <w:rPr>
          <w:rStyle w:val="FootnoteReference"/>
        </w:rPr>
        <w:footnoteRef/>
      </w:r>
      <w:r>
        <w:t xml:space="preserve"> </w:t>
      </w:r>
      <w:r w:rsidRPr="006D418C">
        <w:t>The</w:t>
      </w:r>
      <w:r>
        <w:t xml:space="preserve"> </w:t>
      </w:r>
      <w:r>
        <w:rPr>
          <w:i/>
        </w:rPr>
        <w:t>Order on Reconsideration</w:t>
      </w:r>
      <w:r>
        <w:t xml:space="preserve"> also rejected Stolz’s argument raised in the July 2018 Petition that our action regarding Tribune Media Company and Sinclair Broadcast Group, Inc., supported the designation for hearing of the Renewal Applications.  </w:t>
      </w:r>
      <w:r>
        <w:rPr>
          <w:i/>
        </w:rPr>
        <w:t>Order on Reconsideration</w:t>
      </w:r>
      <w:r>
        <w:t xml:space="preserve"> at 3, para. 4; </w:t>
      </w:r>
      <w:r w:rsidRPr="00967A2E">
        <w:rPr>
          <w:i/>
        </w:rPr>
        <w:t>see also</w:t>
      </w:r>
      <w:r>
        <w:t xml:space="preserve"> </w:t>
      </w:r>
      <w:r w:rsidRPr="00327FE1">
        <w:rPr>
          <w:i/>
        </w:rPr>
        <w:t>Applications of Tribune Media Company and Sinclair Broadcast Group, Inc</w:t>
      </w:r>
      <w:r w:rsidRPr="00327FE1">
        <w:t>., Hearing Designation O</w:t>
      </w:r>
      <w:r>
        <w:t xml:space="preserve">rder, 33 FCC </w:t>
      </w:r>
      <w:r>
        <w:t>Rcd</w:t>
      </w:r>
      <w:r>
        <w:t xml:space="preserve"> 6380 </w:t>
      </w:r>
      <w:r w:rsidRPr="00327FE1">
        <w:t>(2018)</w:t>
      </w:r>
      <w:r>
        <w:t xml:space="preserve">.  Stolz does not challenge this determination in the November 2018 Petition.  </w:t>
      </w:r>
    </w:p>
  </w:footnote>
  <w:footnote w:id="8">
    <w:p w:rsidR="00571D37" w:rsidRPr="00FB1AD3" w:rsidP="00C74D97">
      <w:pPr>
        <w:pStyle w:val="FootnoteText"/>
      </w:pPr>
      <w:r>
        <w:rPr>
          <w:rStyle w:val="FootnoteReference"/>
        </w:rPr>
        <w:footnoteRef/>
      </w:r>
      <w:r>
        <w:t xml:space="preserve"> November 2018 Petition at 2-3; MB Docket No. 17-85.  </w:t>
      </w:r>
      <w:r>
        <w:rPr>
          <w:i/>
        </w:rPr>
        <w:t>See also</w:t>
      </w:r>
      <w:r>
        <w:t xml:space="preserve"> </w:t>
      </w:r>
      <w:bookmarkStart w:id="2" w:name="_Hlk532312536"/>
      <w:r>
        <w:rPr>
          <w:i/>
        </w:rPr>
        <w:t>Entercom</w:t>
      </w:r>
      <w:r>
        <w:rPr>
          <w:i/>
        </w:rPr>
        <w:t xml:space="preserve"> Commc’ns</w:t>
      </w:r>
      <w:r w:rsidRPr="004725F4">
        <w:rPr>
          <w:i/>
        </w:rPr>
        <w:t xml:space="preserve"> and CBS Radio Seek Approval to Transfer Control and Assign FCC Authorizations and Licenses to</w:t>
      </w:r>
      <w:r>
        <w:rPr>
          <w:i/>
        </w:rPr>
        <w:t xml:space="preserve"> Subsidiaries of CBS Corp.</w:t>
      </w:r>
      <w:r w:rsidRPr="004725F4">
        <w:rPr>
          <w:i/>
        </w:rPr>
        <w:t xml:space="preserve"> and Shareholders of </w:t>
      </w:r>
      <w:r w:rsidRPr="004725F4">
        <w:rPr>
          <w:i/>
        </w:rPr>
        <w:t>Ent</w:t>
      </w:r>
      <w:r>
        <w:rPr>
          <w:i/>
        </w:rPr>
        <w:t>ercom</w:t>
      </w:r>
      <w:r>
        <w:rPr>
          <w:i/>
        </w:rPr>
        <w:t xml:space="preserve"> Commc’ns Corp.</w:t>
      </w:r>
      <w:r w:rsidRPr="004725F4">
        <w:rPr>
          <w:i/>
        </w:rPr>
        <w:t xml:space="preserve">, </w:t>
      </w:r>
      <w:r w:rsidRPr="004725F4">
        <w:t>Memorandum Opin</w:t>
      </w:r>
      <w:r>
        <w:t xml:space="preserve">ion and Order, 32 FCC </w:t>
      </w:r>
      <w:r>
        <w:t>Rcd</w:t>
      </w:r>
      <w:r>
        <w:t xml:space="preserve"> 9380 </w:t>
      </w:r>
      <w:r w:rsidRPr="004725F4">
        <w:t>(MB 2017)</w:t>
      </w:r>
      <w:r>
        <w:t xml:space="preserve">; </w:t>
      </w:r>
      <w:r w:rsidRPr="00FB1AD3">
        <w:rPr>
          <w:i/>
        </w:rPr>
        <w:t>review denied</w:t>
      </w:r>
      <w:r w:rsidRPr="004725F4">
        <w:rPr>
          <w:i/>
        </w:rPr>
        <w:t xml:space="preserve">, </w:t>
      </w:r>
      <w:r w:rsidRPr="004725F4">
        <w:t xml:space="preserve">Memorandum Opinion and Order, </w:t>
      </w:r>
      <w:r>
        <w:t xml:space="preserve">33 FCC </w:t>
      </w:r>
      <w:r>
        <w:t>Rcd</w:t>
      </w:r>
      <w:r>
        <w:t xml:space="preserve"> 6621 (2018); </w:t>
      </w:r>
      <w:r w:rsidRPr="00FB1AD3">
        <w:rPr>
          <w:i/>
        </w:rPr>
        <w:t>recon</w:t>
      </w:r>
      <w:r>
        <w:rPr>
          <w:i/>
        </w:rPr>
        <w:t>.</w:t>
      </w:r>
      <w:r w:rsidRPr="00FB1AD3">
        <w:rPr>
          <w:i/>
        </w:rPr>
        <w:t xml:space="preserve"> denied</w:t>
      </w:r>
      <w:r>
        <w:t xml:space="preserve">, Order on Reconsideration, 33 FCC </w:t>
      </w:r>
      <w:r>
        <w:t>Rcd</w:t>
      </w:r>
      <w:r>
        <w:t xml:space="preserve"> 10707 (2018); </w:t>
      </w:r>
      <w:r>
        <w:rPr>
          <w:i/>
        </w:rPr>
        <w:t xml:space="preserve">recon. </w:t>
      </w:r>
      <w:bookmarkEnd w:id="2"/>
      <w:r>
        <w:rPr>
          <w:i/>
        </w:rPr>
        <w:t>denied</w:t>
      </w:r>
      <w:r>
        <w:t xml:space="preserve">, Order on Reconsideration, </w:t>
      </w:r>
      <w:r w:rsidRPr="00571D37">
        <w:t>FCC 19-61 (July 8, 2019).</w:t>
      </w:r>
    </w:p>
  </w:footnote>
  <w:footnote w:id="9">
    <w:p w:rsidR="00571D37" w:rsidRPr="00327FE1" w:rsidP="00C74D97">
      <w:pPr>
        <w:pStyle w:val="FootnoteText"/>
      </w:pPr>
      <w:r w:rsidRPr="00327FE1">
        <w:rPr>
          <w:rStyle w:val="FootnoteReference"/>
        </w:rPr>
        <w:footnoteRef/>
      </w:r>
      <w:r w:rsidRPr="00327FE1">
        <w:t xml:space="preserve"> </w:t>
      </w:r>
      <w:r>
        <w:t xml:space="preserve">November 2018 </w:t>
      </w:r>
      <w:r w:rsidRPr="007A4196">
        <w:t xml:space="preserve">Petition at 3-4.  Stolz does not argue that </w:t>
      </w:r>
      <w:r>
        <w:t xml:space="preserve">his basis to designate the </w:t>
      </w:r>
      <w:r>
        <w:t>Entercom</w:t>
      </w:r>
      <w:r>
        <w:t>/ CBS applications for hearing,</w:t>
      </w:r>
      <w:r w:rsidRPr="007A4196">
        <w:t xml:space="preserve"> in </w:t>
      </w:r>
      <w:r>
        <w:t xml:space="preserve">and </w:t>
      </w:r>
      <w:r w:rsidRPr="007A4196">
        <w:t xml:space="preserve">of </w:t>
      </w:r>
      <w:r>
        <w:t>itself,</w:t>
      </w:r>
      <w:r w:rsidRPr="007A4196">
        <w:t xml:space="preserve"> </w:t>
      </w:r>
      <w:r>
        <w:t>is</w:t>
      </w:r>
      <w:r w:rsidRPr="007A4196">
        <w:t xml:space="preserve"> a basis to designate the Renewal Applications for hearing.  </w:t>
      </w:r>
      <w:r w:rsidRPr="007A4196">
        <w:rPr>
          <w:i/>
          <w:iCs/>
        </w:rPr>
        <w:t>See</w:t>
      </w:r>
      <w:r w:rsidRPr="007A4196">
        <w:t xml:space="preserve"> </w:t>
      </w:r>
      <w:r w:rsidRPr="007A4196">
        <w:rPr>
          <w:i/>
        </w:rPr>
        <w:t>id.</w:t>
      </w:r>
      <w:r w:rsidRPr="007A4196">
        <w:t xml:space="preserve"> at Exhibit A, Issues Preserved by this Petition for Further Reconsideration.</w:t>
      </w:r>
    </w:p>
  </w:footnote>
  <w:footnote w:id="10">
    <w:p w:rsidR="00571D37" w:rsidRPr="00787D28" w:rsidP="00C74D97">
      <w:pPr>
        <w:pStyle w:val="FootnoteText"/>
      </w:pPr>
      <w:r>
        <w:rPr>
          <w:rStyle w:val="FootnoteReference"/>
        </w:rPr>
        <w:footnoteRef/>
      </w:r>
      <w:r>
        <w:t xml:space="preserve"> </w:t>
      </w:r>
      <w:r>
        <w:rPr>
          <w:i/>
        </w:rPr>
        <w:t>See supra</w:t>
      </w:r>
      <w:r>
        <w:t xml:space="preserve"> note 3.</w:t>
      </w:r>
    </w:p>
  </w:footnote>
  <w:footnote w:id="11">
    <w:p w:rsidR="00571D37" w:rsidRPr="00D6432E" w:rsidP="00C74D97">
      <w:pPr>
        <w:pStyle w:val="FootnoteText"/>
      </w:pPr>
      <w:r w:rsidRPr="00D6432E">
        <w:rPr>
          <w:rStyle w:val="FootnoteReference"/>
        </w:rPr>
        <w:footnoteRef/>
      </w:r>
      <w:r w:rsidRPr="00D6432E">
        <w:t xml:space="preserve"> </w:t>
      </w:r>
      <w:r w:rsidRPr="00D6432E">
        <w:rPr>
          <w:i/>
        </w:rPr>
        <w:t>See</w:t>
      </w:r>
      <w:r w:rsidRPr="00D6432E">
        <w:t xml:space="preserve"> 47 U.S.C. § 405(a)</w:t>
      </w:r>
      <w:r>
        <w:t>.</w:t>
      </w:r>
    </w:p>
  </w:footnote>
  <w:footnote w:id="12">
    <w:p w:rsidR="00571D37" w:rsidP="00C74D97">
      <w:pPr>
        <w:pStyle w:val="FootnoteText"/>
      </w:pPr>
      <w:r>
        <w:rPr>
          <w:rStyle w:val="FootnoteReference"/>
        </w:rPr>
        <w:footnoteRef/>
      </w:r>
      <w:r>
        <w:t xml:space="preserve"> </w:t>
      </w:r>
      <w:r>
        <w:rPr>
          <w:i/>
        </w:rPr>
        <w:t>Id</w:t>
      </w:r>
      <w:r>
        <w:t xml:space="preserve">.  </w:t>
      </w:r>
      <w:r w:rsidRPr="005C249D">
        <w:t>The Commission implemented Section 405(a) through Section 1.106(b)(1) of the rules</w:t>
      </w:r>
      <w:r>
        <w:t xml:space="preserve">.  </w:t>
      </w:r>
      <w:r w:rsidRPr="00D6432E">
        <w:t>47 CFR § 1.106(b)(1) (a petition for reconsideration may be filed by an “party to the proceeding, or any other person whose interests are adversely affected by the action taken”).</w:t>
      </w:r>
    </w:p>
  </w:footnote>
  <w:footnote w:id="13">
    <w:p w:rsidR="00571D37" w:rsidP="00C74D97">
      <w:pPr>
        <w:pStyle w:val="FootnoteText"/>
      </w:pPr>
      <w:r>
        <w:rPr>
          <w:rStyle w:val="FootnoteReference"/>
        </w:rPr>
        <w:footnoteRef/>
      </w:r>
      <w:r>
        <w:t xml:space="preserve"> </w:t>
      </w:r>
      <w:r w:rsidRPr="00D76426">
        <w:rPr>
          <w:i/>
        </w:rPr>
        <w:t>See Reconsideration Order</w:t>
      </w:r>
      <w:r>
        <w:t xml:space="preserve">, 32 FCC </w:t>
      </w:r>
      <w:r>
        <w:t>Rcd</w:t>
      </w:r>
      <w:r>
        <w:t xml:space="preserve"> at 6881 n.3 and 6883.</w:t>
      </w:r>
    </w:p>
  </w:footnote>
  <w:footnote w:id="14">
    <w:p w:rsidR="00571D37" w:rsidP="00C74D97">
      <w:pPr>
        <w:pStyle w:val="FootnoteText"/>
      </w:pPr>
      <w:r>
        <w:rPr>
          <w:rStyle w:val="FootnoteReference"/>
        </w:rPr>
        <w:footnoteRef/>
      </w:r>
      <w:r>
        <w:t xml:space="preserve"> 47 U.S.C. § 405(a).  </w:t>
      </w:r>
      <w:r w:rsidRPr="00D93E26">
        <w:rPr>
          <w:i/>
        </w:rPr>
        <w:t xml:space="preserve">See </w:t>
      </w:r>
      <w:r w:rsidRPr="00D93E26">
        <w:rPr>
          <w:i/>
        </w:rPr>
        <w:t>Fibertower</w:t>
      </w:r>
      <w:r w:rsidRPr="00D93E26">
        <w:rPr>
          <w:i/>
        </w:rPr>
        <w:t xml:space="preserve"> Spectrum Holdings LLC</w:t>
      </w:r>
      <w:r>
        <w:t xml:space="preserve">, Order on Reconsideration, 33 FCC </w:t>
      </w:r>
      <w:r>
        <w:t>Rcd</w:t>
      </w:r>
      <w:r>
        <w:t xml:space="preserve"> 6642, 6647, para. 17 (2018) (“</w:t>
      </w:r>
      <w:r w:rsidRPr="00F10672">
        <w:t xml:space="preserve">[T]o </w:t>
      </w:r>
      <w:r w:rsidRPr="00F10672">
        <w:t>qualify</w:t>
      </w:r>
      <w:r w:rsidRPr="00F10672">
        <w:t xml:space="preserve"> as a party in interest, a petitioner for reconsideration generally must have filed a valid petition to deny against the application”</w:t>
      </w:r>
      <w:r>
        <w:t>)</w:t>
      </w:r>
      <w:r w:rsidRPr="00F10672">
        <w:t xml:space="preserve"> </w:t>
      </w:r>
      <w:r>
        <w:t xml:space="preserve">quoting </w:t>
      </w:r>
      <w:r w:rsidRPr="00D93E26">
        <w:rPr>
          <w:i/>
        </w:rPr>
        <w:t>Daniel R. Goodman</w:t>
      </w:r>
      <w:r>
        <w:t xml:space="preserve">, Memorandum Opinion and Order and Order on Reconsideration, 13 FCC </w:t>
      </w:r>
      <w:r>
        <w:t>Rcd</w:t>
      </w:r>
      <w:r>
        <w:t xml:space="preserve"> 21944, 21962, para. 30 (1998); </w:t>
      </w:r>
      <w:r w:rsidRPr="00D93E26">
        <w:rPr>
          <w:i/>
        </w:rPr>
        <w:t xml:space="preserve">see also </w:t>
      </w:r>
      <w:r w:rsidRPr="00D93E26">
        <w:rPr>
          <w:i/>
        </w:rPr>
        <w:t>Urbanmedia</w:t>
      </w:r>
      <w:r w:rsidRPr="00D93E26">
        <w:rPr>
          <w:i/>
        </w:rPr>
        <w:t xml:space="preserve"> One</w:t>
      </w:r>
      <w:r>
        <w:t xml:space="preserve">, Order on Reconsideration, 32 FCC </w:t>
      </w:r>
      <w:r>
        <w:t>Rcd</w:t>
      </w:r>
      <w:r>
        <w:t xml:space="preserve"> 5264, 5267-68, para. 6 (2017), and </w:t>
      </w:r>
      <w:r w:rsidRPr="00D93E26">
        <w:rPr>
          <w:i/>
        </w:rPr>
        <w:t>San Luis Obispo L.P.</w:t>
      </w:r>
      <w:r>
        <w:t xml:space="preserve">, Memorandum Opinion and Order and Forfeiture Order, 11 FCC </w:t>
      </w:r>
      <w:r>
        <w:t>Rcd</w:t>
      </w:r>
      <w:r>
        <w:t xml:space="preserve"> 9616, 9617, para. 4 (1996). </w:t>
      </w:r>
    </w:p>
  </w:footnote>
  <w:footnote w:id="15">
    <w:p w:rsidR="00571D37" w:rsidRPr="00327FE1" w:rsidP="00C74D97">
      <w:pPr>
        <w:pStyle w:val="FootnoteText"/>
      </w:pPr>
      <w:r w:rsidRPr="00D6432E">
        <w:rPr>
          <w:rStyle w:val="FootnoteReference"/>
        </w:rPr>
        <w:footnoteRef/>
      </w:r>
      <w:r w:rsidRPr="00D6432E">
        <w:t xml:space="preserve"> </w:t>
      </w:r>
      <w:r w:rsidRPr="00370C74">
        <w:rPr>
          <w:i/>
        </w:rPr>
        <w:t xml:space="preserve">AFR </w:t>
      </w:r>
      <w:r w:rsidRPr="00370C74">
        <w:rPr>
          <w:rStyle w:val="FootnoteTextChar"/>
          <w:i/>
        </w:rPr>
        <w:t>Order</w:t>
      </w:r>
      <w:r w:rsidRPr="00370C74">
        <w:rPr>
          <w:rStyle w:val="FootnoteTextChar"/>
        </w:rPr>
        <w:t xml:space="preserve">, 33 FCC </w:t>
      </w:r>
      <w:r w:rsidRPr="00370C74">
        <w:rPr>
          <w:rStyle w:val="FootnoteTextChar"/>
        </w:rPr>
        <w:t>Rcd</w:t>
      </w:r>
      <w:r w:rsidRPr="00370C74">
        <w:rPr>
          <w:rStyle w:val="FootnoteTextChar"/>
        </w:rPr>
        <w:t xml:space="preserve"> at 6617-18, paras.</w:t>
      </w:r>
      <w:r w:rsidRPr="00370C74">
        <w:t xml:space="preserve"> 6-9; </w:t>
      </w:r>
      <w:r w:rsidRPr="00370C74">
        <w:rPr>
          <w:i/>
        </w:rPr>
        <w:t>KDND</w:t>
      </w:r>
      <w:r w:rsidRPr="00D6432E">
        <w:rPr>
          <w:i/>
        </w:rPr>
        <w:t xml:space="preserve"> Order</w:t>
      </w:r>
      <w:r w:rsidRPr="00D6432E">
        <w:t xml:space="preserve">, 32 FCC </w:t>
      </w:r>
      <w:r w:rsidRPr="00D6432E">
        <w:t>Rcd</w:t>
      </w:r>
      <w:r w:rsidRPr="00D6432E">
        <w:t xml:space="preserve"> at 7152-53, paras. 11-14.</w:t>
      </w:r>
      <w:r>
        <w:t xml:space="preserve"> </w:t>
      </w:r>
      <w:r w:rsidRPr="00D6432E">
        <w:t xml:space="preserve">  </w:t>
      </w:r>
    </w:p>
  </w:footnote>
  <w:footnote w:id="16">
    <w:p w:rsidR="00571D37" w:rsidRPr="00451ABB" w:rsidP="00C74D97">
      <w:pPr>
        <w:pStyle w:val="FootnoteText"/>
        <w:rPr>
          <w:color w:val="000000"/>
        </w:rPr>
      </w:pPr>
      <w:r w:rsidRPr="00D6432E">
        <w:rPr>
          <w:rStyle w:val="FootnoteReference"/>
        </w:rPr>
        <w:footnoteRef/>
      </w:r>
      <w:r w:rsidRPr="00D6432E">
        <w:t xml:space="preserve"> </w:t>
      </w:r>
      <w:r w:rsidRPr="00D6432E">
        <w:rPr>
          <w:i/>
        </w:rPr>
        <w:t>See</w:t>
      </w:r>
      <w:r w:rsidRPr="00D6432E">
        <w:t xml:space="preserve"> </w:t>
      </w:r>
      <w:r w:rsidRPr="00060656">
        <w:rPr>
          <w:i/>
        </w:rPr>
        <w:t>Applications</w:t>
      </w:r>
      <w:r w:rsidRPr="00D6432E">
        <w:rPr>
          <w:i/>
        </w:rPr>
        <w:t xml:space="preserve"> of Charter Commc'ns, Inc., Time Warner Cable Inc., &amp; Advance/Newhouse </w:t>
      </w:r>
      <w:r w:rsidRPr="00D6432E">
        <w:rPr>
          <w:i/>
        </w:rPr>
        <w:t>P'ship</w:t>
      </w:r>
      <w:r w:rsidRPr="00D6432E">
        <w:t xml:space="preserve">, Order on Reconsideration, </w:t>
      </w:r>
      <w:r>
        <w:t xml:space="preserve">33 FCC </w:t>
      </w:r>
      <w:r>
        <w:t>Rcd</w:t>
      </w:r>
      <w:r>
        <w:t xml:space="preserve"> 8915, 8916-17</w:t>
      </w:r>
      <w:r w:rsidRPr="00D6432E">
        <w:t>, paras. 3,</w:t>
      </w:r>
      <w:r>
        <w:t xml:space="preserve"> </w:t>
      </w:r>
      <w:r w:rsidRPr="00D6432E">
        <w:t>5 (2018) (</w:t>
      </w:r>
      <w:r>
        <w:t>in order to establish standing as a party or a person who is aggrieved or whose interests are adversely affected,</w:t>
      </w:r>
      <w:r w:rsidRPr="00D6432E">
        <w:t xml:space="preserve"> petition</w:t>
      </w:r>
      <w:r>
        <w:t>er</w:t>
      </w:r>
      <w:r w:rsidRPr="00D6432E">
        <w:t xml:space="preserve"> for reconsideration must show that Commission action would cause direct injury that would be prevented or redressed by the requested relief; injury must be concrete and particularized, actual or imminent rather than conjectural or hypothetical, and “certainly impending”)</w:t>
      </w:r>
      <w:r w:rsidRPr="00D6432E">
        <w:t>;</w:t>
      </w:r>
      <w:r>
        <w:t xml:space="preserve"> </w:t>
      </w:r>
      <w:r w:rsidRPr="00AB00A4">
        <w:rPr>
          <w:i/>
          <w:color w:val="000000"/>
        </w:rPr>
        <w:t>Sprint Nextel Corp. &amp; Clearwire Corp.</w:t>
      </w:r>
      <w:r w:rsidRPr="00451ABB">
        <w:rPr>
          <w:color w:val="000000"/>
        </w:rPr>
        <w:t xml:space="preserve">, 27 FCC </w:t>
      </w:r>
      <w:r w:rsidRPr="00451ABB">
        <w:rPr>
          <w:color w:val="000000"/>
        </w:rPr>
        <w:t>Rcd</w:t>
      </w:r>
      <w:r w:rsidRPr="00AB00A4">
        <w:rPr>
          <w:color w:val="000000"/>
        </w:rPr>
        <w:t xml:space="preserve"> 16478, 16480–81 (2012)</w:t>
      </w:r>
      <w:r w:rsidRPr="00451ABB">
        <w:rPr>
          <w:color w:val="000000"/>
        </w:rPr>
        <w:t xml:space="preserve"> (petitioner is not a party or person aggrieved or whose interests are adversely affected for purposes of section 405(a) of the Act </w:t>
      </w:r>
      <w:r>
        <w:rPr>
          <w:color w:val="000000"/>
        </w:rPr>
        <w:t xml:space="preserve">because </w:t>
      </w:r>
      <w:r w:rsidRPr="00451ABB">
        <w:rPr>
          <w:color w:val="000000"/>
        </w:rPr>
        <w:t>the underlying decision</w:t>
      </w:r>
      <w:r>
        <w:rPr>
          <w:color w:val="000000"/>
        </w:rPr>
        <w:t xml:space="preserve"> did not injure the petitioner</w:t>
      </w:r>
      <w:r w:rsidRPr="00451ABB">
        <w:rPr>
          <w:color w:val="000000"/>
        </w:rPr>
        <w:t>)</w:t>
      </w:r>
      <w:r>
        <w:rPr>
          <w:color w:val="000000"/>
        </w:rPr>
        <w:t xml:space="preserve">; </w:t>
      </w:r>
      <w:r w:rsidRPr="00D6432E">
        <w:rPr>
          <w:i/>
          <w:iCs/>
        </w:rPr>
        <w:t>Applications for A and B Block Broadband PCS Licenses</w:t>
      </w:r>
      <w:r w:rsidRPr="00D6432E">
        <w:t>, Memorandum Opinion and Order, 61 Fed. Reg. 19620-02 (May 2, 1996) (allegations based on potential future status as a licensee “are too contingent and speculative to support the required finding of a direct injury causally linked to the challenged action”).</w:t>
      </w:r>
    </w:p>
  </w:footnote>
  <w:footnote w:id="17">
    <w:p w:rsidR="00571D37" w:rsidP="00C74D97">
      <w:pPr>
        <w:pStyle w:val="FootnoteText"/>
      </w:pPr>
      <w:r>
        <w:rPr>
          <w:rStyle w:val="FootnoteReference"/>
        </w:rPr>
        <w:footnoteRef/>
      </w:r>
      <w:r>
        <w:t xml:space="preserve"> </w:t>
      </w:r>
      <w:r w:rsidRPr="00726AC4">
        <w:t>47 CFR §1.106(d)(2).</w:t>
      </w:r>
    </w:p>
  </w:footnote>
  <w:footnote w:id="18">
    <w:p w:rsidR="00571D37" w:rsidP="00C74D97">
      <w:pPr>
        <w:pStyle w:val="FootnoteText"/>
      </w:pPr>
      <w:r>
        <w:rPr>
          <w:rStyle w:val="FootnoteReference"/>
        </w:rPr>
        <w:footnoteRef/>
      </w:r>
      <w:r>
        <w:t xml:space="preserve"> 47 CFR §§ 1.106(p) (“p</w:t>
      </w:r>
      <w:r w:rsidRPr="002A4867">
        <w:t>etitions for reconsideration of a Commission action that plainly do not warrant consideration by the Commission may be dismissed or denied by the relevant bureau</w:t>
      </w:r>
      <w:r>
        <w:t>….Examples include, but are not limited to”); 1.106(p)(1) (failure to identify any material error, omission or reason warranting reconsideration); 1.106(p)(3) (relies</w:t>
      </w:r>
      <w:r w:rsidRPr="00F91639">
        <w:t xml:space="preserve"> on arguments that have been fully considered and rejected by the Commission within the same proceeding</w:t>
      </w:r>
      <w:r>
        <w:t>); 1.106(p)(8) (r</w:t>
      </w:r>
      <w:r w:rsidRPr="0098357A">
        <w:t>elate</w:t>
      </w:r>
      <w:r>
        <w:t>s</w:t>
      </w:r>
      <w:r w:rsidRPr="0098357A">
        <w:t xml:space="preserve"> to an order for which reconsideration has been previously denied on similar grounds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D37" w:rsidP="00810B6F">
    <w:pPr>
      <w:pStyle w:val="Header"/>
      <w:rPr>
        <w:b w:val="0"/>
      </w:rPr>
    </w:pPr>
    <w:r>
      <w:tab/>
      <w:t>Federal Communications Commission</w:t>
    </w:r>
    <w:r>
      <w:tab/>
    </w:r>
    <w:r w:rsidR="002104C1">
      <w:t>FCC 19-59</w:t>
    </w:r>
  </w:p>
  <w:p w:rsidR="00571D3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571D3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D37"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0656"/>
    <w:rsid w:val="000875BF"/>
    <w:rsid w:val="00096D8C"/>
    <w:rsid w:val="000C0B65"/>
    <w:rsid w:val="000D3C1D"/>
    <w:rsid w:val="000E05FE"/>
    <w:rsid w:val="000E3D42"/>
    <w:rsid w:val="00122BD5"/>
    <w:rsid w:val="0013134E"/>
    <w:rsid w:val="00133F79"/>
    <w:rsid w:val="00194A66"/>
    <w:rsid w:val="001D6BCF"/>
    <w:rsid w:val="001E01CA"/>
    <w:rsid w:val="002104C1"/>
    <w:rsid w:val="00275CF5"/>
    <w:rsid w:val="0028301F"/>
    <w:rsid w:val="00285017"/>
    <w:rsid w:val="002A2D2E"/>
    <w:rsid w:val="002A4867"/>
    <w:rsid w:val="002C00E8"/>
    <w:rsid w:val="00314244"/>
    <w:rsid w:val="00327FE1"/>
    <w:rsid w:val="00343749"/>
    <w:rsid w:val="003660ED"/>
    <w:rsid w:val="00370C74"/>
    <w:rsid w:val="003B0550"/>
    <w:rsid w:val="003B694F"/>
    <w:rsid w:val="003F171C"/>
    <w:rsid w:val="00412FC5"/>
    <w:rsid w:val="00422276"/>
    <w:rsid w:val="004242F1"/>
    <w:rsid w:val="00445A00"/>
    <w:rsid w:val="00451ABB"/>
    <w:rsid w:val="00451B0F"/>
    <w:rsid w:val="004725F4"/>
    <w:rsid w:val="004C2EE3"/>
    <w:rsid w:val="004D4E33"/>
    <w:rsid w:val="004E4A22"/>
    <w:rsid w:val="00511968"/>
    <w:rsid w:val="005511AE"/>
    <w:rsid w:val="0055614C"/>
    <w:rsid w:val="00563179"/>
    <w:rsid w:val="00566D06"/>
    <w:rsid w:val="00571D37"/>
    <w:rsid w:val="00581F3F"/>
    <w:rsid w:val="005C249D"/>
    <w:rsid w:val="005E14C2"/>
    <w:rsid w:val="00607BA5"/>
    <w:rsid w:val="0061180A"/>
    <w:rsid w:val="00626EB6"/>
    <w:rsid w:val="00655D03"/>
    <w:rsid w:val="00683388"/>
    <w:rsid w:val="00683F84"/>
    <w:rsid w:val="006A6A81"/>
    <w:rsid w:val="006D418C"/>
    <w:rsid w:val="006F7393"/>
    <w:rsid w:val="0070224F"/>
    <w:rsid w:val="007115F7"/>
    <w:rsid w:val="00726AC4"/>
    <w:rsid w:val="00776F26"/>
    <w:rsid w:val="00785689"/>
    <w:rsid w:val="00787D28"/>
    <w:rsid w:val="0079754B"/>
    <w:rsid w:val="007A1E6D"/>
    <w:rsid w:val="007A4196"/>
    <w:rsid w:val="007B0EB2"/>
    <w:rsid w:val="00810B6F"/>
    <w:rsid w:val="00822CE0"/>
    <w:rsid w:val="00841AB1"/>
    <w:rsid w:val="008C68F1"/>
    <w:rsid w:val="00921803"/>
    <w:rsid w:val="00926503"/>
    <w:rsid w:val="00967A2E"/>
    <w:rsid w:val="009726D8"/>
    <w:rsid w:val="0098357A"/>
    <w:rsid w:val="009D4611"/>
    <w:rsid w:val="009D7308"/>
    <w:rsid w:val="009F76DB"/>
    <w:rsid w:val="00A32C3B"/>
    <w:rsid w:val="00A45F4F"/>
    <w:rsid w:val="00A600A9"/>
    <w:rsid w:val="00AA55B7"/>
    <w:rsid w:val="00AA5B9E"/>
    <w:rsid w:val="00AB00A4"/>
    <w:rsid w:val="00AB2407"/>
    <w:rsid w:val="00AB53DF"/>
    <w:rsid w:val="00B07E5C"/>
    <w:rsid w:val="00B811F7"/>
    <w:rsid w:val="00BA5DC6"/>
    <w:rsid w:val="00BA6196"/>
    <w:rsid w:val="00BC6D8C"/>
    <w:rsid w:val="00C34006"/>
    <w:rsid w:val="00C35D85"/>
    <w:rsid w:val="00C36B4C"/>
    <w:rsid w:val="00C426B1"/>
    <w:rsid w:val="00C66160"/>
    <w:rsid w:val="00C721AC"/>
    <w:rsid w:val="00C74D97"/>
    <w:rsid w:val="00C90D6A"/>
    <w:rsid w:val="00CA247E"/>
    <w:rsid w:val="00CA6D21"/>
    <w:rsid w:val="00CC72B6"/>
    <w:rsid w:val="00D0218D"/>
    <w:rsid w:val="00D23144"/>
    <w:rsid w:val="00D25FB5"/>
    <w:rsid w:val="00D44223"/>
    <w:rsid w:val="00D6432E"/>
    <w:rsid w:val="00D76426"/>
    <w:rsid w:val="00D93E26"/>
    <w:rsid w:val="00DA2529"/>
    <w:rsid w:val="00DB130A"/>
    <w:rsid w:val="00DB2EBB"/>
    <w:rsid w:val="00DC10A1"/>
    <w:rsid w:val="00DC655F"/>
    <w:rsid w:val="00DD0B59"/>
    <w:rsid w:val="00DD7EBD"/>
    <w:rsid w:val="00DF62B6"/>
    <w:rsid w:val="00E07225"/>
    <w:rsid w:val="00E5409F"/>
    <w:rsid w:val="00E87D5A"/>
    <w:rsid w:val="00EE6488"/>
    <w:rsid w:val="00F021FA"/>
    <w:rsid w:val="00F10672"/>
    <w:rsid w:val="00F62E97"/>
    <w:rsid w:val="00F64209"/>
    <w:rsid w:val="00F8374C"/>
    <w:rsid w:val="00F91639"/>
    <w:rsid w:val="00F93BF5"/>
    <w:rsid w:val="00FB1A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1CE17EE-94F8-427B-9DDE-8E3286B9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F3F"/>
    <w:pPr>
      <w:widowControl w:val="0"/>
    </w:pPr>
    <w:rPr>
      <w:snapToGrid w:val="0"/>
      <w:kern w:val="28"/>
      <w:sz w:val="22"/>
    </w:rPr>
  </w:style>
  <w:style w:type="paragraph" w:styleId="Heading1">
    <w:name w:val="heading 1"/>
    <w:basedOn w:val="Normal"/>
    <w:next w:val="ParaNum"/>
    <w:qFormat/>
    <w:rsid w:val="00581F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81F3F"/>
    <w:pPr>
      <w:keepNext/>
      <w:numPr>
        <w:ilvl w:val="1"/>
        <w:numId w:val="3"/>
      </w:numPr>
      <w:spacing w:after="120"/>
      <w:outlineLvl w:val="1"/>
    </w:pPr>
    <w:rPr>
      <w:b/>
    </w:rPr>
  </w:style>
  <w:style w:type="paragraph" w:styleId="Heading3">
    <w:name w:val="heading 3"/>
    <w:basedOn w:val="Normal"/>
    <w:next w:val="ParaNum"/>
    <w:qFormat/>
    <w:rsid w:val="00581F3F"/>
    <w:pPr>
      <w:keepNext/>
      <w:numPr>
        <w:ilvl w:val="2"/>
        <w:numId w:val="3"/>
      </w:numPr>
      <w:tabs>
        <w:tab w:val="left" w:pos="2160"/>
      </w:tabs>
      <w:spacing w:after="120"/>
      <w:outlineLvl w:val="2"/>
    </w:pPr>
    <w:rPr>
      <w:b/>
    </w:rPr>
  </w:style>
  <w:style w:type="paragraph" w:styleId="Heading4">
    <w:name w:val="heading 4"/>
    <w:basedOn w:val="Normal"/>
    <w:next w:val="ParaNum"/>
    <w:qFormat/>
    <w:rsid w:val="00581F3F"/>
    <w:pPr>
      <w:keepNext/>
      <w:numPr>
        <w:ilvl w:val="3"/>
        <w:numId w:val="3"/>
      </w:numPr>
      <w:tabs>
        <w:tab w:val="left" w:pos="2880"/>
      </w:tabs>
      <w:spacing w:after="120"/>
      <w:outlineLvl w:val="3"/>
    </w:pPr>
    <w:rPr>
      <w:b/>
    </w:rPr>
  </w:style>
  <w:style w:type="paragraph" w:styleId="Heading5">
    <w:name w:val="heading 5"/>
    <w:basedOn w:val="Normal"/>
    <w:next w:val="ParaNum"/>
    <w:qFormat/>
    <w:rsid w:val="00581F3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81F3F"/>
    <w:pPr>
      <w:numPr>
        <w:ilvl w:val="5"/>
        <w:numId w:val="3"/>
      </w:numPr>
      <w:tabs>
        <w:tab w:val="left" w:pos="4320"/>
      </w:tabs>
      <w:spacing w:after="120"/>
      <w:outlineLvl w:val="5"/>
    </w:pPr>
    <w:rPr>
      <w:b/>
    </w:rPr>
  </w:style>
  <w:style w:type="paragraph" w:styleId="Heading7">
    <w:name w:val="heading 7"/>
    <w:basedOn w:val="Normal"/>
    <w:next w:val="ParaNum"/>
    <w:qFormat/>
    <w:rsid w:val="00581F3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81F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81F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81F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1F3F"/>
  </w:style>
  <w:style w:type="paragraph" w:customStyle="1" w:styleId="ParaNum">
    <w:name w:val="ParaNum"/>
    <w:basedOn w:val="Normal"/>
    <w:link w:val="ParaNumChar"/>
    <w:rsid w:val="00581F3F"/>
    <w:pPr>
      <w:numPr>
        <w:numId w:val="2"/>
      </w:numPr>
      <w:tabs>
        <w:tab w:val="clear" w:pos="1080"/>
        <w:tab w:val="num" w:pos="1440"/>
      </w:tabs>
      <w:spacing w:after="120"/>
    </w:pPr>
  </w:style>
  <w:style w:type="paragraph" w:styleId="EndnoteText">
    <w:name w:val="endnote text"/>
    <w:basedOn w:val="Normal"/>
    <w:semiHidden/>
    <w:rsid w:val="00581F3F"/>
    <w:rPr>
      <w:sz w:val="20"/>
    </w:rPr>
  </w:style>
  <w:style w:type="character" w:styleId="EndnoteReference">
    <w:name w:val="endnote reference"/>
    <w:semiHidden/>
    <w:rsid w:val="00581F3F"/>
    <w:rPr>
      <w:vertAlign w:val="superscript"/>
    </w:rPr>
  </w:style>
  <w:style w:type="paragraph" w:styleId="FootnoteText">
    <w:name w:val="footnote text"/>
    <w:aliases w:val="Footnote Text Char Char,Footnote Text Char Char Char Char,Footnote Text Char1,Footnote Text Char1 Char Char1,Footnote Text Char1 Char Char1 Char Char Char,Footnote Text Char2 Char Char Char Char,fn,rrfootnote Char Char Char Char Char Char"/>
    <w:link w:val="FootnoteTextChar"/>
    <w:rsid w:val="00581F3F"/>
    <w:pPr>
      <w:spacing w:after="120"/>
    </w:pPr>
  </w:style>
  <w:style w:type="character" w:styleId="FootnoteReference">
    <w:name w:val="footnote reference"/>
    <w:aliases w:val="(NECG) Footnote Reference,Appel note de bas de p,FR,Footnote Reference/,Style 12,Style 124,Style 13,Style 17,Style 3,Style 4,Style 6,Style 7,fr,o"/>
    <w:rsid w:val="00581F3F"/>
    <w:rPr>
      <w:rFonts w:ascii="Times New Roman" w:hAnsi="Times New Roman"/>
      <w:dstrike w:val="0"/>
      <w:color w:val="auto"/>
      <w:sz w:val="20"/>
      <w:vertAlign w:val="superscript"/>
    </w:rPr>
  </w:style>
  <w:style w:type="paragraph" w:styleId="TOC1">
    <w:name w:val="toc 1"/>
    <w:basedOn w:val="Normal"/>
    <w:next w:val="Normal"/>
    <w:semiHidden/>
    <w:rsid w:val="00581F3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81F3F"/>
    <w:pPr>
      <w:tabs>
        <w:tab w:val="left" w:pos="720"/>
        <w:tab w:val="right" w:leader="dot" w:pos="9360"/>
      </w:tabs>
      <w:suppressAutoHyphens/>
      <w:ind w:left="720" w:right="720" w:hanging="360"/>
    </w:pPr>
    <w:rPr>
      <w:noProof/>
    </w:rPr>
  </w:style>
  <w:style w:type="paragraph" w:styleId="TOC3">
    <w:name w:val="toc 3"/>
    <w:basedOn w:val="Normal"/>
    <w:next w:val="Normal"/>
    <w:semiHidden/>
    <w:rsid w:val="00581F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81F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81F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81F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81F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81F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81F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81F3F"/>
    <w:pPr>
      <w:tabs>
        <w:tab w:val="right" w:pos="9360"/>
      </w:tabs>
      <w:suppressAutoHyphens/>
    </w:pPr>
  </w:style>
  <w:style w:type="character" w:customStyle="1" w:styleId="EquationCaption">
    <w:name w:val="_Equation Caption"/>
    <w:rsid w:val="00581F3F"/>
  </w:style>
  <w:style w:type="paragraph" w:styleId="Header">
    <w:name w:val="header"/>
    <w:basedOn w:val="Normal"/>
    <w:autoRedefine/>
    <w:rsid w:val="00581F3F"/>
    <w:pPr>
      <w:tabs>
        <w:tab w:val="center" w:pos="4680"/>
        <w:tab w:val="right" w:pos="9360"/>
      </w:tabs>
    </w:pPr>
    <w:rPr>
      <w:b/>
    </w:rPr>
  </w:style>
  <w:style w:type="paragraph" w:styleId="Footer">
    <w:name w:val="footer"/>
    <w:basedOn w:val="Normal"/>
    <w:link w:val="FooterChar"/>
    <w:uiPriority w:val="99"/>
    <w:rsid w:val="00581F3F"/>
    <w:pPr>
      <w:tabs>
        <w:tab w:val="center" w:pos="4320"/>
        <w:tab w:val="right" w:pos="8640"/>
      </w:tabs>
    </w:pPr>
  </w:style>
  <w:style w:type="character" w:styleId="PageNumber">
    <w:name w:val="page number"/>
    <w:rsid w:val="00581F3F"/>
  </w:style>
  <w:style w:type="paragraph" w:styleId="BlockText">
    <w:name w:val="Block Text"/>
    <w:basedOn w:val="Normal"/>
    <w:rsid w:val="00581F3F"/>
    <w:pPr>
      <w:spacing w:after="240"/>
      <w:ind w:left="1440" w:right="1440"/>
    </w:pPr>
  </w:style>
  <w:style w:type="paragraph" w:customStyle="1" w:styleId="Paratitle">
    <w:name w:val="Para title"/>
    <w:basedOn w:val="Normal"/>
    <w:rsid w:val="00581F3F"/>
    <w:pPr>
      <w:tabs>
        <w:tab w:val="center" w:pos="9270"/>
      </w:tabs>
      <w:spacing w:after="240"/>
    </w:pPr>
    <w:rPr>
      <w:spacing w:val="-2"/>
    </w:rPr>
  </w:style>
  <w:style w:type="paragraph" w:customStyle="1" w:styleId="Bullet">
    <w:name w:val="Bullet"/>
    <w:basedOn w:val="Normal"/>
    <w:rsid w:val="00581F3F"/>
    <w:pPr>
      <w:tabs>
        <w:tab w:val="left" w:pos="2160"/>
      </w:tabs>
      <w:spacing w:after="220"/>
      <w:ind w:left="2160" w:hanging="720"/>
    </w:pPr>
  </w:style>
  <w:style w:type="paragraph" w:customStyle="1" w:styleId="TableFormat">
    <w:name w:val="TableFormat"/>
    <w:basedOn w:val="Bullet"/>
    <w:rsid w:val="00581F3F"/>
    <w:pPr>
      <w:tabs>
        <w:tab w:val="clear" w:pos="2160"/>
        <w:tab w:val="left" w:pos="5040"/>
      </w:tabs>
      <w:ind w:left="5040" w:hanging="3600"/>
    </w:pPr>
  </w:style>
  <w:style w:type="paragraph" w:customStyle="1" w:styleId="TOCTitle">
    <w:name w:val="TOC Title"/>
    <w:basedOn w:val="Normal"/>
    <w:rsid w:val="00581F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81F3F"/>
    <w:pPr>
      <w:jc w:val="center"/>
    </w:pPr>
    <w:rPr>
      <w:rFonts w:ascii="Times New Roman Bold" w:hAnsi="Times New Roman Bold"/>
      <w:b/>
      <w:bCs/>
      <w:caps/>
      <w:szCs w:val="22"/>
    </w:rPr>
  </w:style>
  <w:style w:type="character" w:styleId="Hyperlink">
    <w:name w:val="Hyperlink"/>
    <w:rsid w:val="00581F3F"/>
    <w:rPr>
      <w:color w:val="0000FF"/>
      <w:u w:val="single"/>
    </w:rPr>
  </w:style>
  <w:style w:type="character" w:customStyle="1" w:styleId="FooterChar">
    <w:name w:val="Footer Char"/>
    <w:link w:val="Footer"/>
    <w:uiPriority w:val="99"/>
    <w:rsid w:val="00581F3F"/>
    <w:rPr>
      <w:snapToGrid w:val="0"/>
      <w:kern w:val="28"/>
      <w:sz w:val="22"/>
    </w:rPr>
  </w:style>
  <w:style w:type="character" w:customStyle="1" w:styleId="FootnoteTextChar">
    <w:name w:val="Footnote Text Char"/>
    <w:aliases w:val="Footnote Text Char Char Char,Footnote Text Char Char Char Char Char,Footnote Text Char1 Char,Footnote Text Char1 Char Char1 Char,Footnote Text Char1 Char Char1 Char Char Char Char,Footnote Text Char2 Char Char Char Char Char,fn Char"/>
    <w:link w:val="FootnoteText"/>
    <w:rsid w:val="00C74D97"/>
  </w:style>
  <w:style w:type="character" w:customStyle="1" w:styleId="ParaNumChar">
    <w:name w:val="ParaNum Char"/>
    <w:link w:val="ParaNum"/>
    <w:rsid w:val="00C74D9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