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F20FF" w:rsidRPr="008A0CD5" w:rsidP="000A6F12" w14:paraId="308F7384" w14:textId="77777777">
      <w:pPr>
        <w:jc w:val="center"/>
        <w:rPr>
          <w:b/>
        </w:rPr>
      </w:pPr>
      <w:bookmarkStart w:id="6" w:name="_Hlk527021829"/>
      <w:bookmarkStart w:id="7" w:name="_GoBack"/>
      <w:bookmarkEnd w:id="7"/>
      <w:r w:rsidRPr="008A0CD5">
        <w:rPr>
          <w:b/>
        </w:rPr>
        <w:t>Before the</w:t>
      </w:r>
    </w:p>
    <w:p w:rsidR="00EF20FF" w:rsidRPr="00EF743D" w:rsidP="000A6F12" w14:paraId="0A4F662C" w14:textId="77777777">
      <w:pPr>
        <w:pStyle w:val="StyleBoldCentered"/>
        <w:rPr>
          <w:rFonts w:ascii="Times New Roman" w:hAnsi="Times New Roman"/>
        </w:rPr>
      </w:pPr>
      <w:r w:rsidRPr="00EF743D">
        <w:rPr>
          <w:rFonts w:ascii="Times New Roman" w:hAnsi="Times New Roman"/>
        </w:rPr>
        <w:t>F</w:t>
      </w:r>
      <w:r w:rsidRPr="00EF743D">
        <w:rPr>
          <w:rFonts w:ascii="Times New Roman" w:hAnsi="Times New Roman"/>
          <w:caps w:val="0"/>
        </w:rPr>
        <w:t>ederal Communications Commission</w:t>
      </w:r>
    </w:p>
    <w:p w:rsidR="00EF20FF" w:rsidRPr="00EF743D" w:rsidP="000A6F12" w14:paraId="230F69F2" w14:textId="77777777">
      <w:pPr>
        <w:pStyle w:val="StyleBoldCentered"/>
        <w:rPr>
          <w:rFonts w:ascii="Times New Roman" w:hAnsi="Times New Roman"/>
        </w:rPr>
      </w:pPr>
      <w:r w:rsidRPr="00EF743D">
        <w:rPr>
          <w:rFonts w:ascii="Times New Roman" w:hAnsi="Times New Roman"/>
          <w:caps w:val="0"/>
        </w:rPr>
        <w:t>Washington, D.C. 20554</w:t>
      </w:r>
    </w:p>
    <w:p w:rsidR="00EF20FF" w:rsidRPr="008A0CD5" w:rsidP="000A6F12" w14:paraId="21603917" w14:textId="77777777"/>
    <w:tbl>
      <w:tblPr>
        <w:tblW w:w="0" w:type="auto"/>
        <w:tblLayout w:type="fixed"/>
        <w:tblLook w:val="0000"/>
      </w:tblPr>
      <w:tblGrid>
        <w:gridCol w:w="4698"/>
        <w:gridCol w:w="630"/>
        <w:gridCol w:w="4248"/>
      </w:tblGrid>
      <w:tr w14:paraId="046379DC" w14:textId="77777777" w:rsidTr="00793697">
        <w:tblPrEx>
          <w:tblW w:w="0" w:type="auto"/>
          <w:tblLayout w:type="fixed"/>
          <w:tblLook w:val="0000"/>
        </w:tblPrEx>
        <w:tc>
          <w:tcPr>
            <w:tcW w:w="4698" w:type="dxa"/>
          </w:tcPr>
          <w:p w:rsidR="00EF20FF" w:rsidRPr="008A0CD5" w:rsidP="000A6F12" w14:paraId="037AE879" w14:textId="77777777">
            <w:pPr>
              <w:tabs>
                <w:tab w:val="center" w:pos="4680"/>
              </w:tabs>
              <w:rPr>
                <w:spacing w:val="-2"/>
              </w:rPr>
            </w:pPr>
            <w:r w:rsidRPr="008A0CD5">
              <w:rPr>
                <w:spacing w:val="-2"/>
              </w:rPr>
              <w:t>In the Matter of</w:t>
            </w:r>
          </w:p>
          <w:p w:rsidR="00EF20FF" w:rsidRPr="008A0CD5" w:rsidP="000A6F12" w14:paraId="1D351784" w14:textId="77777777">
            <w:pPr>
              <w:tabs>
                <w:tab w:val="center" w:pos="4680"/>
              </w:tabs>
              <w:rPr>
                <w:spacing w:val="-2"/>
              </w:rPr>
            </w:pPr>
          </w:p>
          <w:p w:rsidR="00EF20FF" w:rsidRPr="008A0CD5" w:rsidP="000A6F12" w14:paraId="18D3E737" w14:textId="77777777">
            <w:pPr>
              <w:tabs>
                <w:tab w:val="center" w:pos="4680"/>
              </w:tabs>
            </w:pPr>
            <w:r w:rsidRPr="008A0CD5">
              <w:t>Entercom Communications and CBS Radio</w:t>
            </w:r>
          </w:p>
          <w:p w:rsidR="00EF20FF" w:rsidRPr="008A0CD5" w:rsidP="000A6F12" w14:paraId="1459EEAB" w14:textId="77777777">
            <w:pPr>
              <w:tabs>
                <w:tab w:val="center" w:pos="4680"/>
              </w:tabs>
            </w:pPr>
            <w:r w:rsidRPr="008A0CD5">
              <w:t>Seek Approval to Transfer Control of and</w:t>
            </w:r>
          </w:p>
          <w:p w:rsidR="00EF20FF" w:rsidRPr="008A0CD5" w:rsidP="000A6F12" w14:paraId="5925C6C0" w14:textId="77777777">
            <w:pPr>
              <w:tabs>
                <w:tab w:val="center" w:pos="4680"/>
              </w:tabs>
            </w:pPr>
            <w:r w:rsidRPr="008A0CD5">
              <w:t>Assign FCC Authorizations and Licenses</w:t>
            </w:r>
          </w:p>
          <w:p w:rsidR="00EF20FF" w:rsidRPr="008A0CD5" w:rsidP="000A6F12" w14:paraId="1946892C" w14:textId="77777777">
            <w:pPr>
              <w:tabs>
                <w:tab w:val="center" w:pos="4680"/>
              </w:tabs>
            </w:pPr>
          </w:p>
          <w:p w:rsidR="00EF20FF" w:rsidRPr="008A0CD5" w:rsidP="000A6F12" w14:paraId="42091328" w14:textId="77777777">
            <w:pPr>
              <w:tabs>
                <w:tab w:val="center" w:pos="4680"/>
              </w:tabs>
            </w:pPr>
            <w:r w:rsidRPr="008A0CD5">
              <w:t>Subsidiaries of CBS Corporation</w:t>
            </w:r>
          </w:p>
          <w:p w:rsidR="00EF20FF" w:rsidRPr="008A0CD5" w:rsidP="000A6F12" w14:paraId="7130CBE1" w14:textId="77777777">
            <w:pPr>
              <w:tabs>
                <w:tab w:val="center" w:pos="4680"/>
              </w:tabs>
            </w:pPr>
            <w:r w:rsidRPr="008A0CD5">
              <w:t>(Transferors)</w:t>
            </w:r>
            <w:r w:rsidRPr="008A0CD5">
              <w:tab/>
            </w:r>
          </w:p>
          <w:p w:rsidR="00EF20FF" w:rsidRPr="008A0CD5" w:rsidP="000A6F12" w14:paraId="780A7B95" w14:textId="77777777">
            <w:pPr>
              <w:tabs>
                <w:tab w:val="center" w:pos="4680"/>
              </w:tabs>
            </w:pPr>
            <w:r w:rsidRPr="008A0CD5">
              <w:t>and</w:t>
            </w:r>
            <w:r w:rsidRPr="008A0CD5">
              <w:tab/>
            </w:r>
          </w:p>
          <w:p w:rsidR="00EF20FF" w:rsidRPr="008A0CD5" w:rsidP="000A6F12" w14:paraId="45340548" w14:textId="77777777">
            <w:pPr>
              <w:tabs>
                <w:tab w:val="center" w:pos="4680"/>
              </w:tabs>
            </w:pPr>
            <w:r w:rsidRPr="008A0CD5">
              <w:t>Shareholders of Entercom Communications</w:t>
            </w:r>
          </w:p>
          <w:p w:rsidR="00EF20FF" w:rsidRPr="008A0CD5" w:rsidP="000A6F12" w14:paraId="77BB6243" w14:textId="77777777">
            <w:pPr>
              <w:tabs>
                <w:tab w:val="center" w:pos="4680"/>
              </w:tabs>
              <w:rPr>
                <w:b/>
              </w:rPr>
            </w:pPr>
            <w:r w:rsidRPr="008A0CD5">
              <w:t>Corporation (Transferees)</w:t>
            </w:r>
            <w:r w:rsidRPr="008A0CD5">
              <w:rPr>
                <w:b/>
              </w:rPr>
              <w:tab/>
            </w:r>
          </w:p>
          <w:p w:rsidR="00EF20FF" w:rsidRPr="008A0CD5" w:rsidP="000A6F12" w14:paraId="6AB58CA3" w14:textId="77777777">
            <w:pPr>
              <w:tabs>
                <w:tab w:val="center" w:pos="4680"/>
              </w:tabs>
              <w:rPr>
                <w:b/>
              </w:rPr>
            </w:pPr>
          </w:p>
          <w:p w:rsidR="00EF20FF" w:rsidRPr="008A0CD5" w:rsidP="000A6F12" w14:paraId="51E1436C" w14:textId="77777777">
            <w:pPr>
              <w:tabs>
                <w:tab w:val="center" w:pos="4680"/>
              </w:tabs>
              <w:rPr>
                <w:b/>
              </w:rPr>
            </w:pPr>
            <w:r w:rsidRPr="008A0CD5">
              <w:t>For Consent to Transfers of Control</w:t>
            </w:r>
            <w:r w:rsidRPr="008A0CD5">
              <w:rPr>
                <w:b/>
              </w:rPr>
              <w:tab/>
            </w:r>
          </w:p>
          <w:p w:rsidR="00EF20FF" w:rsidRPr="008A0CD5" w:rsidP="000A6F12" w14:paraId="49E469E4" w14:textId="77777777">
            <w:pPr>
              <w:tabs>
                <w:tab w:val="center" w:pos="4680"/>
              </w:tabs>
              <w:rPr>
                <w:b/>
              </w:rPr>
            </w:pPr>
          </w:p>
          <w:p w:rsidR="00EF20FF" w:rsidRPr="008A0CD5" w:rsidP="000A6F12" w14:paraId="5ABF19A2" w14:textId="77777777">
            <w:pPr>
              <w:tabs>
                <w:tab w:val="center" w:pos="4680"/>
              </w:tabs>
              <w:rPr>
                <w:spacing w:val="-2"/>
              </w:rPr>
            </w:pPr>
          </w:p>
          <w:p w:rsidR="00EF20FF" w:rsidRPr="008A0CD5" w:rsidP="000A6F12" w14:paraId="70473277" w14:textId="77777777">
            <w:pPr>
              <w:tabs>
                <w:tab w:val="center" w:pos="4680"/>
              </w:tabs>
              <w:rPr>
                <w:spacing w:val="-2"/>
              </w:rPr>
            </w:pPr>
          </w:p>
          <w:p w:rsidR="00EF20FF" w:rsidRPr="008A0CD5" w:rsidP="000A6F12" w14:paraId="7667FE88" w14:textId="77777777">
            <w:pPr>
              <w:tabs>
                <w:tab w:val="center" w:pos="4680"/>
              </w:tabs>
              <w:rPr>
                <w:spacing w:val="-2"/>
              </w:rPr>
            </w:pPr>
          </w:p>
          <w:p w:rsidR="00EF20FF" w:rsidRPr="008A0CD5" w:rsidP="000A6F12" w14:paraId="0E9C98A0" w14:textId="77777777">
            <w:pPr>
              <w:tabs>
                <w:tab w:val="center" w:pos="4680"/>
              </w:tabs>
              <w:rPr>
                <w:spacing w:val="-2"/>
              </w:rPr>
            </w:pPr>
          </w:p>
          <w:p w:rsidR="00EF20FF" w:rsidRPr="008A0CD5" w:rsidP="000A6F12" w14:paraId="2897F749" w14:textId="77777777">
            <w:pPr>
              <w:tabs>
                <w:tab w:val="center" w:pos="4680"/>
              </w:tabs>
              <w:rPr>
                <w:spacing w:val="-2"/>
              </w:rPr>
            </w:pPr>
          </w:p>
          <w:p w:rsidR="00EF20FF" w:rsidRPr="008A0CD5" w:rsidP="000A6F12" w14:paraId="68F67818" w14:textId="77777777">
            <w:pPr>
              <w:tabs>
                <w:tab w:val="center" w:pos="4680"/>
              </w:tabs>
              <w:rPr>
                <w:spacing w:val="-2"/>
              </w:rPr>
            </w:pPr>
          </w:p>
          <w:p w:rsidR="00EF20FF" w:rsidRPr="008A0CD5" w:rsidP="000A6F12" w14:paraId="526A22FC" w14:textId="77777777">
            <w:pPr>
              <w:tabs>
                <w:tab w:val="center" w:pos="4680"/>
              </w:tabs>
              <w:rPr>
                <w:spacing w:val="-2"/>
              </w:rPr>
            </w:pPr>
          </w:p>
          <w:p w:rsidR="00EF20FF" w:rsidRPr="008A0CD5" w:rsidP="000A6F12" w14:paraId="4CCCF776" w14:textId="77777777">
            <w:pPr>
              <w:tabs>
                <w:tab w:val="center" w:pos="4680"/>
              </w:tabs>
              <w:rPr>
                <w:spacing w:val="-2"/>
              </w:rPr>
            </w:pPr>
          </w:p>
          <w:p w:rsidR="00EF20FF" w:rsidRPr="008A0CD5" w:rsidP="000A6F12" w14:paraId="6E3E4281" w14:textId="77777777">
            <w:pPr>
              <w:tabs>
                <w:tab w:val="center" w:pos="4680"/>
              </w:tabs>
              <w:rPr>
                <w:spacing w:val="-2"/>
              </w:rPr>
            </w:pPr>
          </w:p>
          <w:p w:rsidR="00EF20FF" w:rsidRPr="008A0CD5" w:rsidP="000A6F12" w14:paraId="658A4A7E" w14:textId="77777777">
            <w:pPr>
              <w:tabs>
                <w:tab w:val="center" w:pos="4680"/>
              </w:tabs>
              <w:rPr>
                <w:spacing w:val="-2"/>
              </w:rPr>
            </w:pPr>
          </w:p>
          <w:p w:rsidR="00EF20FF" w:rsidRPr="008A0CD5" w:rsidP="000A6F12" w14:paraId="0558B8E4" w14:textId="77777777">
            <w:pPr>
              <w:tabs>
                <w:tab w:val="center" w:pos="4680"/>
              </w:tabs>
              <w:rPr>
                <w:spacing w:val="-2"/>
              </w:rPr>
            </w:pPr>
          </w:p>
          <w:p w:rsidR="00EF20FF" w:rsidRPr="008A0CD5" w:rsidP="000A6F12" w14:paraId="37B9B2A2" w14:textId="77777777">
            <w:pPr>
              <w:tabs>
                <w:tab w:val="center" w:pos="4680"/>
              </w:tabs>
              <w:rPr>
                <w:spacing w:val="-2"/>
              </w:rPr>
            </w:pPr>
          </w:p>
          <w:p w:rsidR="00EF20FF" w:rsidRPr="008A0CD5" w:rsidP="000A6F12" w14:paraId="6A06C658" w14:textId="77777777">
            <w:pPr>
              <w:tabs>
                <w:tab w:val="center" w:pos="4680"/>
              </w:tabs>
              <w:rPr>
                <w:spacing w:val="-2"/>
              </w:rPr>
            </w:pPr>
          </w:p>
          <w:p w:rsidR="00EF20FF" w:rsidRPr="008A0CD5" w:rsidP="000A6F12" w14:paraId="20F4017A" w14:textId="77777777">
            <w:pPr>
              <w:tabs>
                <w:tab w:val="center" w:pos="4680"/>
              </w:tabs>
              <w:rPr>
                <w:spacing w:val="-2"/>
              </w:rPr>
            </w:pPr>
          </w:p>
          <w:p w:rsidR="00EF20FF" w:rsidRPr="008A0CD5" w:rsidP="000A6F12" w14:paraId="4BE96130" w14:textId="77777777">
            <w:pPr>
              <w:tabs>
                <w:tab w:val="center" w:pos="4680"/>
              </w:tabs>
              <w:rPr>
                <w:spacing w:val="-2"/>
              </w:rPr>
            </w:pPr>
          </w:p>
          <w:p w:rsidR="00EF20FF" w:rsidRPr="008A0CD5" w:rsidP="000A6F12" w14:paraId="53424D4C" w14:textId="77777777">
            <w:pPr>
              <w:tabs>
                <w:tab w:val="center" w:pos="4680"/>
              </w:tabs>
              <w:rPr>
                <w:spacing w:val="-2"/>
              </w:rPr>
            </w:pPr>
          </w:p>
          <w:p w:rsidR="00EF20FF" w:rsidRPr="008A0CD5" w:rsidP="000A6F12" w14:paraId="319C34CD" w14:textId="77777777">
            <w:pPr>
              <w:tabs>
                <w:tab w:val="center" w:pos="4680"/>
              </w:tabs>
            </w:pPr>
            <w:r w:rsidRPr="008A0CD5">
              <w:t>Joseph M. Field (Transferor)</w:t>
            </w:r>
          </w:p>
          <w:p w:rsidR="00EF20FF" w:rsidRPr="008A0CD5" w:rsidP="000A6F12" w14:paraId="50A26E4B" w14:textId="77777777">
            <w:pPr>
              <w:tabs>
                <w:tab w:val="center" w:pos="4680"/>
              </w:tabs>
            </w:pPr>
            <w:r w:rsidRPr="008A0CD5">
              <w:t>and</w:t>
            </w:r>
          </w:p>
          <w:p w:rsidR="00EF20FF" w:rsidRPr="008A0CD5" w:rsidP="000A6F12" w14:paraId="026E1A94" w14:textId="77777777">
            <w:pPr>
              <w:tabs>
                <w:tab w:val="center" w:pos="4680"/>
              </w:tabs>
            </w:pPr>
            <w:r w:rsidRPr="008A0CD5">
              <w:t>Shareholders of Entercom Communications</w:t>
            </w:r>
          </w:p>
          <w:p w:rsidR="00EF20FF" w:rsidRPr="008A0CD5" w:rsidP="000A6F12" w14:paraId="54FE3F62" w14:textId="77777777">
            <w:pPr>
              <w:tabs>
                <w:tab w:val="center" w:pos="4680"/>
              </w:tabs>
              <w:rPr>
                <w:b/>
              </w:rPr>
            </w:pPr>
            <w:r w:rsidRPr="008A0CD5">
              <w:t>Corporation (Transferees)</w:t>
            </w:r>
            <w:r w:rsidRPr="008A0CD5">
              <w:rPr>
                <w:b/>
              </w:rPr>
              <w:tab/>
            </w:r>
          </w:p>
          <w:p w:rsidR="00EF20FF" w:rsidRPr="008A0CD5" w:rsidP="000A6F12" w14:paraId="38D28578" w14:textId="77777777">
            <w:pPr>
              <w:tabs>
                <w:tab w:val="center" w:pos="4680"/>
              </w:tabs>
              <w:rPr>
                <w:b/>
              </w:rPr>
            </w:pPr>
          </w:p>
          <w:p w:rsidR="00EF20FF" w:rsidRPr="008A0CD5" w:rsidP="000A6F12" w14:paraId="7F572887" w14:textId="77777777">
            <w:pPr>
              <w:tabs>
                <w:tab w:val="center" w:pos="4680"/>
              </w:tabs>
              <w:rPr>
                <w:b/>
              </w:rPr>
            </w:pPr>
            <w:r w:rsidRPr="008A0CD5">
              <w:t>For Consent to Transfers of Control</w:t>
            </w:r>
          </w:p>
          <w:p w:rsidR="00EF20FF" w:rsidRPr="008A0CD5" w:rsidP="000A6F12" w14:paraId="4DBABE60" w14:textId="77777777">
            <w:pPr>
              <w:tabs>
                <w:tab w:val="center" w:pos="4680"/>
              </w:tabs>
            </w:pPr>
          </w:p>
          <w:p w:rsidR="00EF20FF" w:rsidRPr="008A0CD5" w:rsidP="000A6F12" w14:paraId="1026421E" w14:textId="77777777">
            <w:pPr>
              <w:tabs>
                <w:tab w:val="center" w:pos="4680"/>
              </w:tabs>
            </w:pPr>
          </w:p>
          <w:p w:rsidR="00EF20FF" w:rsidRPr="008A0CD5" w:rsidP="000A6F12" w14:paraId="26C33930" w14:textId="77777777">
            <w:pPr>
              <w:tabs>
                <w:tab w:val="center" w:pos="4680"/>
              </w:tabs>
            </w:pPr>
          </w:p>
          <w:p w:rsidR="00EF20FF" w:rsidRPr="008A0CD5" w:rsidP="000A6F12" w14:paraId="2A75BA6F" w14:textId="77777777">
            <w:pPr>
              <w:tabs>
                <w:tab w:val="center" w:pos="4680"/>
              </w:tabs>
            </w:pPr>
          </w:p>
          <w:p w:rsidR="00EF20FF" w:rsidRPr="008A0CD5" w:rsidP="000A6F12" w14:paraId="017DFF8E" w14:textId="77777777">
            <w:pPr>
              <w:tabs>
                <w:tab w:val="center" w:pos="4680"/>
              </w:tabs>
            </w:pPr>
          </w:p>
          <w:p w:rsidR="00EF20FF" w:rsidRPr="008A0CD5" w:rsidP="000A6F12" w14:paraId="59C1AC26" w14:textId="77777777">
            <w:pPr>
              <w:tabs>
                <w:tab w:val="center" w:pos="4680"/>
              </w:tabs>
            </w:pPr>
            <w:r w:rsidRPr="008A0CD5">
              <w:t>Subsidiaries of CBS Corporation</w:t>
            </w:r>
          </w:p>
          <w:p w:rsidR="00EF20FF" w:rsidRPr="008A0CD5" w:rsidP="000A6F12" w14:paraId="75F6052B" w14:textId="77777777">
            <w:pPr>
              <w:tabs>
                <w:tab w:val="center" w:pos="4680"/>
              </w:tabs>
            </w:pPr>
            <w:r w:rsidRPr="008A0CD5">
              <w:t>(Assignors)</w:t>
            </w:r>
          </w:p>
          <w:p w:rsidR="00EF20FF" w:rsidRPr="008A0CD5" w:rsidP="000A6F12" w14:paraId="7A314658" w14:textId="77777777">
            <w:pPr>
              <w:tabs>
                <w:tab w:val="center" w:pos="4680"/>
              </w:tabs>
            </w:pPr>
            <w:r w:rsidRPr="008A0CD5">
              <w:t>and</w:t>
            </w:r>
          </w:p>
          <w:p w:rsidR="00EF20FF" w:rsidRPr="008A0CD5" w:rsidP="000A6F12" w14:paraId="4F648465" w14:textId="77777777">
            <w:pPr>
              <w:tabs>
                <w:tab w:val="center" w:pos="4680"/>
              </w:tabs>
            </w:pPr>
            <w:r w:rsidRPr="008A0CD5">
              <w:t>The Entercom Divestiture Trust</w:t>
            </w:r>
          </w:p>
          <w:p w:rsidR="00EF20FF" w:rsidRPr="008A0CD5" w:rsidP="000A6F12" w14:paraId="5E37FC38" w14:textId="77777777">
            <w:pPr>
              <w:tabs>
                <w:tab w:val="center" w:pos="4680"/>
              </w:tabs>
            </w:pPr>
            <w:r w:rsidRPr="008A0CD5">
              <w:t>(Assignee)</w:t>
            </w:r>
          </w:p>
          <w:p w:rsidR="00EF20FF" w:rsidRPr="008A0CD5" w:rsidP="000A6F12" w14:paraId="24D3CEE8" w14:textId="77777777">
            <w:pPr>
              <w:tabs>
                <w:tab w:val="center" w:pos="4680"/>
              </w:tabs>
            </w:pPr>
          </w:p>
          <w:p w:rsidR="000A6F12" w:rsidP="000A6F12" w14:paraId="72B982A1" w14:textId="77777777">
            <w:pPr>
              <w:widowControl/>
              <w:tabs>
                <w:tab w:val="center" w:pos="4680"/>
              </w:tabs>
            </w:pPr>
          </w:p>
          <w:p w:rsidR="000A6F12" w:rsidP="000A6F12" w14:paraId="00F3CAD4" w14:textId="77777777">
            <w:pPr>
              <w:widowControl/>
              <w:tabs>
                <w:tab w:val="center" w:pos="4680"/>
              </w:tabs>
            </w:pPr>
          </w:p>
          <w:p w:rsidR="00EF20FF" w:rsidRPr="008A0CD5" w:rsidP="000A6F12" w14:paraId="6CB55699" w14:textId="51D55A3E">
            <w:pPr>
              <w:widowControl/>
              <w:tabs>
                <w:tab w:val="center" w:pos="4680"/>
              </w:tabs>
            </w:pPr>
            <w:r w:rsidRPr="008A0CD5">
              <w:t>For Consent to Assignment of Licenses</w:t>
            </w:r>
          </w:p>
          <w:p w:rsidR="00EF20FF" w:rsidRPr="008A0CD5" w:rsidP="000A6F12" w14:paraId="03C80DE4" w14:textId="77777777">
            <w:pPr>
              <w:tabs>
                <w:tab w:val="center" w:pos="4680"/>
              </w:tabs>
            </w:pPr>
          </w:p>
          <w:p w:rsidR="00EF20FF" w:rsidRPr="008A0CD5" w:rsidP="000A6F12" w14:paraId="2CC9A34B" w14:textId="77777777">
            <w:pPr>
              <w:tabs>
                <w:tab w:val="center" w:pos="4680"/>
              </w:tabs>
            </w:pPr>
            <w:r w:rsidRPr="008A0CD5">
              <w:t>Subsidiaries of Entercom Communications</w:t>
            </w:r>
          </w:p>
          <w:p w:rsidR="00EF20FF" w:rsidRPr="008A0CD5" w:rsidP="000A6F12" w14:paraId="4E8A4851" w14:textId="77777777">
            <w:pPr>
              <w:tabs>
                <w:tab w:val="center" w:pos="4680"/>
              </w:tabs>
            </w:pPr>
            <w:r w:rsidRPr="008A0CD5">
              <w:t>Corporation</w:t>
            </w:r>
          </w:p>
          <w:p w:rsidR="00EF20FF" w:rsidRPr="008A0CD5" w:rsidP="000A6F12" w14:paraId="2A051DA0" w14:textId="77777777">
            <w:pPr>
              <w:tabs>
                <w:tab w:val="center" w:pos="4680"/>
              </w:tabs>
            </w:pPr>
            <w:r w:rsidRPr="008A0CD5">
              <w:t>(Assignors)</w:t>
            </w:r>
          </w:p>
          <w:p w:rsidR="00EF20FF" w:rsidRPr="008A0CD5" w:rsidP="000A6F12" w14:paraId="214E4092" w14:textId="77777777">
            <w:pPr>
              <w:tabs>
                <w:tab w:val="center" w:pos="4680"/>
              </w:tabs>
            </w:pPr>
            <w:r w:rsidRPr="008A0CD5">
              <w:t>and</w:t>
            </w:r>
          </w:p>
          <w:p w:rsidR="00EF20FF" w:rsidRPr="008A0CD5" w:rsidP="000A6F12" w14:paraId="520FD26B" w14:textId="77777777">
            <w:pPr>
              <w:tabs>
                <w:tab w:val="center" w:pos="4680"/>
              </w:tabs>
            </w:pPr>
            <w:r w:rsidRPr="008A0CD5">
              <w:t>The Entercom Divestiture Trust</w:t>
            </w:r>
          </w:p>
          <w:p w:rsidR="00EF20FF" w:rsidRPr="008A0CD5" w:rsidP="000A6F12" w14:paraId="4408213F" w14:textId="77777777">
            <w:pPr>
              <w:tabs>
                <w:tab w:val="center" w:pos="4680"/>
              </w:tabs>
            </w:pPr>
            <w:r w:rsidRPr="008A0CD5">
              <w:t xml:space="preserve">(Assignee) </w:t>
            </w:r>
            <w:r w:rsidRPr="008A0CD5">
              <w:tab/>
            </w:r>
          </w:p>
          <w:p w:rsidR="00EF20FF" w:rsidRPr="008A0CD5" w:rsidP="000A6F12" w14:paraId="06F04794" w14:textId="77777777">
            <w:pPr>
              <w:tabs>
                <w:tab w:val="center" w:pos="4680"/>
              </w:tabs>
            </w:pPr>
          </w:p>
          <w:p w:rsidR="00EF20FF" w:rsidRPr="008A0CD5" w:rsidP="000A6F12" w14:paraId="4AF6BC80" w14:textId="77777777">
            <w:pPr>
              <w:tabs>
                <w:tab w:val="center" w:pos="4680"/>
              </w:tabs>
              <w:rPr>
                <w:spacing w:val="-2"/>
              </w:rPr>
            </w:pPr>
            <w:r w:rsidRPr="008A0CD5">
              <w:t>For Consent to Assignment of Licenses</w:t>
            </w:r>
          </w:p>
        </w:tc>
        <w:tc>
          <w:tcPr>
            <w:tcW w:w="630" w:type="dxa"/>
          </w:tcPr>
          <w:p w:rsidR="00EF20FF" w:rsidRPr="008A0CD5" w:rsidP="000A6F12" w14:paraId="76AA5C21" w14:textId="77777777">
            <w:pPr>
              <w:tabs>
                <w:tab w:val="center" w:pos="4680"/>
              </w:tabs>
              <w:rPr>
                <w:b/>
                <w:spacing w:val="-2"/>
              </w:rPr>
            </w:pPr>
            <w:r w:rsidRPr="008A0CD5">
              <w:rPr>
                <w:b/>
                <w:spacing w:val="-2"/>
              </w:rPr>
              <w:t>)</w:t>
            </w:r>
          </w:p>
          <w:p w:rsidR="00EF20FF" w:rsidRPr="008A0CD5" w:rsidP="000A6F12" w14:paraId="009D51D5" w14:textId="77777777">
            <w:pPr>
              <w:tabs>
                <w:tab w:val="center" w:pos="4680"/>
              </w:tabs>
              <w:rPr>
                <w:b/>
                <w:spacing w:val="-2"/>
              </w:rPr>
            </w:pPr>
            <w:r w:rsidRPr="008A0CD5">
              <w:rPr>
                <w:b/>
                <w:spacing w:val="-2"/>
              </w:rPr>
              <w:t>)</w:t>
            </w:r>
          </w:p>
          <w:p w:rsidR="00EF20FF" w:rsidRPr="008A0CD5" w:rsidP="000A6F12" w14:paraId="2E5904F6" w14:textId="77777777">
            <w:pPr>
              <w:tabs>
                <w:tab w:val="center" w:pos="4680"/>
              </w:tabs>
              <w:rPr>
                <w:b/>
                <w:spacing w:val="-2"/>
              </w:rPr>
            </w:pPr>
            <w:r w:rsidRPr="008A0CD5">
              <w:rPr>
                <w:b/>
                <w:spacing w:val="-2"/>
              </w:rPr>
              <w:t>)</w:t>
            </w:r>
          </w:p>
          <w:p w:rsidR="00EF20FF" w:rsidRPr="008A0CD5" w:rsidP="000A6F12" w14:paraId="28202E22" w14:textId="77777777">
            <w:pPr>
              <w:tabs>
                <w:tab w:val="center" w:pos="4680"/>
              </w:tabs>
              <w:rPr>
                <w:b/>
                <w:spacing w:val="-2"/>
              </w:rPr>
            </w:pPr>
            <w:r w:rsidRPr="008A0CD5">
              <w:rPr>
                <w:b/>
                <w:spacing w:val="-2"/>
              </w:rPr>
              <w:t>)</w:t>
            </w:r>
          </w:p>
          <w:p w:rsidR="00EF20FF" w:rsidRPr="008A0CD5" w:rsidP="000A6F12" w14:paraId="75968861" w14:textId="77777777">
            <w:pPr>
              <w:tabs>
                <w:tab w:val="center" w:pos="4680"/>
              </w:tabs>
              <w:rPr>
                <w:b/>
                <w:spacing w:val="-2"/>
              </w:rPr>
            </w:pPr>
            <w:r w:rsidRPr="008A0CD5">
              <w:rPr>
                <w:b/>
                <w:spacing w:val="-2"/>
              </w:rPr>
              <w:t>)</w:t>
            </w:r>
          </w:p>
          <w:p w:rsidR="00EF20FF" w:rsidRPr="008A0CD5" w:rsidP="000A6F12" w14:paraId="2AFAF860" w14:textId="77777777">
            <w:pPr>
              <w:tabs>
                <w:tab w:val="center" w:pos="4680"/>
              </w:tabs>
              <w:rPr>
                <w:b/>
                <w:spacing w:val="-2"/>
              </w:rPr>
            </w:pPr>
            <w:r w:rsidRPr="008A0CD5">
              <w:rPr>
                <w:b/>
                <w:spacing w:val="-2"/>
              </w:rPr>
              <w:t>)</w:t>
            </w:r>
          </w:p>
          <w:p w:rsidR="00EF20FF" w:rsidRPr="008A0CD5" w:rsidP="000A6F12" w14:paraId="791731CB" w14:textId="77777777">
            <w:pPr>
              <w:tabs>
                <w:tab w:val="center" w:pos="4680"/>
              </w:tabs>
              <w:rPr>
                <w:b/>
                <w:spacing w:val="-2"/>
              </w:rPr>
            </w:pPr>
            <w:r w:rsidRPr="008A0CD5">
              <w:rPr>
                <w:b/>
                <w:spacing w:val="-2"/>
              </w:rPr>
              <w:t>)</w:t>
            </w:r>
          </w:p>
          <w:p w:rsidR="00EF20FF" w:rsidRPr="008A0CD5" w:rsidP="000A6F12" w14:paraId="09DE3E6C" w14:textId="77777777">
            <w:pPr>
              <w:tabs>
                <w:tab w:val="center" w:pos="4680"/>
              </w:tabs>
              <w:rPr>
                <w:b/>
                <w:spacing w:val="-2"/>
              </w:rPr>
            </w:pPr>
            <w:r w:rsidRPr="008A0CD5">
              <w:rPr>
                <w:b/>
                <w:spacing w:val="-2"/>
              </w:rPr>
              <w:t>)</w:t>
            </w:r>
          </w:p>
          <w:p w:rsidR="00EF20FF" w:rsidRPr="008A0CD5" w:rsidP="000A6F12" w14:paraId="2E0D6A83" w14:textId="77777777">
            <w:pPr>
              <w:tabs>
                <w:tab w:val="center" w:pos="4680"/>
              </w:tabs>
              <w:rPr>
                <w:b/>
                <w:spacing w:val="-2"/>
              </w:rPr>
            </w:pPr>
            <w:r w:rsidRPr="008A0CD5">
              <w:rPr>
                <w:b/>
                <w:spacing w:val="-2"/>
              </w:rPr>
              <w:t>)</w:t>
            </w:r>
          </w:p>
          <w:p w:rsidR="00EF20FF" w:rsidRPr="008A0CD5" w:rsidP="000A6F12" w14:paraId="53BBDCAF" w14:textId="77777777">
            <w:pPr>
              <w:tabs>
                <w:tab w:val="center" w:pos="4680"/>
              </w:tabs>
              <w:rPr>
                <w:b/>
                <w:spacing w:val="-2"/>
              </w:rPr>
            </w:pPr>
            <w:r w:rsidRPr="008A0CD5">
              <w:rPr>
                <w:b/>
                <w:spacing w:val="-2"/>
              </w:rPr>
              <w:t>)</w:t>
            </w:r>
          </w:p>
          <w:p w:rsidR="00EF20FF" w:rsidRPr="008A0CD5" w:rsidP="000A6F12" w14:paraId="690E0F25" w14:textId="77777777">
            <w:pPr>
              <w:tabs>
                <w:tab w:val="center" w:pos="4680"/>
              </w:tabs>
              <w:rPr>
                <w:b/>
                <w:spacing w:val="-2"/>
              </w:rPr>
            </w:pPr>
            <w:r w:rsidRPr="008A0CD5">
              <w:rPr>
                <w:b/>
                <w:spacing w:val="-2"/>
              </w:rPr>
              <w:t>)</w:t>
            </w:r>
          </w:p>
          <w:p w:rsidR="00EF20FF" w:rsidRPr="008A0CD5" w:rsidP="000A6F12" w14:paraId="5B67FC05" w14:textId="77777777">
            <w:pPr>
              <w:tabs>
                <w:tab w:val="center" w:pos="4680"/>
              </w:tabs>
              <w:rPr>
                <w:b/>
                <w:spacing w:val="-2"/>
              </w:rPr>
            </w:pPr>
            <w:r w:rsidRPr="008A0CD5">
              <w:rPr>
                <w:b/>
                <w:spacing w:val="-2"/>
              </w:rPr>
              <w:t>)</w:t>
            </w:r>
          </w:p>
          <w:p w:rsidR="00EF20FF" w:rsidRPr="008A0CD5" w:rsidP="000A6F12" w14:paraId="3F3C3624" w14:textId="77777777">
            <w:pPr>
              <w:tabs>
                <w:tab w:val="center" w:pos="4680"/>
              </w:tabs>
              <w:rPr>
                <w:b/>
                <w:spacing w:val="-2"/>
              </w:rPr>
            </w:pPr>
            <w:r w:rsidRPr="008A0CD5">
              <w:rPr>
                <w:b/>
                <w:spacing w:val="-2"/>
              </w:rPr>
              <w:t>)</w:t>
            </w:r>
          </w:p>
          <w:p w:rsidR="00EF20FF" w:rsidRPr="008A0CD5" w:rsidP="000A6F12" w14:paraId="03F5D341" w14:textId="77777777">
            <w:pPr>
              <w:tabs>
                <w:tab w:val="center" w:pos="4680"/>
              </w:tabs>
              <w:rPr>
                <w:b/>
                <w:spacing w:val="-2"/>
              </w:rPr>
            </w:pPr>
            <w:r w:rsidRPr="008A0CD5">
              <w:rPr>
                <w:b/>
                <w:spacing w:val="-2"/>
              </w:rPr>
              <w:t>)</w:t>
            </w:r>
          </w:p>
          <w:p w:rsidR="00EF20FF" w:rsidRPr="008A0CD5" w:rsidP="000A6F12" w14:paraId="08B625BB" w14:textId="77777777">
            <w:pPr>
              <w:tabs>
                <w:tab w:val="center" w:pos="4680"/>
              </w:tabs>
              <w:rPr>
                <w:b/>
                <w:spacing w:val="-2"/>
              </w:rPr>
            </w:pPr>
            <w:r w:rsidRPr="008A0CD5">
              <w:rPr>
                <w:b/>
                <w:spacing w:val="-2"/>
              </w:rPr>
              <w:t>)</w:t>
            </w:r>
          </w:p>
          <w:p w:rsidR="00EF20FF" w:rsidRPr="008A0CD5" w:rsidP="000A6F12" w14:paraId="4ED2247D" w14:textId="77777777">
            <w:pPr>
              <w:tabs>
                <w:tab w:val="center" w:pos="4680"/>
              </w:tabs>
              <w:rPr>
                <w:b/>
                <w:spacing w:val="-2"/>
              </w:rPr>
            </w:pPr>
            <w:r w:rsidRPr="008A0CD5">
              <w:rPr>
                <w:b/>
                <w:spacing w:val="-2"/>
              </w:rPr>
              <w:t>)</w:t>
            </w:r>
          </w:p>
          <w:p w:rsidR="00EF20FF" w:rsidRPr="008A0CD5" w:rsidP="000A6F12" w14:paraId="6ECEBA08" w14:textId="77777777">
            <w:pPr>
              <w:tabs>
                <w:tab w:val="center" w:pos="4680"/>
              </w:tabs>
              <w:rPr>
                <w:b/>
                <w:spacing w:val="-2"/>
              </w:rPr>
            </w:pPr>
            <w:r w:rsidRPr="008A0CD5">
              <w:rPr>
                <w:b/>
                <w:spacing w:val="-2"/>
              </w:rPr>
              <w:t>)</w:t>
            </w:r>
          </w:p>
          <w:p w:rsidR="00EF20FF" w:rsidRPr="008A0CD5" w:rsidP="000A6F12" w14:paraId="0BC3B0F5" w14:textId="77777777">
            <w:pPr>
              <w:tabs>
                <w:tab w:val="center" w:pos="4680"/>
              </w:tabs>
              <w:rPr>
                <w:b/>
                <w:spacing w:val="-2"/>
              </w:rPr>
            </w:pPr>
            <w:r w:rsidRPr="008A0CD5">
              <w:rPr>
                <w:b/>
                <w:spacing w:val="-2"/>
              </w:rPr>
              <w:t>)</w:t>
            </w:r>
          </w:p>
          <w:p w:rsidR="00EF20FF" w:rsidRPr="008A0CD5" w:rsidP="000A6F12" w14:paraId="6D6857C8" w14:textId="77777777">
            <w:pPr>
              <w:tabs>
                <w:tab w:val="center" w:pos="4680"/>
              </w:tabs>
              <w:rPr>
                <w:b/>
                <w:spacing w:val="-2"/>
              </w:rPr>
            </w:pPr>
            <w:r w:rsidRPr="008A0CD5">
              <w:rPr>
                <w:b/>
                <w:spacing w:val="-2"/>
              </w:rPr>
              <w:t>)</w:t>
            </w:r>
          </w:p>
          <w:p w:rsidR="00EF20FF" w:rsidRPr="008A0CD5" w:rsidP="000A6F12" w14:paraId="56FC7703" w14:textId="77777777">
            <w:pPr>
              <w:tabs>
                <w:tab w:val="center" w:pos="4680"/>
              </w:tabs>
              <w:rPr>
                <w:b/>
                <w:spacing w:val="-2"/>
              </w:rPr>
            </w:pPr>
            <w:r w:rsidRPr="008A0CD5">
              <w:rPr>
                <w:b/>
                <w:spacing w:val="-2"/>
              </w:rPr>
              <w:t>)</w:t>
            </w:r>
          </w:p>
          <w:p w:rsidR="00EF20FF" w:rsidRPr="008A0CD5" w:rsidP="000A6F12" w14:paraId="2E6E8289" w14:textId="77777777">
            <w:pPr>
              <w:tabs>
                <w:tab w:val="center" w:pos="4680"/>
              </w:tabs>
              <w:rPr>
                <w:b/>
                <w:spacing w:val="-2"/>
              </w:rPr>
            </w:pPr>
            <w:r w:rsidRPr="008A0CD5">
              <w:rPr>
                <w:b/>
                <w:spacing w:val="-2"/>
              </w:rPr>
              <w:t>)</w:t>
            </w:r>
          </w:p>
          <w:p w:rsidR="00EF20FF" w:rsidRPr="008A0CD5" w:rsidP="000A6F12" w14:paraId="60929071" w14:textId="77777777">
            <w:pPr>
              <w:tabs>
                <w:tab w:val="center" w:pos="4680"/>
              </w:tabs>
              <w:rPr>
                <w:b/>
                <w:spacing w:val="-2"/>
              </w:rPr>
            </w:pPr>
            <w:r w:rsidRPr="008A0CD5">
              <w:rPr>
                <w:b/>
                <w:spacing w:val="-2"/>
              </w:rPr>
              <w:t>)</w:t>
            </w:r>
          </w:p>
          <w:p w:rsidR="00EF20FF" w:rsidRPr="008A0CD5" w:rsidP="000A6F12" w14:paraId="71BC349C" w14:textId="77777777">
            <w:pPr>
              <w:tabs>
                <w:tab w:val="center" w:pos="4680"/>
              </w:tabs>
              <w:rPr>
                <w:b/>
                <w:spacing w:val="-2"/>
              </w:rPr>
            </w:pPr>
            <w:r w:rsidRPr="008A0CD5">
              <w:rPr>
                <w:b/>
                <w:spacing w:val="-2"/>
              </w:rPr>
              <w:t>)</w:t>
            </w:r>
          </w:p>
          <w:p w:rsidR="00EF20FF" w:rsidRPr="008A0CD5" w:rsidP="000A6F12" w14:paraId="5C3B44A6" w14:textId="77777777">
            <w:pPr>
              <w:tabs>
                <w:tab w:val="center" w:pos="4680"/>
              </w:tabs>
              <w:rPr>
                <w:b/>
                <w:spacing w:val="-2"/>
              </w:rPr>
            </w:pPr>
            <w:r w:rsidRPr="008A0CD5">
              <w:rPr>
                <w:b/>
                <w:spacing w:val="-2"/>
              </w:rPr>
              <w:t>)</w:t>
            </w:r>
          </w:p>
          <w:p w:rsidR="00EF20FF" w:rsidRPr="008A0CD5" w:rsidP="000A6F12" w14:paraId="68C5776F" w14:textId="77777777">
            <w:pPr>
              <w:tabs>
                <w:tab w:val="center" w:pos="4680"/>
              </w:tabs>
              <w:rPr>
                <w:b/>
                <w:spacing w:val="-2"/>
              </w:rPr>
            </w:pPr>
            <w:r w:rsidRPr="008A0CD5">
              <w:rPr>
                <w:b/>
                <w:spacing w:val="-2"/>
              </w:rPr>
              <w:t>)</w:t>
            </w:r>
          </w:p>
          <w:p w:rsidR="00EF20FF" w:rsidRPr="008A0CD5" w:rsidP="000A6F12" w14:paraId="7A83C313" w14:textId="77777777">
            <w:pPr>
              <w:tabs>
                <w:tab w:val="center" w:pos="4680"/>
              </w:tabs>
              <w:rPr>
                <w:b/>
                <w:spacing w:val="-2"/>
              </w:rPr>
            </w:pPr>
            <w:r w:rsidRPr="008A0CD5">
              <w:rPr>
                <w:b/>
                <w:spacing w:val="-2"/>
              </w:rPr>
              <w:t>)</w:t>
            </w:r>
          </w:p>
          <w:p w:rsidR="00EF20FF" w:rsidRPr="008A0CD5" w:rsidP="000A6F12" w14:paraId="2BDFA35E" w14:textId="77777777">
            <w:pPr>
              <w:tabs>
                <w:tab w:val="center" w:pos="4680"/>
              </w:tabs>
              <w:rPr>
                <w:b/>
                <w:spacing w:val="-2"/>
              </w:rPr>
            </w:pPr>
            <w:r w:rsidRPr="008A0CD5">
              <w:rPr>
                <w:b/>
                <w:spacing w:val="-2"/>
              </w:rPr>
              <w:t>)</w:t>
            </w:r>
          </w:p>
          <w:p w:rsidR="00EF20FF" w:rsidRPr="008A0CD5" w:rsidP="000A6F12" w14:paraId="3D8B238B" w14:textId="77777777">
            <w:pPr>
              <w:tabs>
                <w:tab w:val="center" w:pos="4680"/>
              </w:tabs>
              <w:rPr>
                <w:b/>
                <w:spacing w:val="-2"/>
              </w:rPr>
            </w:pPr>
            <w:r w:rsidRPr="008A0CD5">
              <w:rPr>
                <w:b/>
                <w:spacing w:val="-2"/>
              </w:rPr>
              <w:t>)</w:t>
            </w:r>
          </w:p>
          <w:p w:rsidR="00EF20FF" w:rsidRPr="008A0CD5" w:rsidP="000A6F12" w14:paraId="1DDF4F89" w14:textId="77777777">
            <w:pPr>
              <w:tabs>
                <w:tab w:val="center" w:pos="4680"/>
              </w:tabs>
              <w:rPr>
                <w:b/>
                <w:spacing w:val="-2"/>
              </w:rPr>
            </w:pPr>
            <w:r w:rsidRPr="008A0CD5">
              <w:rPr>
                <w:b/>
                <w:spacing w:val="-2"/>
              </w:rPr>
              <w:t>)</w:t>
            </w:r>
          </w:p>
          <w:p w:rsidR="00EF20FF" w:rsidRPr="008A0CD5" w:rsidP="000A6F12" w14:paraId="1AFAEB8D" w14:textId="77777777">
            <w:pPr>
              <w:tabs>
                <w:tab w:val="center" w:pos="4680"/>
              </w:tabs>
              <w:rPr>
                <w:b/>
                <w:spacing w:val="-2"/>
              </w:rPr>
            </w:pPr>
            <w:r w:rsidRPr="008A0CD5">
              <w:rPr>
                <w:b/>
                <w:spacing w:val="-2"/>
              </w:rPr>
              <w:t>)</w:t>
            </w:r>
          </w:p>
          <w:p w:rsidR="00EF20FF" w:rsidRPr="008A0CD5" w:rsidP="000A6F12" w14:paraId="272B3D37" w14:textId="77777777">
            <w:pPr>
              <w:tabs>
                <w:tab w:val="center" w:pos="4680"/>
              </w:tabs>
              <w:rPr>
                <w:b/>
                <w:spacing w:val="-2"/>
              </w:rPr>
            </w:pPr>
            <w:r w:rsidRPr="008A0CD5">
              <w:rPr>
                <w:b/>
                <w:spacing w:val="-2"/>
              </w:rPr>
              <w:t>)</w:t>
            </w:r>
          </w:p>
          <w:p w:rsidR="00EF20FF" w:rsidRPr="008A0CD5" w:rsidP="000A6F12" w14:paraId="40D83B46" w14:textId="77777777">
            <w:pPr>
              <w:tabs>
                <w:tab w:val="center" w:pos="4680"/>
              </w:tabs>
              <w:rPr>
                <w:b/>
                <w:spacing w:val="-2"/>
              </w:rPr>
            </w:pPr>
            <w:r w:rsidRPr="008A0CD5">
              <w:rPr>
                <w:b/>
                <w:spacing w:val="-2"/>
              </w:rPr>
              <w:t>)</w:t>
            </w:r>
          </w:p>
          <w:p w:rsidR="00EF20FF" w:rsidRPr="008A0CD5" w:rsidP="000A6F12" w14:paraId="4266D388" w14:textId="77777777">
            <w:pPr>
              <w:tabs>
                <w:tab w:val="center" w:pos="4680"/>
              </w:tabs>
              <w:rPr>
                <w:b/>
                <w:spacing w:val="-2"/>
              </w:rPr>
            </w:pPr>
            <w:r w:rsidRPr="008A0CD5">
              <w:rPr>
                <w:b/>
                <w:spacing w:val="-2"/>
              </w:rPr>
              <w:t>)</w:t>
            </w:r>
          </w:p>
          <w:p w:rsidR="00EF20FF" w:rsidRPr="008A0CD5" w:rsidP="000A6F12" w14:paraId="7DCDDFD8" w14:textId="77777777">
            <w:pPr>
              <w:tabs>
                <w:tab w:val="center" w:pos="4680"/>
              </w:tabs>
              <w:rPr>
                <w:b/>
                <w:spacing w:val="-2"/>
              </w:rPr>
            </w:pPr>
            <w:r w:rsidRPr="008A0CD5">
              <w:rPr>
                <w:b/>
                <w:spacing w:val="-2"/>
              </w:rPr>
              <w:t>)</w:t>
            </w:r>
          </w:p>
          <w:p w:rsidR="00EF20FF" w:rsidRPr="008A0CD5" w:rsidP="000A6F12" w14:paraId="5E1160B2" w14:textId="77777777">
            <w:pPr>
              <w:tabs>
                <w:tab w:val="center" w:pos="4680"/>
              </w:tabs>
              <w:rPr>
                <w:b/>
                <w:spacing w:val="-2"/>
              </w:rPr>
            </w:pPr>
            <w:r w:rsidRPr="008A0CD5">
              <w:rPr>
                <w:b/>
                <w:spacing w:val="-2"/>
              </w:rPr>
              <w:t>)</w:t>
            </w:r>
          </w:p>
          <w:p w:rsidR="00EF20FF" w:rsidRPr="008A0CD5" w:rsidP="000A6F12" w14:paraId="5BB776FC" w14:textId="77777777">
            <w:pPr>
              <w:tabs>
                <w:tab w:val="center" w:pos="4680"/>
              </w:tabs>
              <w:rPr>
                <w:b/>
                <w:spacing w:val="-2"/>
              </w:rPr>
            </w:pPr>
            <w:r w:rsidRPr="008A0CD5">
              <w:rPr>
                <w:b/>
                <w:spacing w:val="-2"/>
              </w:rPr>
              <w:t>)</w:t>
            </w:r>
          </w:p>
          <w:p w:rsidR="00EF20FF" w:rsidRPr="008A0CD5" w:rsidP="000A6F12" w14:paraId="285C9816" w14:textId="77777777">
            <w:pPr>
              <w:tabs>
                <w:tab w:val="center" w:pos="4680"/>
              </w:tabs>
              <w:rPr>
                <w:b/>
                <w:spacing w:val="-2"/>
              </w:rPr>
            </w:pPr>
            <w:r w:rsidRPr="008A0CD5">
              <w:rPr>
                <w:b/>
                <w:spacing w:val="-2"/>
              </w:rPr>
              <w:t>)</w:t>
            </w:r>
          </w:p>
          <w:p w:rsidR="00EF20FF" w:rsidRPr="008A0CD5" w:rsidP="000A6F12" w14:paraId="0343451C" w14:textId="77777777">
            <w:pPr>
              <w:tabs>
                <w:tab w:val="center" w:pos="4680"/>
              </w:tabs>
              <w:rPr>
                <w:b/>
                <w:spacing w:val="-2"/>
              </w:rPr>
            </w:pPr>
            <w:r w:rsidRPr="008A0CD5">
              <w:rPr>
                <w:b/>
                <w:spacing w:val="-2"/>
              </w:rPr>
              <w:t>)</w:t>
            </w:r>
          </w:p>
          <w:p w:rsidR="00EF20FF" w:rsidRPr="008A0CD5" w:rsidP="000A6F12" w14:paraId="46BEF0BA" w14:textId="77777777">
            <w:pPr>
              <w:tabs>
                <w:tab w:val="center" w:pos="4680"/>
              </w:tabs>
              <w:rPr>
                <w:b/>
                <w:spacing w:val="-2"/>
              </w:rPr>
            </w:pPr>
            <w:r w:rsidRPr="008A0CD5">
              <w:rPr>
                <w:b/>
                <w:spacing w:val="-2"/>
              </w:rPr>
              <w:t>)</w:t>
            </w:r>
          </w:p>
          <w:p w:rsidR="00EF20FF" w:rsidRPr="008A0CD5" w:rsidP="000A6F12" w14:paraId="2625FA33" w14:textId="77777777">
            <w:pPr>
              <w:tabs>
                <w:tab w:val="center" w:pos="4680"/>
              </w:tabs>
              <w:rPr>
                <w:b/>
                <w:spacing w:val="-2"/>
              </w:rPr>
            </w:pPr>
            <w:r w:rsidRPr="008A0CD5">
              <w:rPr>
                <w:b/>
                <w:spacing w:val="-2"/>
              </w:rPr>
              <w:t>)</w:t>
            </w:r>
          </w:p>
          <w:p w:rsidR="00EF20FF" w:rsidRPr="008A0CD5" w:rsidP="000A6F12" w14:paraId="19FC2CDA" w14:textId="77777777">
            <w:pPr>
              <w:tabs>
                <w:tab w:val="center" w:pos="4680"/>
              </w:tabs>
              <w:rPr>
                <w:b/>
                <w:spacing w:val="-2"/>
              </w:rPr>
            </w:pPr>
            <w:r w:rsidRPr="008A0CD5">
              <w:rPr>
                <w:b/>
                <w:spacing w:val="-2"/>
              </w:rPr>
              <w:t>)</w:t>
            </w:r>
          </w:p>
          <w:p w:rsidR="00EF20FF" w:rsidRPr="008A0CD5" w:rsidP="000A6F12" w14:paraId="7A51751E" w14:textId="77777777">
            <w:pPr>
              <w:tabs>
                <w:tab w:val="center" w:pos="4680"/>
              </w:tabs>
              <w:rPr>
                <w:b/>
                <w:spacing w:val="-2"/>
              </w:rPr>
            </w:pPr>
            <w:r w:rsidRPr="008A0CD5">
              <w:rPr>
                <w:b/>
                <w:spacing w:val="-2"/>
              </w:rPr>
              <w:t>)</w:t>
            </w:r>
          </w:p>
          <w:p w:rsidR="00EF20FF" w:rsidRPr="008A0CD5" w:rsidP="000A6F12" w14:paraId="2206FC82" w14:textId="77777777">
            <w:pPr>
              <w:tabs>
                <w:tab w:val="center" w:pos="4680"/>
              </w:tabs>
              <w:rPr>
                <w:b/>
                <w:spacing w:val="-2"/>
              </w:rPr>
            </w:pPr>
            <w:r w:rsidRPr="008A0CD5">
              <w:rPr>
                <w:b/>
                <w:spacing w:val="-2"/>
              </w:rPr>
              <w:t>)</w:t>
            </w:r>
          </w:p>
          <w:p w:rsidR="00EF20FF" w:rsidRPr="008A0CD5" w:rsidP="000A6F12" w14:paraId="0111BD67" w14:textId="77777777">
            <w:pPr>
              <w:tabs>
                <w:tab w:val="center" w:pos="4680"/>
              </w:tabs>
              <w:rPr>
                <w:b/>
                <w:spacing w:val="-2"/>
              </w:rPr>
            </w:pPr>
            <w:r w:rsidRPr="008A0CD5">
              <w:rPr>
                <w:b/>
                <w:spacing w:val="-2"/>
              </w:rPr>
              <w:t>)</w:t>
            </w:r>
          </w:p>
          <w:p w:rsidR="00EF20FF" w:rsidRPr="008A0CD5" w:rsidP="000A6F12" w14:paraId="209BD869" w14:textId="77777777">
            <w:pPr>
              <w:tabs>
                <w:tab w:val="center" w:pos="4680"/>
              </w:tabs>
              <w:rPr>
                <w:b/>
                <w:spacing w:val="-2"/>
              </w:rPr>
            </w:pPr>
            <w:r w:rsidRPr="008A0CD5">
              <w:rPr>
                <w:b/>
                <w:spacing w:val="-2"/>
              </w:rPr>
              <w:t>)</w:t>
            </w:r>
          </w:p>
          <w:p w:rsidR="00EF20FF" w:rsidRPr="008A0CD5" w:rsidP="000A6F12" w14:paraId="15C9EC45" w14:textId="77777777">
            <w:pPr>
              <w:tabs>
                <w:tab w:val="center" w:pos="4680"/>
              </w:tabs>
              <w:rPr>
                <w:b/>
                <w:spacing w:val="-2"/>
              </w:rPr>
            </w:pPr>
            <w:r w:rsidRPr="008A0CD5">
              <w:rPr>
                <w:b/>
                <w:spacing w:val="-2"/>
              </w:rPr>
              <w:t>)</w:t>
            </w:r>
          </w:p>
          <w:p w:rsidR="00EF20FF" w:rsidRPr="008A0CD5" w:rsidP="000A6F12" w14:paraId="7E79D3EA" w14:textId="77777777">
            <w:pPr>
              <w:tabs>
                <w:tab w:val="center" w:pos="4680"/>
              </w:tabs>
              <w:rPr>
                <w:b/>
                <w:spacing w:val="-2"/>
              </w:rPr>
            </w:pPr>
            <w:r w:rsidRPr="008A0CD5">
              <w:rPr>
                <w:b/>
                <w:spacing w:val="-2"/>
              </w:rPr>
              <w:t>)</w:t>
            </w:r>
          </w:p>
          <w:p w:rsidR="00EF20FF" w:rsidRPr="008A0CD5" w:rsidP="000A6F12" w14:paraId="22C3AD16" w14:textId="77777777">
            <w:pPr>
              <w:tabs>
                <w:tab w:val="center" w:pos="4680"/>
              </w:tabs>
              <w:rPr>
                <w:b/>
                <w:spacing w:val="-2"/>
              </w:rPr>
            </w:pPr>
            <w:r w:rsidRPr="008A0CD5">
              <w:rPr>
                <w:b/>
                <w:spacing w:val="-2"/>
              </w:rPr>
              <w:t>)</w:t>
            </w:r>
          </w:p>
          <w:p w:rsidR="00EF20FF" w:rsidRPr="008A0CD5" w:rsidP="000A6F12" w14:paraId="47D3E49B" w14:textId="77777777">
            <w:pPr>
              <w:tabs>
                <w:tab w:val="center" w:pos="4680"/>
              </w:tabs>
              <w:rPr>
                <w:b/>
                <w:spacing w:val="-2"/>
              </w:rPr>
            </w:pPr>
            <w:r w:rsidRPr="008A0CD5">
              <w:rPr>
                <w:b/>
                <w:spacing w:val="-2"/>
              </w:rPr>
              <w:t>)</w:t>
            </w:r>
          </w:p>
          <w:p w:rsidR="00EF20FF" w:rsidRPr="008A0CD5" w:rsidP="000A6F12" w14:paraId="26F5F051" w14:textId="77777777">
            <w:pPr>
              <w:tabs>
                <w:tab w:val="center" w:pos="4680"/>
              </w:tabs>
              <w:rPr>
                <w:b/>
                <w:spacing w:val="-2"/>
              </w:rPr>
            </w:pPr>
            <w:r w:rsidRPr="008A0CD5">
              <w:rPr>
                <w:b/>
                <w:spacing w:val="-2"/>
              </w:rPr>
              <w:t>)</w:t>
            </w:r>
          </w:p>
          <w:p w:rsidR="00EF20FF" w:rsidRPr="008A0CD5" w:rsidP="000A6F12" w14:paraId="44111D61" w14:textId="77777777">
            <w:pPr>
              <w:tabs>
                <w:tab w:val="center" w:pos="4680"/>
              </w:tabs>
              <w:rPr>
                <w:b/>
                <w:spacing w:val="-2"/>
              </w:rPr>
            </w:pPr>
            <w:r w:rsidRPr="008A0CD5">
              <w:rPr>
                <w:b/>
                <w:spacing w:val="-2"/>
              </w:rPr>
              <w:t>)</w:t>
            </w:r>
          </w:p>
          <w:p w:rsidR="00EF20FF" w:rsidRPr="008A0CD5" w:rsidP="000A6F12" w14:paraId="5FA0F6CA" w14:textId="77777777">
            <w:pPr>
              <w:tabs>
                <w:tab w:val="center" w:pos="4680"/>
              </w:tabs>
              <w:rPr>
                <w:b/>
                <w:spacing w:val="-2"/>
              </w:rPr>
            </w:pPr>
            <w:r w:rsidRPr="008A0CD5">
              <w:rPr>
                <w:b/>
                <w:spacing w:val="-2"/>
              </w:rPr>
              <w:t>)</w:t>
            </w:r>
          </w:p>
          <w:p w:rsidR="00EF20FF" w:rsidRPr="008A0CD5" w:rsidP="000A6F12" w14:paraId="3D289A72" w14:textId="77777777">
            <w:pPr>
              <w:tabs>
                <w:tab w:val="center" w:pos="4680"/>
              </w:tabs>
              <w:rPr>
                <w:b/>
                <w:spacing w:val="-2"/>
              </w:rPr>
            </w:pPr>
            <w:r w:rsidRPr="008A0CD5">
              <w:rPr>
                <w:b/>
                <w:spacing w:val="-2"/>
              </w:rPr>
              <w:t>)</w:t>
            </w:r>
          </w:p>
          <w:p w:rsidR="00EF20FF" w:rsidRPr="008A0CD5" w:rsidP="000A6F12" w14:paraId="59B9D2F1" w14:textId="77777777">
            <w:pPr>
              <w:tabs>
                <w:tab w:val="center" w:pos="4680"/>
              </w:tabs>
              <w:rPr>
                <w:b/>
                <w:spacing w:val="-2"/>
              </w:rPr>
            </w:pPr>
            <w:r w:rsidRPr="008A0CD5">
              <w:rPr>
                <w:b/>
                <w:spacing w:val="-2"/>
              </w:rPr>
              <w:t>)</w:t>
            </w:r>
          </w:p>
          <w:p w:rsidR="00EF20FF" w:rsidRPr="008A0CD5" w:rsidP="000A6F12" w14:paraId="48DE44FC" w14:textId="77777777">
            <w:pPr>
              <w:tabs>
                <w:tab w:val="center" w:pos="4680"/>
              </w:tabs>
              <w:rPr>
                <w:b/>
                <w:spacing w:val="-2"/>
              </w:rPr>
            </w:pPr>
            <w:r w:rsidRPr="008A0CD5">
              <w:rPr>
                <w:b/>
                <w:spacing w:val="-2"/>
              </w:rPr>
              <w:t>)</w:t>
            </w:r>
          </w:p>
          <w:p w:rsidR="00EF20FF" w:rsidRPr="00FC43F1" w:rsidP="000A6F12" w14:paraId="120964CC" w14:textId="77777777">
            <w:pPr>
              <w:tabs>
                <w:tab w:val="center" w:pos="4680"/>
              </w:tabs>
              <w:rPr>
                <w:b/>
                <w:spacing w:val="-2"/>
              </w:rPr>
            </w:pPr>
            <w:r w:rsidRPr="00FC43F1">
              <w:rPr>
                <w:b/>
                <w:spacing w:val="-2"/>
              </w:rPr>
              <w:t>)</w:t>
            </w:r>
          </w:p>
          <w:p w:rsidR="00EF20FF" w:rsidRPr="00FC43F1" w:rsidP="000A6F12" w14:paraId="0A04D517" w14:textId="77777777">
            <w:pPr>
              <w:tabs>
                <w:tab w:val="center" w:pos="4680"/>
              </w:tabs>
              <w:rPr>
                <w:b/>
                <w:spacing w:val="-2"/>
              </w:rPr>
            </w:pPr>
            <w:r w:rsidRPr="00FC43F1">
              <w:rPr>
                <w:b/>
                <w:spacing w:val="-2"/>
              </w:rPr>
              <w:t>)</w:t>
            </w:r>
          </w:p>
          <w:p w:rsidR="00FC43F1" w:rsidRPr="00FC43F1" w:rsidP="000A6F12" w14:paraId="1CFC6B2D" w14:textId="77777777">
            <w:pPr>
              <w:tabs>
                <w:tab w:val="center" w:pos="4680"/>
              </w:tabs>
              <w:rPr>
                <w:b/>
                <w:spacing w:val="-2"/>
              </w:rPr>
            </w:pPr>
            <w:r w:rsidRPr="00FC43F1">
              <w:rPr>
                <w:b/>
                <w:spacing w:val="-2"/>
              </w:rPr>
              <w:t>)</w:t>
            </w:r>
          </w:p>
          <w:p w:rsidR="00FC43F1" w:rsidRPr="008A0CD5" w:rsidP="000A6F12" w14:paraId="0D6C9325" w14:textId="1AA860C9">
            <w:pPr>
              <w:tabs>
                <w:tab w:val="center" w:pos="4680"/>
              </w:tabs>
              <w:rPr>
                <w:spacing w:val="-2"/>
              </w:rPr>
            </w:pPr>
            <w:r w:rsidRPr="00FC43F1">
              <w:rPr>
                <w:b/>
                <w:spacing w:val="-2"/>
              </w:rPr>
              <w:t>)</w:t>
            </w:r>
          </w:p>
        </w:tc>
        <w:tc>
          <w:tcPr>
            <w:tcW w:w="4248" w:type="dxa"/>
          </w:tcPr>
          <w:p w:rsidR="00EF20FF" w:rsidRPr="008A0CD5" w:rsidP="000A6F12" w14:paraId="1955AC4A" w14:textId="77777777">
            <w:pPr>
              <w:tabs>
                <w:tab w:val="center" w:pos="4680"/>
              </w:tabs>
              <w:rPr>
                <w:spacing w:val="-2"/>
              </w:rPr>
            </w:pPr>
          </w:p>
          <w:p w:rsidR="00EF20FF" w:rsidRPr="008A0CD5" w:rsidP="000A6F12" w14:paraId="06BF4F0E" w14:textId="77777777">
            <w:pPr>
              <w:pStyle w:val="TOAHeading"/>
              <w:tabs>
                <w:tab w:val="center" w:pos="4680"/>
                <w:tab w:val="clear" w:pos="9360"/>
              </w:tabs>
              <w:suppressAutoHyphens w:val="0"/>
              <w:rPr>
                <w:spacing w:val="-2"/>
              </w:rPr>
            </w:pPr>
          </w:p>
          <w:p w:rsidR="00EF20FF" w:rsidRPr="008A0CD5" w:rsidP="000A6F12" w14:paraId="74487A17" w14:textId="77777777">
            <w:pPr>
              <w:tabs>
                <w:tab w:val="center" w:pos="4680"/>
              </w:tabs>
            </w:pPr>
            <w:r w:rsidRPr="008A0CD5">
              <w:t>MB Docket No. 17-85</w:t>
            </w:r>
          </w:p>
          <w:p w:rsidR="00EF20FF" w:rsidRPr="008A0CD5" w:rsidP="000A6F12" w14:paraId="1B80B26D" w14:textId="77777777">
            <w:pPr>
              <w:tabs>
                <w:tab w:val="center" w:pos="4680"/>
              </w:tabs>
            </w:pPr>
          </w:p>
          <w:p w:rsidR="00EF20FF" w:rsidRPr="008A0CD5" w:rsidP="000A6F12" w14:paraId="3349D2FE" w14:textId="77777777">
            <w:pPr>
              <w:tabs>
                <w:tab w:val="center" w:pos="4680"/>
              </w:tabs>
            </w:pPr>
          </w:p>
          <w:p w:rsidR="00EF20FF" w:rsidRPr="008A0CD5" w:rsidP="000A6F12" w14:paraId="32303A7C" w14:textId="77777777">
            <w:pPr>
              <w:tabs>
                <w:tab w:val="center" w:pos="4680"/>
              </w:tabs>
            </w:pPr>
          </w:p>
          <w:p w:rsidR="00EF20FF" w:rsidRPr="008A0CD5" w:rsidP="000A6F12" w14:paraId="7F406336" w14:textId="77777777">
            <w:pPr>
              <w:tabs>
                <w:tab w:val="center" w:pos="4680"/>
              </w:tabs>
            </w:pPr>
            <w:r w:rsidRPr="008A0CD5">
              <w:t>BTCH-20170320AAV</w:t>
            </w:r>
          </w:p>
          <w:p w:rsidR="00EF20FF" w:rsidRPr="008A0CD5" w:rsidP="000A6F12" w14:paraId="642B0959" w14:textId="77777777">
            <w:pPr>
              <w:tabs>
                <w:tab w:val="center" w:pos="4680"/>
              </w:tabs>
              <w:rPr>
                <w:i/>
              </w:rPr>
            </w:pPr>
            <w:r w:rsidRPr="008A0CD5">
              <w:t xml:space="preserve">BTC-20170320AAZ, </w:t>
            </w:r>
            <w:r w:rsidRPr="008A0CD5">
              <w:rPr>
                <w:i/>
              </w:rPr>
              <w:t>et al.,</w:t>
            </w:r>
          </w:p>
          <w:p w:rsidR="00EF20FF" w:rsidRPr="008A0CD5" w:rsidP="000A6F12" w14:paraId="6212898D" w14:textId="77777777">
            <w:pPr>
              <w:tabs>
                <w:tab w:val="center" w:pos="4680"/>
              </w:tabs>
            </w:pPr>
            <w:r w:rsidRPr="008A0CD5">
              <w:t>BTCH-20170320ACR</w:t>
            </w:r>
          </w:p>
          <w:p w:rsidR="00EF20FF" w:rsidRPr="008A0CD5" w:rsidP="000A6F12" w14:paraId="7C33C77A" w14:textId="77777777">
            <w:pPr>
              <w:tabs>
                <w:tab w:val="center" w:pos="4680"/>
              </w:tabs>
            </w:pPr>
            <w:r w:rsidRPr="008A0CD5">
              <w:t>BTCH-20170320AEV</w:t>
            </w:r>
            <w:r w:rsidRPr="008A0CD5" w:rsidR="001B34BE">
              <w:t>Opp</w:t>
            </w:r>
          </w:p>
          <w:p w:rsidR="00EF20FF" w:rsidRPr="008A0CD5" w:rsidP="000A6F12" w14:paraId="69788AAE" w14:textId="77777777">
            <w:pPr>
              <w:tabs>
                <w:tab w:val="center" w:pos="4680"/>
              </w:tabs>
            </w:pPr>
            <w:r w:rsidRPr="008A0CD5">
              <w:t>BTCH-20170320AFU</w:t>
            </w:r>
          </w:p>
          <w:p w:rsidR="00EF20FF" w:rsidRPr="008A0CD5" w:rsidP="000A6F12" w14:paraId="506D1CB0" w14:textId="77777777">
            <w:pPr>
              <w:tabs>
                <w:tab w:val="center" w:pos="4680"/>
              </w:tabs>
            </w:pPr>
            <w:r w:rsidRPr="008A0CD5">
              <w:t>BTC-20170320AGG</w:t>
            </w:r>
          </w:p>
          <w:p w:rsidR="00EF20FF" w:rsidRPr="008A0CD5" w:rsidP="000A6F12" w14:paraId="04F25FDC" w14:textId="77777777">
            <w:pPr>
              <w:tabs>
                <w:tab w:val="center" w:pos="4680"/>
              </w:tabs>
            </w:pPr>
            <w:r w:rsidRPr="008A0CD5">
              <w:t xml:space="preserve">BTCH-20170320AGZ  </w:t>
            </w:r>
          </w:p>
          <w:p w:rsidR="00EF20FF" w:rsidRPr="008A0CD5" w:rsidP="000A6F12" w14:paraId="61543F2E" w14:textId="77777777">
            <w:pPr>
              <w:tabs>
                <w:tab w:val="center" w:pos="4680"/>
              </w:tabs>
              <w:rPr>
                <w:i/>
              </w:rPr>
            </w:pPr>
            <w:r w:rsidRPr="008A0CD5">
              <w:t xml:space="preserve">BTCH-20170320AHB, </w:t>
            </w:r>
            <w:r w:rsidRPr="008A0CD5">
              <w:rPr>
                <w:i/>
              </w:rPr>
              <w:t>et al.,</w:t>
            </w:r>
          </w:p>
          <w:p w:rsidR="00EF20FF" w:rsidRPr="008A0CD5" w:rsidP="000A6F12" w14:paraId="7808B3C1" w14:textId="77777777">
            <w:pPr>
              <w:tabs>
                <w:tab w:val="center" w:pos="4680"/>
              </w:tabs>
            </w:pPr>
            <w:r w:rsidRPr="008A0CD5">
              <w:t>BTCH-20170320ACM</w:t>
            </w:r>
          </w:p>
          <w:p w:rsidR="00EF20FF" w:rsidRPr="008A0CD5" w:rsidP="000A6F12" w14:paraId="00E4F079" w14:textId="77777777">
            <w:pPr>
              <w:tabs>
                <w:tab w:val="center" w:pos="4680"/>
              </w:tabs>
              <w:rPr>
                <w:i/>
              </w:rPr>
            </w:pPr>
            <w:r w:rsidRPr="008A0CD5">
              <w:t xml:space="preserve">BTCH-20170320ACT, </w:t>
            </w:r>
            <w:r w:rsidRPr="008A0CD5">
              <w:rPr>
                <w:i/>
              </w:rPr>
              <w:t>et al.,</w:t>
            </w:r>
          </w:p>
          <w:p w:rsidR="00EF20FF" w:rsidRPr="008A0CD5" w:rsidP="000A6F12" w14:paraId="69EA0116" w14:textId="77777777">
            <w:pPr>
              <w:tabs>
                <w:tab w:val="center" w:pos="4680"/>
              </w:tabs>
              <w:rPr>
                <w:i/>
              </w:rPr>
            </w:pPr>
            <w:r w:rsidRPr="008A0CD5">
              <w:t>BTCH-20170320AFS</w:t>
            </w:r>
          </w:p>
          <w:p w:rsidR="00EF20FF" w:rsidRPr="008A0CD5" w:rsidP="000A6F12" w14:paraId="51388C7F" w14:textId="77777777">
            <w:pPr>
              <w:tabs>
                <w:tab w:val="center" w:pos="4680"/>
              </w:tabs>
              <w:rPr>
                <w:i/>
              </w:rPr>
            </w:pPr>
            <w:r w:rsidRPr="008A0CD5">
              <w:t xml:space="preserve">BTCH-20170320AFV, </w:t>
            </w:r>
            <w:r w:rsidRPr="008A0CD5">
              <w:rPr>
                <w:i/>
              </w:rPr>
              <w:t>et al.,</w:t>
            </w:r>
          </w:p>
          <w:p w:rsidR="00EF20FF" w:rsidRPr="008A0CD5" w:rsidP="000A6F12" w14:paraId="0172D1D6" w14:textId="77777777">
            <w:pPr>
              <w:tabs>
                <w:tab w:val="center" w:pos="4680"/>
              </w:tabs>
              <w:rPr>
                <w:i/>
              </w:rPr>
            </w:pPr>
            <w:r w:rsidRPr="008A0CD5">
              <w:t xml:space="preserve">BTC-20170320AGE, </w:t>
            </w:r>
            <w:r w:rsidRPr="008A0CD5">
              <w:rPr>
                <w:i/>
              </w:rPr>
              <w:t>et al.,</w:t>
            </w:r>
          </w:p>
          <w:p w:rsidR="00EF20FF" w:rsidRPr="008A0CD5" w:rsidP="000A6F12" w14:paraId="2CE8AF39" w14:textId="77777777">
            <w:pPr>
              <w:tabs>
                <w:tab w:val="center" w:pos="4680"/>
              </w:tabs>
              <w:rPr>
                <w:i/>
              </w:rPr>
            </w:pPr>
            <w:r w:rsidRPr="008A0CD5">
              <w:t>BTCH-20170320AGP</w:t>
            </w:r>
          </w:p>
          <w:p w:rsidR="00EF20FF" w:rsidRPr="008A0CD5" w:rsidP="000A6F12" w14:paraId="7596E530" w14:textId="77777777">
            <w:pPr>
              <w:tabs>
                <w:tab w:val="center" w:pos="4680"/>
              </w:tabs>
              <w:rPr>
                <w:i/>
              </w:rPr>
            </w:pPr>
            <w:r w:rsidRPr="008A0CD5">
              <w:t>BTCH-20170320ACS</w:t>
            </w:r>
          </w:p>
          <w:p w:rsidR="00EF20FF" w:rsidRPr="008A0CD5" w:rsidP="000A6F12" w14:paraId="38E352B8" w14:textId="77777777">
            <w:pPr>
              <w:tabs>
                <w:tab w:val="center" w:pos="4680"/>
              </w:tabs>
              <w:rPr>
                <w:i/>
              </w:rPr>
            </w:pPr>
            <w:r w:rsidRPr="008A0CD5">
              <w:t xml:space="preserve">BTC-20170320ACV, </w:t>
            </w:r>
            <w:r w:rsidRPr="008A0CD5">
              <w:rPr>
                <w:i/>
              </w:rPr>
              <w:t>et al.,</w:t>
            </w:r>
          </w:p>
          <w:p w:rsidR="00EF20FF" w:rsidRPr="008A0CD5" w:rsidP="000A6F12" w14:paraId="03E92AD9" w14:textId="77777777">
            <w:pPr>
              <w:tabs>
                <w:tab w:val="center" w:pos="4680"/>
              </w:tabs>
              <w:rPr>
                <w:i/>
              </w:rPr>
            </w:pPr>
            <w:r w:rsidRPr="008A0CD5">
              <w:t xml:space="preserve">BTC-20170320AFI, </w:t>
            </w:r>
            <w:r w:rsidRPr="008A0CD5">
              <w:rPr>
                <w:i/>
              </w:rPr>
              <w:t>et al.,</w:t>
            </w:r>
          </w:p>
          <w:p w:rsidR="00EF20FF" w:rsidRPr="008A0CD5" w:rsidP="000A6F12" w14:paraId="231D7DAE" w14:textId="77777777">
            <w:r w:rsidRPr="008A0CD5">
              <w:t>BTCH-20170320AFT</w:t>
            </w:r>
          </w:p>
          <w:p w:rsidR="00EF20FF" w:rsidRPr="008A0CD5" w:rsidP="000A6F12" w14:paraId="3D6B548D" w14:textId="77777777">
            <w:pPr>
              <w:tabs>
                <w:tab w:val="center" w:pos="4680"/>
              </w:tabs>
              <w:rPr>
                <w:i/>
              </w:rPr>
            </w:pPr>
            <w:r w:rsidRPr="008A0CD5">
              <w:t>BTC-20170320AGD</w:t>
            </w:r>
          </w:p>
          <w:p w:rsidR="00EF20FF" w:rsidRPr="008A0CD5" w:rsidP="000A6F12" w14:paraId="599784FB" w14:textId="77777777">
            <w:pPr>
              <w:tabs>
                <w:tab w:val="center" w:pos="4680"/>
              </w:tabs>
              <w:rPr>
                <w:i/>
              </w:rPr>
            </w:pPr>
            <w:r w:rsidRPr="008A0CD5">
              <w:t>BTC-20170320AGO</w:t>
            </w:r>
          </w:p>
          <w:p w:rsidR="00EF20FF" w:rsidRPr="008A0CD5" w:rsidP="000A6F12" w14:paraId="24D57045" w14:textId="77777777">
            <w:pPr>
              <w:tabs>
                <w:tab w:val="center" w:pos="4680"/>
              </w:tabs>
            </w:pPr>
            <w:r w:rsidRPr="008A0CD5">
              <w:t>BTCH-20170320AHA</w:t>
            </w:r>
          </w:p>
          <w:p w:rsidR="00EF20FF" w:rsidRPr="008A0CD5" w:rsidP="000A6F12" w14:paraId="2B40CDCD" w14:textId="77777777">
            <w:pPr>
              <w:tabs>
                <w:tab w:val="center" w:pos="4680"/>
              </w:tabs>
            </w:pPr>
            <w:r w:rsidRPr="008A0CD5">
              <w:t>BTCH-20170320AHD</w:t>
            </w:r>
          </w:p>
          <w:p w:rsidR="00EF20FF" w:rsidRPr="008A0CD5" w:rsidP="000A6F12" w14:paraId="7023F6EE" w14:textId="77777777">
            <w:pPr>
              <w:tabs>
                <w:tab w:val="center" w:pos="4680"/>
              </w:tabs>
            </w:pPr>
          </w:p>
          <w:p w:rsidR="00EF20FF" w:rsidRPr="008A0CD5" w:rsidP="000A6F12" w14:paraId="2EC4F0EA" w14:textId="77777777">
            <w:pPr>
              <w:tabs>
                <w:tab w:val="center" w:pos="4680"/>
              </w:tabs>
            </w:pPr>
          </w:p>
          <w:p w:rsidR="00EF20FF" w:rsidRPr="008A0CD5" w:rsidP="000A6F12" w14:paraId="545AFC93" w14:textId="77777777">
            <w:pPr>
              <w:tabs>
                <w:tab w:val="center" w:pos="4680"/>
              </w:tabs>
              <w:rPr>
                <w:i/>
              </w:rPr>
            </w:pPr>
            <w:r w:rsidRPr="008A0CD5">
              <w:t>BTCH-20170320AHE</w:t>
            </w:r>
            <w:r w:rsidRPr="008A0CD5">
              <w:rPr>
                <w:i/>
              </w:rPr>
              <w:t>, et al.,</w:t>
            </w:r>
          </w:p>
          <w:p w:rsidR="00EF20FF" w:rsidRPr="008A0CD5" w:rsidP="000A6F12" w14:paraId="41987CC0" w14:textId="77777777">
            <w:pPr>
              <w:tabs>
                <w:tab w:val="center" w:pos="4680"/>
              </w:tabs>
              <w:rPr>
                <w:spacing w:val="-2"/>
              </w:rPr>
            </w:pPr>
            <w:r w:rsidRPr="008A0CD5">
              <w:t>BTCH-20170320AAW</w:t>
            </w:r>
          </w:p>
          <w:p w:rsidR="00EF20FF" w:rsidRPr="008A0CD5" w:rsidP="000A6F12" w14:paraId="11F6BA6E" w14:textId="77777777">
            <w:pPr>
              <w:rPr>
                <w:i/>
              </w:rPr>
            </w:pPr>
            <w:r w:rsidRPr="008A0CD5">
              <w:t xml:space="preserve">BTC-20170320AGQ, </w:t>
            </w:r>
            <w:r w:rsidRPr="008A0CD5">
              <w:rPr>
                <w:i/>
              </w:rPr>
              <w:t>et al.,</w:t>
            </w:r>
          </w:p>
          <w:p w:rsidR="00EF20FF" w:rsidRPr="008A0CD5" w:rsidP="000A6F12" w14:paraId="415AB7EC" w14:textId="77777777">
            <w:pPr>
              <w:rPr>
                <w:i/>
              </w:rPr>
            </w:pPr>
            <w:r w:rsidRPr="008A0CD5">
              <w:t xml:space="preserve">BTCH-20170320AAX, </w:t>
            </w:r>
            <w:r w:rsidRPr="008A0CD5">
              <w:rPr>
                <w:i/>
              </w:rPr>
              <w:t>et al.,</w:t>
            </w:r>
          </w:p>
          <w:p w:rsidR="00EF20FF" w:rsidRPr="008A0CD5" w:rsidP="000A6F12" w14:paraId="504EA7C8" w14:textId="77777777">
            <w:pPr>
              <w:rPr>
                <w:i/>
              </w:rPr>
            </w:pPr>
            <w:r w:rsidRPr="008A0CD5">
              <w:t xml:space="preserve">BTC-20170320AAR, </w:t>
            </w:r>
            <w:r w:rsidRPr="008A0CD5">
              <w:rPr>
                <w:i/>
              </w:rPr>
              <w:t>et al.,</w:t>
            </w:r>
          </w:p>
          <w:p w:rsidR="00EF20FF" w:rsidRPr="008A0CD5" w:rsidP="000A6F12" w14:paraId="748795B2" w14:textId="77777777">
            <w:pPr>
              <w:rPr>
                <w:i/>
              </w:rPr>
            </w:pPr>
            <w:r w:rsidRPr="008A0CD5">
              <w:t xml:space="preserve">BTC-20170320AGH, </w:t>
            </w:r>
            <w:r w:rsidRPr="008A0CD5">
              <w:rPr>
                <w:i/>
              </w:rPr>
              <w:t>et al.,</w:t>
            </w:r>
          </w:p>
          <w:p w:rsidR="00EF20FF" w:rsidRPr="008A0CD5" w:rsidP="000A6F12" w14:paraId="1086B90A" w14:textId="77777777">
            <w:pPr>
              <w:rPr>
                <w:i/>
              </w:rPr>
            </w:pPr>
            <w:r w:rsidRPr="008A0CD5">
              <w:t>BTC-20170320AFX</w:t>
            </w:r>
            <w:r w:rsidRPr="008A0CD5">
              <w:rPr>
                <w:i/>
              </w:rPr>
              <w:t>, et al.,</w:t>
            </w:r>
          </w:p>
          <w:p w:rsidR="00EF20FF" w:rsidRPr="008A0CD5" w:rsidP="000A6F12" w14:paraId="1B75735A" w14:textId="77777777">
            <w:pPr>
              <w:rPr>
                <w:i/>
              </w:rPr>
            </w:pPr>
            <w:r w:rsidRPr="008A0CD5">
              <w:t xml:space="preserve">BTCH-20170320ACN, </w:t>
            </w:r>
            <w:r w:rsidRPr="008A0CD5">
              <w:rPr>
                <w:i/>
              </w:rPr>
              <w:t>et al.,</w:t>
            </w:r>
          </w:p>
          <w:p w:rsidR="00EF20FF" w:rsidRPr="008A0CD5" w:rsidP="000A6F12" w14:paraId="03D6F873" w14:textId="77777777">
            <w:pPr>
              <w:rPr>
                <w:i/>
              </w:rPr>
            </w:pPr>
            <w:r w:rsidRPr="008A0CD5">
              <w:t xml:space="preserve">BTC-20170320AEW, </w:t>
            </w:r>
            <w:r w:rsidRPr="008A0CD5">
              <w:rPr>
                <w:i/>
              </w:rPr>
              <w:t>et al.,</w:t>
            </w:r>
          </w:p>
          <w:p w:rsidR="00EF20FF" w:rsidRPr="008A0CD5" w:rsidP="000A6F12" w14:paraId="69060275" w14:textId="77777777">
            <w:pPr>
              <w:rPr>
                <w:i/>
              </w:rPr>
            </w:pPr>
          </w:p>
          <w:p w:rsidR="00EF20FF" w:rsidRPr="008A0CD5" w:rsidP="000A6F12" w14:paraId="26992290" w14:textId="77777777"/>
          <w:p w:rsidR="00EF20FF" w:rsidRPr="008A0CD5" w:rsidP="000A6F12" w14:paraId="5BCFC2E8" w14:textId="77777777">
            <w:pPr>
              <w:rPr>
                <w:i/>
              </w:rPr>
            </w:pPr>
            <w:r w:rsidRPr="008A0CD5">
              <w:t xml:space="preserve">BALH-20170320AMP, </w:t>
            </w:r>
            <w:r w:rsidRPr="008A0CD5">
              <w:rPr>
                <w:i/>
              </w:rPr>
              <w:t>et al.,</w:t>
            </w:r>
          </w:p>
          <w:p w:rsidR="00EF20FF" w:rsidRPr="008A0CD5" w:rsidP="000A6F12" w14:paraId="4C751AE4" w14:textId="77777777">
            <w:pPr>
              <w:rPr>
                <w:i/>
              </w:rPr>
            </w:pPr>
            <w:r w:rsidRPr="008A0CD5">
              <w:t>BALH-20170320AMR,</w:t>
            </w:r>
          </w:p>
          <w:p w:rsidR="00EF20FF" w:rsidRPr="008A0CD5" w:rsidP="000A6F12" w14:paraId="43958A26" w14:textId="77777777">
            <w:r w:rsidRPr="008A0CD5">
              <w:t xml:space="preserve">BALH-20170320AMT, </w:t>
            </w:r>
            <w:r w:rsidRPr="008A0CD5">
              <w:tab/>
            </w:r>
          </w:p>
          <w:p w:rsidR="00EF20FF" w:rsidRPr="008A0CD5" w:rsidP="000A6F12" w14:paraId="5AE1AE2B" w14:textId="77777777">
            <w:pPr>
              <w:rPr>
                <w:i/>
              </w:rPr>
            </w:pPr>
            <w:r w:rsidRPr="008A0CD5">
              <w:t xml:space="preserve">BALH-20170320ANE, </w:t>
            </w:r>
            <w:r w:rsidRPr="008A0CD5">
              <w:rPr>
                <w:i/>
              </w:rPr>
              <w:t>et al.</w:t>
            </w:r>
          </w:p>
          <w:p w:rsidR="00EF20FF" w:rsidRPr="008A0CD5" w:rsidP="000A6F12" w14:paraId="1EE383B6" w14:textId="77777777">
            <w:pPr>
              <w:rPr>
                <w:i/>
              </w:rPr>
            </w:pPr>
          </w:p>
          <w:p w:rsidR="00EF20FF" w:rsidRPr="008A0CD5" w:rsidP="000A6F12" w14:paraId="194099A9" w14:textId="77777777">
            <w:pPr>
              <w:rPr>
                <w:i/>
              </w:rPr>
            </w:pPr>
          </w:p>
          <w:p w:rsidR="00EF20FF" w:rsidRPr="008A0CD5" w:rsidP="000A6F12" w14:paraId="5E53B93E" w14:textId="77777777">
            <w:pPr>
              <w:rPr>
                <w:i/>
              </w:rPr>
            </w:pPr>
          </w:p>
          <w:p w:rsidR="00EF20FF" w:rsidRPr="008A0CD5" w:rsidP="000A6F12" w14:paraId="4CF658FD" w14:textId="77777777">
            <w:pPr>
              <w:rPr>
                <w:i/>
              </w:rPr>
            </w:pPr>
          </w:p>
          <w:p w:rsidR="00EF20FF" w:rsidRPr="008A0CD5" w:rsidP="000A6F12" w14:paraId="21C0B71B" w14:textId="77777777">
            <w:pPr>
              <w:rPr>
                <w:i/>
              </w:rPr>
            </w:pPr>
            <w:r w:rsidRPr="008A0CD5">
              <w:t xml:space="preserve">BALH-20170320ALF, </w:t>
            </w:r>
            <w:r w:rsidRPr="008A0CD5">
              <w:rPr>
                <w:i/>
              </w:rPr>
              <w:t>et al.,</w:t>
            </w:r>
          </w:p>
          <w:p w:rsidR="00EF20FF" w:rsidRPr="008A0CD5" w:rsidP="000A6F12" w14:paraId="793D4E70" w14:textId="77777777">
            <w:r w:rsidRPr="008A0CD5">
              <w:t>BALH-20170320ALH,</w:t>
            </w:r>
          </w:p>
          <w:p w:rsidR="00EF20FF" w:rsidRPr="008A0CD5" w:rsidP="000A6F12" w14:paraId="3FF71167" w14:textId="77777777">
            <w:pPr>
              <w:tabs>
                <w:tab w:val="center" w:pos="4680"/>
              </w:tabs>
              <w:rPr>
                <w:spacing w:val="-2"/>
              </w:rPr>
            </w:pPr>
            <w:r w:rsidRPr="008A0CD5">
              <w:t xml:space="preserve">BALH-20170320ALJ, </w:t>
            </w:r>
            <w:r w:rsidRPr="008A0CD5">
              <w:rPr>
                <w:i/>
              </w:rPr>
              <w:t>et al</w:t>
            </w:r>
          </w:p>
        </w:tc>
      </w:tr>
    </w:tbl>
    <w:p w:rsidR="00EF20FF" w:rsidRPr="00E3670C" w:rsidP="000A6F12" w14:paraId="77468D70" w14:textId="77777777"/>
    <w:p w:rsidR="00EF20FF" w:rsidRPr="00EF743D" w:rsidP="000A6F12" w14:paraId="68ACFB72" w14:textId="77777777">
      <w:pPr>
        <w:pStyle w:val="StyleBoldCentered"/>
        <w:rPr>
          <w:rFonts w:ascii="Times New Roman" w:hAnsi="Times New Roman"/>
        </w:rPr>
      </w:pPr>
      <w:r w:rsidRPr="00EF743D">
        <w:rPr>
          <w:rFonts w:ascii="Times New Roman" w:hAnsi="Times New Roman"/>
        </w:rPr>
        <w:t>order on reconsideration</w:t>
      </w:r>
    </w:p>
    <w:p w:rsidR="00EF20FF" w:rsidRPr="00E3670C" w:rsidP="000A6F12" w14:paraId="4F3724B2" w14:textId="77777777">
      <w:pPr>
        <w:tabs>
          <w:tab w:val="left" w:pos="-720"/>
        </w:tabs>
        <w:rPr>
          <w:spacing w:val="-2"/>
        </w:rPr>
      </w:pPr>
    </w:p>
    <w:p w:rsidR="00EF20FF" w:rsidRPr="00E3670C" w:rsidP="000A6F12" w14:paraId="1187AA2B" w14:textId="77185531">
      <w:pPr>
        <w:tabs>
          <w:tab w:val="left" w:pos="720"/>
          <w:tab w:val="right" w:pos="9360"/>
        </w:tabs>
        <w:rPr>
          <w:spacing w:val="-2"/>
        </w:rPr>
      </w:pPr>
      <w:r w:rsidRPr="00E3670C">
        <w:rPr>
          <w:b/>
          <w:spacing w:val="-2"/>
        </w:rPr>
        <w:t>Adopted:</w:t>
      </w:r>
      <w:r w:rsidR="009B3031">
        <w:rPr>
          <w:b/>
          <w:spacing w:val="-2"/>
        </w:rPr>
        <w:t xml:space="preserve">  July 3, 2019</w:t>
      </w:r>
      <w:r w:rsidRPr="00E3670C">
        <w:rPr>
          <w:b/>
          <w:spacing w:val="-2"/>
        </w:rPr>
        <w:tab/>
        <w:t xml:space="preserve">Released:  </w:t>
      </w:r>
      <w:r w:rsidR="009B3031">
        <w:rPr>
          <w:b/>
          <w:spacing w:val="-2"/>
        </w:rPr>
        <w:t>July 8, 2019</w:t>
      </w:r>
    </w:p>
    <w:p w:rsidR="00EF20FF" w:rsidRPr="00E3670C" w:rsidP="000A6F12" w14:paraId="1C97DD82" w14:textId="77777777"/>
    <w:p w:rsidR="00EF20FF" w:rsidRPr="00E3670C" w:rsidP="000A6F12" w14:paraId="09198C50" w14:textId="77777777">
      <w:pPr>
        <w:rPr>
          <w:spacing w:val="-2"/>
        </w:rPr>
      </w:pPr>
      <w:r w:rsidRPr="00E3670C">
        <w:t xml:space="preserve">By the </w:t>
      </w:r>
      <w:r w:rsidRPr="00E3670C">
        <w:rPr>
          <w:spacing w:val="-2"/>
        </w:rPr>
        <w:t>Commission:</w:t>
      </w:r>
    </w:p>
    <w:p w:rsidR="00DD471C" w:rsidP="00DD471C" w14:paraId="33047DE1" w14:textId="77777777">
      <w:pPr>
        <w:pStyle w:val="ParaNum"/>
        <w:numPr>
          <w:ilvl w:val="0"/>
          <w:numId w:val="0"/>
        </w:numPr>
        <w:rPr>
          <w:spacing w:val="-2"/>
        </w:rPr>
      </w:pPr>
    </w:p>
    <w:p w:rsidR="00DD471C" w:rsidP="00DD471C" w14:paraId="074FD285" w14:textId="77777777">
      <w:pPr>
        <w:pStyle w:val="ParaNum"/>
      </w:pPr>
      <w:r w:rsidRPr="00E3670C">
        <w:t xml:space="preserve">We have before us a joint </w:t>
      </w:r>
      <w:r w:rsidRPr="00E3670C" w:rsidR="00C80D8A">
        <w:t>“</w:t>
      </w:r>
      <w:r w:rsidRPr="00E3670C">
        <w:t xml:space="preserve">Petition for </w:t>
      </w:r>
      <w:r w:rsidRPr="00E3670C" w:rsidR="002C6BBF">
        <w:t xml:space="preserve">Further </w:t>
      </w:r>
      <w:r w:rsidRPr="00E3670C">
        <w:t>Reconsideration</w:t>
      </w:r>
      <w:r w:rsidRPr="00E3670C" w:rsidR="00C80D8A">
        <w:t>”</w:t>
      </w:r>
      <w:r w:rsidRPr="00E3670C">
        <w:t xml:space="preserve"> (</w:t>
      </w:r>
      <w:r w:rsidRPr="00E3670C" w:rsidR="00084705">
        <w:t xml:space="preserve">Second </w:t>
      </w:r>
      <w:r w:rsidRPr="00E3670C">
        <w:t xml:space="preserve">Petition) filed on </w:t>
      </w:r>
      <w:r w:rsidRPr="00E3670C" w:rsidR="002C6BBF">
        <w:t xml:space="preserve">November </w:t>
      </w:r>
      <w:r w:rsidRPr="00E3670C" w:rsidR="009546EA">
        <w:t>2</w:t>
      </w:r>
      <w:r w:rsidRPr="00E3670C" w:rsidR="00AE3A0A">
        <w:t>6</w:t>
      </w:r>
      <w:r w:rsidRPr="00E3670C">
        <w:t xml:space="preserve">, 2018, by Edward R. Stolz II (Stolz) and Deborah J. Naiman (Naiman) (collectively, Petitioners) seeking reconsideration of our decision denying their </w:t>
      </w:r>
      <w:r w:rsidRPr="00E3670C" w:rsidR="00F85FE3">
        <w:t xml:space="preserve">joint </w:t>
      </w:r>
      <w:r w:rsidRPr="00E3670C" w:rsidR="009546EA">
        <w:t xml:space="preserve">Petition for Reconsideration </w:t>
      </w:r>
      <w:r w:rsidRPr="00E3670C">
        <w:t>(</w:t>
      </w:r>
      <w:r w:rsidRPr="00E3670C" w:rsidR="009546EA">
        <w:t>PFR</w:t>
      </w:r>
      <w:r w:rsidRPr="00E3670C">
        <w:t>) in this proceeding</w:t>
      </w:r>
      <w:r>
        <w:rPr>
          <w:rStyle w:val="FootnoteReference"/>
          <w:sz w:val="22"/>
        </w:rPr>
        <w:footnoteReference w:id="3"/>
      </w:r>
      <w:r w:rsidRPr="00E3670C" w:rsidR="00E84FB4">
        <w:t xml:space="preserve"> </w:t>
      </w:r>
      <w:r w:rsidRPr="00E3670C" w:rsidR="008413AA">
        <w:t>and related pleadings.</w:t>
      </w:r>
      <w:r>
        <w:rPr>
          <w:rStyle w:val="FootnoteReference"/>
          <w:sz w:val="22"/>
        </w:rPr>
        <w:footnoteReference w:id="4"/>
      </w:r>
      <w:r w:rsidRPr="00E3670C" w:rsidR="008413AA">
        <w:t xml:space="preserve">  </w:t>
      </w:r>
      <w:r w:rsidRPr="00E3670C">
        <w:t>The Petitioners again ask the Commission to rescind the captioned transfer of control and assignment of license applications, as amended (Merger and Divestiture Applications), and designate for hearing CBS Corporation’s (CBS) basic character qualifications to assign its radio stations to Entercom.</w:t>
      </w:r>
      <w:r>
        <w:rPr>
          <w:rStyle w:val="FootnoteReference"/>
          <w:sz w:val="22"/>
        </w:rPr>
        <w:footnoteReference w:id="5"/>
      </w:r>
      <w:r w:rsidRPr="00E3670C">
        <w:t xml:space="preserve">  For the reasons set forth below, we deny the </w:t>
      </w:r>
      <w:r w:rsidRPr="00E3670C" w:rsidR="00084705">
        <w:t xml:space="preserve">Second </w:t>
      </w:r>
      <w:r w:rsidRPr="00E3670C">
        <w:t>Petition.</w:t>
      </w:r>
    </w:p>
    <w:p w:rsidR="00DD471C" w:rsidP="00DD471C" w14:paraId="0726EB27" w14:textId="77777777">
      <w:pPr>
        <w:pStyle w:val="ParaNum"/>
      </w:pPr>
      <w:r w:rsidRPr="00DD471C">
        <w:rPr>
          <w:b/>
        </w:rPr>
        <w:t>Background</w:t>
      </w:r>
      <w:r w:rsidRPr="00E3670C">
        <w:t xml:space="preserve">.  Entercom, CBS, and CBS’s wholly-owned subsidiary CBS Radio, Inc. (CBSR) filed the Merger and Divestiture Applications, pursuant to which they sought to transfer control of the CBSR radio stations to Entercom. </w:t>
      </w:r>
      <w:r w:rsidRPr="00E3670C" w:rsidR="00CC2E10">
        <w:t xml:space="preserve"> The </w:t>
      </w:r>
      <w:r w:rsidRPr="00E3670C" w:rsidR="00773779">
        <w:t xml:space="preserve">Media </w:t>
      </w:r>
      <w:r w:rsidRPr="00E3670C" w:rsidR="00CC2E10">
        <w:t xml:space="preserve">Bureau </w:t>
      </w:r>
      <w:r w:rsidRPr="00E3670C" w:rsidR="00773779">
        <w:t xml:space="preserve">(Bureau) </w:t>
      </w:r>
      <w:r w:rsidRPr="00E3670C" w:rsidR="00CC2E10">
        <w:t>granted the Merger and Divestiture Applications over the Petitioners’ objections,</w:t>
      </w:r>
      <w:r>
        <w:rPr>
          <w:rStyle w:val="FootnoteReference"/>
          <w:sz w:val="22"/>
        </w:rPr>
        <w:footnoteReference w:id="6"/>
      </w:r>
      <w:r w:rsidRPr="00E3670C" w:rsidR="00CC2E10">
        <w:t xml:space="preserve"> and the Commission subsequently denied both Petitioners’ Application for Review of the </w:t>
      </w:r>
      <w:r w:rsidRPr="00DD471C" w:rsidR="00CC2E10">
        <w:rPr>
          <w:i/>
        </w:rPr>
        <w:t>Bureau Order</w:t>
      </w:r>
      <w:r>
        <w:rPr>
          <w:rStyle w:val="FootnoteReference"/>
          <w:sz w:val="22"/>
        </w:rPr>
        <w:footnoteReference w:id="7"/>
      </w:r>
      <w:r w:rsidRPr="00E3670C" w:rsidR="0058052D">
        <w:t xml:space="preserve"> </w:t>
      </w:r>
      <w:r w:rsidRPr="00E3670C" w:rsidR="00CC2E10">
        <w:t>and their Petition for Reconsideration</w:t>
      </w:r>
      <w:r w:rsidRPr="00E3670C">
        <w:t xml:space="preserve"> </w:t>
      </w:r>
      <w:r w:rsidRPr="00E3670C" w:rsidR="00CC2E10">
        <w:t xml:space="preserve">of the </w:t>
      </w:r>
      <w:r w:rsidRPr="00DD471C" w:rsidR="00CC2E10">
        <w:rPr>
          <w:i/>
        </w:rPr>
        <w:t>AFR Order</w:t>
      </w:r>
      <w:r w:rsidRPr="00DD471C" w:rsidR="00BB556F">
        <w:rPr>
          <w:i/>
        </w:rPr>
        <w:t>.</w:t>
      </w:r>
    </w:p>
    <w:p w:rsidR="00DD471C" w:rsidP="00DD471C" w14:paraId="56FE22F0" w14:textId="77777777">
      <w:pPr>
        <w:pStyle w:val="ParaNum"/>
      </w:pPr>
      <w:r w:rsidRPr="00E3670C">
        <w:t xml:space="preserve">In the </w:t>
      </w:r>
      <w:r w:rsidRPr="00E3670C" w:rsidR="00084705">
        <w:t xml:space="preserve">Second </w:t>
      </w:r>
      <w:r w:rsidRPr="00E3670C">
        <w:t>Petition</w:t>
      </w:r>
      <w:r w:rsidRPr="00E3670C" w:rsidR="00622840">
        <w:t xml:space="preserve">, </w:t>
      </w:r>
      <w:r w:rsidRPr="00E3670C" w:rsidR="00084705">
        <w:t>Petitioners</w:t>
      </w:r>
      <w:r w:rsidRPr="00E3670C" w:rsidR="00622840">
        <w:t xml:space="preserve"> seek reconsideration of the </w:t>
      </w:r>
      <w:r w:rsidRPr="00DD471C" w:rsidR="00622840">
        <w:rPr>
          <w:i/>
        </w:rPr>
        <w:t>PFR Order</w:t>
      </w:r>
      <w:r w:rsidRPr="00E3670C" w:rsidR="001B561B">
        <w:t xml:space="preserve"> based on a development </w:t>
      </w:r>
      <w:r w:rsidRPr="00E3670C" w:rsidR="00084705">
        <w:t xml:space="preserve">they </w:t>
      </w:r>
      <w:r w:rsidRPr="00E3670C" w:rsidR="001B561B">
        <w:t>argue occurred after the PFR pleading cycle</w:t>
      </w:r>
      <w:r w:rsidRPr="00E3670C" w:rsidR="00371A24">
        <w:t xml:space="preserve"> closed</w:t>
      </w:r>
      <w:r w:rsidRPr="00E3670C" w:rsidR="00007473">
        <w:t>,</w:t>
      </w:r>
      <w:r w:rsidRPr="00E3670C" w:rsidR="001B561B">
        <w:t xml:space="preserve"> </w:t>
      </w:r>
      <w:r w:rsidRPr="00E3670C" w:rsidR="00371A24">
        <w:t>which they believe</w:t>
      </w:r>
      <w:r w:rsidRPr="00E3670C" w:rsidR="00663D5F">
        <w:t xml:space="preserve"> </w:t>
      </w:r>
      <w:r w:rsidRPr="00E3670C" w:rsidR="001B561B">
        <w:t>justif</w:t>
      </w:r>
      <w:r w:rsidRPr="00E3670C" w:rsidR="00371A24">
        <w:t>ies</w:t>
      </w:r>
      <w:r w:rsidRPr="00E3670C" w:rsidR="001B561B">
        <w:t xml:space="preserve"> reconsideration</w:t>
      </w:r>
      <w:r w:rsidRPr="00E3670C" w:rsidR="00190123">
        <w:t>,</w:t>
      </w:r>
      <w:r w:rsidRPr="00E3670C" w:rsidR="001B561B">
        <w:t xml:space="preserve"> </w:t>
      </w:r>
      <w:r w:rsidRPr="00DD471C" w:rsidR="001B561B">
        <w:rPr>
          <w:i/>
        </w:rPr>
        <w:t xml:space="preserve">i.e., </w:t>
      </w:r>
      <w:r w:rsidRPr="00E3670C" w:rsidR="001B561B">
        <w:t xml:space="preserve">the </w:t>
      </w:r>
      <w:r w:rsidRPr="00E3670C" w:rsidR="00084705">
        <w:t>resignation</w:t>
      </w:r>
      <w:r w:rsidRPr="00E3670C" w:rsidR="001B561B">
        <w:t xml:space="preserve"> of CBS Chairman and CEO Leslie Moonves following </w:t>
      </w:r>
      <w:r w:rsidRPr="00E3670C" w:rsidR="007B0E30">
        <w:t xml:space="preserve">allegations of </w:t>
      </w:r>
      <w:r w:rsidRPr="00E3670C" w:rsidR="007B0E30">
        <w:t>sexual misconduct.</w:t>
      </w:r>
      <w:r>
        <w:rPr>
          <w:rStyle w:val="FootnoteReference"/>
          <w:sz w:val="22"/>
        </w:rPr>
        <w:footnoteReference w:id="8"/>
      </w:r>
      <w:r w:rsidRPr="00E3670C" w:rsidR="001B561B">
        <w:t xml:space="preserve">  </w:t>
      </w:r>
      <w:r w:rsidRPr="00E3670C" w:rsidR="00726D6E">
        <w:t xml:space="preserve">Citing </w:t>
      </w:r>
      <w:r w:rsidRPr="00DD471C" w:rsidR="00726D6E">
        <w:rPr>
          <w:i/>
        </w:rPr>
        <w:t>Melody Music,</w:t>
      </w:r>
      <w:r>
        <w:rPr>
          <w:rStyle w:val="FootnoteReference"/>
          <w:sz w:val="22"/>
        </w:rPr>
        <w:footnoteReference w:id="9"/>
      </w:r>
      <w:r w:rsidRPr="00DD471C" w:rsidR="00726D6E">
        <w:rPr>
          <w:i/>
        </w:rPr>
        <w:t xml:space="preserve"> </w:t>
      </w:r>
      <w:r w:rsidRPr="00E3670C" w:rsidR="00726D6E">
        <w:t>Petitioners argue that</w:t>
      </w:r>
      <w:r w:rsidRPr="00DD471C" w:rsidR="00726D6E">
        <w:rPr>
          <w:i/>
        </w:rPr>
        <w:t xml:space="preserve"> </w:t>
      </w:r>
      <w:r w:rsidRPr="00E3670C" w:rsidR="00371A24">
        <w:t>CBS</w:t>
      </w:r>
      <w:r w:rsidRPr="00E3670C" w:rsidR="00726D6E">
        <w:t xml:space="preserve"> must be treated as a “similarly situated” party to two licensees who had their broadcast licenses revoked for sexual misconduct and racial discrimination, respectively,</w:t>
      </w:r>
      <w:r>
        <w:rPr>
          <w:rStyle w:val="FootnoteReference"/>
          <w:sz w:val="22"/>
        </w:rPr>
        <w:footnoteReference w:id="10"/>
      </w:r>
      <w:r w:rsidRPr="00E3670C" w:rsidR="00726D6E">
        <w:t xml:space="preserve"> and they</w:t>
      </w:r>
      <w:r w:rsidRPr="00DD471C" w:rsidR="00726D6E">
        <w:rPr>
          <w:i/>
        </w:rPr>
        <w:t xml:space="preserve"> </w:t>
      </w:r>
      <w:r w:rsidRPr="00E3670C" w:rsidR="00D32376">
        <w:t>reiterate their</w:t>
      </w:r>
      <w:r w:rsidRPr="00E3670C" w:rsidR="00622840">
        <w:t xml:space="preserve"> </w:t>
      </w:r>
      <w:r w:rsidRPr="00E3670C" w:rsidR="00420C92">
        <w:t xml:space="preserve">previous claim that there are questions regarding CBS’s basic qualifications </w:t>
      </w:r>
      <w:r w:rsidRPr="00E3670C" w:rsidR="00E304A3">
        <w:t xml:space="preserve">to be a broadcast licensee </w:t>
      </w:r>
      <w:r w:rsidRPr="00E3670C" w:rsidR="00663D5F">
        <w:t>that require</w:t>
      </w:r>
      <w:r w:rsidRPr="00E3670C" w:rsidR="00420C92">
        <w:t xml:space="preserve"> an evidentiary hearing.</w:t>
      </w:r>
      <w:r>
        <w:rPr>
          <w:rStyle w:val="FootnoteReference"/>
          <w:sz w:val="22"/>
        </w:rPr>
        <w:footnoteReference w:id="11"/>
      </w:r>
      <w:r w:rsidRPr="00E3670C" w:rsidR="005611BD">
        <w:t xml:space="preserve">  </w:t>
      </w:r>
    </w:p>
    <w:p w:rsidR="00DD471C" w:rsidP="00DD471C" w14:paraId="1DE3FEB2" w14:textId="18BAD91F">
      <w:pPr>
        <w:pStyle w:val="ParaNum"/>
      </w:pPr>
      <w:r w:rsidRPr="00E3670C">
        <w:t xml:space="preserve">In Opposition, </w:t>
      </w:r>
      <w:r w:rsidRPr="00E3670C">
        <w:t>Entercom</w:t>
      </w:r>
      <w:r w:rsidRPr="00E3670C">
        <w:t xml:space="preserve"> argues that </w:t>
      </w:r>
      <w:r w:rsidRPr="00E3670C" w:rsidR="000D268C">
        <w:t xml:space="preserve">the </w:t>
      </w:r>
      <w:r w:rsidRPr="00E3670C" w:rsidR="00920BD7">
        <w:t>precedent</w:t>
      </w:r>
      <w:r w:rsidRPr="00E3670C" w:rsidR="000D268C">
        <w:t xml:space="preserve"> relied upon in the Petition is inapplicable, as </w:t>
      </w:r>
      <w:r w:rsidRPr="00E3670C" w:rsidR="00B03C04">
        <w:t>here</w:t>
      </w:r>
      <w:r w:rsidRPr="00DD471C" w:rsidR="00D07A0F">
        <w:rPr>
          <w:i/>
        </w:rPr>
        <w:t xml:space="preserve">, </w:t>
      </w:r>
      <w:r w:rsidRPr="00E3670C" w:rsidR="00D07A0F">
        <w:t>there is no criminal conviction or other adjudication of the alleged non-FCC misconduct</w:t>
      </w:r>
      <w:r w:rsidRPr="00E3670C" w:rsidR="00CF37DC">
        <w:t>,</w:t>
      </w:r>
      <w:r w:rsidRPr="00E3670C" w:rsidR="00D07A0F">
        <w:t xml:space="preserve"> and thus</w:t>
      </w:r>
      <w:r w:rsidRPr="00E3670C" w:rsidR="00CF37DC">
        <w:t>,</w:t>
      </w:r>
      <w:r w:rsidRPr="00E3670C" w:rsidR="00D07A0F">
        <w:t xml:space="preserve"> </w:t>
      </w:r>
      <w:r w:rsidRPr="00E3670C" w:rsidR="00B03C04">
        <w:t xml:space="preserve">the </w:t>
      </w:r>
      <w:r w:rsidRPr="00E3670C" w:rsidR="00D07A0F">
        <w:t xml:space="preserve">Commission’s </w:t>
      </w:r>
      <w:r w:rsidRPr="00DD471C" w:rsidR="00D07A0F">
        <w:rPr>
          <w:i/>
        </w:rPr>
        <w:t>Character Policy Statement</w:t>
      </w:r>
      <w:r>
        <w:rPr>
          <w:rStyle w:val="FootnoteReference"/>
          <w:sz w:val="22"/>
        </w:rPr>
        <w:footnoteReference w:id="12"/>
      </w:r>
      <w:r w:rsidRPr="00DD471C" w:rsidR="00D07A0F">
        <w:rPr>
          <w:i/>
        </w:rPr>
        <w:t xml:space="preserve"> </w:t>
      </w:r>
      <w:r w:rsidRPr="00E3670C" w:rsidR="00D07A0F">
        <w:t>is not implicated.</w:t>
      </w:r>
      <w:r>
        <w:rPr>
          <w:rStyle w:val="FootnoteReference"/>
          <w:sz w:val="22"/>
        </w:rPr>
        <w:footnoteReference w:id="13"/>
      </w:r>
    </w:p>
    <w:p w:rsidR="00121DCD" w:rsidRPr="00E3670C" w:rsidP="00DD471C" w14:paraId="1860634D" w14:textId="33C4BF19">
      <w:pPr>
        <w:pStyle w:val="ParaNum"/>
      </w:pPr>
      <w:r w:rsidRPr="00E3670C">
        <w:t xml:space="preserve">In Reply, Petitioners </w:t>
      </w:r>
      <w:r w:rsidRPr="00E3670C" w:rsidR="006A1D68">
        <w:t xml:space="preserve">argue that </w:t>
      </w:r>
      <w:r w:rsidRPr="00E3670C" w:rsidR="003579DB">
        <w:t>the actions of Moonves</w:t>
      </w:r>
      <w:r w:rsidRPr="00E3670C" w:rsidR="006A1D68">
        <w:t xml:space="preserve"> w</w:t>
      </w:r>
      <w:r w:rsidRPr="00E3670C" w:rsidR="003579DB">
        <w:t>ere</w:t>
      </w:r>
      <w:r w:rsidRPr="00E3670C" w:rsidR="006A1D68">
        <w:t xml:space="preserve"> in fact </w:t>
      </w:r>
      <w:r w:rsidRPr="00E3670C" w:rsidR="00321C16">
        <w:t>Commission</w:t>
      </w:r>
      <w:r w:rsidRPr="00E3670C" w:rsidR="006A1D68">
        <w:t xml:space="preserve">-related misconduct because: </w:t>
      </w:r>
      <w:r w:rsidRPr="00E3670C" w:rsidR="00812BD2">
        <w:t xml:space="preserve"> </w:t>
      </w:r>
      <w:r w:rsidRPr="00E3670C" w:rsidR="006A1D68">
        <w:t xml:space="preserve">(1) </w:t>
      </w:r>
      <w:r w:rsidRPr="00E3670C" w:rsidR="00812BD2">
        <w:t>M</w:t>
      </w:r>
      <w:r w:rsidRPr="00E3670C" w:rsidR="006A1D68">
        <w:t>oonves was chairman and chief executive officer of a corporation whose wholly-owned subsidiaries owned numerous radio and television stations; and (2) CBS’</w:t>
      </w:r>
      <w:r w:rsidRPr="00E3670C" w:rsidR="00812BD2">
        <w:t>s</w:t>
      </w:r>
      <w:r w:rsidRPr="00E3670C" w:rsidR="006A1D68">
        <w:t xml:space="preserve"> internal investigation revealed instances of “harassment and retaliation” in </w:t>
      </w:r>
      <w:r w:rsidRPr="00E3670C" w:rsidR="00562968">
        <w:t xml:space="preserve">its </w:t>
      </w:r>
      <w:r w:rsidRPr="00E3670C" w:rsidR="006A1D68">
        <w:t>employment practices,</w:t>
      </w:r>
      <w:r>
        <w:rPr>
          <w:rStyle w:val="FootnoteReference"/>
          <w:sz w:val="22"/>
        </w:rPr>
        <w:footnoteReference w:id="14"/>
      </w:r>
      <w:r w:rsidRPr="00E3670C" w:rsidR="006A1D68">
        <w:t xml:space="preserve"> and the Commission specifically has held that employment discrimination is a factor to be considered </w:t>
      </w:r>
      <w:r w:rsidRPr="00E3670C" w:rsidR="00812BD2">
        <w:t xml:space="preserve">in </w:t>
      </w:r>
      <w:r w:rsidRPr="00E3670C" w:rsidR="006A1D68">
        <w:t>licensing broadcast stations.</w:t>
      </w:r>
      <w:r>
        <w:rPr>
          <w:rStyle w:val="FootnoteReference"/>
          <w:sz w:val="22"/>
        </w:rPr>
        <w:footnoteReference w:id="15"/>
      </w:r>
      <w:r w:rsidRPr="00E3670C" w:rsidR="000C2A29">
        <w:t xml:space="preserve"> </w:t>
      </w:r>
      <w:r w:rsidRPr="00E3670C" w:rsidR="00AE64CA">
        <w:t xml:space="preserve"> </w:t>
      </w:r>
      <w:r w:rsidRPr="00E3670C" w:rsidR="00321C16">
        <w:t xml:space="preserve">Accordingly, </w:t>
      </w:r>
      <w:r w:rsidRPr="00E3670C" w:rsidR="00FE2C6A">
        <w:t>Petitioners once again reiterate their claim that there are questions regarding CBS’s – and Entercom’s -- basic qualifications to be a broadcast licensee that require an evidentiary hearing</w:t>
      </w:r>
      <w:r w:rsidRPr="00E3670C" w:rsidR="00507D36">
        <w:t xml:space="preserve"> and assert that the Commission should rescind the Bureau’s grant of the applications pending further proceedings, which </w:t>
      </w:r>
      <w:r w:rsidRPr="00E3670C" w:rsidR="00BC4D3F">
        <w:t>P</w:t>
      </w:r>
      <w:r w:rsidRPr="00E3670C" w:rsidR="00507D36">
        <w:t>etitioners claim would be consistent with action in other cases</w:t>
      </w:r>
      <w:r w:rsidRPr="00E3670C" w:rsidR="00FE2C6A">
        <w:t>.</w:t>
      </w:r>
      <w:r>
        <w:rPr>
          <w:rStyle w:val="FootnoteReference"/>
          <w:sz w:val="22"/>
        </w:rPr>
        <w:footnoteReference w:id="16"/>
      </w:r>
      <w:r w:rsidRPr="00E3670C" w:rsidR="006A1D68">
        <w:t xml:space="preserve"> </w:t>
      </w:r>
    </w:p>
    <w:p w:rsidR="00C12E8F" w:rsidRPr="00E3670C" w:rsidP="009B3031" w14:paraId="44CE4D06" w14:textId="328A4E28">
      <w:pPr>
        <w:pStyle w:val="ParaNum"/>
        <w:widowControl/>
      </w:pPr>
      <w:r w:rsidRPr="00E3670C">
        <w:rPr>
          <w:b/>
        </w:rPr>
        <w:t>Discussion</w:t>
      </w:r>
      <w:r w:rsidRPr="00E3670C">
        <w:t xml:space="preserve">.  </w:t>
      </w:r>
      <w:r w:rsidRPr="00E3670C" w:rsidR="00D912C1">
        <w:t>It is important to note as a preliminary matter that the Rules do not authorize serial petitions for reconsideration and limit the circumstances under which a party may seek reconsideration of a Commission order denying reconsideration.</w:t>
      </w:r>
      <w:r>
        <w:rPr>
          <w:rStyle w:val="FootnoteReference"/>
          <w:sz w:val="22"/>
        </w:rPr>
        <w:footnoteReference w:id="17"/>
      </w:r>
      <w:r w:rsidRPr="00E3670C" w:rsidR="00D912C1">
        <w:t xml:space="preserve">  </w:t>
      </w:r>
      <w:r w:rsidRPr="00E3670C" w:rsidR="00B82CA6">
        <w:t>Even were we to accept</w:t>
      </w:r>
      <w:r w:rsidRPr="00E3670C" w:rsidR="00D219AB">
        <w:t xml:space="preserve"> that </w:t>
      </w:r>
      <w:r w:rsidRPr="00E3670C" w:rsidR="003E6A08">
        <w:t>the CBS CEO</w:t>
      </w:r>
      <w:r w:rsidRPr="00E3670C" w:rsidR="007959F4">
        <w:t>’s</w:t>
      </w:r>
      <w:r w:rsidRPr="00E3670C" w:rsidR="003E6A08">
        <w:t xml:space="preserve"> </w:t>
      </w:r>
      <w:r w:rsidRPr="00E3670C" w:rsidR="007959F4">
        <w:t>resignation</w:t>
      </w:r>
      <w:r w:rsidRPr="00E3670C" w:rsidR="00D122E5">
        <w:t xml:space="preserve"> after the </w:t>
      </w:r>
      <w:r w:rsidRPr="00E3670C" w:rsidR="00D122E5">
        <w:rPr>
          <w:i/>
        </w:rPr>
        <w:t xml:space="preserve">PFR Order </w:t>
      </w:r>
      <w:r w:rsidRPr="00E3670C" w:rsidR="00D122E5">
        <w:t>pleading cycle had closed</w:t>
      </w:r>
      <w:r w:rsidRPr="00E3670C" w:rsidR="007959F4">
        <w:t xml:space="preserve"> is a new development</w:t>
      </w:r>
      <w:r w:rsidRPr="00E3670C" w:rsidR="00D219AB">
        <w:t xml:space="preserve"> within the meaning of </w:t>
      </w:r>
      <w:r w:rsidRPr="00E3670C" w:rsidR="00A91D2E">
        <w:t>section</w:t>
      </w:r>
      <w:r w:rsidRPr="00E3670C" w:rsidR="00D219AB">
        <w:t xml:space="preserve"> 1.106(b)(2)</w:t>
      </w:r>
      <w:r w:rsidRPr="00E3670C" w:rsidR="00843905">
        <w:t>(i)</w:t>
      </w:r>
      <w:r w:rsidRPr="00E3670C" w:rsidR="00D122E5">
        <w:t xml:space="preserve">, </w:t>
      </w:r>
      <w:r w:rsidRPr="00E3670C" w:rsidR="00EF20FF">
        <w:t>we conclude</w:t>
      </w:r>
      <w:r w:rsidRPr="00E3670C" w:rsidR="00E81CA3">
        <w:t>, as we have several times previously in this proceeding,</w:t>
      </w:r>
      <w:r w:rsidRPr="00E3670C" w:rsidR="00EF20FF">
        <w:t xml:space="preserve"> th</w:t>
      </w:r>
      <w:r w:rsidRPr="00E3670C" w:rsidR="00E304A3">
        <w:t>at</w:t>
      </w:r>
      <w:r w:rsidRPr="00E3670C" w:rsidR="00EF20FF">
        <w:t xml:space="preserve"> </w:t>
      </w:r>
      <w:r w:rsidRPr="00E3670C" w:rsidR="00E304A3">
        <w:t xml:space="preserve">the </w:t>
      </w:r>
      <w:r w:rsidRPr="00E3670C" w:rsidR="00EF20FF">
        <w:t xml:space="preserve">Petitioners </w:t>
      </w:r>
      <w:r w:rsidRPr="00E3670C" w:rsidR="00E81CA3">
        <w:t xml:space="preserve">provide no evidence or other basis to support a finding that </w:t>
      </w:r>
      <w:r w:rsidRPr="00E3670C" w:rsidR="00B03C04">
        <w:t xml:space="preserve">the conduct </w:t>
      </w:r>
      <w:r w:rsidRPr="00E3670C" w:rsidR="00076B17">
        <w:t>c</w:t>
      </w:r>
      <w:r w:rsidRPr="00E3670C" w:rsidR="00B03C04">
        <w:t>ited by Petitioners</w:t>
      </w:r>
      <w:r w:rsidRPr="00E3670C" w:rsidR="00E81CA3">
        <w:t xml:space="preserve"> is relevant to CBS’s qualifications to assign or transfer control of its radio station licenses.</w:t>
      </w:r>
      <w:r w:rsidRPr="00E3670C" w:rsidR="00B82CA6">
        <w:t xml:space="preserve">  As we found in the </w:t>
      </w:r>
      <w:r w:rsidRPr="00E3670C" w:rsidR="00B82CA6">
        <w:rPr>
          <w:i/>
        </w:rPr>
        <w:t>AFR and PFR Orders</w:t>
      </w:r>
      <w:r w:rsidRPr="00E3670C" w:rsidR="00B82CA6">
        <w:t>, Petitioners’ allegations of improper conduct at CBS do not involve any CBSR station involved in this transaction</w:t>
      </w:r>
      <w:r w:rsidRPr="00E3670C" w:rsidR="002C120E">
        <w:t>.</w:t>
      </w:r>
      <w:r>
        <w:rPr>
          <w:rStyle w:val="FootnoteReference"/>
          <w:sz w:val="22"/>
        </w:rPr>
        <w:footnoteReference w:id="18"/>
      </w:r>
    </w:p>
    <w:p w:rsidR="00934A96" w:rsidRPr="00E3670C" w:rsidP="009B3031" w14:paraId="396DC708" w14:textId="69421C24">
      <w:pPr>
        <w:pStyle w:val="ParaNum"/>
        <w:widowControl/>
      </w:pPr>
      <w:bookmarkStart w:id="10" w:name="FN[FN7]"/>
      <w:bookmarkStart w:id="11" w:name="_Hlk9600244"/>
      <w:bookmarkStart w:id="12" w:name="_Hlk4746335"/>
      <w:bookmarkEnd w:id="10"/>
      <w:r w:rsidRPr="00E3670C">
        <w:t xml:space="preserve">We also conclude that even if we accepted Petitioners’ argument that the alleged conduct somehow triggered review under the Commission’s </w:t>
      </w:r>
      <w:r w:rsidRPr="00E3670C">
        <w:rPr>
          <w:i/>
        </w:rPr>
        <w:t>Character Policy Statement</w:t>
      </w:r>
      <w:r w:rsidRPr="00E3670C">
        <w:t xml:space="preserve">, Petitioners have failed </w:t>
      </w:r>
      <w:r w:rsidRPr="00EF743D" w:rsidR="00690644">
        <w:t>to allege</w:t>
      </w:r>
      <w:r w:rsidRPr="00EF743D" w:rsidR="0056359B">
        <w:t xml:space="preserve"> facts that, if true, would show that grant</w:t>
      </w:r>
      <w:r w:rsidRPr="00E3670C" w:rsidR="0056359B">
        <w:t xml:space="preserve"> of </w:t>
      </w:r>
      <w:r w:rsidRPr="00EF743D" w:rsidR="0056359B">
        <w:t>the applications is not in the public interest</w:t>
      </w:r>
      <w:r w:rsidRPr="00EF743D">
        <w:t>.</w:t>
      </w:r>
      <w:r w:rsidRPr="00E3670C">
        <w:t xml:space="preserve"> </w:t>
      </w:r>
      <w:r w:rsidR="00ED1C94">
        <w:t xml:space="preserve"> </w:t>
      </w:r>
      <w:r w:rsidRPr="00E3670C">
        <w:t xml:space="preserve">Under the </w:t>
      </w:r>
      <w:r w:rsidRPr="00E3670C">
        <w:rPr>
          <w:i/>
        </w:rPr>
        <w:t>Character Policy Statement</w:t>
      </w:r>
      <w:r w:rsidRPr="00E3670C">
        <w:t xml:space="preserve">, </w:t>
      </w:r>
      <w:r w:rsidRPr="00EF743D" w:rsidR="00790E46">
        <w:t xml:space="preserve">even if there were adjudicated findings of wrongdoing, the Commission would not find the conduct to </w:t>
      </w:r>
      <w:r w:rsidRPr="00E3670C" w:rsidR="00790E46">
        <w:t xml:space="preserve">be relevant </w:t>
      </w:r>
      <w:r w:rsidRPr="00EF743D" w:rsidR="00790E46">
        <w:t xml:space="preserve">unless additional facts show a close connection between </w:t>
      </w:r>
      <w:r w:rsidRPr="00EF743D" w:rsidR="005977FF">
        <w:t>the parent and subsidiary</w:t>
      </w:r>
      <w:r w:rsidRPr="00EF743D" w:rsidR="00FB2E00">
        <w:t xml:space="preserve"> licensees</w:t>
      </w:r>
      <w:r w:rsidRPr="00EF743D" w:rsidR="005977FF">
        <w:t xml:space="preserve"> as to the operation of the</w:t>
      </w:r>
      <w:r w:rsidRPr="00EF743D" w:rsidR="00FB2E00">
        <w:t xml:space="preserve"> licensees</w:t>
      </w:r>
      <w:r w:rsidRPr="00EF743D" w:rsidR="005977FF">
        <w:t>. In that case, the Commission would examine any aggravating or mitigating factors, including remedial steps taken by the parent and would determine, in light of the particular facts of the case, whether the parent-level misconduct impugns the trustworthiness and reliability of the licensee going forward.</w:t>
      </w:r>
      <w:r>
        <w:rPr>
          <w:rStyle w:val="FootnoteReference"/>
        </w:rPr>
        <w:footnoteReference w:id="19"/>
      </w:r>
      <w:r w:rsidRPr="00EF743D">
        <w:t xml:space="preserve"> </w:t>
      </w:r>
      <w:r w:rsidRPr="00E3670C">
        <w:t xml:space="preserve"> </w:t>
      </w:r>
      <w:r w:rsidR="002302A6">
        <w:t xml:space="preserve">Here, however, </w:t>
      </w:r>
      <w:r w:rsidRPr="00E3670C" w:rsidR="00902526">
        <w:t>Petitioner</w:t>
      </w:r>
      <w:r w:rsidRPr="00E3670C" w:rsidR="00952C6F">
        <w:t>s</w:t>
      </w:r>
      <w:r w:rsidRPr="00E3670C" w:rsidR="00902526">
        <w:t xml:space="preserve"> failed to</w:t>
      </w:r>
      <w:r w:rsidRPr="00E3670C" w:rsidR="00F22E5B">
        <w:t xml:space="preserve"> </w:t>
      </w:r>
      <w:r w:rsidRPr="00EF743D" w:rsidR="00F22E5B">
        <w:t>even allege</w:t>
      </w:r>
      <w:r w:rsidRPr="00E3670C" w:rsidR="00F22E5B">
        <w:t xml:space="preserve"> </w:t>
      </w:r>
      <w:r w:rsidRPr="00E3670C" w:rsidR="00902526">
        <w:t xml:space="preserve">that Moonves was involved in the day-to-day operations of </w:t>
      </w:r>
      <w:r w:rsidRPr="00EF743D" w:rsidR="005977FF">
        <w:t>the station licensees</w:t>
      </w:r>
      <w:r w:rsidRPr="00EF743D" w:rsidR="003B66C6">
        <w:t>,</w:t>
      </w:r>
      <w:r w:rsidRPr="00EF743D" w:rsidR="00952C6F">
        <w:t xml:space="preserve"> </w:t>
      </w:r>
      <w:r w:rsidRPr="00EF743D" w:rsidR="00F22E5B">
        <w:t xml:space="preserve">nor have they proffered any other factual allegations or evidence that </w:t>
      </w:r>
      <w:r w:rsidRPr="00E3670C" w:rsidR="00952C6F">
        <w:t xml:space="preserve">otherwise </w:t>
      </w:r>
      <w:r w:rsidRPr="00EF743D" w:rsidR="00F22E5B">
        <w:t xml:space="preserve">would </w:t>
      </w:r>
      <w:r w:rsidRPr="00E3670C" w:rsidR="00952C6F">
        <w:t xml:space="preserve">tie the conduct of CBS to its subsidiary </w:t>
      </w:r>
      <w:r w:rsidRPr="00EF743D" w:rsidR="005977FF">
        <w:t>licensees</w:t>
      </w:r>
      <w:r w:rsidRPr="00E3670C" w:rsidR="00902526">
        <w:t>.  Moreover, Petitioners’ argument ignores the fact that CBS addressed the allegations against Moonves by removing him from management of the company.</w:t>
      </w:r>
      <w:r>
        <w:rPr>
          <w:rStyle w:val="FootnoteReference"/>
          <w:sz w:val="22"/>
        </w:rPr>
        <w:footnoteReference w:id="20"/>
      </w:r>
      <w:r w:rsidRPr="00E3670C" w:rsidR="00952C6F">
        <w:t xml:space="preserve">  </w:t>
      </w:r>
      <w:r w:rsidR="002302A6">
        <w:t xml:space="preserve">Because Petitioners could have </w:t>
      </w:r>
      <w:r w:rsidR="002302A6">
        <w:t>address</w:t>
      </w:r>
      <w:r w:rsidR="00CA06F4">
        <w:t>ed</w:t>
      </w:r>
      <w:r w:rsidR="002302A6">
        <w:t xml:space="preserve"> these points in its filings here but did not, i</w:t>
      </w:r>
      <w:r w:rsidRPr="00E3670C" w:rsidR="00467D0D">
        <w:t xml:space="preserve">f Petitioners attempt to raise these issues </w:t>
      </w:r>
      <w:r w:rsidR="002302A6">
        <w:t xml:space="preserve">regarding Moonves </w:t>
      </w:r>
      <w:r w:rsidRPr="00E3670C" w:rsidR="00467D0D">
        <w:t>in future filings</w:t>
      </w:r>
      <w:r w:rsidRPr="00E3670C" w:rsidR="00894DF9">
        <w:t xml:space="preserve"> in this proceeding</w:t>
      </w:r>
      <w:r w:rsidRPr="00E3670C" w:rsidR="00467D0D">
        <w:t>, we will find them untimely.</w:t>
      </w:r>
      <w:r>
        <w:rPr>
          <w:rStyle w:val="FootnoteReference"/>
          <w:sz w:val="22"/>
        </w:rPr>
        <w:footnoteReference w:id="21"/>
      </w:r>
    </w:p>
    <w:bookmarkEnd w:id="11"/>
    <w:p w:rsidR="00EF20FF" w:rsidRPr="00E3670C" w:rsidP="000A6F12" w14:paraId="43794E4E" w14:textId="0271D6DC">
      <w:pPr>
        <w:pStyle w:val="ParaNum"/>
      </w:pPr>
      <w:r w:rsidRPr="00E3670C">
        <w:t>Although</w:t>
      </w:r>
      <w:r w:rsidRPr="00E3670C" w:rsidR="005A758A">
        <w:t xml:space="preserve"> we find that </w:t>
      </w:r>
      <w:r w:rsidRPr="00E3670C" w:rsidR="00FC6D8C">
        <w:t xml:space="preserve">denial </w:t>
      </w:r>
      <w:r w:rsidRPr="00E3670C" w:rsidR="005A758A">
        <w:t>of the Petition by the Bureau</w:t>
      </w:r>
      <w:r w:rsidRPr="00E3670C">
        <w:t>, rather than the Commission,</w:t>
      </w:r>
      <w:r w:rsidRPr="00E3670C" w:rsidR="005A758A">
        <w:t xml:space="preserve"> would have been appropriate under </w:t>
      </w:r>
      <w:r w:rsidRPr="00E3670C" w:rsidR="00A91D2E">
        <w:t>section</w:t>
      </w:r>
      <w:r w:rsidRPr="00E3670C" w:rsidR="005A758A">
        <w:t xml:space="preserve"> 1.106(p)</w:t>
      </w:r>
      <w:r w:rsidRPr="00E3670C" w:rsidR="00AF4494">
        <w:t xml:space="preserve"> </w:t>
      </w:r>
      <w:r w:rsidRPr="00E3670C" w:rsidR="005A758A">
        <w:t>of the Rules</w:t>
      </w:r>
      <w:r w:rsidRPr="00E3670C" w:rsidR="001F2B98">
        <w:t>,</w:t>
      </w:r>
      <w:r>
        <w:rPr>
          <w:vertAlign w:val="superscript"/>
        </w:rPr>
        <w:footnoteReference w:id="22"/>
      </w:r>
      <w:r w:rsidRPr="00E3670C" w:rsidR="005A758A">
        <w:t xml:space="preserve"> </w:t>
      </w:r>
      <w:r w:rsidRPr="00E3670C">
        <w:t>w</w:t>
      </w:r>
      <w:r w:rsidRPr="00E3670C" w:rsidR="005A758A">
        <w:t xml:space="preserve">e have decided to act on the Petition in order to </w:t>
      </w:r>
      <w:r w:rsidRPr="00E3670C">
        <w:t>discourage</w:t>
      </w:r>
      <w:r w:rsidRPr="00E3670C" w:rsidR="005A758A">
        <w:t xml:space="preserve"> any further requests for reconsideration or review filed by Petitioners</w:t>
      </w:r>
      <w:r w:rsidRPr="00E3670C" w:rsidR="001F6122">
        <w:t xml:space="preserve"> in the interest of promoting administrative finality</w:t>
      </w:r>
      <w:r w:rsidRPr="00E3670C" w:rsidR="005A758A">
        <w:t>.</w:t>
      </w:r>
    </w:p>
    <w:bookmarkEnd w:id="12"/>
    <w:p w:rsidR="00EF20FF" w:rsidRPr="00E3670C" w:rsidP="000A6F12" w14:paraId="1FBDDC5B" w14:textId="77777777">
      <w:pPr>
        <w:pStyle w:val="ParaNum"/>
      </w:pPr>
      <w:r w:rsidRPr="00E3670C">
        <w:t xml:space="preserve">Accordingly, </w:t>
      </w:r>
      <w:r w:rsidRPr="009B3031">
        <w:rPr>
          <w:b/>
        </w:rPr>
        <w:t>IT IS ORDERED</w:t>
      </w:r>
      <w:r w:rsidRPr="00E3670C">
        <w:t xml:space="preserve"> that, pursuant to </w:t>
      </w:r>
      <w:r w:rsidRPr="00E3670C" w:rsidR="00A91D2E">
        <w:t>section</w:t>
      </w:r>
      <w:r w:rsidRPr="00E3670C">
        <w:t xml:space="preserve"> 405(a) of the Communications Act of 1934, as amended,</w:t>
      </w:r>
      <w:r>
        <w:rPr>
          <w:rStyle w:val="FootnoteReference"/>
          <w:sz w:val="22"/>
        </w:rPr>
        <w:footnoteReference w:id="23"/>
      </w:r>
      <w:r w:rsidRPr="00E3670C">
        <w:t xml:space="preserve"> and </w:t>
      </w:r>
      <w:r w:rsidRPr="00E3670C" w:rsidR="00A91D2E">
        <w:t>section</w:t>
      </w:r>
      <w:r w:rsidRPr="00E3670C">
        <w:t xml:space="preserve"> 1.106 of the Rules,</w:t>
      </w:r>
      <w:r>
        <w:rPr>
          <w:rStyle w:val="FootnoteReference"/>
          <w:sz w:val="22"/>
        </w:rPr>
        <w:footnoteReference w:id="24"/>
      </w:r>
      <w:r w:rsidRPr="00E3670C">
        <w:t xml:space="preserve"> the </w:t>
      </w:r>
      <w:r w:rsidRPr="00E3670C" w:rsidR="00E32ECE">
        <w:t>November 26</w:t>
      </w:r>
      <w:r w:rsidRPr="00E3670C">
        <w:t xml:space="preserve">, 2018, </w:t>
      </w:r>
      <w:r w:rsidRPr="00E3670C" w:rsidR="000A0470">
        <w:t xml:space="preserve">joint </w:t>
      </w:r>
      <w:r w:rsidRPr="00E3670C">
        <w:t>Petition for</w:t>
      </w:r>
      <w:r w:rsidRPr="00E3670C" w:rsidR="00E32ECE">
        <w:t xml:space="preserve"> Further</w:t>
      </w:r>
      <w:r w:rsidRPr="00E3670C">
        <w:t xml:space="preserve"> Reconsideration filed by Edward R. Stolz II and Deborah J. Naiman </w:t>
      </w:r>
      <w:r w:rsidRPr="009B3031">
        <w:rPr>
          <w:b/>
        </w:rPr>
        <w:t>IS DENIED</w:t>
      </w:r>
      <w:r w:rsidRPr="00E3670C">
        <w:t>.</w:t>
      </w:r>
    </w:p>
    <w:bookmarkEnd w:id="6"/>
    <w:p w:rsidR="009B3031" w:rsidP="0017296B" w14:paraId="7F1FFF95" w14:textId="77777777">
      <w:r>
        <w:tab/>
      </w:r>
      <w:r>
        <w:tab/>
      </w:r>
      <w:r>
        <w:tab/>
      </w:r>
      <w:r>
        <w:tab/>
      </w:r>
      <w:r>
        <w:tab/>
      </w:r>
      <w:r>
        <w:tab/>
        <w:t>FEDERAL COMMUNICATIONS COMMISSION</w:t>
      </w:r>
    </w:p>
    <w:p w:rsidR="009B3031" w:rsidP="0017296B" w14:paraId="099CE307" w14:textId="77777777"/>
    <w:p w:rsidR="009B3031" w:rsidP="0017296B" w14:paraId="62BE4C99" w14:textId="77777777"/>
    <w:p w:rsidR="009B3031" w:rsidP="0017296B" w14:paraId="398D673E" w14:textId="77777777"/>
    <w:p w:rsidR="009B3031" w:rsidP="0017296B" w14:paraId="00BE9151" w14:textId="77777777"/>
    <w:p w:rsidR="009B3031" w:rsidP="0017296B" w14:paraId="29D97119" w14:textId="77777777">
      <w:r>
        <w:tab/>
      </w:r>
      <w:r>
        <w:tab/>
      </w:r>
      <w:r>
        <w:tab/>
      </w:r>
      <w:r>
        <w:tab/>
      </w:r>
      <w:r>
        <w:tab/>
      </w:r>
      <w:r>
        <w:tab/>
        <w:t>Marlene H. Dortch</w:t>
      </w:r>
    </w:p>
    <w:p w:rsidR="00C63B64" w:rsidRPr="00E3670C" w:rsidP="000A6F12" w14:paraId="59C134D6" w14:textId="154DE131">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8176BD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917B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B3031" w14:paraId="51A193E1" w14:textId="46CEE552">
    <w:pPr>
      <w:pStyle w:val="Footer"/>
      <w:jc w:val="center"/>
    </w:pPr>
    <w:r w:rsidRPr="00E3670C">
      <w:fldChar w:fldCharType="begin"/>
    </w:r>
    <w:r w:rsidRPr="009E04FD">
      <w:instrText xml:space="preserve"> PAGE   \* MERGEFORMAT </w:instrText>
    </w:r>
    <w:r w:rsidRPr="00E3670C">
      <w:fldChar w:fldCharType="separate"/>
    </w:r>
    <w:r w:rsidRPr="009E04FD">
      <w:t>2</w:t>
    </w:r>
    <w:r w:rsidRPr="00E3670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C741B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4CE8" w14:paraId="231ECC6B" w14:textId="77777777">
      <w:r>
        <w:separator/>
      </w:r>
    </w:p>
  </w:footnote>
  <w:footnote w:type="continuationSeparator" w:id="1">
    <w:p w:rsidR="001E4CE8" w:rsidP="00C721AC" w14:paraId="411F07BF" w14:textId="77777777">
      <w:pPr>
        <w:spacing w:before="120"/>
        <w:rPr>
          <w:sz w:val="20"/>
        </w:rPr>
      </w:pPr>
      <w:bookmarkStart w:id="0" w:name="_Hlk527021746"/>
      <w:bookmarkStart w:id="1" w:name="_Hlk527021747"/>
      <w:bookmarkStart w:id="2" w:name="_Hlk527021752"/>
      <w:bookmarkStart w:id="3" w:name="_Hlk527021753"/>
      <w:bookmarkStart w:id="4" w:name="_Hlk527021754"/>
      <w:bookmarkStart w:id="5" w:name="_Hlk527021755"/>
      <w:r>
        <w:rPr>
          <w:sz w:val="20"/>
        </w:rPr>
        <w:t xml:space="preserve">(Continued from previous page)  </w:t>
      </w:r>
      <w:r>
        <w:rPr>
          <w:sz w:val="20"/>
        </w:rPr>
        <w:separator/>
      </w:r>
      <w:bookmarkEnd w:id="0"/>
      <w:bookmarkEnd w:id="1"/>
      <w:bookmarkEnd w:id="2"/>
      <w:bookmarkEnd w:id="3"/>
      <w:bookmarkEnd w:id="4"/>
      <w:bookmarkEnd w:id="5"/>
    </w:p>
  </w:footnote>
  <w:footnote w:type="continuationNotice" w:id="2">
    <w:p w:rsidR="001E4CE8" w:rsidRPr="004F5255" w:rsidP="004F5255" w14:paraId="65252569" w14:textId="77777777">
      <w:pPr>
        <w:pStyle w:val="Footer"/>
      </w:pPr>
    </w:p>
  </w:footnote>
  <w:footnote w:id="3">
    <w:p w:rsidR="00E84FB4" w:rsidRPr="00EF743D" w:rsidP="00E84FB4" w14:paraId="7CC4D924" w14:textId="77777777">
      <w:pPr>
        <w:pStyle w:val="FootnoteText"/>
      </w:pPr>
      <w:r w:rsidRPr="00EF743D">
        <w:rPr>
          <w:rStyle w:val="FootnoteReference"/>
        </w:rPr>
        <w:footnoteRef/>
      </w:r>
      <w:r w:rsidRPr="00EF743D">
        <w:t xml:space="preserve"> </w:t>
      </w:r>
      <w:r w:rsidRPr="00EF743D">
        <w:rPr>
          <w:i/>
        </w:rPr>
        <w:t xml:space="preserve">See Entercom Communications and CBS Radio Seek Approval to Transfer Control and Assign FCC Authorizations and Licenses to Subsidiaries of CBS Corporation (Transferors) and Shareholders of Entercom Communications Corporation (Transferee), </w:t>
      </w:r>
      <w:r w:rsidRPr="00EF743D">
        <w:t xml:space="preserve">Order on Reconsideration, </w:t>
      </w:r>
      <w:bookmarkStart w:id="8" w:name="_Hlk528219632"/>
      <w:r w:rsidRPr="00EF743D">
        <w:t xml:space="preserve">FCC 18-152 </w:t>
      </w:r>
      <w:bookmarkEnd w:id="8"/>
      <w:r w:rsidRPr="00EF743D">
        <w:t>(Oct. 25, 2018) (</w:t>
      </w:r>
      <w:r w:rsidRPr="00EF743D">
        <w:rPr>
          <w:i/>
        </w:rPr>
        <w:t>PFR Order</w:t>
      </w:r>
      <w:r w:rsidRPr="00EF743D">
        <w:t xml:space="preserve">).  </w:t>
      </w:r>
    </w:p>
  </w:footnote>
  <w:footnote w:id="4">
    <w:p w:rsidR="008413AA" w:rsidRPr="00EF743D" w:rsidP="008413AA" w14:paraId="26CB28C0" w14:textId="77777777">
      <w:pPr>
        <w:pStyle w:val="FootnoteText"/>
      </w:pPr>
      <w:r w:rsidRPr="00EF743D">
        <w:rPr>
          <w:rStyle w:val="FootnoteReference"/>
        </w:rPr>
        <w:footnoteRef/>
      </w:r>
      <w:r w:rsidRPr="00EF743D">
        <w:t xml:space="preserve"> On December 6, 2018, Entercom filed an Opposition to Petition for Further Reconsideration (Opposition), to which Petitioners replied on December 18, 2018 (Reply).</w:t>
      </w:r>
    </w:p>
  </w:footnote>
  <w:footnote w:id="5">
    <w:p w:rsidR="00EF20FF" w:rsidRPr="00EF743D" w:rsidP="00EF20FF" w14:paraId="5AE70C2A" w14:textId="77777777">
      <w:pPr>
        <w:pStyle w:val="FootnoteText"/>
      </w:pPr>
      <w:r w:rsidRPr="00EF743D">
        <w:rPr>
          <w:rStyle w:val="FootnoteReference"/>
        </w:rPr>
        <w:footnoteRef/>
      </w:r>
      <w:r w:rsidRPr="00EF743D">
        <w:t xml:space="preserve"> Petition at </w:t>
      </w:r>
      <w:r w:rsidRPr="00EF743D" w:rsidR="00435145">
        <w:t>5</w:t>
      </w:r>
      <w:r w:rsidRPr="00EF743D">
        <w:t>.</w:t>
      </w:r>
    </w:p>
  </w:footnote>
  <w:footnote w:id="6">
    <w:p w:rsidR="00EF20FF" w:rsidRPr="00EF743D" w:rsidP="00EF20FF" w14:paraId="6CCA8CDC" w14:textId="77777777">
      <w:pPr>
        <w:pStyle w:val="FootnoteText"/>
      </w:pPr>
      <w:r w:rsidRPr="00EF743D">
        <w:rPr>
          <w:rStyle w:val="FootnoteReference"/>
        </w:rPr>
        <w:footnoteRef/>
      </w:r>
      <w:r w:rsidRPr="00EF743D">
        <w:t xml:space="preserve"> </w:t>
      </w:r>
      <w:r w:rsidRPr="00EF743D">
        <w:rPr>
          <w:i/>
        </w:rPr>
        <w:t xml:space="preserve">See Entercom Communications and CBS Radio Seek Approval to Transfer Control and Assign FCC Authorizations and Licenses to Subsidiaries of CBS Corporation (Transferors) and Shareholders of Entercom Communications Corporation (Transferee), </w:t>
      </w:r>
      <w:r w:rsidRPr="00EF743D">
        <w:t>Memorandum Opinion and Order, 32 FCC Rcd 9380 (MB 2017) (</w:t>
      </w:r>
      <w:r w:rsidRPr="00EF743D" w:rsidR="00CC2E10">
        <w:rPr>
          <w:i/>
        </w:rPr>
        <w:t xml:space="preserve">Bureau </w:t>
      </w:r>
      <w:r w:rsidRPr="00EF743D">
        <w:rPr>
          <w:i/>
        </w:rPr>
        <w:t>Order</w:t>
      </w:r>
      <w:r w:rsidRPr="00EF743D">
        <w:t xml:space="preserve">).   </w:t>
      </w:r>
    </w:p>
  </w:footnote>
  <w:footnote w:id="7">
    <w:p w:rsidR="0058052D" w:rsidRPr="00EF743D" w:rsidP="0058052D" w14:paraId="318AB973" w14:textId="77777777">
      <w:pPr>
        <w:pStyle w:val="FootnoteText"/>
      </w:pPr>
      <w:r w:rsidRPr="00EF743D">
        <w:rPr>
          <w:rStyle w:val="FootnoteReference"/>
        </w:rPr>
        <w:footnoteRef/>
      </w:r>
      <w:r w:rsidRPr="00EF743D">
        <w:t xml:space="preserve"> </w:t>
      </w:r>
      <w:r w:rsidRPr="00EF743D">
        <w:rPr>
          <w:i/>
        </w:rPr>
        <w:t>Entercom Communications and CBS Radio Seek Approval to Transfer Control and Assign FCC Authorizations and Licenses to Subsidiaries of CBS Corporation (Transferors) and Shareholders of Entercom Communications Corporation (Transferee),</w:t>
      </w:r>
      <w:r w:rsidRPr="00EF743D">
        <w:t xml:space="preserve"> Memorandum Opinion and Order, 33 FCC Rcd 6621 (2018) (</w:t>
      </w:r>
      <w:r w:rsidRPr="00EF743D">
        <w:rPr>
          <w:i/>
        </w:rPr>
        <w:t>AFR Order</w:t>
      </w:r>
      <w:r w:rsidRPr="00EF743D">
        <w:t>).</w:t>
      </w:r>
    </w:p>
  </w:footnote>
  <w:footnote w:id="8">
    <w:p w:rsidR="001B561B" w:rsidRPr="00E3670C" w:rsidP="001B561B" w14:paraId="31F94F6A" w14:textId="77777777">
      <w:pPr>
        <w:autoSpaceDE w:val="0"/>
        <w:autoSpaceDN w:val="0"/>
        <w:adjustRightInd w:val="0"/>
        <w:spacing w:after="120"/>
        <w:rPr>
          <w:sz w:val="20"/>
        </w:rPr>
      </w:pPr>
      <w:r w:rsidRPr="00EF743D">
        <w:rPr>
          <w:rStyle w:val="FootnoteReference"/>
        </w:rPr>
        <w:footnoteRef/>
      </w:r>
      <w:r w:rsidRPr="00E3670C">
        <w:rPr>
          <w:sz w:val="20"/>
        </w:rPr>
        <w:t xml:space="preserve"> Petition at 2-3</w:t>
      </w:r>
      <w:r w:rsidRPr="00E3670C" w:rsidR="00205361">
        <w:rPr>
          <w:sz w:val="20"/>
        </w:rPr>
        <w:t xml:space="preserve"> and Appendix A</w:t>
      </w:r>
      <w:r w:rsidRPr="00E3670C" w:rsidR="00C94B33">
        <w:rPr>
          <w:sz w:val="20"/>
        </w:rPr>
        <w:t xml:space="preserve">, citing Ronan Farrow, </w:t>
      </w:r>
      <w:r w:rsidRPr="00E3670C" w:rsidR="00C94B33">
        <w:rPr>
          <w:i/>
          <w:sz w:val="20"/>
        </w:rPr>
        <w:t>As Leslie Moonves Negotiates His Exit from CBS, Six Women Raise New Assault and Harassment Claims</w:t>
      </w:r>
      <w:r w:rsidRPr="00E3670C" w:rsidR="00C94B33">
        <w:rPr>
          <w:sz w:val="20"/>
        </w:rPr>
        <w:t>, The New Yorker, Sept</w:t>
      </w:r>
      <w:r w:rsidRPr="00E3670C" w:rsidR="00007473">
        <w:rPr>
          <w:sz w:val="20"/>
        </w:rPr>
        <w:t>.</w:t>
      </w:r>
      <w:r w:rsidRPr="00E3670C" w:rsidR="00C94B33">
        <w:rPr>
          <w:sz w:val="20"/>
        </w:rPr>
        <w:t xml:space="preserve"> 9, 2018, </w:t>
      </w:r>
      <w:hyperlink r:id="rId1" w:history="1">
        <w:r w:rsidRPr="00E3670C" w:rsidR="00C94B33">
          <w:rPr>
            <w:rStyle w:val="Hyperlink"/>
            <w:sz w:val="20"/>
          </w:rPr>
          <w:t>https://www.newyorker.com/news/news-desk/as-leslie-moonves-negotiates-his-exit-from-cbs-women-raise-new-assault-and-harassment-claims</w:t>
        </w:r>
      </w:hyperlink>
      <w:r w:rsidRPr="00E3670C">
        <w:rPr>
          <w:sz w:val="20"/>
        </w:rPr>
        <w:t>.</w:t>
      </w:r>
    </w:p>
  </w:footnote>
  <w:footnote w:id="9">
    <w:p w:rsidR="00C153B3" w:rsidRPr="00EF743D" w14:paraId="446858CB" w14:textId="77777777">
      <w:pPr>
        <w:pStyle w:val="FootnoteText"/>
      </w:pPr>
      <w:r w:rsidRPr="00EF743D">
        <w:rPr>
          <w:rStyle w:val="FootnoteReference"/>
        </w:rPr>
        <w:footnoteRef/>
      </w:r>
      <w:r w:rsidRPr="00EF743D">
        <w:t xml:space="preserve"> </w:t>
      </w:r>
      <w:r w:rsidRPr="00EF743D">
        <w:rPr>
          <w:i/>
        </w:rPr>
        <w:t>See Melody Music v. FCC</w:t>
      </w:r>
      <w:r w:rsidRPr="00EF743D">
        <w:t>, 345 F.2d 730 (D.C. Cir. 1965) (</w:t>
      </w:r>
      <w:r w:rsidRPr="00EF743D">
        <w:rPr>
          <w:i/>
        </w:rPr>
        <w:t>Melody Music</w:t>
      </w:r>
      <w:r w:rsidRPr="00EF743D">
        <w:t>)</w:t>
      </w:r>
      <w:r w:rsidRPr="00EF743D" w:rsidR="008413AA">
        <w:t>.</w:t>
      </w:r>
      <w:r w:rsidRPr="00EF743D">
        <w:t xml:space="preserve">  </w:t>
      </w:r>
    </w:p>
  </w:footnote>
  <w:footnote w:id="10">
    <w:p w:rsidR="00726D6E" w:rsidRPr="00EF743D" w14:paraId="722341EE" w14:textId="77777777">
      <w:pPr>
        <w:pStyle w:val="FootnoteText"/>
      </w:pPr>
      <w:r w:rsidRPr="00EF743D">
        <w:rPr>
          <w:rStyle w:val="FootnoteReference"/>
        </w:rPr>
        <w:footnoteRef/>
      </w:r>
      <w:r w:rsidRPr="00EF743D">
        <w:t xml:space="preserve"> </w:t>
      </w:r>
      <w:r w:rsidRPr="00EF743D" w:rsidR="00735426">
        <w:t>Petition</w:t>
      </w:r>
      <w:r w:rsidRPr="00EF743D">
        <w:rPr>
          <w:i/>
        </w:rPr>
        <w:t xml:space="preserve"> </w:t>
      </w:r>
      <w:r w:rsidRPr="00EF743D">
        <w:t xml:space="preserve">at 3-4, citing, respectively, </w:t>
      </w:r>
      <w:r w:rsidRPr="00EF743D">
        <w:rPr>
          <w:i/>
        </w:rPr>
        <w:t xml:space="preserve">Contemporary Media, Inc. v. FCC, </w:t>
      </w:r>
      <w:r w:rsidRPr="00EF743D">
        <w:t>214 F.3d 187 (D.C. Cir. 2000)</w:t>
      </w:r>
      <w:r w:rsidRPr="00EF743D" w:rsidR="00D07A0F">
        <w:t xml:space="preserve"> (</w:t>
      </w:r>
      <w:r w:rsidRPr="00EF743D" w:rsidR="00B03C04">
        <w:rPr>
          <w:i/>
        </w:rPr>
        <w:t>Contemporary Media</w:t>
      </w:r>
      <w:r w:rsidRPr="00EF743D" w:rsidR="00D07A0F">
        <w:rPr>
          <w:i/>
        </w:rPr>
        <w:t>)</w:t>
      </w:r>
      <w:r w:rsidRPr="00EF743D">
        <w:t xml:space="preserve"> and </w:t>
      </w:r>
      <w:r w:rsidRPr="00EF743D">
        <w:rPr>
          <w:i/>
        </w:rPr>
        <w:t xml:space="preserve">Catoctin Broadcasting Corporation of New York, </w:t>
      </w:r>
      <w:r w:rsidRPr="00EF743D">
        <w:t xml:space="preserve">Memorandum Opinion and Order, 2 FCC Rcd 2126 (Rev. Bd. 1987), </w:t>
      </w:r>
      <w:r w:rsidRPr="00EF743D">
        <w:rPr>
          <w:i/>
        </w:rPr>
        <w:t>aff’d</w:t>
      </w:r>
      <w:r w:rsidRPr="00EF743D">
        <w:t xml:space="preserve">, Memorandum Opinion and Order, 4 FCC Rcd 2553 (1989), </w:t>
      </w:r>
      <w:r w:rsidRPr="00EF743D">
        <w:rPr>
          <w:i/>
        </w:rPr>
        <w:t>aff’d in unpublished opinion</w:t>
      </w:r>
      <w:r w:rsidRPr="00EF743D">
        <w:t>, 920 F.2d 1039</w:t>
      </w:r>
      <w:r w:rsidRPr="00EF743D">
        <w:rPr>
          <w:i/>
        </w:rPr>
        <w:t xml:space="preserve"> </w:t>
      </w:r>
      <w:r w:rsidRPr="00EF743D">
        <w:t>(D.C. Cir. 1990)</w:t>
      </w:r>
      <w:r w:rsidRPr="00EF743D" w:rsidR="00D07A0F">
        <w:t xml:space="preserve"> (</w:t>
      </w:r>
      <w:r w:rsidRPr="00EF743D" w:rsidR="00D07A0F">
        <w:rPr>
          <w:i/>
        </w:rPr>
        <w:t>Catoctin</w:t>
      </w:r>
      <w:r w:rsidRPr="00EF743D" w:rsidR="00D07A0F">
        <w:t>)</w:t>
      </w:r>
      <w:r w:rsidRPr="00EF743D">
        <w:t>.</w:t>
      </w:r>
      <w:r w:rsidRPr="00EF743D" w:rsidR="00084705">
        <w:t xml:space="preserve">  </w:t>
      </w:r>
    </w:p>
  </w:footnote>
  <w:footnote w:id="11">
    <w:p w:rsidR="00420C92" w:rsidRPr="00EF743D" w:rsidP="00420C92" w14:paraId="4DA52DAA" w14:textId="77777777">
      <w:pPr>
        <w:pStyle w:val="FootnoteText"/>
      </w:pPr>
      <w:r w:rsidRPr="00EF743D">
        <w:rPr>
          <w:rStyle w:val="FootnoteReference"/>
        </w:rPr>
        <w:footnoteRef/>
      </w:r>
      <w:r w:rsidRPr="00EF743D">
        <w:t xml:space="preserve"> </w:t>
      </w:r>
      <w:r w:rsidRPr="00EF743D">
        <w:rPr>
          <w:i/>
        </w:rPr>
        <w:t>Id.</w:t>
      </w:r>
      <w:r w:rsidRPr="00EF743D">
        <w:t xml:space="preserve"> at</w:t>
      </w:r>
      <w:r w:rsidRPr="00EF743D" w:rsidR="00084705">
        <w:t xml:space="preserve"> 3 (citing </w:t>
      </w:r>
      <w:r w:rsidRPr="00EF743D" w:rsidR="00084705">
        <w:rPr>
          <w:i/>
        </w:rPr>
        <w:t xml:space="preserve">Jefferson Radio Co., Inc. v. FCC, </w:t>
      </w:r>
      <w:r w:rsidRPr="00EF743D" w:rsidR="00084705">
        <w:t>340 F.2e 781 (1964)</w:t>
      </w:r>
      <w:r w:rsidRPr="00EF743D">
        <w:t>.</w:t>
      </w:r>
      <w:r w:rsidRPr="00EF743D" w:rsidR="005F07DA">
        <w:t xml:space="preserve">  </w:t>
      </w:r>
    </w:p>
  </w:footnote>
  <w:footnote w:id="12">
    <w:p w:rsidR="00D07A0F" w:rsidRPr="00EF743D" w14:paraId="54D5A34E" w14:textId="77777777">
      <w:pPr>
        <w:pStyle w:val="FootnoteText"/>
      </w:pPr>
      <w:r w:rsidRPr="00EF743D">
        <w:rPr>
          <w:rStyle w:val="FootnoteReference"/>
        </w:rPr>
        <w:footnoteRef/>
      </w:r>
      <w:r w:rsidRPr="00EF743D">
        <w:t xml:space="preserve"> </w:t>
      </w:r>
      <w:r w:rsidRPr="00EF743D" w:rsidR="001B34BE">
        <w:t xml:space="preserve">Opposition at </w:t>
      </w:r>
      <w:r w:rsidRPr="00EF743D" w:rsidR="00CF37DC">
        <w:t>2 and</w:t>
      </w:r>
      <w:r w:rsidRPr="00EF743D" w:rsidR="001B34BE">
        <w:t xml:space="preserve"> n.4, citing </w:t>
      </w:r>
      <w:r w:rsidRPr="00EF743D">
        <w:rPr>
          <w:i/>
        </w:rPr>
        <w:t>Policy Regarding Character Qualifications in Broadcast Licensing</w:t>
      </w:r>
      <w:r w:rsidRPr="00EF743D">
        <w:t xml:space="preserve">, 102 FCC 2d 1179, 1205, para. 48 (1986) (emphasis added) (citation omitted) (“We will not take cognizance of non-FCC related misconduct . . . </w:t>
      </w:r>
      <w:r w:rsidRPr="00EF743D">
        <w:rPr>
          <w:i/>
        </w:rPr>
        <w:t>unless it is adjudicated.</w:t>
      </w:r>
      <w:r w:rsidRPr="00EF743D">
        <w:t xml:space="preserve">  In this regard, </w:t>
      </w:r>
      <w:r w:rsidRPr="00EF743D">
        <w:rPr>
          <w:i/>
        </w:rPr>
        <w:t xml:space="preserve">there must be an ultimate adjudication </w:t>
      </w:r>
      <w:r w:rsidRPr="00EF743D">
        <w:t xml:space="preserve">by an appropriate trier of fact, either by a government agency or court, before we will consider the activity in our character determinations.”) </w:t>
      </w:r>
      <w:r w:rsidRPr="00EF743D" w:rsidR="00B35233">
        <w:t>(emphasis in original</w:t>
      </w:r>
      <w:r w:rsidRPr="00EF743D" w:rsidR="00503537">
        <w:rPr>
          <w:i/>
        </w:rPr>
        <w:t>)</w:t>
      </w:r>
      <w:r w:rsidRPr="00EF743D">
        <w:t>.</w:t>
      </w:r>
    </w:p>
  </w:footnote>
  <w:footnote w:id="13">
    <w:p w:rsidR="00D07A0F" w:rsidRPr="00EF743D" w14:paraId="22E6CB4B" w14:textId="77777777">
      <w:pPr>
        <w:pStyle w:val="FootnoteText"/>
      </w:pPr>
      <w:r w:rsidRPr="00EF743D">
        <w:rPr>
          <w:rStyle w:val="FootnoteReference"/>
        </w:rPr>
        <w:footnoteRef/>
      </w:r>
      <w:r w:rsidRPr="00EF743D">
        <w:t xml:space="preserve"> Opposition at 2.</w:t>
      </w:r>
    </w:p>
  </w:footnote>
  <w:footnote w:id="14">
    <w:p w:rsidR="00360156" w:rsidRPr="00EF743D" w14:paraId="0B11BB90" w14:textId="77777777">
      <w:pPr>
        <w:pStyle w:val="FootnoteText"/>
      </w:pPr>
      <w:r w:rsidRPr="00EF743D">
        <w:rPr>
          <w:rStyle w:val="FootnoteReference"/>
        </w:rPr>
        <w:footnoteRef/>
      </w:r>
      <w:r w:rsidRPr="00EF743D">
        <w:t xml:space="preserve"> </w:t>
      </w:r>
      <w:r w:rsidRPr="00EF743D" w:rsidR="003579DB">
        <w:t xml:space="preserve">Petitioners </w:t>
      </w:r>
      <w:r w:rsidRPr="00EF743D" w:rsidR="003579DB">
        <w:rPr>
          <w:szCs w:val="22"/>
        </w:rPr>
        <w:t xml:space="preserve">submit a December 17, 2018, press statement from the CBS Board of Directors in which CBS states that, after an internal investigation, it had determined that </w:t>
      </w:r>
      <w:r w:rsidRPr="00EF743D" w:rsidR="00C01DD9">
        <w:rPr>
          <w:szCs w:val="22"/>
        </w:rPr>
        <w:t>there are grounds</w:t>
      </w:r>
      <w:r w:rsidRPr="00EF743D" w:rsidR="004D4A60">
        <w:rPr>
          <w:szCs w:val="22"/>
        </w:rPr>
        <w:t xml:space="preserve"> to terminate Mr. </w:t>
      </w:r>
      <w:r w:rsidRPr="00EF743D" w:rsidR="003579DB">
        <w:rPr>
          <w:szCs w:val="22"/>
        </w:rPr>
        <w:t xml:space="preserve">Moonves </w:t>
      </w:r>
      <w:r w:rsidRPr="00EF743D" w:rsidR="004D4A60">
        <w:rPr>
          <w:szCs w:val="22"/>
        </w:rPr>
        <w:t>for cause</w:t>
      </w:r>
      <w:r w:rsidRPr="00EF743D" w:rsidR="003579DB">
        <w:rPr>
          <w:szCs w:val="22"/>
        </w:rPr>
        <w:t>.</w:t>
      </w:r>
      <w:r w:rsidRPr="00EF743D" w:rsidR="003C4E68">
        <w:rPr>
          <w:szCs w:val="22"/>
        </w:rPr>
        <w:t xml:space="preserve">  </w:t>
      </w:r>
      <w:r w:rsidRPr="00EF743D" w:rsidR="001F6122">
        <w:rPr>
          <w:szCs w:val="22"/>
        </w:rPr>
        <w:t xml:space="preserve">The report also summarizes findings regarding the company’s corporate culture, stating that “harassment and retaliation are not pervasive at CBS,” but “employees cited past incidents in which </w:t>
      </w:r>
      <w:r w:rsidRPr="00EF743D" w:rsidR="001F6122">
        <w:rPr>
          <w:rStyle w:val="cohl"/>
          <w:color w:val="000000"/>
          <w:shd w:val="clear" w:color="auto" w:fill="FFFFFF"/>
        </w:rPr>
        <w:t xml:space="preserve">HR and the Company did not hold high performers accountable for their conduct and protect employees from retaliation,”  </w:t>
      </w:r>
      <w:r w:rsidRPr="00EF743D" w:rsidR="003579DB">
        <w:rPr>
          <w:szCs w:val="22"/>
        </w:rPr>
        <w:t>Reply at Exhibit A.</w:t>
      </w:r>
    </w:p>
  </w:footnote>
  <w:footnote w:id="15">
    <w:p w:rsidR="000C2A29" w:rsidRPr="00EF743D" w:rsidP="000C2A29" w14:paraId="42554972" w14:textId="5A3C937E">
      <w:pPr>
        <w:pStyle w:val="FootnoteText"/>
      </w:pPr>
      <w:r w:rsidRPr="00EF743D">
        <w:rPr>
          <w:rStyle w:val="FootnoteReference"/>
        </w:rPr>
        <w:footnoteRef/>
      </w:r>
      <w:r w:rsidRPr="00EF743D">
        <w:t xml:space="preserve"> </w:t>
      </w:r>
      <w:r w:rsidRPr="00EF743D">
        <w:rPr>
          <w:i/>
        </w:rPr>
        <w:t xml:space="preserve">Id. </w:t>
      </w:r>
      <w:r w:rsidRPr="00EF743D">
        <w:t xml:space="preserve">at 2-3, citing </w:t>
      </w:r>
      <w:r w:rsidRPr="00EF743D">
        <w:rPr>
          <w:i/>
        </w:rPr>
        <w:t>Review of the Commission</w:t>
      </w:r>
      <w:r w:rsidRPr="00EF743D" w:rsidR="00E508D1">
        <w:rPr>
          <w:i/>
        </w:rPr>
        <w:t>’</w:t>
      </w:r>
      <w:r w:rsidRPr="00EF743D">
        <w:rPr>
          <w:i/>
        </w:rPr>
        <w:t>s Broadcast and Cable Equal Employment Opportunity Rules and Policies</w:t>
      </w:r>
      <w:r w:rsidRPr="00EF743D">
        <w:t xml:space="preserve">, </w:t>
      </w:r>
      <w:r w:rsidRPr="00EF743D">
        <w:rPr>
          <w:color w:val="212121"/>
        </w:rPr>
        <w:t>Second Report and Order and Third Notice of Proposed Rule Making,</w:t>
      </w:r>
      <w:r w:rsidRPr="00EF743D">
        <w:t xml:space="preserve"> 17 FCC Rcd 24018 (2002)</w:t>
      </w:r>
      <w:r w:rsidRPr="00EF743D" w:rsidR="00E508D1">
        <w:t xml:space="preserve"> (</w:t>
      </w:r>
      <w:r w:rsidRPr="00EF743D" w:rsidR="00E508D1">
        <w:rPr>
          <w:i/>
        </w:rPr>
        <w:t>Review of Commission’s EEO Policies</w:t>
      </w:r>
      <w:r w:rsidRPr="00EF743D" w:rsidR="00E508D1">
        <w:t xml:space="preserve"> </w:t>
      </w:r>
      <w:r w:rsidRPr="00EF743D" w:rsidR="00E508D1">
        <w:rPr>
          <w:i/>
        </w:rPr>
        <w:t>Second R&amp;O</w:t>
      </w:r>
      <w:r w:rsidRPr="00EF743D" w:rsidR="00E508D1">
        <w:t>)</w:t>
      </w:r>
      <w:r w:rsidRPr="00EF743D">
        <w:t xml:space="preserve"> and </w:t>
      </w:r>
      <w:r w:rsidRPr="00EF743D">
        <w:rPr>
          <w:i/>
        </w:rPr>
        <w:t>Petition for Rulemaking to Require Broadcast Licensees to Show Nondiscrimination in Their Employment Practices</w:t>
      </w:r>
      <w:r w:rsidRPr="00EF743D">
        <w:t>, Memorandum Opinion and Order and Notice of Proposed Rule Making, 13 FCC Rcd 766 (1968).</w:t>
      </w:r>
    </w:p>
  </w:footnote>
  <w:footnote w:id="16">
    <w:p w:rsidR="00FE2C6A" w:rsidRPr="00EF743D" w14:paraId="5CEF74DA" w14:textId="77777777">
      <w:pPr>
        <w:pStyle w:val="FootnoteText"/>
      </w:pPr>
      <w:r w:rsidRPr="00EF743D">
        <w:rPr>
          <w:rStyle w:val="FootnoteReference"/>
        </w:rPr>
        <w:footnoteRef/>
      </w:r>
      <w:bookmarkStart w:id="9" w:name="_Hlk5097862"/>
      <w:r w:rsidRPr="00EF743D">
        <w:t xml:space="preserve"> Reply at </w:t>
      </w:r>
      <w:r w:rsidRPr="00EF743D" w:rsidR="00507D36">
        <w:t>3-</w:t>
      </w:r>
      <w:r w:rsidRPr="00EF743D">
        <w:t>5</w:t>
      </w:r>
      <w:r w:rsidRPr="00EF743D" w:rsidR="00475D70">
        <w:t xml:space="preserve"> </w:t>
      </w:r>
      <w:r w:rsidRPr="00EF743D" w:rsidR="00507D36">
        <w:t xml:space="preserve">(citing </w:t>
      </w:r>
      <w:r w:rsidRPr="00EF743D" w:rsidR="00507D36">
        <w:rPr>
          <w:i/>
          <w:szCs w:val="22"/>
        </w:rPr>
        <w:t>Michigan Television Network, Inc.</w:t>
      </w:r>
      <w:r w:rsidRPr="00EF743D" w:rsidR="00507D36">
        <w:rPr>
          <w:szCs w:val="22"/>
        </w:rPr>
        <w:t xml:space="preserve">, 72 FCC 2d 732 (1979) and </w:t>
      </w:r>
      <w:r w:rsidRPr="00EF743D" w:rsidR="00507D36">
        <w:rPr>
          <w:i/>
          <w:szCs w:val="22"/>
        </w:rPr>
        <w:t>Seraphim Corporation</w:t>
      </w:r>
      <w:r w:rsidRPr="00EF743D" w:rsidR="00507D36">
        <w:rPr>
          <w:szCs w:val="22"/>
        </w:rPr>
        <w:t>, 2 FCC Rcd 7177 (1987))</w:t>
      </w:r>
      <w:r w:rsidRPr="00EF743D">
        <w:t>.</w:t>
      </w:r>
      <w:r w:rsidRPr="00EF743D" w:rsidR="00F5785B">
        <w:t xml:space="preserve">  Petitioners state that the Commission should</w:t>
      </w:r>
      <w:r w:rsidRPr="00EF743D" w:rsidR="00972F05">
        <w:t xml:space="preserve"> investigate whether the CBS Board of Directors adequately supervised Moonves and should</w:t>
      </w:r>
      <w:r w:rsidRPr="00EF743D" w:rsidR="00F5785B">
        <w:t xml:space="preserve"> “</w:t>
      </w:r>
      <w:r w:rsidRPr="00EF743D" w:rsidR="00F5785B">
        <w:rPr>
          <w:rStyle w:val="cohl"/>
          <w:color w:val="000000"/>
          <w:shd w:val="clear" w:color="auto" w:fill="FFFFFF"/>
        </w:rPr>
        <w:t xml:space="preserve">obtain and review the CBS Corporation investigation report before it can finalize its ruling that CBS Corporation and it radio subsidiaries had the basic character qualifications required by </w:t>
      </w:r>
      <w:r w:rsidRPr="00EF743D" w:rsidR="00F5785B">
        <w:rPr>
          <w:rStyle w:val="cohl"/>
          <w:i/>
          <w:color w:val="000000"/>
          <w:shd w:val="clear" w:color="auto" w:fill="FFFFFF"/>
        </w:rPr>
        <w:t>Jefferson Radio Co. Inc. v. FCC</w:t>
      </w:r>
      <w:r w:rsidRPr="00EF743D" w:rsidR="00F5785B">
        <w:rPr>
          <w:rStyle w:val="cohl"/>
          <w:color w:val="000000"/>
          <w:shd w:val="clear" w:color="auto" w:fill="FFFFFF"/>
        </w:rPr>
        <w:t>, 340 F.2d 781 ([D.C. Cir.] 1964).”  Reply at 3.</w:t>
      </w:r>
    </w:p>
    <w:bookmarkEnd w:id="9"/>
  </w:footnote>
  <w:footnote w:id="17">
    <w:p w:rsidR="00ED6B53" w:rsidRPr="00EF743D" w:rsidP="001905CF" w14:paraId="6962B240" w14:textId="77777777">
      <w:pPr>
        <w:pStyle w:val="FootnoteText"/>
      </w:pPr>
      <w:r w:rsidRPr="00EF743D">
        <w:rPr>
          <w:rStyle w:val="FootnoteReference"/>
        </w:rPr>
        <w:footnoteRef/>
      </w:r>
      <w:r w:rsidRPr="00EF743D">
        <w:t xml:space="preserve"> </w:t>
      </w:r>
      <w:r w:rsidRPr="00EF743D">
        <w:rPr>
          <w:i/>
        </w:rPr>
        <w:t>See</w:t>
      </w:r>
      <w:r w:rsidRPr="00EF743D">
        <w:t xml:space="preserve"> </w:t>
      </w:r>
      <w:r w:rsidRPr="00EF743D">
        <w:rPr>
          <w:i/>
        </w:rPr>
        <w:t>Great Lakes Broadcast Academy, Inc.</w:t>
      </w:r>
      <w:r w:rsidRPr="00EF743D">
        <w:t xml:space="preserve">, Memorandum Opinion and Order, 19 FCC Rcd 11655, 11656, para. 5 (2004) (observing that “neither [the Communications Act of 1934, as amended, nor the Commission’s rules] provides for the filing of a second petition for reconsideration should the original petition be denied” and that “[i]f the ‘tacking’ of petitions were permitted, Commission actions might never become final and the rule would become nugatory”) (citing </w:t>
      </w:r>
      <w:r w:rsidRPr="00EF743D">
        <w:rPr>
          <w:i/>
        </w:rPr>
        <w:t>Brainerd Broadcasting Co.</w:t>
      </w:r>
      <w:r w:rsidRPr="00EF743D">
        <w:t>, 25 RR 297, 298 (1963)).</w:t>
      </w:r>
      <w:r w:rsidRPr="00EF743D" w:rsidR="00D912C1">
        <w:t xml:space="preserve">  </w:t>
      </w:r>
      <w:r w:rsidRPr="00EF743D" w:rsidR="00A91D2E">
        <w:t>section</w:t>
      </w:r>
      <w:r w:rsidRPr="00EF743D" w:rsidR="00D912C1">
        <w:t xml:space="preserve"> 1.106(b)(2) of the Rules specifies </w:t>
      </w:r>
      <w:r w:rsidRPr="00EF743D" w:rsidR="00B82CA6">
        <w:t>s</w:t>
      </w:r>
      <w:r w:rsidRPr="00EF743D" w:rsidR="00D912C1">
        <w:t>uch a petition for reconsideration will be entertained only if the petition:  (i) relies on facts or arguments which relate to events which have occurred or circumstances which have changed since the last opportunity to present such matters to the Commission; and/or (ii) relies on facts or arguments unknown to petitioner until after his last opportunity to present them to the Commission, and he could not through the exercise of ordinary diligence have learned of the facts or arguments in question prior to such opportunity.  47 CFR § 1.106(b)(2).</w:t>
      </w:r>
    </w:p>
  </w:footnote>
  <w:footnote w:id="18">
    <w:p w:rsidR="001521B7" w:rsidRPr="00EF743D" w14:paraId="0A5D200A" w14:textId="77777777">
      <w:pPr>
        <w:pStyle w:val="FootnoteText"/>
      </w:pPr>
      <w:r w:rsidRPr="00EF743D">
        <w:rPr>
          <w:rStyle w:val="FootnoteReference"/>
        </w:rPr>
        <w:footnoteRef/>
      </w:r>
      <w:r w:rsidRPr="00EF743D" w:rsidR="00B82CA6">
        <w:rPr>
          <w:i/>
        </w:rPr>
        <w:t>See, e.g., AFR Order</w:t>
      </w:r>
      <w:r w:rsidRPr="00EF743D" w:rsidR="00B82CA6">
        <w:t xml:space="preserve"> at 3, para. 5 (citations omitted) (“Stolz notably does not allege that the purported improper actions occurred at a CBSR radio station subject to the transaction.  Rather, he asserts that his unadjudicated, unsubstantiated, and conclusory news distortion claim against CBS’s </w:t>
      </w:r>
      <w:r w:rsidRPr="00EF743D" w:rsidR="00B82CA6">
        <w:rPr>
          <w:i/>
        </w:rPr>
        <w:t>television</w:t>
      </w:r>
      <w:r w:rsidRPr="00EF743D" w:rsidR="00B82CA6">
        <w:t xml:space="preserve"> stations presents sufficient circumstances to investigate CBSR’s qualifications to be a Commission licensee.  We disagree.  Under established Commission policy, there is ’no presumption that misconduct at one station is necessarily predictive of the operation of the other stations.’”); </w:t>
      </w:r>
      <w:r w:rsidRPr="00EF743D" w:rsidR="00B82CA6">
        <w:rPr>
          <w:i/>
        </w:rPr>
        <w:t>see also Serafyn v. FCC</w:t>
      </w:r>
      <w:r w:rsidRPr="00EF743D" w:rsidR="00B82CA6">
        <w:t xml:space="preserve">, 149 F.3d 1213, 1216-17 (D.C. Cir. 1998).  </w:t>
      </w:r>
    </w:p>
  </w:footnote>
  <w:footnote w:id="19">
    <w:p w:rsidR="00ED1C94" w:rsidRPr="00952C6F" w:rsidP="00ED1C94" w14:paraId="39880908" w14:textId="7D400074">
      <w:pPr>
        <w:pStyle w:val="FootnoteText"/>
      </w:pPr>
      <w:r>
        <w:rPr>
          <w:rStyle w:val="FootnoteReference"/>
        </w:rPr>
        <w:footnoteRef/>
      </w:r>
      <w:r>
        <w:t xml:space="preserve"> </w:t>
      </w:r>
      <w:r>
        <w:rPr>
          <w:i/>
        </w:rPr>
        <w:t>Character Policy Statement</w:t>
      </w:r>
      <w:r>
        <w:t xml:space="preserve">, </w:t>
      </w:r>
      <w:r w:rsidRPr="003A5DC0">
        <w:t>102 FCC 2d</w:t>
      </w:r>
      <w:r>
        <w:t xml:space="preserve"> at 1218-1220. paras. 79-80 </w:t>
      </w:r>
      <w:r w:rsidR="002302A6">
        <w:t>(</w:t>
      </w:r>
      <w:r w:rsidRPr="00EF743D">
        <w:t>there must be a “close ongoing relationship” between the parent and subsidiary,</w:t>
      </w:r>
      <w:r>
        <w:t xml:space="preserve"> </w:t>
      </w:r>
      <w:r w:rsidRPr="00EF743D">
        <w:t>with common principals “actively involved in the day-to-day operations” of the licensee;</w:t>
      </w:r>
      <w:r>
        <w:t xml:space="preserve"> (the parent company officer or director “must actually </w:t>
      </w:r>
      <w:r w:rsidRPr="00902526">
        <w:t>be involved in some fashion in the day-to-day operations of the broadcast subsidiary.</w:t>
      </w:r>
      <w:r>
        <w:t xml:space="preserve">”); </w:t>
      </w:r>
      <w:r w:rsidRPr="00EF743D">
        <w:rPr>
          <w:i/>
        </w:rPr>
        <w:t>id.</w:t>
      </w:r>
      <w:r w:rsidRPr="00EF743D">
        <w:t xml:space="preserve"> at 1227-28, para. 102 (Commission also examines mitigating factors, including remedial measures already undertaken)</w:t>
      </w:r>
      <w:r>
        <w:t xml:space="preserve">.  Petitioners chose not to examined the many factors discussed in the </w:t>
      </w:r>
      <w:r>
        <w:rPr>
          <w:i/>
        </w:rPr>
        <w:t>Character Policy Statement</w:t>
      </w:r>
      <w:r>
        <w:t xml:space="preserve"> and how they would apply to the character analysis, such as whether there are common officers and directors between CBS and the licensees; whether the alleged misconduct extended to the licensees; the extent to which principals at CBS were involved in the day-to-day operations of the licensees;</w:t>
      </w:r>
      <w:r w:rsidRPr="001E6F0A">
        <w:t xml:space="preserve"> </w:t>
      </w:r>
      <w:r w:rsidRPr="00EF743D">
        <w:t>or the adequacy</w:t>
      </w:r>
      <w:r>
        <w:t xml:space="preserve"> o</w:t>
      </w:r>
      <w:r w:rsidRPr="00EF743D">
        <w:t xml:space="preserve">f the remedial action </w:t>
      </w:r>
      <w:r w:rsidRPr="00952C6F">
        <w:t>CBS took in response to findings of its internal investigation</w:t>
      </w:r>
      <w:r>
        <w:t>.</w:t>
      </w:r>
    </w:p>
  </w:footnote>
  <w:footnote w:id="20">
    <w:p w:rsidR="00902526" w:rsidRPr="00EF743D" w14:paraId="08CA6870" w14:textId="77777777">
      <w:pPr>
        <w:pStyle w:val="FootnoteText"/>
      </w:pPr>
      <w:r w:rsidRPr="00EF743D">
        <w:rPr>
          <w:rStyle w:val="FootnoteReference"/>
        </w:rPr>
        <w:footnoteRef/>
      </w:r>
      <w:r w:rsidRPr="00EF743D">
        <w:t xml:space="preserve"> </w:t>
      </w:r>
      <w:r w:rsidRPr="00EF743D">
        <w:rPr>
          <w:i/>
        </w:rPr>
        <w:t>Id</w:t>
      </w:r>
      <w:r w:rsidRPr="00EF743D">
        <w:t xml:space="preserve">. at 1217, </w:t>
      </w:r>
      <w:r w:rsidRPr="00EF743D" w:rsidR="00441587">
        <w:t>n.91</w:t>
      </w:r>
      <w:r w:rsidRPr="00EF743D">
        <w:t xml:space="preserve">, </w:t>
      </w:r>
      <w:r w:rsidRPr="00EF743D">
        <w:rPr>
          <w:i/>
        </w:rPr>
        <w:t>citing</w:t>
      </w:r>
      <w:r w:rsidRPr="00EF743D">
        <w:t xml:space="preserve"> </w:t>
      </w:r>
      <w:r w:rsidRPr="00EF743D" w:rsidR="00441587">
        <w:rPr>
          <w:i/>
        </w:rPr>
        <w:t>RKO General, Inc. v. FCC</w:t>
      </w:r>
      <w:r w:rsidRPr="00EF743D" w:rsidR="00441587">
        <w:t>, 670 F.2d 215, 227, n.33 (D.C.Cir.1981), cert. denied, 456 U.S. 927 (1982)</w:t>
      </w:r>
      <w:r w:rsidRPr="00EF743D">
        <w:t xml:space="preserve"> </w:t>
      </w:r>
      <w:r w:rsidRPr="00EF743D" w:rsidR="00441587">
        <w:t>(“</w:t>
      </w:r>
      <w:r w:rsidRPr="00EF743D">
        <w:t xml:space="preserve">It is, however, the case that </w:t>
      </w:r>
      <w:r w:rsidRPr="00EF743D" w:rsidR="00441587">
        <w:t>‘</w:t>
      </w:r>
      <w:r w:rsidRPr="00EF743D">
        <w:t>corporate misconduct often can be cured by replacing management and directors</w:t>
      </w:r>
      <w:r w:rsidRPr="00EF743D" w:rsidR="00441587">
        <w:t>’”).</w:t>
      </w:r>
    </w:p>
  </w:footnote>
  <w:footnote w:id="21">
    <w:p w:rsidR="00144BB9" w:rsidRPr="00EF743D" w14:paraId="581533D4" w14:textId="77777777">
      <w:pPr>
        <w:pStyle w:val="FootnoteText"/>
      </w:pPr>
      <w:r w:rsidRPr="00EF743D">
        <w:rPr>
          <w:rStyle w:val="FootnoteReference"/>
        </w:rPr>
        <w:footnoteRef/>
      </w:r>
      <w:r w:rsidRPr="00EF743D">
        <w:t xml:space="preserve"> </w:t>
      </w:r>
      <w:r w:rsidRPr="00EF743D">
        <w:rPr>
          <w:i/>
        </w:rPr>
        <w:t>See</w:t>
      </w:r>
      <w:r w:rsidRPr="00EF743D">
        <w:t xml:space="preserve"> 47 CFR § 1.106</w:t>
      </w:r>
      <w:r w:rsidRPr="00EF743D" w:rsidR="00D55675">
        <w:t>(b)(2)</w:t>
      </w:r>
      <w:r w:rsidRPr="00EF743D">
        <w:t>.</w:t>
      </w:r>
    </w:p>
  </w:footnote>
  <w:footnote w:id="22">
    <w:p w:rsidR="005A758A" w:rsidRPr="00EF743D" w:rsidP="005A758A" w14:paraId="40722D1F" w14:textId="1588C54D">
      <w:pPr>
        <w:pStyle w:val="FootnoteText"/>
      </w:pPr>
      <w:r w:rsidRPr="00EF743D">
        <w:rPr>
          <w:rStyle w:val="FootnoteReference"/>
        </w:rPr>
        <w:footnoteRef/>
      </w:r>
      <w:r w:rsidRPr="00EF743D">
        <w:t xml:space="preserve"> 47 CFR §§ 1.106(p)</w:t>
      </w:r>
      <w:r w:rsidRPr="00EF743D" w:rsidR="007A093B">
        <w:t xml:space="preserve"> (“petitions for reconsideration of a Commission action that plainly do not warrant consideration by the Commission may be dismissed or denied by the relevant bureau</w:t>
      </w:r>
      <w:r w:rsidR="00833E6C">
        <w:t>…</w:t>
      </w:r>
      <w:r w:rsidRPr="00EF743D" w:rsidR="007A093B">
        <w:t xml:space="preserve">Examples </w:t>
      </w:r>
      <w:r w:rsidRPr="00EF743D" w:rsidR="007A093B">
        <w:t>include, but are not limited to”); 1.106(p)</w:t>
      </w:r>
      <w:r w:rsidRPr="00EF743D">
        <w:t>(1) (failure to identify any material error, omission or reason warranting reconsideration).</w:t>
      </w:r>
    </w:p>
  </w:footnote>
  <w:footnote w:id="23">
    <w:p w:rsidR="00EF20FF" w:rsidRPr="00EF743D" w:rsidP="00116A29" w14:paraId="037A1439" w14:textId="77777777">
      <w:pPr>
        <w:pStyle w:val="FootnoteText"/>
      </w:pPr>
      <w:r w:rsidRPr="00EF743D">
        <w:rPr>
          <w:rStyle w:val="FootnoteReference"/>
        </w:rPr>
        <w:footnoteRef/>
      </w:r>
      <w:r w:rsidRPr="00EF743D">
        <w:t xml:space="preserve"> </w:t>
      </w:r>
      <w:hyperlink r:id="rId2" w:anchor="co_pp_a83c0000180e0" w:history="1">
        <w:r w:rsidRPr="00EF743D">
          <w:t>47 U.S.C. § 405(a)</w:t>
        </w:r>
      </w:hyperlink>
      <w:r w:rsidRPr="00EF743D" w:rsidR="00A64135">
        <w:t>.</w:t>
      </w:r>
    </w:p>
  </w:footnote>
  <w:footnote w:id="24">
    <w:p w:rsidR="00EF20FF" w:rsidRPr="00EF743D" w:rsidP="00116A29" w14:paraId="7D6674B1" w14:textId="77777777">
      <w:pPr>
        <w:pStyle w:val="FootnoteText"/>
      </w:pPr>
      <w:r w:rsidRPr="00EF743D">
        <w:rPr>
          <w:rStyle w:val="FootnoteReference"/>
        </w:rPr>
        <w:footnoteRef/>
      </w:r>
      <w:r w:rsidRPr="00EF743D">
        <w:t xml:space="preserve"> </w:t>
      </w:r>
      <w:hyperlink r:id="rId3" w:anchor="co_pp_16f4000091d86" w:history="1">
        <w:r w:rsidRPr="00EF743D">
          <w:t>47 CFR § 1.106</w:t>
        </w:r>
      </w:hyperlink>
      <w:r w:rsidRPr="00EF743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E3670C" w:rsidP="00B35991" w14:paraId="1D2019A2" w14:textId="1651D44E">
    <w:pPr>
      <w:pStyle w:val="Header"/>
    </w:pPr>
    <w:r w:rsidRPr="00E3670C">
      <w:tab/>
      <w:t>Federal Communications Commission</w:t>
    </w:r>
    <w:r w:rsidRPr="00E3670C">
      <w:tab/>
    </w:r>
    <w:r w:rsidRPr="00E3670C" w:rsidR="00E85483">
      <w:t>FCC 1</w:t>
    </w:r>
    <w:r w:rsidRPr="00E3670C" w:rsidR="004A36D5">
      <w:t>9</w:t>
    </w:r>
    <w:r w:rsidRPr="00E3670C" w:rsidR="00E85483">
      <w:t>-</w:t>
    </w:r>
    <w:r w:rsidR="009B3031">
      <w:t>61</w:t>
    </w:r>
  </w:p>
  <w:p w:rsidR="00D25FB5" w:rsidRPr="00E3670C" w14:paraId="73842E45" w14:textId="77777777">
    <w:pPr>
      <w:tabs>
        <w:tab w:val="left" w:pos="-720"/>
      </w:tabs>
      <w:suppressAutoHyphens/>
      <w:spacing w:line="19" w:lineRule="exact"/>
      <w:rPr>
        <w:spacing w:val="-2"/>
      </w:rPr>
    </w:pPr>
    <w:r w:rsidRPr="00E3670C">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rsidRPr="00E3670C" w14:paraId="30F005C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E3670C" w:rsidP="00B35991" w14:paraId="671009E6" w14:textId="7998B662">
    <w:pPr>
      <w:pStyle w:val="Header"/>
    </w:pPr>
    <w:r w:rsidRPr="00E3670C">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E3670C">
      <w:tab/>
      <w:t>Federal Communications Commission</w:t>
    </w:r>
    <w:r w:rsidRPr="00E3670C">
      <w:tab/>
    </w:r>
    <w:r w:rsidRPr="00E3670C" w:rsidR="00E85483">
      <w:rPr>
        <w:spacing w:val="-2"/>
      </w:rPr>
      <w:t>FCC 1</w:t>
    </w:r>
    <w:r w:rsidRPr="00E3670C" w:rsidR="004A36D5">
      <w:rPr>
        <w:spacing w:val="-2"/>
      </w:rPr>
      <w:t>9</w:t>
    </w:r>
    <w:r w:rsidRPr="00E3670C" w:rsidR="00E85483">
      <w:rPr>
        <w:spacing w:val="-2"/>
      </w:rPr>
      <w:t>-</w:t>
    </w:r>
    <w:r w:rsidR="009B3031">
      <w:rPr>
        <w:spacing w:val="-2"/>
      </w:rPr>
      <w:t>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FF"/>
    <w:rsid w:val="0000416D"/>
    <w:rsid w:val="00006DB0"/>
    <w:rsid w:val="00007473"/>
    <w:rsid w:val="0001217C"/>
    <w:rsid w:val="00014E3A"/>
    <w:rsid w:val="00017C26"/>
    <w:rsid w:val="00032066"/>
    <w:rsid w:val="00036039"/>
    <w:rsid w:val="00037F90"/>
    <w:rsid w:val="00043FC6"/>
    <w:rsid w:val="0005082F"/>
    <w:rsid w:val="00063CEA"/>
    <w:rsid w:val="00065D5A"/>
    <w:rsid w:val="000671A0"/>
    <w:rsid w:val="00076B17"/>
    <w:rsid w:val="00077E9E"/>
    <w:rsid w:val="00081D24"/>
    <w:rsid w:val="00081EDC"/>
    <w:rsid w:val="00083084"/>
    <w:rsid w:val="00084705"/>
    <w:rsid w:val="000875BF"/>
    <w:rsid w:val="00087C6F"/>
    <w:rsid w:val="00096487"/>
    <w:rsid w:val="00096D8C"/>
    <w:rsid w:val="00097EAF"/>
    <w:rsid w:val="000A0470"/>
    <w:rsid w:val="000A3F45"/>
    <w:rsid w:val="000A6F12"/>
    <w:rsid w:val="000B7FAE"/>
    <w:rsid w:val="000C0B65"/>
    <w:rsid w:val="000C2A29"/>
    <w:rsid w:val="000C6AA9"/>
    <w:rsid w:val="000D268C"/>
    <w:rsid w:val="000D4E6D"/>
    <w:rsid w:val="000E05FE"/>
    <w:rsid w:val="000E326C"/>
    <w:rsid w:val="000E3D42"/>
    <w:rsid w:val="000F7FCB"/>
    <w:rsid w:val="001146C1"/>
    <w:rsid w:val="001155F9"/>
    <w:rsid w:val="00116A29"/>
    <w:rsid w:val="00121DCD"/>
    <w:rsid w:val="00122BD5"/>
    <w:rsid w:val="00123534"/>
    <w:rsid w:val="0012619C"/>
    <w:rsid w:val="00133F79"/>
    <w:rsid w:val="0014382C"/>
    <w:rsid w:val="00144BB9"/>
    <w:rsid w:val="00151083"/>
    <w:rsid w:val="001521B7"/>
    <w:rsid w:val="00152BD0"/>
    <w:rsid w:val="001639DB"/>
    <w:rsid w:val="001663DD"/>
    <w:rsid w:val="00170717"/>
    <w:rsid w:val="0017252E"/>
    <w:rsid w:val="0017296B"/>
    <w:rsid w:val="001731FF"/>
    <w:rsid w:val="00175D4D"/>
    <w:rsid w:val="00181EAA"/>
    <w:rsid w:val="00182077"/>
    <w:rsid w:val="00185E1B"/>
    <w:rsid w:val="00190123"/>
    <w:rsid w:val="00190328"/>
    <w:rsid w:val="001905CF"/>
    <w:rsid w:val="0019354B"/>
    <w:rsid w:val="00194A66"/>
    <w:rsid w:val="00195B45"/>
    <w:rsid w:val="00197A32"/>
    <w:rsid w:val="001A17A9"/>
    <w:rsid w:val="001A420D"/>
    <w:rsid w:val="001A79E4"/>
    <w:rsid w:val="001B34BE"/>
    <w:rsid w:val="001B4883"/>
    <w:rsid w:val="001B561B"/>
    <w:rsid w:val="001B60D4"/>
    <w:rsid w:val="001B7CA0"/>
    <w:rsid w:val="001C0A62"/>
    <w:rsid w:val="001C641F"/>
    <w:rsid w:val="001C6C81"/>
    <w:rsid w:val="001D6BCF"/>
    <w:rsid w:val="001E01CA"/>
    <w:rsid w:val="001E4CE8"/>
    <w:rsid w:val="001E5F24"/>
    <w:rsid w:val="001E6F0A"/>
    <w:rsid w:val="001F26B2"/>
    <w:rsid w:val="001F2B98"/>
    <w:rsid w:val="001F44E5"/>
    <w:rsid w:val="001F6122"/>
    <w:rsid w:val="001F626D"/>
    <w:rsid w:val="001F6379"/>
    <w:rsid w:val="001F76D4"/>
    <w:rsid w:val="00200176"/>
    <w:rsid w:val="00200F7C"/>
    <w:rsid w:val="00202C0B"/>
    <w:rsid w:val="002038DD"/>
    <w:rsid w:val="00205361"/>
    <w:rsid w:val="0021060F"/>
    <w:rsid w:val="00214ACF"/>
    <w:rsid w:val="0021597F"/>
    <w:rsid w:val="00222585"/>
    <w:rsid w:val="00227961"/>
    <w:rsid w:val="002302A6"/>
    <w:rsid w:val="002325DB"/>
    <w:rsid w:val="00241419"/>
    <w:rsid w:val="002414D0"/>
    <w:rsid w:val="00252D6D"/>
    <w:rsid w:val="00256CBE"/>
    <w:rsid w:val="00257883"/>
    <w:rsid w:val="00266520"/>
    <w:rsid w:val="00275CF5"/>
    <w:rsid w:val="002766DE"/>
    <w:rsid w:val="0028301F"/>
    <w:rsid w:val="00283346"/>
    <w:rsid w:val="00285017"/>
    <w:rsid w:val="00293661"/>
    <w:rsid w:val="002A2D2E"/>
    <w:rsid w:val="002A4313"/>
    <w:rsid w:val="002B175F"/>
    <w:rsid w:val="002B6CE6"/>
    <w:rsid w:val="002C00E8"/>
    <w:rsid w:val="002C120E"/>
    <w:rsid w:val="002C273D"/>
    <w:rsid w:val="002C6BBF"/>
    <w:rsid w:val="002C726D"/>
    <w:rsid w:val="002D6244"/>
    <w:rsid w:val="002D6A50"/>
    <w:rsid w:val="002E0A4A"/>
    <w:rsid w:val="002E119D"/>
    <w:rsid w:val="002E6FB6"/>
    <w:rsid w:val="002F219F"/>
    <w:rsid w:val="00300A33"/>
    <w:rsid w:val="0030116E"/>
    <w:rsid w:val="00305062"/>
    <w:rsid w:val="003209BA"/>
    <w:rsid w:val="00321C16"/>
    <w:rsid w:val="00322C30"/>
    <w:rsid w:val="003256F2"/>
    <w:rsid w:val="0033052E"/>
    <w:rsid w:val="00340FD2"/>
    <w:rsid w:val="00343749"/>
    <w:rsid w:val="003579DB"/>
    <w:rsid w:val="00360156"/>
    <w:rsid w:val="003607D2"/>
    <w:rsid w:val="00361827"/>
    <w:rsid w:val="00365276"/>
    <w:rsid w:val="003660ED"/>
    <w:rsid w:val="00371A24"/>
    <w:rsid w:val="00371B09"/>
    <w:rsid w:val="00375513"/>
    <w:rsid w:val="00395CE8"/>
    <w:rsid w:val="00397AB9"/>
    <w:rsid w:val="003A142A"/>
    <w:rsid w:val="003A3908"/>
    <w:rsid w:val="003A5DC0"/>
    <w:rsid w:val="003A68BD"/>
    <w:rsid w:val="003A7633"/>
    <w:rsid w:val="003B0550"/>
    <w:rsid w:val="003B66C6"/>
    <w:rsid w:val="003B694F"/>
    <w:rsid w:val="003C4E68"/>
    <w:rsid w:val="003C5FBB"/>
    <w:rsid w:val="003D296B"/>
    <w:rsid w:val="003D6431"/>
    <w:rsid w:val="003E01E1"/>
    <w:rsid w:val="003E6A08"/>
    <w:rsid w:val="003E7213"/>
    <w:rsid w:val="003E771B"/>
    <w:rsid w:val="003F0C06"/>
    <w:rsid w:val="003F171C"/>
    <w:rsid w:val="003F27E8"/>
    <w:rsid w:val="003F3F90"/>
    <w:rsid w:val="003F7DFF"/>
    <w:rsid w:val="0041119B"/>
    <w:rsid w:val="00412238"/>
    <w:rsid w:val="00412FC5"/>
    <w:rsid w:val="00420C92"/>
    <w:rsid w:val="00422276"/>
    <w:rsid w:val="00422803"/>
    <w:rsid w:val="004242F1"/>
    <w:rsid w:val="00430223"/>
    <w:rsid w:val="00435145"/>
    <w:rsid w:val="00441587"/>
    <w:rsid w:val="00445A00"/>
    <w:rsid w:val="00451B0F"/>
    <w:rsid w:val="00453BA6"/>
    <w:rsid w:val="004561A2"/>
    <w:rsid w:val="0046498F"/>
    <w:rsid w:val="00464ED4"/>
    <w:rsid w:val="00467D0D"/>
    <w:rsid w:val="00471FC8"/>
    <w:rsid w:val="00475D70"/>
    <w:rsid w:val="004831BD"/>
    <w:rsid w:val="00485640"/>
    <w:rsid w:val="00487DA2"/>
    <w:rsid w:val="00497D04"/>
    <w:rsid w:val="004A1D31"/>
    <w:rsid w:val="004A36D5"/>
    <w:rsid w:val="004A6735"/>
    <w:rsid w:val="004A7748"/>
    <w:rsid w:val="004B0C18"/>
    <w:rsid w:val="004B78B0"/>
    <w:rsid w:val="004C2EE3"/>
    <w:rsid w:val="004D4A60"/>
    <w:rsid w:val="004E4A22"/>
    <w:rsid w:val="004E5406"/>
    <w:rsid w:val="004F05CC"/>
    <w:rsid w:val="004F5255"/>
    <w:rsid w:val="00503537"/>
    <w:rsid w:val="00507D36"/>
    <w:rsid w:val="00511968"/>
    <w:rsid w:val="00515D1A"/>
    <w:rsid w:val="00515DDB"/>
    <w:rsid w:val="00521BB6"/>
    <w:rsid w:val="005231EB"/>
    <w:rsid w:val="005348D9"/>
    <w:rsid w:val="0055614C"/>
    <w:rsid w:val="005611BD"/>
    <w:rsid w:val="00562968"/>
    <w:rsid w:val="0056359B"/>
    <w:rsid w:val="00565B2A"/>
    <w:rsid w:val="00566D06"/>
    <w:rsid w:val="00572827"/>
    <w:rsid w:val="00572A21"/>
    <w:rsid w:val="0058052D"/>
    <w:rsid w:val="00581814"/>
    <w:rsid w:val="00584CC6"/>
    <w:rsid w:val="00586570"/>
    <w:rsid w:val="0058747B"/>
    <w:rsid w:val="005977FF"/>
    <w:rsid w:val="00597B3B"/>
    <w:rsid w:val="005A01DB"/>
    <w:rsid w:val="005A1A45"/>
    <w:rsid w:val="005A5B39"/>
    <w:rsid w:val="005A758A"/>
    <w:rsid w:val="005B0031"/>
    <w:rsid w:val="005B4CB9"/>
    <w:rsid w:val="005C5B35"/>
    <w:rsid w:val="005D3811"/>
    <w:rsid w:val="005D49A2"/>
    <w:rsid w:val="005D4B23"/>
    <w:rsid w:val="005E14C2"/>
    <w:rsid w:val="005E4ED0"/>
    <w:rsid w:val="005E7C5D"/>
    <w:rsid w:val="005F07DA"/>
    <w:rsid w:val="005F2276"/>
    <w:rsid w:val="005F7735"/>
    <w:rsid w:val="00601963"/>
    <w:rsid w:val="00602AE4"/>
    <w:rsid w:val="006054CB"/>
    <w:rsid w:val="00606D23"/>
    <w:rsid w:val="00607BA5"/>
    <w:rsid w:val="00610C27"/>
    <w:rsid w:val="0061180A"/>
    <w:rsid w:val="00613C29"/>
    <w:rsid w:val="00613E96"/>
    <w:rsid w:val="00614D30"/>
    <w:rsid w:val="00622840"/>
    <w:rsid w:val="0062691F"/>
    <w:rsid w:val="00626EB6"/>
    <w:rsid w:val="00627AEC"/>
    <w:rsid w:val="00631B08"/>
    <w:rsid w:val="00635B87"/>
    <w:rsid w:val="00636968"/>
    <w:rsid w:val="00645ED0"/>
    <w:rsid w:val="006519F2"/>
    <w:rsid w:val="00653AAA"/>
    <w:rsid w:val="00655D03"/>
    <w:rsid w:val="00663D5F"/>
    <w:rsid w:val="006753EC"/>
    <w:rsid w:val="0067710B"/>
    <w:rsid w:val="006816D0"/>
    <w:rsid w:val="00683388"/>
    <w:rsid w:val="00683F84"/>
    <w:rsid w:val="00686DB5"/>
    <w:rsid w:val="00690644"/>
    <w:rsid w:val="00693E35"/>
    <w:rsid w:val="00694D1A"/>
    <w:rsid w:val="006A173E"/>
    <w:rsid w:val="006A1D68"/>
    <w:rsid w:val="006A6A81"/>
    <w:rsid w:val="006B0C6E"/>
    <w:rsid w:val="006B7024"/>
    <w:rsid w:val="006C0E57"/>
    <w:rsid w:val="006C2A06"/>
    <w:rsid w:val="006C2B67"/>
    <w:rsid w:val="006C31B1"/>
    <w:rsid w:val="006C7290"/>
    <w:rsid w:val="006F7393"/>
    <w:rsid w:val="0070224F"/>
    <w:rsid w:val="007032F9"/>
    <w:rsid w:val="007037DB"/>
    <w:rsid w:val="007102B7"/>
    <w:rsid w:val="007115F7"/>
    <w:rsid w:val="0071333B"/>
    <w:rsid w:val="00723C23"/>
    <w:rsid w:val="00726D6E"/>
    <w:rsid w:val="00733F9F"/>
    <w:rsid w:val="00735426"/>
    <w:rsid w:val="0073564A"/>
    <w:rsid w:val="00753C88"/>
    <w:rsid w:val="00761260"/>
    <w:rsid w:val="00764AA9"/>
    <w:rsid w:val="00773779"/>
    <w:rsid w:val="00776B2A"/>
    <w:rsid w:val="0077726C"/>
    <w:rsid w:val="00785689"/>
    <w:rsid w:val="00790E46"/>
    <w:rsid w:val="00793697"/>
    <w:rsid w:val="007959F4"/>
    <w:rsid w:val="0079754B"/>
    <w:rsid w:val="007A093B"/>
    <w:rsid w:val="007A1E6D"/>
    <w:rsid w:val="007A551D"/>
    <w:rsid w:val="007B0265"/>
    <w:rsid w:val="007B0E30"/>
    <w:rsid w:val="007B0EB2"/>
    <w:rsid w:val="007B15AE"/>
    <w:rsid w:val="007B57CF"/>
    <w:rsid w:val="007C4147"/>
    <w:rsid w:val="007D1CD7"/>
    <w:rsid w:val="007D548D"/>
    <w:rsid w:val="007E0CAF"/>
    <w:rsid w:val="007E530B"/>
    <w:rsid w:val="007F12FF"/>
    <w:rsid w:val="007F261D"/>
    <w:rsid w:val="00810B6F"/>
    <w:rsid w:val="00812BD2"/>
    <w:rsid w:val="00822CE0"/>
    <w:rsid w:val="008266B5"/>
    <w:rsid w:val="0083146E"/>
    <w:rsid w:val="00833B2D"/>
    <w:rsid w:val="00833E6C"/>
    <w:rsid w:val="008413AA"/>
    <w:rsid w:val="00841AB1"/>
    <w:rsid w:val="00843905"/>
    <w:rsid w:val="00855FF0"/>
    <w:rsid w:val="00857476"/>
    <w:rsid w:val="008600EC"/>
    <w:rsid w:val="00866EC8"/>
    <w:rsid w:val="008726AC"/>
    <w:rsid w:val="0087406F"/>
    <w:rsid w:val="00882A32"/>
    <w:rsid w:val="00886714"/>
    <w:rsid w:val="008947B9"/>
    <w:rsid w:val="00894DF9"/>
    <w:rsid w:val="008A0CD5"/>
    <w:rsid w:val="008A332E"/>
    <w:rsid w:val="008B0A5D"/>
    <w:rsid w:val="008B11D6"/>
    <w:rsid w:val="008B11F1"/>
    <w:rsid w:val="008C1889"/>
    <w:rsid w:val="008C68F1"/>
    <w:rsid w:val="008E0C5E"/>
    <w:rsid w:val="00902526"/>
    <w:rsid w:val="00905D1A"/>
    <w:rsid w:val="00910B7F"/>
    <w:rsid w:val="00911971"/>
    <w:rsid w:val="0091230F"/>
    <w:rsid w:val="00913313"/>
    <w:rsid w:val="009136F7"/>
    <w:rsid w:val="00920BD7"/>
    <w:rsid w:val="00921803"/>
    <w:rsid w:val="00925905"/>
    <w:rsid w:val="00926503"/>
    <w:rsid w:val="00930090"/>
    <w:rsid w:val="00931A21"/>
    <w:rsid w:val="00931A87"/>
    <w:rsid w:val="00934A96"/>
    <w:rsid w:val="00952C6F"/>
    <w:rsid w:val="009546EA"/>
    <w:rsid w:val="00960BBF"/>
    <w:rsid w:val="00962235"/>
    <w:rsid w:val="009627A0"/>
    <w:rsid w:val="00971B3F"/>
    <w:rsid w:val="009726D8"/>
    <w:rsid w:val="00972F05"/>
    <w:rsid w:val="00975CF1"/>
    <w:rsid w:val="0098160F"/>
    <w:rsid w:val="00984CAC"/>
    <w:rsid w:val="009B3031"/>
    <w:rsid w:val="009B572D"/>
    <w:rsid w:val="009C4621"/>
    <w:rsid w:val="009D6C76"/>
    <w:rsid w:val="009D7308"/>
    <w:rsid w:val="009D766A"/>
    <w:rsid w:val="009E04FD"/>
    <w:rsid w:val="009E1413"/>
    <w:rsid w:val="009E28C4"/>
    <w:rsid w:val="009E4CDD"/>
    <w:rsid w:val="009E5DD2"/>
    <w:rsid w:val="009F01DF"/>
    <w:rsid w:val="009F76DB"/>
    <w:rsid w:val="00A0737A"/>
    <w:rsid w:val="00A20504"/>
    <w:rsid w:val="00A211EF"/>
    <w:rsid w:val="00A30253"/>
    <w:rsid w:val="00A32C3B"/>
    <w:rsid w:val="00A45F4F"/>
    <w:rsid w:val="00A5419B"/>
    <w:rsid w:val="00A600A9"/>
    <w:rsid w:val="00A64135"/>
    <w:rsid w:val="00A66333"/>
    <w:rsid w:val="00A75CAE"/>
    <w:rsid w:val="00A85319"/>
    <w:rsid w:val="00A90ED0"/>
    <w:rsid w:val="00A91D2E"/>
    <w:rsid w:val="00A92880"/>
    <w:rsid w:val="00A96268"/>
    <w:rsid w:val="00A96733"/>
    <w:rsid w:val="00AA03BC"/>
    <w:rsid w:val="00AA5469"/>
    <w:rsid w:val="00AA55B7"/>
    <w:rsid w:val="00AA5B9E"/>
    <w:rsid w:val="00AB2407"/>
    <w:rsid w:val="00AB53DF"/>
    <w:rsid w:val="00AC2603"/>
    <w:rsid w:val="00AC3F17"/>
    <w:rsid w:val="00AD601F"/>
    <w:rsid w:val="00AE142B"/>
    <w:rsid w:val="00AE2647"/>
    <w:rsid w:val="00AE3A0A"/>
    <w:rsid w:val="00AE64CA"/>
    <w:rsid w:val="00AE719C"/>
    <w:rsid w:val="00AF0B56"/>
    <w:rsid w:val="00AF37B7"/>
    <w:rsid w:val="00AF4425"/>
    <w:rsid w:val="00AF4494"/>
    <w:rsid w:val="00B022D0"/>
    <w:rsid w:val="00B02EF9"/>
    <w:rsid w:val="00B03C04"/>
    <w:rsid w:val="00B044B3"/>
    <w:rsid w:val="00B0685F"/>
    <w:rsid w:val="00B07E5C"/>
    <w:rsid w:val="00B131CB"/>
    <w:rsid w:val="00B202EF"/>
    <w:rsid w:val="00B226B6"/>
    <w:rsid w:val="00B278B8"/>
    <w:rsid w:val="00B27AA0"/>
    <w:rsid w:val="00B35233"/>
    <w:rsid w:val="00B35991"/>
    <w:rsid w:val="00B37160"/>
    <w:rsid w:val="00B451EE"/>
    <w:rsid w:val="00B534C3"/>
    <w:rsid w:val="00B53FD5"/>
    <w:rsid w:val="00B67059"/>
    <w:rsid w:val="00B70555"/>
    <w:rsid w:val="00B73E94"/>
    <w:rsid w:val="00B8116E"/>
    <w:rsid w:val="00B811F7"/>
    <w:rsid w:val="00B82B4C"/>
    <w:rsid w:val="00B82CA6"/>
    <w:rsid w:val="00B930FF"/>
    <w:rsid w:val="00B97CF0"/>
    <w:rsid w:val="00BA5DC6"/>
    <w:rsid w:val="00BA6196"/>
    <w:rsid w:val="00BB0F25"/>
    <w:rsid w:val="00BB2535"/>
    <w:rsid w:val="00BB385D"/>
    <w:rsid w:val="00BB4E2A"/>
    <w:rsid w:val="00BB556F"/>
    <w:rsid w:val="00BC4D3F"/>
    <w:rsid w:val="00BC6D8C"/>
    <w:rsid w:val="00BD0F11"/>
    <w:rsid w:val="00BD11EB"/>
    <w:rsid w:val="00BD19FE"/>
    <w:rsid w:val="00BE03DF"/>
    <w:rsid w:val="00BF450E"/>
    <w:rsid w:val="00BF4703"/>
    <w:rsid w:val="00C01DD9"/>
    <w:rsid w:val="00C0453B"/>
    <w:rsid w:val="00C12E8F"/>
    <w:rsid w:val="00C14E22"/>
    <w:rsid w:val="00C153B3"/>
    <w:rsid w:val="00C21F2C"/>
    <w:rsid w:val="00C253E9"/>
    <w:rsid w:val="00C34006"/>
    <w:rsid w:val="00C346C9"/>
    <w:rsid w:val="00C36B4C"/>
    <w:rsid w:val="00C416D7"/>
    <w:rsid w:val="00C426B1"/>
    <w:rsid w:val="00C57404"/>
    <w:rsid w:val="00C62305"/>
    <w:rsid w:val="00C63B64"/>
    <w:rsid w:val="00C66160"/>
    <w:rsid w:val="00C721AC"/>
    <w:rsid w:val="00C8030B"/>
    <w:rsid w:val="00C80D8A"/>
    <w:rsid w:val="00C876AB"/>
    <w:rsid w:val="00C90D6A"/>
    <w:rsid w:val="00C91495"/>
    <w:rsid w:val="00C94B33"/>
    <w:rsid w:val="00CA06F4"/>
    <w:rsid w:val="00CA247E"/>
    <w:rsid w:val="00CA691C"/>
    <w:rsid w:val="00CA6D21"/>
    <w:rsid w:val="00CB5D45"/>
    <w:rsid w:val="00CC2E10"/>
    <w:rsid w:val="00CC72B6"/>
    <w:rsid w:val="00CC74EB"/>
    <w:rsid w:val="00CD6B93"/>
    <w:rsid w:val="00CF37DC"/>
    <w:rsid w:val="00D0218D"/>
    <w:rsid w:val="00D07A0F"/>
    <w:rsid w:val="00D122E5"/>
    <w:rsid w:val="00D16DC1"/>
    <w:rsid w:val="00D21871"/>
    <w:rsid w:val="00D219AB"/>
    <w:rsid w:val="00D25FB5"/>
    <w:rsid w:val="00D30B34"/>
    <w:rsid w:val="00D31410"/>
    <w:rsid w:val="00D32376"/>
    <w:rsid w:val="00D346A9"/>
    <w:rsid w:val="00D4054A"/>
    <w:rsid w:val="00D435FD"/>
    <w:rsid w:val="00D44223"/>
    <w:rsid w:val="00D44D4E"/>
    <w:rsid w:val="00D55675"/>
    <w:rsid w:val="00D629E3"/>
    <w:rsid w:val="00D6775A"/>
    <w:rsid w:val="00D704AF"/>
    <w:rsid w:val="00D74A59"/>
    <w:rsid w:val="00D82AA7"/>
    <w:rsid w:val="00D86821"/>
    <w:rsid w:val="00D912C1"/>
    <w:rsid w:val="00D91991"/>
    <w:rsid w:val="00D94040"/>
    <w:rsid w:val="00D97A11"/>
    <w:rsid w:val="00DA08DD"/>
    <w:rsid w:val="00DA19AC"/>
    <w:rsid w:val="00DA2529"/>
    <w:rsid w:val="00DB130A"/>
    <w:rsid w:val="00DB2EBB"/>
    <w:rsid w:val="00DB30A7"/>
    <w:rsid w:val="00DB410C"/>
    <w:rsid w:val="00DC10A1"/>
    <w:rsid w:val="00DC655F"/>
    <w:rsid w:val="00DD0B59"/>
    <w:rsid w:val="00DD392C"/>
    <w:rsid w:val="00DD471C"/>
    <w:rsid w:val="00DD5879"/>
    <w:rsid w:val="00DD7EBD"/>
    <w:rsid w:val="00DE2299"/>
    <w:rsid w:val="00DE564C"/>
    <w:rsid w:val="00DE633F"/>
    <w:rsid w:val="00DF2C12"/>
    <w:rsid w:val="00DF62B6"/>
    <w:rsid w:val="00DF7513"/>
    <w:rsid w:val="00E07225"/>
    <w:rsid w:val="00E12EE7"/>
    <w:rsid w:val="00E26DA3"/>
    <w:rsid w:val="00E27E6C"/>
    <w:rsid w:val="00E304A3"/>
    <w:rsid w:val="00E32D4E"/>
    <w:rsid w:val="00E32ECE"/>
    <w:rsid w:val="00E3670C"/>
    <w:rsid w:val="00E43C9D"/>
    <w:rsid w:val="00E4580A"/>
    <w:rsid w:val="00E508D1"/>
    <w:rsid w:val="00E5409F"/>
    <w:rsid w:val="00E54D69"/>
    <w:rsid w:val="00E5730F"/>
    <w:rsid w:val="00E57CB0"/>
    <w:rsid w:val="00E61423"/>
    <w:rsid w:val="00E6635A"/>
    <w:rsid w:val="00E76575"/>
    <w:rsid w:val="00E76963"/>
    <w:rsid w:val="00E77B45"/>
    <w:rsid w:val="00E81CA3"/>
    <w:rsid w:val="00E83948"/>
    <w:rsid w:val="00E84FB4"/>
    <w:rsid w:val="00E85483"/>
    <w:rsid w:val="00EA2834"/>
    <w:rsid w:val="00EA4A88"/>
    <w:rsid w:val="00EA75DB"/>
    <w:rsid w:val="00EC067B"/>
    <w:rsid w:val="00EC1FA8"/>
    <w:rsid w:val="00EC7F7A"/>
    <w:rsid w:val="00ED0113"/>
    <w:rsid w:val="00ED1C94"/>
    <w:rsid w:val="00ED1F6D"/>
    <w:rsid w:val="00ED6B53"/>
    <w:rsid w:val="00EE0A4D"/>
    <w:rsid w:val="00EE45E0"/>
    <w:rsid w:val="00EE6488"/>
    <w:rsid w:val="00EF20FF"/>
    <w:rsid w:val="00EF5934"/>
    <w:rsid w:val="00EF743D"/>
    <w:rsid w:val="00F013C2"/>
    <w:rsid w:val="00F021FA"/>
    <w:rsid w:val="00F03CBE"/>
    <w:rsid w:val="00F128C4"/>
    <w:rsid w:val="00F22E5B"/>
    <w:rsid w:val="00F25587"/>
    <w:rsid w:val="00F34E40"/>
    <w:rsid w:val="00F353A4"/>
    <w:rsid w:val="00F377D6"/>
    <w:rsid w:val="00F456F4"/>
    <w:rsid w:val="00F50EF6"/>
    <w:rsid w:val="00F5785B"/>
    <w:rsid w:val="00F62156"/>
    <w:rsid w:val="00F62E97"/>
    <w:rsid w:val="00F64209"/>
    <w:rsid w:val="00F657B6"/>
    <w:rsid w:val="00F71E24"/>
    <w:rsid w:val="00F768DD"/>
    <w:rsid w:val="00F85FE3"/>
    <w:rsid w:val="00F93BF5"/>
    <w:rsid w:val="00F93F51"/>
    <w:rsid w:val="00F960A9"/>
    <w:rsid w:val="00FA0A5D"/>
    <w:rsid w:val="00FA1B82"/>
    <w:rsid w:val="00FB2DB0"/>
    <w:rsid w:val="00FB2E00"/>
    <w:rsid w:val="00FC3BE6"/>
    <w:rsid w:val="00FC43F1"/>
    <w:rsid w:val="00FC5010"/>
    <w:rsid w:val="00FC5CED"/>
    <w:rsid w:val="00FC6D8C"/>
    <w:rsid w:val="00FD1008"/>
    <w:rsid w:val="00FD1874"/>
    <w:rsid w:val="00FD1A52"/>
    <w:rsid w:val="00FE0D6B"/>
    <w:rsid w:val="00FE2279"/>
    <w:rsid w:val="00FE2C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52E"/>
    <w:pPr>
      <w:widowControl w:val="0"/>
    </w:pPr>
    <w:rPr>
      <w:snapToGrid w:val="0"/>
      <w:kern w:val="28"/>
      <w:sz w:val="22"/>
    </w:rPr>
  </w:style>
  <w:style w:type="paragraph" w:styleId="Heading1">
    <w:name w:val="heading 1"/>
    <w:basedOn w:val="Normal"/>
    <w:next w:val="ParaNum"/>
    <w:qFormat/>
    <w:rsid w:val="0017252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7252E"/>
    <w:pPr>
      <w:keepNext/>
      <w:numPr>
        <w:ilvl w:val="1"/>
        <w:numId w:val="3"/>
      </w:numPr>
      <w:spacing w:after="120"/>
      <w:outlineLvl w:val="1"/>
    </w:pPr>
    <w:rPr>
      <w:b/>
    </w:rPr>
  </w:style>
  <w:style w:type="paragraph" w:styleId="Heading3">
    <w:name w:val="heading 3"/>
    <w:basedOn w:val="Normal"/>
    <w:next w:val="ParaNum"/>
    <w:qFormat/>
    <w:rsid w:val="0017252E"/>
    <w:pPr>
      <w:keepNext/>
      <w:numPr>
        <w:ilvl w:val="2"/>
        <w:numId w:val="3"/>
      </w:numPr>
      <w:tabs>
        <w:tab w:val="left" w:pos="2160"/>
      </w:tabs>
      <w:spacing w:after="120"/>
      <w:outlineLvl w:val="2"/>
    </w:pPr>
    <w:rPr>
      <w:b/>
    </w:rPr>
  </w:style>
  <w:style w:type="paragraph" w:styleId="Heading4">
    <w:name w:val="heading 4"/>
    <w:basedOn w:val="Normal"/>
    <w:next w:val="ParaNum"/>
    <w:qFormat/>
    <w:rsid w:val="0017252E"/>
    <w:pPr>
      <w:keepNext/>
      <w:numPr>
        <w:ilvl w:val="3"/>
        <w:numId w:val="3"/>
      </w:numPr>
      <w:tabs>
        <w:tab w:val="left" w:pos="2880"/>
      </w:tabs>
      <w:spacing w:after="120"/>
      <w:outlineLvl w:val="3"/>
    </w:pPr>
    <w:rPr>
      <w:b/>
    </w:rPr>
  </w:style>
  <w:style w:type="paragraph" w:styleId="Heading5">
    <w:name w:val="heading 5"/>
    <w:basedOn w:val="Normal"/>
    <w:next w:val="ParaNum"/>
    <w:qFormat/>
    <w:rsid w:val="0017252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7252E"/>
    <w:pPr>
      <w:numPr>
        <w:ilvl w:val="5"/>
        <w:numId w:val="3"/>
      </w:numPr>
      <w:tabs>
        <w:tab w:val="left" w:pos="4320"/>
      </w:tabs>
      <w:spacing w:after="120"/>
      <w:outlineLvl w:val="5"/>
    </w:pPr>
    <w:rPr>
      <w:b/>
    </w:rPr>
  </w:style>
  <w:style w:type="paragraph" w:styleId="Heading7">
    <w:name w:val="heading 7"/>
    <w:basedOn w:val="Normal"/>
    <w:next w:val="ParaNum"/>
    <w:qFormat/>
    <w:rsid w:val="0017252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7252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7252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725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252E"/>
  </w:style>
  <w:style w:type="paragraph" w:customStyle="1" w:styleId="ParaNum">
    <w:name w:val="ParaNum"/>
    <w:basedOn w:val="Normal"/>
    <w:link w:val="ParaNumChar"/>
    <w:rsid w:val="0017252E"/>
    <w:pPr>
      <w:numPr>
        <w:numId w:val="2"/>
      </w:numPr>
      <w:tabs>
        <w:tab w:val="clear" w:pos="1080"/>
        <w:tab w:val="num" w:pos="1440"/>
      </w:tabs>
      <w:spacing w:after="120"/>
    </w:pPr>
  </w:style>
  <w:style w:type="paragraph" w:styleId="EndnoteText">
    <w:name w:val="endnote text"/>
    <w:basedOn w:val="Normal"/>
    <w:semiHidden/>
    <w:rsid w:val="0017252E"/>
    <w:rPr>
      <w:sz w:val="20"/>
    </w:rPr>
  </w:style>
  <w:style w:type="character" w:styleId="EndnoteReference">
    <w:name w:val="endnote reference"/>
    <w:semiHidden/>
    <w:rsid w:val="0017252E"/>
    <w:rPr>
      <w:vertAlign w:val="superscript"/>
    </w:rPr>
  </w:style>
  <w:style w:type="paragraph" w:styleId="FootnoteText">
    <w:name w:val="footnote text"/>
    <w:aliases w:val="Footnote Text Char Char,Footnote Text Char Char Char Char,Footnote Text Char1,Footnote Text Char1 Char Char1,Footnote Text Char1 Char Char1 Char Char Char,Footnote Text Char2 Char Char Char Char,fn,rrfootnote Char Char Char Char Char Char"/>
    <w:link w:val="FootnoteTextChar"/>
    <w:rsid w:val="0017252E"/>
    <w:pPr>
      <w:spacing w:after="120"/>
    </w:pPr>
  </w:style>
  <w:style w:type="character" w:styleId="FootnoteReference">
    <w:name w:val="footnote reference"/>
    <w:aliases w:val="(NECG) Footnote Reference,Appel note de bas de p,FR,Footnote Reference/,Style 12,Style 124,Style 13,Style 17,Style 3,Style 4,Style 6,Style 7,fr,o"/>
    <w:rsid w:val="0017252E"/>
    <w:rPr>
      <w:rFonts w:ascii="Times New Roman" w:hAnsi="Times New Roman"/>
      <w:dstrike w:val="0"/>
      <w:color w:val="auto"/>
      <w:sz w:val="20"/>
      <w:vertAlign w:val="superscript"/>
    </w:rPr>
  </w:style>
  <w:style w:type="paragraph" w:styleId="TOC1">
    <w:name w:val="toc 1"/>
    <w:basedOn w:val="Normal"/>
    <w:next w:val="Normal"/>
    <w:semiHidden/>
    <w:rsid w:val="0017252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7252E"/>
    <w:pPr>
      <w:tabs>
        <w:tab w:val="left" w:pos="720"/>
        <w:tab w:val="right" w:leader="dot" w:pos="9360"/>
      </w:tabs>
      <w:suppressAutoHyphens/>
      <w:ind w:left="720" w:right="720" w:hanging="360"/>
    </w:pPr>
    <w:rPr>
      <w:noProof/>
    </w:rPr>
  </w:style>
  <w:style w:type="paragraph" w:styleId="TOC3">
    <w:name w:val="toc 3"/>
    <w:basedOn w:val="Normal"/>
    <w:next w:val="Normal"/>
    <w:semiHidden/>
    <w:rsid w:val="0017252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7252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7252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7252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7252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7252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7252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7252E"/>
    <w:pPr>
      <w:tabs>
        <w:tab w:val="right" w:pos="9360"/>
      </w:tabs>
      <w:suppressAutoHyphens/>
    </w:pPr>
  </w:style>
  <w:style w:type="character" w:customStyle="1" w:styleId="EquationCaption">
    <w:name w:val="_Equation Caption"/>
    <w:rsid w:val="0017252E"/>
  </w:style>
  <w:style w:type="paragraph" w:styleId="Header">
    <w:name w:val="header"/>
    <w:basedOn w:val="Normal"/>
    <w:autoRedefine/>
    <w:rsid w:val="0017252E"/>
    <w:pPr>
      <w:tabs>
        <w:tab w:val="center" w:pos="4680"/>
        <w:tab w:val="right" w:pos="9360"/>
      </w:tabs>
    </w:pPr>
    <w:rPr>
      <w:b/>
    </w:rPr>
  </w:style>
  <w:style w:type="paragraph" w:styleId="Footer">
    <w:name w:val="footer"/>
    <w:basedOn w:val="Normal"/>
    <w:link w:val="FooterChar"/>
    <w:uiPriority w:val="99"/>
    <w:rsid w:val="0017252E"/>
    <w:pPr>
      <w:tabs>
        <w:tab w:val="center" w:pos="4320"/>
        <w:tab w:val="right" w:pos="8640"/>
      </w:tabs>
    </w:pPr>
  </w:style>
  <w:style w:type="character" w:styleId="PageNumber">
    <w:name w:val="page number"/>
    <w:basedOn w:val="DefaultParagraphFont"/>
    <w:rsid w:val="0017252E"/>
  </w:style>
  <w:style w:type="paragraph" w:styleId="BlockText">
    <w:name w:val="Block Text"/>
    <w:basedOn w:val="Normal"/>
    <w:rsid w:val="0017252E"/>
    <w:pPr>
      <w:spacing w:after="240"/>
      <w:ind w:left="1440" w:right="1440"/>
    </w:pPr>
  </w:style>
  <w:style w:type="paragraph" w:customStyle="1" w:styleId="Paratitle">
    <w:name w:val="Para title"/>
    <w:basedOn w:val="Normal"/>
    <w:rsid w:val="0017252E"/>
    <w:pPr>
      <w:tabs>
        <w:tab w:val="center" w:pos="9270"/>
      </w:tabs>
      <w:spacing w:after="240"/>
    </w:pPr>
    <w:rPr>
      <w:spacing w:val="-2"/>
    </w:rPr>
  </w:style>
  <w:style w:type="paragraph" w:customStyle="1" w:styleId="Bullet">
    <w:name w:val="Bullet"/>
    <w:basedOn w:val="Normal"/>
    <w:rsid w:val="0017252E"/>
    <w:pPr>
      <w:tabs>
        <w:tab w:val="left" w:pos="2160"/>
      </w:tabs>
      <w:spacing w:after="220"/>
      <w:ind w:left="2160" w:hanging="720"/>
    </w:pPr>
  </w:style>
  <w:style w:type="paragraph" w:customStyle="1" w:styleId="TableFormat">
    <w:name w:val="TableFormat"/>
    <w:basedOn w:val="Bullet"/>
    <w:rsid w:val="0017252E"/>
    <w:pPr>
      <w:tabs>
        <w:tab w:val="clear" w:pos="2160"/>
        <w:tab w:val="left" w:pos="5040"/>
      </w:tabs>
      <w:ind w:left="5040" w:hanging="3600"/>
    </w:pPr>
  </w:style>
  <w:style w:type="paragraph" w:customStyle="1" w:styleId="TOCTitle">
    <w:name w:val="TOC Title"/>
    <w:basedOn w:val="Normal"/>
    <w:rsid w:val="0017252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7252E"/>
    <w:pPr>
      <w:jc w:val="center"/>
    </w:pPr>
    <w:rPr>
      <w:rFonts w:ascii="Times New Roman Bold" w:hAnsi="Times New Roman Bold"/>
      <w:b/>
      <w:bCs/>
      <w:caps/>
      <w:szCs w:val="22"/>
    </w:rPr>
  </w:style>
  <w:style w:type="character" w:styleId="Hyperlink">
    <w:name w:val="Hyperlink"/>
    <w:rsid w:val="0017252E"/>
    <w:rPr>
      <w:color w:val="0000FF"/>
      <w:u w:val="single"/>
    </w:rPr>
  </w:style>
  <w:style w:type="character" w:customStyle="1" w:styleId="FooterChar">
    <w:name w:val="Footer Char"/>
    <w:link w:val="Footer"/>
    <w:uiPriority w:val="99"/>
    <w:rsid w:val="0017252E"/>
    <w:rPr>
      <w:snapToGrid w:val="0"/>
      <w:kern w:val="28"/>
      <w:sz w:val="22"/>
    </w:rPr>
  </w:style>
  <w:style w:type="character" w:customStyle="1" w:styleId="FootnoteTextChar">
    <w:name w:val="Footnote Text Char"/>
    <w:aliases w:val="Footnote Text Char Char Char,Footnote Text Char Char Char Char Char,Footnote Text Char1 Char,Footnote Text Char1 Char Char1 Char,Footnote Text Char1 Char Char1 Char Char Char Char,Footnote Text Char2 Char Char Char Char Char,fn Char"/>
    <w:link w:val="FootnoteText"/>
    <w:rsid w:val="00EF20FF"/>
  </w:style>
  <w:style w:type="paragraph" w:styleId="BalloonText">
    <w:name w:val="Balloon Text"/>
    <w:basedOn w:val="Normal"/>
    <w:link w:val="BalloonTextChar"/>
    <w:rsid w:val="00116A29"/>
    <w:rPr>
      <w:rFonts w:ascii="Segoe UI" w:hAnsi="Segoe UI" w:cs="Segoe UI"/>
      <w:sz w:val="18"/>
      <w:szCs w:val="18"/>
    </w:rPr>
  </w:style>
  <w:style w:type="character" w:customStyle="1" w:styleId="BalloonTextChar">
    <w:name w:val="Balloon Text Char"/>
    <w:link w:val="BalloonText"/>
    <w:rsid w:val="00116A29"/>
    <w:rPr>
      <w:rFonts w:ascii="Segoe UI" w:hAnsi="Segoe UI" w:cs="Segoe UI"/>
      <w:snapToGrid w:val="0"/>
      <w:kern w:val="28"/>
      <w:sz w:val="18"/>
      <w:szCs w:val="18"/>
    </w:rPr>
  </w:style>
  <w:style w:type="character" w:customStyle="1" w:styleId="FootnoteTextChar1CharChar">
    <w:name w:val="Footnote Text Char1 Char Char"/>
    <w:aliases w:val="Footnote Text Char1 Char Char Char Char,Footnote Text Char2 Char,Footnote Text Char2 Char Char Char,Footnote Text Char3 Char Char,Footnote Text Char7 Char Char Char Char Char"/>
    <w:rsid w:val="00E32ECE"/>
  </w:style>
  <w:style w:type="character" w:customStyle="1" w:styleId="ParaNumChar">
    <w:name w:val="ParaNum Char"/>
    <w:link w:val="ParaNum"/>
    <w:rsid w:val="00E32ECE"/>
    <w:rPr>
      <w:snapToGrid w:val="0"/>
      <w:kern w:val="28"/>
      <w:sz w:val="22"/>
    </w:rPr>
  </w:style>
  <w:style w:type="character" w:styleId="CommentReference">
    <w:name w:val="annotation reference"/>
    <w:basedOn w:val="DefaultParagraphFont"/>
    <w:rsid w:val="005A758A"/>
    <w:rPr>
      <w:sz w:val="16"/>
      <w:szCs w:val="16"/>
    </w:rPr>
  </w:style>
  <w:style w:type="paragraph" w:styleId="CommentText">
    <w:name w:val="annotation text"/>
    <w:basedOn w:val="Normal"/>
    <w:link w:val="CommentTextChar"/>
    <w:rsid w:val="005A758A"/>
    <w:rPr>
      <w:sz w:val="20"/>
    </w:rPr>
  </w:style>
  <w:style w:type="character" w:customStyle="1" w:styleId="CommentTextChar">
    <w:name w:val="Comment Text Char"/>
    <w:basedOn w:val="DefaultParagraphFont"/>
    <w:link w:val="CommentText"/>
    <w:rsid w:val="005A758A"/>
    <w:rPr>
      <w:snapToGrid w:val="0"/>
      <w:kern w:val="28"/>
    </w:rPr>
  </w:style>
  <w:style w:type="paragraph" w:styleId="CommentSubject">
    <w:name w:val="annotation subject"/>
    <w:basedOn w:val="CommentText"/>
    <w:next w:val="CommentText"/>
    <w:link w:val="CommentSubjectChar"/>
    <w:rsid w:val="005A758A"/>
    <w:rPr>
      <w:b/>
      <w:bCs/>
    </w:rPr>
  </w:style>
  <w:style w:type="character" w:customStyle="1" w:styleId="CommentSubjectChar">
    <w:name w:val="Comment Subject Char"/>
    <w:basedOn w:val="CommentTextChar"/>
    <w:link w:val="CommentSubject"/>
    <w:rsid w:val="005A758A"/>
    <w:rPr>
      <w:b/>
      <w:bCs/>
      <w:snapToGrid w:val="0"/>
      <w:kern w:val="28"/>
    </w:rPr>
  </w:style>
  <w:style w:type="character" w:customStyle="1" w:styleId="UnresolvedMention">
    <w:name w:val="Unresolved Mention"/>
    <w:basedOn w:val="DefaultParagraphFont"/>
    <w:uiPriority w:val="99"/>
    <w:semiHidden/>
    <w:unhideWhenUsed/>
    <w:rsid w:val="00C57404"/>
    <w:rPr>
      <w:color w:val="808080"/>
      <w:shd w:val="clear" w:color="auto" w:fill="E6E6E6"/>
    </w:rPr>
  </w:style>
  <w:style w:type="character" w:customStyle="1" w:styleId="cohl">
    <w:name w:val="co_hl"/>
    <w:basedOn w:val="DefaultParagraphFont"/>
    <w:rsid w:val="0021060F"/>
  </w:style>
  <w:style w:type="character" w:styleId="Emphasis">
    <w:name w:val="Emphasis"/>
    <w:basedOn w:val="DefaultParagraphFont"/>
    <w:uiPriority w:val="20"/>
    <w:qFormat/>
    <w:rsid w:val="00C14E22"/>
    <w:rPr>
      <w:i/>
      <w:iCs/>
    </w:rPr>
  </w:style>
  <w:style w:type="character" w:customStyle="1" w:styleId="copinpointicon">
    <w:name w:val="co_pinpointicon"/>
    <w:basedOn w:val="DefaultParagraphFont"/>
    <w:rsid w:val="00857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newyorker.com/news/news-desk/as-leslie-moonves-negotiates-his-exit-from-cbs-women-raise-new-assault-and-harassment-claims" TargetMode="External" /><Relationship Id="rId2" Type="http://schemas.openxmlformats.org/officeDocument/2006/relationships/hyperlink" Target="https://1.next.westlaw.com/Link/Document/FullText?findType=L&amp;pubNum=1000546&amp;cite=47USCAS155&amp;originatingDoc=I0dc0826fdac211e79822eed485bc7ca1&amp;refType=RB&amp;originationContext=document&amp;transitionType=DocumentItem&amp;contextData=(sc.Search)" TargetMode="External" /><Relationship Id="rId3" Type="http://schemas.openxmlformats.org/officeDocument/2006/relationships/hyperlink" Target="https://1.next.westlaw.com/Link/Document/FullText?findType=L&amp;pubNum=1000547&amp;cite=47CFRS1.115&amp;originatingDoc=I0dc0826fdac211e79822eed485bc7ca1&amp;refType=RB&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