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5E3B25" w:rsidP="005E3B25">
      <w:pPr>
        <w:jc w:val="center"/>
        <w:rPr>
          <w:b/>
          <w:bCs/>
          <w:caps/>
          <w:szCs w:val="22"/>
        </w:rPr>
      </w:pPr>
      <w:bookmarkStart w:id="0" w:name="_GoBack"/>
      <w:bookmarkEnd w:id="0"/>
      <w:r w:rsidRPr="005E3B25">
        <w:rPr>
          <w:b/>
          <w:bCs/>
          <w:caps/>
          <w:szCs w:val="22"/>
        </w:rPr>
        <w:t>STATEMENT OF</w:t>
      </w:r>
    </w:p>
    <w:p w:rsidR="00934012" w:rsidRPr="005E3B25" w:rsidP="005E3B25">
      <w:pPr>
        <w:jc w:val="center"/>
        <w:rPr>
          <w:b/>
          <w:bCs/>
          <w:caps/>
          <w:szCs w:val="22"/>
        </w:rPr>
      </w:pPr>
      <w:r w:rsidRPr="005E3B25">
        <w:rPr>
          <w:b/>
          <w:bCs/>
          <w:caps/>
          <w:szCs w:val="22"/>
        </w:rPr>
        <w:t>COMMISSIONER MICHAEL O’RIELLY</w:t>
      </w:r>
    </w:p>
    <w:p w:rsidR="005E3B25" w:rsidRPr="005E3B25" w:rsidP="005E3B25">
      <w:pPr>
        <w:jc w:val="center"/>
        <w:rPr>
          <w:b/>
          <w:bCs/>
          <w:caps/>
          <w:szCs w:val="22"/>
        </w:rPr>
      </w:pPr>
    </w:p>
    <w:p w:rsidR="005E3B25" w:rsidRPr="00C92237" w:rsidP="005E3B25">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7652AD">
        <w:rPr>
          <w:rFonts w:eastAsia="Calibri"/>
          <w:snapToGrid/>
          <w:kern w:val="0"/>
          <w:szCs w:val="22"/>
        </w:rPr>
        <w:t>s</w:t>
      </w:r>
      <w:r w:rsidRPr="00C92237">
        <w:rPr>
          <w:rFonts w:eastAsia="Calibri"/>
          <w:snapToGrid/>
          <w:kern w:val="0"/>
          <w:szCs w:val="22"/>
        </w:rPr>
        <w:t xml:space="preserve">. </w:t>
      </w:r>
      <w:r w:rsidR="001E0A5A">
        <w:rPr>
          <w:rFonts w:eastAsia="Calibri"/>
          <w:snapToGrid/>
          <w:kern w:val="0"/>
          <w:szCs w:val="22"/>
        </w:rPr>
        <w:t xml:space="preserve">19-165 and </w:t>
      </w:r>
      <w:r w:rsidRPr="00C92237">
        <w:rPr>
          <w:rFonts w:eastAsia="Calibri"/>
          <w:snapToGrid/>
          <w:kern w:val="0"/>
          <w:szCs w:val="22"/>
        </w:rPr>
        <w:t>17-105, Notice of Proposed Rulemaking</w:t>
      </w:r>
      <w:r w:rsidR="007652AD">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0A5A">
        <w:rPr>
          <w:rFonts w:eastAsia="Calibri"/>
          <w:snapToGrid/>
          <w:kern w:val="0"/>
          <w:szCs w:val="22"/>
        </w:rPr>
        <w:t xml:space="preserve"> and </w:t>
      </w:r>
      <w:r w:rsidRPr="00C92237">
        <w:rPr>
          <w:rFonts w:eastAsia="Calibri"/>
          <w:snapToGrid/>
          <w:kern w:val="0"/>
          <w:szCs w:val="22"/>
        </w:rPr>
        <w:t>17-</w:t>
      </w:r>
      <w:r w:rsidR="007652AD">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7652AD">
        <w:rPr>
          <w:rFonts w:eastAsia="Calibri"/>
          <w:snapToGrid/>
          <w:kern w:val="0"/>
          <w:szCs w:val="22"/>
        </w:rPr>
        <w:t>.</w:t>
      </w:r>
    </w:p>
    <w:p w:rsidR="005E3B25" w:rsidRPr="005E3B25" w:rsidP="005E3B25">
      <w:pPr>
        <w:rPr>
          <w:szCs w:val="22"/>
        </w:rPr>
      </w:pPr>
    </w:p>
    <w:p w:rsidR="005E3B25" w:rsidRPr="005E3B25" w:rsidP="005E3B25">
      <w:pPr>
        <w:rPr>
          <w:szCs w:val="22"/>
        </w:rPr>
      </w:pPr>
      <w:r w:rsidRPr="005E3B25">
        <w:rPr>
          <w:szCs w:val="22"/>
        </w:rPr>
        <w:tab/>
        <w:t>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w:t>
      </w:r>
    </w:p>
    <w:p w:rsidR="005E3B25" w:rsidRPr="005E3B25" w:rsidP="005E3B25">
      <w:pPr>
        <w:rPr>
          <w:szCs w:val="22"/>
        </w:rPr>
      </w:pPr>
    </w:p>
    <w:p w:rsidR="005E3B25" w:rsidRPr="005E3B25" w:rsidP="005E3B25">
      <w:pPr>
        <w:ind w:firstLine="720"/>
        <w:rPr>
          <w:szCs w:val="22"/>
        </w:rPr>
      </w:pPr>
      <w:r w:rsidRPr="005E3B25">
        <w:rPr>
          <w:szCs w:val="22"/>
        </w:rPr>
        <w:t xml:space="preserve">Under this new process, modern technology can still achieve the </w:t>
      </w:r>
      <w:r w:rsidRPr="005E3B25">
        <w:rPr>
          <w:szCs w:val="22"/>
        </w:rPr>
        <w:t>underlying purpose</w:t>
      </w:r>
      <w:r w:rsidRPr="005E3B25">
        <w:rPr>
          <w:szCs w:val="22"/>
        </w:rPr>
        <w:t xml:space="preserv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w:t>
      </w:r>
      <w:r w:rsidRPr="005E3B25">
        <w:rPr>
          <w:szCs w:val="22"/>
        </w:rPr>
        <w:t>sufficient</w:t>
      </w:r>
      <w:r w:rsidRPr="005E3B25">
        <w:rPr>
          <w:szCs w:val="22"/>
        </w:rPr>
        <w:t xml:space="preserve"> direct authority provided by sections 614 and 615.  </w:t>
      </w:r>
    </w:p>
    <w:p w:rsidR="005E3B25" w:rsidRPr="005E3B25" w:rsidP="005E3B25">
      <w:pPr>
        <w:ind w:firstLine="720"/>
        <w:rPr>
          <w:szCs w:val="22"/>
        </w:rPr>
      </w:pPr>
    </w:p>
    <w:p w:rsidR="005E3B25" w:rsidRPr="005E3B25" w:rsidP="005E3B25">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5E3B25" w:rsidRPr="005E3B25" w:rsidP="005E3B25">
      <w:pPr>
        <w:rPr>
          <w:szCs w:val="22"/>
        </w:rPr>
      </w:pPr>
    </w:p>
    <w:p w:rsidR="002C00E8" w:rsidRPr="005E3B25" w:rsidP="005E3B25">
      <w:pPr>
        <w:ind w:firstLine="720"/>
        <w:rPr>
          <w:szCs w:val="22"/>
        </w:rPr>
      </w:pPr>
      <w:r w:rsidRPr="005E3B25">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D162D8">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94A66"/>
    <w:rsid w:val="001D2924"/>
    <w:rsid w:val="001D6BCF"/>
    <w:rsid w:val="001E01CA"/>
    <w:rsid w:val="001E0A5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5F2C52"/>
    <w:rsid w:val="00607BA5"/>
    <w:rsid w:val="0061180A"/>
    <w:rsid w:val="00626EB6"/>
    <w:rsid w:val="00655D03"/>
    <w:rsid w:val="00683388"/>
    <w:rsid w:val="00683F84"/>
    <w:rsid w:val="006A6A81"/>
    <w:rsid w:val="006F7393"/>
    <w:rsid w:val="0070224F"/>
    <w:rsid w:val="007115F7"/>
    <w:rsid w:val="007652A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162D8"/>
    <w:rsid w:val="00D25FB5"/>
    <w:rsid w:val="00D44223"/>
    <w:rsid w:val="00D56CCB"/>
    <w:rsid w:val="00DA2529"/>
    <w:rsid w:val="00DB130A"/>
    <w:rsid w:val="00DB2EBB"/>
    <w:rsid w:val="00DC10A1"/>
    <w:rsid w:val="00DC655F"/>
    <w:rsid w:val="00DD0B59"/>
    <w:rsid w:val="00DD7EBD"/>
    <w:rsid w:val="00DF62B6"/>
    <w:rsid w:val="00E07225"/>
    <w:rsid w:val="00E5409F"/>
    <w:rsid w:val="00EB3D60"/>
    <w:rsid w:val="00EE6488"/>
    <w:rsid w:val="00F021FA"/>
    <w:rsid w:val="00F62E97"/>
    <w:rsid w:val="00F64209"/>
    <w:rsid w:val="00F82E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