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E3CCD" w:rsidRPr="00D857A1" w:rsidP="004E3CCD">
      <w:pPr>
        <w:jc w:val="center"/>
        <w:rPr>
          <w:b/>
        </w:rPr>
      </w:pPr>
      <w:bookmarkStart w:id="0" w:name="_GoBack"/>
      <w:bookmarkEnd w:id="0"/>
      <w:r w:rsidRPr="00D857A1">
        <w:rPr>
          <w:b/>
        </w:rPr>
        <w:t>Before the</w:t>
      </w:r>
    </w:p>
    <w:p w:rsidR="004E3CCD" w:rsidRPr="00D857A1" w:rsidP="004E3CCD">
      <w:pPr>
        <w:pStyle w:val="StyleBoldCentered"/>
        <w:rPr>
          <w:rFonts w:ascii="Times New Roman" w:hAnsi="Times New Roman"/>
        </w:rPr>
      </w:pPr>
      <w:r w:rsidRPr="00D857A1">
        <w:rPr>
          <w:rFonts w:ascii="Times New Roman" w:hAnsi="Times New Roman"/>
        </w:rPr>
        <w:t>F</w:t>
      </w:r>
      <w:r w:rsidRPr="00D857A1">
        <w:rPr>
          <w:rFonts w:ascii="Times New Roman" w:hAnsi="Times New Roman"/>
          <w:caps w:val="0"/>
        </w:rPr>
        <w:t>ederal Communications Commission</w:t>
      </w:r>
    </w:p>
    <w:p w:rsidR="004E3CCD" w:rsidRPr="00D857A1" w:rsidP="004E3CCD">
      <w:pPr>
        <w:pStyle w:val="StyleBoldCentered"/>
        <w:rPr>
          <w:rFonts w:ascii="Times New Roman" w:hAnsi="Times New Roman"/>
        </w:rPr>
      </w:pPr>
      <w:r w:rsidRPr="00D857A1">
        <w:rPr>
          <w:rFonts w:ascii="Times New Roman" w:hAnsi="Times New Roman"/>
          <w:caps w:val="0"/>
        </w:rPr>
        <w:t>Washington, DC 20554</w:t>
      </w:r>
    </w:p>
    <w:p w:rsidR="004E3CCD" w:rsidRPr="00D857A1" w:rsidP="004E3CCD"/>
    <w:tbl>
      <w:tblPr>
        <w:tblW w:w="0" w:type="auto"/>
        <w:tblLayout w:type="fixed"/>
        <w:tblLook w:val="0000"/>
      </w:tblPr>
      <w:tblGrid>
        <w:gridCol w:w="4698"/>
        <w:gridCol w:w="630"/>
        <w:gridCol w:w="4248"/>
      </w:tblGrid>
      <w:tr w:rsidTr="003A5A10">
        <w:tblPrEx>
          <w:tblW w:w="0" w:type="auto"/>
          <w:tblLayout w:type="fixed"/>
          <w:tblLook w:val="0000"/>
        </w:tblPrEx>
        <w:tc>
          <w:tcPr>
            <w:tcW w:w="4698" w:type="dxa"/>
          </w:tcPr>
          <w:p w:rsidR="004E3CCD" w:rsidRPr="00D857A1" w:rsidP="003A5A10">
            <w:pPr>
              <w:tabs>
                <w:tab w:val="center" w:pos="4680"/>
              </w:tabs>
              <w:suppressAutoHyphens/>
              <w:rPr>
                <w:spacing w:val="-2"/>
              </w:rPr>
            </w:pPr>
            <w:r w:rsidRPr="00D857A1">
              <w:rPr>
                <w:spacing w:val="-2"/>
              </w:rPr>
              <w:t>In the Matter of</w:t>
            </w:r>
          </w:p>
          <w:p w:rsidR="004E3CCD" w:rsidRPr="00D857A1" w:rsidP="003A5A10">
            <w:pPr>
              <w:tabs>
                <w:tab w:val="center" w:pos="4680"/>
              </w:tabs>
              <w:suppressAutoHyphens/>
              <w:rPr>
                <w:spacing w:val="-2"/>
              </w:rPr>
            </w:pPr>
          </w:p>
          <w:p w:rsidR="004E3CCD" w:rsidRPr="00D857A1" w:rsidP="003A5A10">
            <w:pPr>
              <w:tabs>
                <w:tab w:val="center" w:pos="4680"/>
              </w:tabs>
              <w:suppressAutoHyphens/>
              <w:rPr>
                <w:spacing w:val="-2"/>
              </w:rPr>
            </w:pPr>
            <w:r w:rsidRPr="00D857A1">
              <w:rPr>
                <w:spacing w:val="-2"/>
              </w:rPr>
              <w:t xml:space="preserve">Cumulus Radio </w:t>
            </w:r>
            <w:r>
              <w:rPr>
                <w:spacing w:val="-2"/>
              </w:rPr>
              <w:t>LLC</w:t>
            </w:r>
            <w:r w:rsidRPr="00D857A1">
              <w:rPr>
                <w:spacing w:val="-2"/>
              </w:rPr>
              <w:t>;</w:t>
            </w:r>
          </w:p>
          <w:p w:rsidR="004E3CCD" w:rsidRPr="00D857A1" w:rsidP="003A5A10">
            <w:pPr>
              <w:tabs>
                <w:tab w:val="center" w:pos="4680"/>
              </w:tabs>
              <w:suppressAutoHyphens/>
              <w:rPr>
                <w:szCs w:val="22"/>
              </w:rPr>
            </w:pPr>
            <w:r w:rsidRPr="00D857A1">
              <w:rPr>
                <w:szCs w:val="22"/>
              </w:rPr>
              <w:t xml:space="preserve">Radio License Holding CBC, LLC; </w:t>
            </w:r>
          </w:p>
          <w:p w:rsidR="004E3CCD" w:rsidRPr="00D857A1" w:rsidP="003A5A10">
            <w:pPr>
              <w:rPr>
                <w:szCs w:val="22"/>
              </w:rPr>
            </w:pPr>
            <w:r w:rsidRPr="00D857A1">
              <w:rPr>
                <w:szCs w:val="22"/>
              </w:rPr>
              <w:t>Cumulus Licensing LLC; and</w:t>
            </w:r>
          </w:p>
          <w:p w:rsidR="004E3CCD" w:rsidRPr="00D857A1" w:rsidP="003A5A10">
            <w:pPr>
              <w:rPr>
                <w:szCs w:val="22"/>
              </w:rPr>
            </w:pPr>
            <w:r w:rsidRPr="00D857A1">
              <w:rPr>
                <w:szCs w:val="22"/>
              </w:rPr>
              <w:t>Radio License Holdings LLC</w:t>
            </w:r>
          </w:p>
          <w:p w:rsidR="004E3CCD" w:rsidRPr="00D857A1" w:rsidP="003A5A10">
            <w:pPr>
              <w:tabs>
                <w:tab w:val="center" w:pos="4680"/>
              </w:tabs>
              <w:suppressAutoHyphens/>
              <w:rPr>
                <w:spacing w:val="-2"/>
              </w:rPr>
            </w:pPr>
          </w:p>
        </w:tc>
        <w:tc>
          <w:tcPr>
            <w:tcW w:w="630" w:type="dxa"/>
          </w:tcPr>
          <w:p w:rsidR="004E3CCD" w:rsidRPr="00D857A1" w:rsidP="003A5A10">
            <w:pPr>
              <w:tabs>
                <w:tab w:val="center" w:pos="4680"/>
              </w:tabs>
              <w:suppressAutoHyphens/>
              <w:rPr>
                <w:b/>
                <w:spacing w:val="-2"/>
              </w:rPr>
            </w:pPr>
            <w:r w:rsidRPr="00D857A1">
              <w:rPr>
                <w:b/>
                <w:spacing w:val="-2"/>
              </w:rPr>
              <w:t>)</w:t>
            </w:r>
          </w:p>
          <w:p w:rsidR="004E3CCD" w:rsidRPr="00D857A1" w:rsidP="003A5A10">
            <w:pPr>
              <w:tabs>
                <w:tab w:val="center" w:pos="4680"/>
              </w:tabs>
              <w:suppressAutoHyphens/>
              <w:rPr>
                <w:b/>
                <w:spacing w:val="-2"/>
              </w:rPr>
            </w:pPr>
            <w:r w:rsidRPr="00D857A1">
              <w:rPr>
                <w:b/>
                <w:spacing w:val="-2"/>
              </w:rPr>
              <w:t>)</w:t>
            </w:r>
          </w:p>
          <w:p w:rsidR="004E3CCD" w:rsidRPr="00D857A1" w:rsidP="003A5A10">
            <w:pPr>
              <w:tabs>
                <w:tab w:val="center" w:pos="4680"/>
              </w:tabs>
              <w:suppressAutoHyphens/>
              <w:rPr>
                <w:b/>
                <w:spacing w:val="-2"/>
              </w:rPr>
            </w:pPr>
            <w:r w:rsidRPr="00D857A1">
              <w:rPr>
                <w:b/>
                <w:spacing w:val="-2"/>
              </w:rPr>
              <w:t>)</w:t>
            </w:r>
          </w:p>
          <w:p w:rsidR="004E3CCD" w:rsidRPr="00D857A1" w:rsidP="003A5A10">
            <w:pPr>
              <w:tabs>
                <w:tab w:val="center" w:pos="4680"/>
              </w:tabs>
              <w:suppressAutoHyphens/>
              <w:rPr>
                <w:b/>
                <w:spacing w:val="-2"/>
              </w:rPr>
            </w:pPr>
            <w:r w:rsidRPr="00D857A1">
              <w:rPr>
                <w:b/>
                <w:spacing w:val="-2"/>
              </w:rPr>
              <w:t>)</w:t>
            </w:r>
          </w:p>
          <w:p w:rsidR="004E3CCD" w:rsidRPr="00D857A1" w:rsidP="003A5A10">
            <w:pPr>
              <w:tabs>
                <w:tab w:val="center" w:pos="4680"/>
              </w:tabs>
              <w:suppressAutoHyphens/>
              <w:rPr>
                <w:b/>
                <w:spacing w:val="-2"/>
              </w:rPr>
            </w:pPr>
            <w:r w:rsidRPr="00D857A1">
              <w:rPr>
                <w:b/>
                <w:spacing w:val="-2"/>
              </w:rPr>
              <w:t>)</w:t>
            </w:r>
          </w:p>
          <w:p w:rsidR="004E3CCD" w:rsidRPr="00D857A1" w:rsidP="003A5A10">
            <w:pPr>
              <w:tabs>
                <w:tab w:val="center" w:pos="4680"/>
              </w:tabs>
              <w:suppressAutoHyphens/>
              <w:rPr>
                <w:b/>
                <w:spacing w:val="-2"/>
              </w:rPr>
            </w:pPr>
            <w:r w:rsidRPr="00D857A1">
              <w:rPr>
                <w:b/>
                <w:spacing w:val="-2"/>
              </w:rPr>
              <w:t>)</w:t>
            </w:r>
          </w:p>
        </w:tc>
        <w:tc>
          <w:tcPr>
            <w:tcW w:w="4248" w:type="dxa"/>
          </w:tcPr>
          <w:p w:rsidR="004E3CCD" w:rsidRPr="00CF1C77" w:rsidP="003A5A10">
            <w:pPr>
              <w:tabs>
                <w:tab w:val="center" w:pos="4680"/>
              </w:tabs>
              <w:suppressAutoHyphens/>
              <w:rPr>
                <w:spacing w:val="-2"/>
                <w:lang w:val="es-ES"/>
              </w:rPr>
            </w:pPr>
          </w:p>
          <w:p w:rsidR="004E3CCD" w:rsidRPr="00CF1C77" w:rsidP="003A5A10">
            <w:pPr>
              <w:pStyle w:val="TOAHeading"/>
              <w:tabs>
                <w:tab w:val="center" w:pos="4680"/>
                <w:tab w:val="clear" w:pos="9360"/>
              </w:tabs>
              <w:rPr>
                <w:spacing w:val="-2"/>
                <w:lang w:val="es-ES"/>
              </w:rPr>
            </w:pPr>
          </w:p>
          <w:p w:rsidR="004E3CCD" w:rsidRPr="000C1EE3" w:rsidP="003A5A10">
            <w:pPr>
              <w:tabs>
                <w:tab w:val="center" w:pos="4680"/>
              </w:tabs>
              <w:suppressAutoHyphens/>
              <w:rPr>
                <w:spacing w:val="-2"/>
              </w:rPr>
            </w:pPr>
            <w:r w:rsidRPr="000C1EE3">
              <w:rPr>
                <w:spacing w:val="-2"/>
              </w:rPr>
              <w:t xml:space="preserve">File No.:  </w:t>
            </w:r>
            <w:r w:rsidRPr="000C1EE3">
              <w:rPr>
                <w:spacing w:val="-2"/>
                <w:szCs w:val="22"/>
              </w:rPr>
              <w:t>EB-IHD-18-00027598</w:t>
            </w:r>
          </w:p>
          <w:p w:rsidR="004E3CCD" w:rsidRPr="00CF1C77" w:rsidP="003A5A10">
            <w:pPr>
              <w:tabs>
                <w:tab w:val="center" w:pos="4680"/>
              </w:tabs>
              <w:suppressAutoHyphens/>
              <w:rPr>
                <w:spacing w:val="-2"/>
                <w:lang w:val="es-ES"/>
              </w:rPr>
            </w:pPr>
            <w:r w:rsidRPr="00CF1C77">
              <w:rPr>
                <w:spacing w:val="-2"/>
                <w:lang w:val="es-ES"/>
              </w:rPr>
              <w:t>NAL/</w:t>
            </w:r>
            <w:r w:rsidRPr="00CF1C77">
              <w:rPr>
                <w:spacing w:val="-2"/>
                <w:lang w:val="es-ES"/>
              </w:rPr>
              <w:t>Acct</w:t>
            </w:r>
            <w:r w:rsidRPr="00CF1C77">
              <w:rPr>
                <w:spacing w:val="-2"/>
                <w:lang w:val="es-ES"/>
              </w:rPr>
              <w:t xml:space="preserve">. No.:  </w:t>
            </w:r>
            <w:r w:rsidRPr="005F35B7">
              <w:rPr>
                <w:spacing w:val="-2"/>
                <w:lang w:val="es-ES"/>
              </w:rPr>
              <w:t>201932080010</w:t>
            </w:r>
          </w:p>
          <w:p w:rsidR="004E3CCD" w:rsidRPr="00CF1C77" w:rsidP="003A5A10">
            <w:pPr>
              <w:tabs>
                <w:tab w:val="center" w:pos="4680"/>
              </w:tabs>
              <w:suppressAutoHyphens/>
              <w:rPr>
                <w:spacing w:val="-2"/>
                <w:lang w:val="es-ES"/>
              </w:rPr>
            </w:pPr>
            <w:r w:rsidRPr="00CF1C77">
              <w:rPr>
                <w:spacing w:val="-2"/>
                <w:lang w:val="es-ES"/>
              </w:rPr>
              <w:t xml:space="preserve">FRN Nos.:  </w:t>
            </w:r>
            <w:r w:rsidRPr="008407EB">
              <w:rPr>
                <w:spacing w:val="-2"/>
                <w:szCs w:val="22"/>
                <w:lang w:val="es-ES"/>
              </w:rPr>
              <w:t>0024927642</w:t>
            </w:r>
            <w:r w:rsidRPr="00CF1C77">
              <w:rPr>
                <w:spacing w:val="-2"/>
                <w:szCs w:val="22"/>
                <w:lang w:val="es-ES"/>
              </w:rPr>
              <w:t xml:space="preserve">; </w:t>
            </w:r>
            <w:r w:rsidRPr="008407EB">
              <w:rPr>
                <w:spacing w:val="-2"/>
                <w:szCs w:val="22"/>
                <w:lang w:val="es-ES"/>
              </w:rPr>
              <w:t>0019721638</w:t>
            </w:r>
            <w:r w:rsidRPr="00CF1C77">
              <w:rPr>
                <w:spacing w:val="-2"/>
                <w:szCs w:val="22"/>
                <w:lang w:val="es-ES"/>
              </w:rPr>
              <w:t xml:space="preserve">; </w:t>
            </w:r>
            <w:r w:rsidRPr="00EF035E">
              <w:rPr>
                <w:spacing w:val="-2"/>
                <w:szCs w:val="22"/>
                <w:lang w:val="es-ES"/>
              </w:rPr>
              <w:t>0002834810</w:t>
            </w:r>
            <w:r w:rsidRPr="00CF1C77">
              <w:rPr>
                <w:spacing w:val="-2"/>
                <w:szCs w:val="22"/>
                <w:lang w:val="es-ES"/>
              </w:rPr>
              <w:t xml:space="preserve">; </w:t>
            </w:r>
            <w:r w:rsidRPr="000E5E56">
              <w:rPr>
                <w:spacing w:val="-2"/>
                <w:szCs w:val="22"/>
                <w:lang w:val="es-ES"/>
              </w:rPr>
              <w:t>0023190655</w:t>
            </w:r>
          </w:p>
        </w:tc>
      </w:tr>
    </w:tbl>
    <w:p w:rsidR="004E3CCD" w:rsidRPr="00CF1C77" w:rsidP="004E3CCD">
      <w:pPr>
        <w:rPr>
          <w:lang w:val="es-ES"/>
        </w:rPr>
      </w:pPr>
    </w:p>
    <w:p w:rsidR="004E3CCD" w:rsidRPr="00D857A1" w:rsidP="004E3CCD">
      <w:pPr>
        <w:pStyle w:val="StyleBoldCentered"/>
        <w:rPr>
          <w:rFonts w:ascii="Times New Roman" w:hAnsi="Times New Roman"/>
        </w:rPr>
      </w:pPr>
      <w:r w:rsidRPr="00D857A1">
        <w:rPr>
          <w:rFonts w:ascii="Times New Roman" w:hAnsi="Times New Roman"/>
        </w:rPr>
        <w:t>NOTICE OF APPARENT LIABILITY FOR FORFEITURE</w:t>
      </w:r>
    </w:p>
    <w:p w:rsidR="004E3CCD" w:rsidRPr="00D857A1" w:rsidP="004E3CCD">
      <w:pPr>
        <w:tabs>
          <w:tab w:val="left" w:pos="-720"/>
        </w:tabs>
        <w:suppressAutoHyphens/>
        <w:rPr>
          <w:spacing w:val="-2"/>
        </w:rPr>
      </w:pPr>
    </w:p>
    <w:p w:rsidR="004E3CCD" w:rsidRPr="00D857A1" w:rsidP="004E3CCD">
      <w:pPr>
        <w:tabs>
          <w:tab w:val="left" w:pos="720"/>
          <w:tab w:val="right" w:pos="9360"/>
        </w:tabs>
        <w:suppressAutoHyphens/>
        <w:rPr>
          <w:spacing w:val="-2"/>
        </w:rPr>
      </w:pPr>
      <w:r w:rsidRPr="00D857A1">
        <w:rPr>
          <w:b/>
          <w:spacing w:val="-2"/>
        </w:rPr>
        <w:t xml:space="preserve">Adopted:  </w:t>
      </w:r>
      <w:r w:rsidR="00EA79F6">
        <w:rPr>
          <w:b/>
          <w:spacing w:val="-2"/>
        </w:rPr>
        <w:t>July 2</w:t>
      </w:r>
      <w:r w:rsidRPr="00EA79F6" w:rsidR="00EA79F6">
        <w:rPr>
          <w:b/>
          <w:spacing w:val="-2"/>
        </w:rPr>
        <w:t>4</w:t>
      </w:r>
      <w:r w:rsidRPr="00EA79F6" w:rsidR="004374D7">
        <w:rPr>
          <w:b/>
          <w:spacing w:val="-2"/>
        </w:rPr>
        <w:t>, 2019</w:t>
      </w:r>
      <w:r w:rsidRPr="00EA79F6">
        <w:rPr>
          <w:b/>
          <w:spacing w:val="-2"/>
        </w:rPr>
        <w:tab/>
        <w:t xml:space="preserve">Released:  </w:t>
      </w:r>
      <w:r w:rsidRPr="00EA79F6" w:rsidR="00134060">
        <w:rPr>
          <w:b/>
          <w:spacing w:val="-2"/>
        </w:rPr>
        <w:t xml:space="preserve">August </w:t>
      </w:r>
      <w:r w:rsidR="00C96C29">
        <w:rPr>
          <w:b/>
          <w:spacing w:val="-2"/>
        </w:rPr>
        <w:t>6</w:t>
      </w:r>
      <w:r w:rsidRPr="00EA79F6" w:rsidR="004374D7">
        <w:rPr>
          <w:b/>
          <w:spacing w:val="-2"/>
        </w:rPr>
        <w:t>, 2019</w:t>
      </w:r>
    </w:p>
    <w:p w:rsidR="004E3CCD" w:rsidRPr="00D857A1" w:rsidP="004E3CCD"/>
    <w:p w:rsidR="003B3CFD" w:rsidRPr="00D857A1" w:rsidP="003B3CFD">
      <w:pPr>
        <w:rPr>
          <w:spacing w:val="-2"/>
        </w:rPr>
      </w:pPr>
      <w:r w:rsidRPr="00D857A1">
        <w:t>By the</w:t>
      </w:r>
      <w:r w:rsidRPr="00D857A1">
        <w:rPr>
          <w:spacing w:val="-2"/>
        </w:rPr>
        <w:t xml:space="preserve"> Commission:  </w:t>
      </w:r>
      <w:r w:rsidR="00035050">
        <w:t xml:space="preserve">Commissioner </w:t>
      </w:r>
      <w:r w:rsidR="00035050">
        <w:t>Rosenworcel</w:t>
      </w:r>
      <w:r w:rsidR="00035050">
        <w:t xml:space="preserve"> concurring; Commissioner Starks dissenting and issuing a statement.</w:t>
      </w:r>
    </w:p>
    <w:p w:rsidR="004E3CCD" w:rsidRPr="00D857A1" w:rsidP="004E3CCD">
      <w:pPr>
        <w:rPr>
          <w:spacing w:val="-2"/>
        </w:rPr>
      </w:pPr>
    </w:p>
    <w:p w:rsidR="004E3CCD" w:rsidRPr="00D857A1" w:rsidP="004E3CCD">
      <w:pPr>
        <w:pStyle w:val="Heading1"/>
        <w:rPr>
          <w:rFonts w:ascii="Times New Roman" w:hAnsi="Times New Roman"/>
        </w:rPr>
      </w:pPr>
      <w:r w:rsidRPr="00D857A1">
        <w:rPr>
          <w:rFonts w:ascii="Times New Roman" w:hAnsi="Times New Roman"/>
        </w:rPr>
        <w:t>INTRODUCTION</w:t>
      </w:r>
    </w:p>
    <w:p w:rsidR="004E3CCD" w:rsidRPr="00B80EAF" w:rsidP="004E3CCD">
      <w:pPr>
        <w:pStyle w:val="ParaNum"/>
        <w:rPr>
          <w:szCs w:val="22"/>
        </w:rPr>
      </w:pPr>
      <w:r w:rsidRPr="00B80EAF">
        <w:rPr>
          <w:szCs w:val="22"/>
        </w:rPr>
        <w:t xml:space="preserve">We propose a penalty of $233,000 against </w:t>
      </w:r>
      <w:bookmarkStart w:id="1" w:name="_Hlk9948100"/>
      <w:r w:rsidRPr="00B80EAF">
        <w:rPr>
          <w:szCs w:val="22"/>
        </w:rPr>
        <w:t xml:space="preserve">Radio License Holding CBC, LLC (Radio License), Cumulus Licensing LLC, Radio License Holdings LLC, and Cumulus Radio </w:t>
      </w:r>
      <w:r>
        <w:rPr>
          <w:szCs w:val="22"/>
        </w:rPr>
        <w:t xml:space="preserve">LLC, successor-in-interest to Cumulus Radio Corporation </w:t>
      </w:r>
      <w:r w:rsidRPr="00B80EAF">
        <w:rPr>
          <w:szCs w:val="22"/>
        </w:rPr>
        <w:t>(Cumulus)</w:t>
      </w:r>
      <w:bookmarkEnd w:id="1"/>
      <w:r>
        <w:rPr>
          <w:rStyle w:val="FootnoteReference"/>
          <w:sz w:val="22"/>
          <w:szCs w:val="22"/>
        </w:rPr>
        <w:footnoteReference w:id="3"/>
      </w:r>
      <w:r w:rsidRPr="00B80EAF">
        <w:rPr>
          <w:szCs w:val="22"/>
        </w:rPr>
        <w:t xml:space="preserve"> for apparently failing repeatedly to air sponsorship identifications in violation of the Communications Act of 1934, as amended (Act), and Federal Communications Commission (FCC or Commission) rules (Rules) on paid-for broadcast programming and for failing to timely notify the FCC about certain of these violations, as required by a 2016 consent decree (Consent Decree or CD) between Radio License, Cumulus, and the FCC’s Enforcement Bureau (Bureau).</w:t>
      </w:r>
      <w:r>
        <w:rPr>
          <w:rStyle w:val="FootnoteReference"/>
          <w:sz w:val="22"/>
          <w:szCs w:val="22"/>
        </w:rPr>
        <w:footnoteReference w:id="4"/>
      </w:r>
    </w:p>
    <w:p w:rsidR="004E3CCD" w:rsidRPr="00D857A1" w:rsidP="004E3CCD">
      <w:pPr>
        <w:pStyle w:val="ParaNum"/>
        <w:rPr>
          <w:szCs w:val="22"/>
        </w:rPr>
      </w:pPr>
      <w:r w:rsidRPr="00D857A1">
        <w:rPr>
          <w:szCs w:val="22"/>
        </w:rPr>
        <w:t xml:space="preserve">The sponsorship identification laws require broadcasters to air sponsorship identification announcements when any valuable consideration is paid or promised </w:t>
      </w:r>
      <w:r>
        <w:rPr>
          <w:szCs w:val="22"/>
        </w:rPr>
        <w:t xml:space="preserve">to </w:t>
      </w:r>
      <w:r w:rsidRPr="00D857A1">
        <w:rPr>
          <w:szCs w:val="22"/>
        </w:rPr>
        <w:t xml:space="preserve">them in exchange for the broadcast of program material.  Following an investigation, the Bureau determined that </w:t>
      </w:r>
      <w:r>
        <w:rPr>
          <w:szCs w:val="22"/>
        </w:rPr>
        <w:t xml:space="preserve">Cumulus and Radio License </w:t>
      </w:r>
      <w:r w:rsidRPr="00D857A1">
        <w:rPr>
          <w:szCs w:val="22"/>
        </w:rPr>
        <w:t xml:space="preserve">failed to air required sponsorship announcements in connection with certain paid programming, and </w:t>
      </w:r>
      <w:r>
        <w:rPr>
          <w:szCs w:val="22"/>
        </w:rPr>
        <w:t>Radio License, Cumulus,</w:t>
      </w:r>
      <w:r w:rsidRPr="00D857A1">
        <w:rPr>
          <w:szCs w:val="22"/>
        </w:rPr>
        <w:t xml:space="preserve"> and the </w:t>
      </w:r>
      <w:r>
        <w:rPr>
          <w:szCs w:val="22"/>
        </w:rPr>
        <w:t>Bureau</w:t>
      </w:r>
      <w:r w:rsidRPr="00D857A1">
        <w:rPr>
          <w:szCs w:val="22"/>
        </w:rPr>
        <w:t xml:space="preserve"> entered into the CD,</w:t>
      </w:r>
      <w:r>
        <w:rPr>
          <w:rStyle w:val="FootnoteReference"/>
          <w:szCs w:val="22"/>
        </w:rPr>
        <w:footnoteReference w:id="5"/>
      </w:r>
      <w:r w:rsidRPr="00D857A1">
        <w:rPr>
          <w:szCs w:val="22"/>
        </w:rPr>
        <w:t xml:space="preserve"> which required that</w:t>
      </w:r>
      <w:r>
        <w:rPr>
          <w:szCs w:val="22"/>
        </w:rPr>
        <w:t xml:space="preserve"> Cumulus and Radio License</w:t>
      </w:r>
      <w:r w:rsidRPr="00D857A1">
        <w:rPr>
          <w:szCs w:val="22"/>
        </w:rPr>
        <w:t xml:space="preserve"> adopt a compliance plan, file regular compliance reports, and notify the </w:t>
      </w:r>
      <w:r>
        <w:rPr>
          <w:szCs w:val="22"/>
        </w:rPr>
        <w:t>Bureau</w:t>
      </w:r>
      <w:r w:rsidRPr="00D857A1">
        <w:rPr>
          <w:szCs w:val="22"/>
        </w:rPr>
        <w:t xml:space="preserve"> of any noncompliance with the sponsorship identification laws or the CD within 15 days after discovery of such noncompliance.  After </w:t>
      </w:r>
      <w:r w:rsidRPr="00D857A1">
        <w:rPr>
          <w:szCs w:val="22"/>
        </w:rPr>
        <w:t>entering into</w:t>
      </w:r>
      <w:r w:rsidRPr="00D857A1">
        <w:rPr>
          <w:szCs w:val="22"/>
        </w:rPr>
        <w:t xml:space="preserve"> the CD, </w:t>
      </w:r>
      <w:r>
        <w:rPr>
          <w:szCs w:val="22"/>
        </w:rPr>
        <w:t xml:space="preserve">during the term of the CD, </w:t>
      </w:r>
      <w:r w:rsidRPr="00E842F0">
        <w:rPr>
          <w:szCs w:val="22"/>
        </w:rPr>
        <w:t xml:space="preserve">Radio License, Cumulus Licensing LLC, and Radio License Holdings LLC </w:t>
      </w:r>
      <w:r w:rsidRPr="00D857A1">
        <w:rPr>
          <w:szCs w:val="22"/>
        </w:rPr>
        <w:t>received payment to broadcast sponsored programming, and apparently broadcast such programming at seven stations</w:t>
      </w:r>
      <w:r>
        <w:rPr>
          <w:szCs w:val="22"/>
        </w:rPr>
        <w:t>,</w:t>
      </w:r>
      <w:r w:rsidRPr="00D857A1">
        <w:rPr>
          <w:szCs w:val="22"/>
        </w:rPr>
        <w:t xml:space="preserve"> </w:t>
      </w:r>
      <w:r>
        <w:t>collectively</w:t>
      </w:r>
      <w:r>
        <w:rPr>
          <w:szCs w:val="22"/>
        </w:rPr>
        <w:t xml:space="preserve"> twenty-six</w:t>
      </w:r>
      <w:r w:rsidRPr="00D857A1">
        <w:rPr>
          <w:szCs w:val="22"/>
        </w:rPr>
        <w:t xml:space="preserve"> times</w:t>
      </w:r>
      <w:r>
        <w:rPr>
          <w:szCs w:val="22"/>
        </w:rPr>
        <w:t>,</w:t>
      </w:r>
      <w:r w:rsidRPr="00D857A1">
        <w:rPr>
          <w:szCs w:val="22"/>
        </w:rPr>
        <w:t xml:space="preserve"> without airing appropriate sponsorship identification announcements.  In addition, Cumulus </w:t>
      </w:r>
      <w:r>
        <w:rPr>
          <w:szCs w:val="22"/>
        </w:rPr>
        <w:t xml:space="preserve">and Radio License </w:t>
      </w:r>
      <w:r w:rsidRPr="00D857A1">
        <w:rPr>
          <w:szCs w:val="22"/>
        </w:rPr>
        <w:t xml:space="preserve">failed to timely notify the Bureau about certain of these violations in accordance with the 15-day time-table set forth in the CD.  </w:t>
      </w:r>
    </w:p>
    <w:p w:rsidR="004E3CCD" w:rsidRPr="00D857A1" w:rsidP="004E3CCD">
      <w:pPr>
        <w:pStyle w:val="ParaNum"/>
        <w:widowControl/>
        <w:rPr>
          <w:szCs w:val="22"/>
        </w:rPr>
      </w:pPr>
      <w:r w:rsidRPr="00D857A1">
        <w:rPr>
          <w:szCs w:val="22"/>
        </w:rPr>
        <w:t xml:space="preserve">Our action today advances the Commission’s longstanding goals of protecting consumers by ensuring </w:t>
      </w:r>
      <w:r>
        <w:rPr>
          <w:szCs w:val="22"/>
        </w:rPr>
        <w:t xml:space="preserve">that </w:t>
      </w:r>
      <w:r w:rsidRPr="00D857A1">
        <w:rPr>
          <w:szCs w:val="22"/>
        </w:rPr>
        <w:t>they know who is attempting to persuade them</w:t>
      </w:r>
      <w:r>
        <w:rPr>
          <w:szCs w:val="22"/>
        </w:rPr>
        <w:t>,</w:t>
      </w:r>
      <w:r w:rsidRPr="00D857A1">
        <w:rPr>
          <w:szCs w:val="22"/>
        </w:rPr>
        <w:t xml:space="preserve"> and </w:t>
      </w:r>
      <w:r>
        <w:rPr>
          <w:szCs w:val="22"/>
        </w:rPr>
        <w:t xml:space="preserve">by </w:t>
      </w:r>
      <w:r w:rsidRPr="00D857A1">
        <w:rPr>
          <w:szCs w:val="22"/>
        </w:rPr>
        <w:t xml:space="preserve">protecting broadcasters and sponsors from unfair competitors that fail to abide by our disclosure rules.  When a broadcast licensee fails to disclose the sponsor of paid programming, it might mislead the public into believing </w:t>
      </w:r>
      <w:r>
        <w:rPr>
          <w:szCs w:val="22"/>
        </w:rPr>
        <w:t xml:space="preserve">that </w:t>
      </w:r>
      <w:r w:rsidRPr="00D857A1">
        <w:rPr>
          <w:szCs w:val="22"/>
        </w:rPr>
        <w:t>the paid broadcast material is a station’s independently</w:t>
      </w:r>
      <w:r>
        <w:rPr>
          <w:szCs w:val="22"/>
        </w:rPr>
        <w:t>-</w:t>
      </w:r>
      <w:r w:rsidRPr="00D857A1">
        <w:rPr>
          <w:szCs w:val="22"/>
        </w:rPr>
        <w:t xml:space="preserve">generated news or editorial content.  In addition, enforcement of the sponsorship identification requirements protects competition by preventing sponsors from gaining an unfair advantage by paying stations to present commercial material as news or editorial content, while their competitors’ paid programming is properly disclosed as sponsored material.  Our action today also advances the Commission’s commitment to ensure that parties fully comply with consent decrees.  </w:t>
      </w:r>
    </w:p>
    <w:p w:rsidR="004E3CCD" w:rsidRPr="00D857A1" w:rsidP="004E3CCD">
      <w:pPr>
        <w:pStyle w:val="Heading1"/>
        <w:rPr>
          <w:rFonts w:ascii="Times New Roman" w:hAnsi="Times New Roman"/>
        </w:rPr>
      </w:pPr>
      <w:r w:rsidRPr="00D857A1">
        <w:rPr>
          <w:rFonts w:ascii="Times New Roman" w:hAnsi="Times New Roman"/>
        </w:rPr>
        <w:t>BACKGROUND</w:t>
      </w:r>
    </w:p>
    <w:p w:rsidR="004E3CCD" w:rsidRPr="00D857A1" w:rsidP="00AF28D4">
      <w:pPr>
        <w:pStyle w:val="ParaNum"/>
        <w:widowControl/>
        <w:rPr>
          <w:szCs w:val="22"/>
        </w:rPr>
      </w:pPr>
      <w:r w:rsidRPr="00D857A1">
        <w:rPr>
          <w:szCs w:val="22"/>
        </w:rPr>
        <w:t xml:space="preserve">On January 7, 2016, </w:t>
      </w:r>
      <w:r>
        <w:rPr>
          <w:szCs w:val="22"/>
        </w:rPr>
        <w:t>Cumulus</w:t>
      </w:r>
      <w:r w:rsidRPr="00D857A1">
        <w:rPr>
          <w:szCs w:val="22"/>
        </w:rPr>
        <w:t xml:space="preserve"> </w:t>
      </w:r>
      <w:r>
        <w:rPr>
          <w:szCs w:val="22"/>
        </w:rPr>
        <w:t xml:space="preserve">and </w:t>
      </w:r>
      <w:r w:rsidRPr="00D857A1">
        <w:rPr>
          <w:szCs w:val="22"/>
        </w:rPr>
        <w:t>Radio License, the former licensee of radio station WOKQ(FM), Dover, New Hampshire (Station)</w:t>
      </w:r>
      <w:r>
        <w:rPr>
          <w:szCs w:val="22"/>
        </w:rPr>
        <w:t>,</w:t>
      </w:r>
      <w:r w:rsidRPr="00D857A1">
        <w:rPr>
          <w:szCs w:val="22"/>
        </w:rPr>
        <w:t xml:space="preserve"> entered into the Consent Decree with the Bureau to resolve the Bureau’s investigation into </w:t>
      </w:r>
      <w:r>
        <w:rPr>
          <w:szCs w:val="22"/>
        </w:rPr>
        <w:t>the Station’s</w:t>
      </w:r>
      <w:r w:rsidRPr="00D857A1">
        <w:rPr>
          <w:szCs w:val="22"/>
        </w:rPr>
        <w:t xml:space="preserve"> broadcast announcements, which </w:t>
      </w:r>
      <w:r>
        <w:rPr>
          <w:szCs w:val="22"/>
        </w:rPr>
        <w:t>were</w:t>
      </w:r>
      <w:r w:rsidRPr="00D857A1">
        <w:rPr>
          <w:szCs w:val="22"/>
        </w:rPr>
        <w:t xml:space="preserve"> aired without adequate sponsorship identification disclosures.</w:t>
      </w:r>
      <w:r>
        <w:rPr>
          <w:rStyle w:val="FootnoteReference"/>
          <w:sz w:val="22"/>
          <w:szCs w:val="22"/>
        </w:rPr>
        <w:footnoteReference w:id="6"/>
      </w:r>
      <w:r w:rsidRPr="00D857A1">
        <w:rPr>
          <w:szCs w:val="22"/>
        </w:rPr>
        <w:t xml:space="preserve">  Cumulus</w:t>
      </w:r>
      <w:r>
        <w:rPr>
          <w:szCs w:val="22"/>
        </w:rPr>
        <w:t xml:space="preserve"> and Radio License</w:t>
      </w:r>
      <w:r w:rsidRPr="00D857A1">
        <w:rPr>
          <w:szCs w:val="22"/>
        </w:rPr>
        <w:t xml:space="preserve"> agreed to pay a $540,000 civil penalty</w:t>
      </w:r>
      <w:r>
        <w:rPr>
          <w:rStyle w:val="FootnoteReference"/>
          <w:sz w:val="22"/>
          <w:szCs w:val="22"/>
        </w:rPr>
        <w:footnoteReference w:id="7"/>
      </w:r>
      <w:r w:rsidRPr="00D857A1">
        <w:rPr>
          <w:szCs w:val="22"/>
        </w:rPr>
        <w:t xml:space="preserve"> and to</w:t>
      </w:r>
      <w:r w:rsidRPr="00D857A1">
        <w:t xml:space="preserve"> implement a compliance plan,</w:t>
      </w:r>
      <w:r>
        <w:rPr>
          <w:rStyle w:val="FootnoteReference"/>
        </w:rPr>
        <w:footnoteReference w:id="8"/>
      </w:r>
      <w:r w:rsidRPr="00D857A1">
        <w:t xml:space="preserve"> among other terms.  </w:t>
      </w:r>
      <w:r w:rsidRPr="00D857A1">
        <w:rPr>
          <w:szCs w:val="22"/>
        </w:rPr>
        <w:t>Under the Consent Decree, during the period from January 2016 until January 2019, Cumulus</w:t>
      </w:r>
      <w:r>
        <w:rPr>
          <w:szCs w:val="22"/>
        </w:rPr>
        <w:t xml:space="preserve"> and Radio License</w:t>
      </w:r>
      <w:r w:rsidRPr="00D857A1">
        <w:rPr>
          <w:szCs w:val="22"/>
        </w:rPr>
        <w:t xml:space="preserve"> </w:t>
      </w:r>
      <w:r>
        <w:rPr>
          <w:szCs w:val="22"/>
        </w:rPr>
        <w:t>were</w:t>
      </w:r>
      <w:r w:rsidRPr="00D857A1">
        <w:rPr>
          <w:szCs w:val="22"/>
        </w:rPr>
        <w:t xml:space="preserve"> required to </w:t>
      </w:r>
      <w:r w:rsidRPr="00D857A1">
        <w:rPr>
          <w:szCs w:val="22"/>
        </w:rPr>
        <w:t>report any noncompliance with the Commission’s sponsorship identification laws and with the terms and conditions of the Consent Decree within 15 calendar days after discovery of such noncompliance.</w:t>
      </w:r>
      <w:r>
        <w:rPr>
          <w:rStyle w:val="FootnoteReference"/>
          <w:sz w:val="22"/>
          <w:szCs w:val="22"/>
        </w:rPr>
        <w:footnoteReference w:id="9"/>
      </w:r>
      <w:r w:rsidRPr="00D857A1">
        <w:rPr>
          <w:szCs w:val="22"/>
        </w:rPr>
        <w:t xml:space="preserve"> </w:t>
      </w:r>
    </w:p>
    <w:p w:rsidR="004E3CCD" w:rsidRPr="00D857A1" w:rsidP="004E3CCD">
      <w:pPr>
        <w:pStyle w:val="ParaNum"/>
        <w:rPr>
          <w:szCs w:val="22"/>
        </w:rPr>
      </w:pPr>
      <w:r w:rsidRPr="00D857A1">
        <w:rPr>
          <w:szCs w:val="22"/>
        </w:rPr>
        <w:t xml:space="preserve">In a January 8, 2018 filing with the Bureau (January 2018 Filing), Cumulus </w:t>
      </w:r>
      <w:r>
        <w:rPr>
          <w:szCs w:val="22"/>
        </w:rPr>
        <w:t xml:space="preserve">and Radio License </w:t>
      </w:r>
      <w:r w:rsidRPr="00D857A1">
        <w:rPr>
          <w:szCs w:val="22"/>
        </w:rPr>
        <w:t xml:space="preserve">disclosed that one non-compliant spot sponsored by Relevant Sports LLC aired collectively </w:t>
      </w:r>
      <w:r>
        <w:rPr>
          <w:szCs w:val="22"/>
        </w:rPr>
        <w:t>thirteen</w:t>
      </w:r>
      <w:r w:rsidRPr="00D857A1">
        <w:rPr>
          <w:szCs w:val="22"/>
        </w:rPr>
        <w:t xml:space="preserve"> times on six radio stations in Michigan (of these six stations, two are licensed to Radio License, two are licensed to Cumulus Licensing LLC, and two are licensed to Radio License Holdings LLC) on May 16, 2017</w:t>
      </w:r>
      <w:r>
        <w:rPr>
          <w:szCs w:val="22"/>
        </w:rPr>
        <w:t xml:space="preserve"> </w:t>
      </w:r>
      <w:r w:rsidRPr="00D857A1">
        <w:rPr>
          <w:szCs w:val="22"/>
        </w:rPr>
        <w:t>(May 2017 Sponsorship ID Violations).</w:t>
      </w:r>
      <w:r>
        <w:rPr>
          <w:rStyle w:val="FootnoteReference"/>
          <w:sz w:val="22"/>
          <w:szCs w:val="22"/>
        </w:rPr>
        <w:footnoteReference w:id="10"/>
      </w:r>
      <w:r w:rsidRPr="00D857A1">
        <w:rPr>
          <w:szCs w:val="22"/>
        </w:rPr>
        <w:t xml:space="preserve">  The six stations apparently broadcast the spot without the appropriate sponsorship identifications.</w:t>
      </w:r>
      <w:r>
        <w:rPr>
          <w:rStyle w:val="FootnoteReference"/>
        </w:rPr>
        <w:footnoteReference w:id="11"/>
      </w:r>
      <w:r w:rsidRPr="00D857A1">
        <w:rPr>
          <w:szCs w:val="22"/>
        </w:rPr>
        <w:t xml:space="preserve">  Cumulus </w:t>
      </w:r>
      <w:r>
        <w:rPr>
          <w:szCs w:val="22"/>
        </w:rPr>
        <w:t xml:space="preserve">and Radio License </w:t>
      </w:r>
      <w:r w:rsidRPr="00D857A1">
        <w:rPr>
          <w:szCs w:val="22"/>
        </w:rPr>
        <w:t>reported these violations nearly eight months after they occurred.</w:t>
      </w:r>
      <w:r>
        <w:rPr>
          <w:szCs w:val="22"/>
        </w:rPr>
        <w:t xml:space="preserve">  </w:t>
      </w:r>
      <w:r w:rsidRPr="00D857A1">
        <w:rPr>
          <w:szCs w:val="22"/>
        </w:rPr>
        <w:t xml:space="preserve">Cumulus </w:t>
      </w:r>
      <w:r>
        <w:rPr>
          <w:szCs w:val="22"/>
        </w:rPr>
        <w:t xml:space="preserve">and Radio License </w:t>
      </w:r>
      <w:r w:rsidRPr="00D857A1">
        <w:rPr>
          <w:szCs w:val="22"/>
        </w:rPr>
        <w:t>claim</w:t>
      </w:r>
      <w:r>
        <w:rPr>
          <w:szCs w:val="22"/>
        </w:rPr>
        <w:t>ed</w:t>
      </w:r>
      <w:r w:rsidRPr="00D857A1">
        <w:rPr>
          <w:szCs w:val="22"/>
        </w:rPr>
        <w:t xml:space="preserve"> the matter was promptly reported to </w:t>
      </w:r>
      <w:r>
        <w:rPr>
          <w:szCs w:val="22"/>
        </w:rPr>
        <w:t>the</w:t>
      </w:r>
      <w:r w:rsidRPr="00D857A1">
        <w:rPr>
          <w:szCs w:val="22"/>
        </w:rPr>
        <w:t xml:space="preserve"> designated compliance officer under the CD, Richard S. Denning, </w:t>
      </w:r>
      <w:r>
        <w:rPr>
          <w:szCs w:val="22"/>
        </w:rPr>
        <w:t xml:space="preserve">then </w:t>
      </w:r>
      <w:r w:rsidRPr="00D857A1">
        <w:rPr>
          <w:szCs w:val="22"/>
        </w:rPr>
        <w:t>Senior Vice President, General Counsel, and Secretary of Cumulus Media Inc., the ultimate indirect parent of C</w:t>
      </w:r>
      <w:r>
        <w:rPr>
          <w:szCs w:val="22"/>
        </w:rPr>
        <w:t>umulus</w:t>
      </w:r>
      <w:r w:rsidRPr="00D857A1">
        <w:rPr>
          <w:szCs w:val="22"/>
        </w:rPr>
        <w:t xml:space="preserve"> </w:t>
      </w:r>
      <w:r>
        <w:rPr>
          <w:szCs w:val="22"/>
        </w:rPr>
        <w:t xml:space="preserve">and </w:t>
      </w:r>
      <w:r w:rsidRPr="00D857A1">
        <w:rPr>
          <w:szCs w:val="22"/>
        </w:rPr>
        <w:t>Radio License</w:t>
      </w:r>
      <w:r>
        <w:rPr>
          <w:szCs w:val="22"/>
        </w:rPr>
        <w:t xml:space="preserve">, and </w:t>
      </w:r>
      <w:r w:rsidRPr="00D857A1">
        <w:rPr>
          <w:szCs w:val="22"/>
        </w:rPr>
        <w:t>Senior Vice President, General Counsel, and Secretary of</w:t>
      </w:r>
      <w:r>
        <w:rPr>
          <w:szCs w:val="22"/>
        </w:rPr>
        <w:t xml:space="preserve"> Cumulus and Radio License</w:t>
      </w:r>
      <w:r w:rsidRPr="00D857A1">
        <w:rPr>
          <w:szCs w:val="22"/>
        </w:rPr>
        <w:t xml:space="preserve"> (Compliance Officer).</w:t>
      </w:r>
      <w:r>
        <w:rPr>
          <w:rStyle w:val="FootnoteReference"/>
          <w:sz w:val="22"/>
          <w:szCs w:val="22"/>
        </w:rPr>
        <w:footnoteReference w:id="12"/>
      </w:r>
      <w:r>
        <w:rPr>
          <w:szCs w:val="22"/>
        </w:rPr>
        <w:t xml:space="preserve">  </w:t>
      </w:r>
      <w:r w:rsidRPr="00D857A1">
        <w:rPr>
          <w:szCs w:val="22"/>
        </w:rPr>
        <w:t xml:space="preserve">Cumulus </w:t>
      </w:r>
      <w:r>
        <w:rPr>
          <w:szCs w:val="22"/>
        </w:rPr>
        <w:t xml:space="preserve">and Radio License </w:t>
      </w:r>
      <w:r w:rsidRPr="00D857A1">
        <w:rPr>
          <w:szCs w:val="22"/>
        </w:rPr>
        <w:t>also claim</w:t>
      </w:r>
      <w:r>
        <w:rPr>
          <w:szCs w:val="22"/>
        </w:rPr>
        <w:t>ed</w:t>
      </w:r>
      <w:r w:rsidRPr="00D857A1">
        <w:rPr>
          <w:szCs w:val="22"/>
        </w:rPr>
        <w:t xml:space="preserve"> that immediate steps </w:t>
      </w:r>
      <w:r>
        <w:rPr>
          <w:szCs w:val="22"/>
        </w:rPr>
        <w:t xml:space="preserve">were taken </w:t>
      </w:r>
      <w:r w:rsidRPr="00D857A1">
        <w:rPr>
          <w:szCs w:val="22"/>
        </w:rPr>
        <w:t>to prevent any further airing of the sponsored material on stations without appropriate sponsorship identification.</w:t>
      </w:r>
      <w:r>
        <w:rPr>
          <w:rStyle w:val="FootnoteReference"/>
          <w:sz w:val="22"/>
          <w:szCs w:val="22"/>
        </w:rPr>
        <w:footnoteReference w:id="13"/>
      </w:r>
      <w:r w:rsidRPr="00D857A1">
        <w:rPr>
          <w:szCs w:val="22"/>
        </w:rPr>
        <w:t xml:space="preserve">  </w:t>
      </w:r>
      <w:r>
        <w:rPr>
          <w:szCs w:val="22"/>
        </w:rPr>
        <w:t>Cumulus and Radio License stated that i</w:t>
      </w:r>
      <w:r w:rsidRPr="00D857A1">
        <w:rPr>
          <w:szCs w:val="22"/>
        </w:rPr>
        <w:t xml:space="preserve">n addition to </w:t>
      </w:r>
      <w:r>
        <w:rPr>
          <w:szCs w:val="22"/>
        </w:rPr>
        <w:t>the</w:t>
      </w:r>
      <w:r w:rsidRPr="00D857A1">
        <w:rPr>
          <w:szCs w:val="22"/>
        </w:rPr>
        <w:t xml:space="preserve"> compliance plan under the Consent Decree, </w:t>
      </w:r>
      <w:r>
        <w:rPr>
          <w:szCs w:val="22"/>
        </w:rPr>
        <w:t>they</w:t>
      </w:r>
      <w:r w:rsidRPr="00D857A1">
        <w:rPr>
          <w:szCs w:val="22"/>
        </w:rPr>
        <w:t xml:space="preserve"> continued to conduct legal research and training regarding the sponsorship identification laws to better comply with the Consent Decree, and prepared a presentation each of the past two years which it used in one-hour compliance training programs.</w:t>
      </w:r>
      <w:r>
        <w:rPr>
          <w:rStyle w:val="FootnoteReference"/>
          <w:szCs w:val="22"/>
        </w:rPr>
        <w:footnoteReference w:id="14"/>
      </w:r>
    </w:p>
    <w:p w:rsidR="004E3CCD" w:rsidRPr="00D857A1" w:rsidP="004E3CCD">
      <w:pPr>
        <w:pStyle w:val="ParaNum"/>
        <w:widowControl/>
        <w:rPr>
          <w:szCs w:val="22"/>
        </w:rPr>
      </w:pPr>
      <w:r w:rsidRPr="00D857A1">
        <w:rPr>
          <w:szCs w:val="22"/>
        </w:rPr>
        <w:t>In a May 29, 2018</w:t>
      </w:r>
      <w:r>
        <w:rPr>
          <w:szCs w:val="22"/>
        </w:rPr>
        <w:t>,</w:t>
      </w:r>
      <w:r w:rsidRPr="00D857A1">
        <w:rPr>
          <w:szCs w:val="22"/>
        </w:rPr>
        <w:t xml:space="preserve"> filing with the Bureau (May 2018 Filing), Cumulus</w:t>
      </w:r>
      <w:r>
        <w:rPr>
          <w:szCs w:val="22"/>
        </w:rPr>
        <w:t xml:space="preserve"> and Radio License</w:t>
      </w:r>
      <w:r w:rsidRPr="00D857A1">
        <w:rPr>
          <w:szCs w:val="22"/>
        </w:rPr>
        <w:t xml:space="preserve"> reported that a non-compliant advertisement concerning a gubernatorial candidate ran nine times on another radio station (licensed to Cumulus Licensing LLC) in Georgia on May 14, 2018, and four times on May 15, 2018, for a total of </w:t>
      </w:r>
      <w:r>
        <w:rPr>
          <w:szCs w:val="22"/>
        </w:rPr>
        <w:t>thirteen</w:t>
      </w:r>
      <w:r w:rsidRPr="00D857A1">
        <w:rPr>
          <w:szCs w:val="22"/>
        </w:rPr>
        <w:t xml:space="preserve"> times</w:t>
      </w:r>
      <w:r>
        <w:rPr>
          <w:szCs w:val="22"/>
        </w:rPr>
        <w:t xml:space="preserve"> </w:t>
      </w:r>
      <w:r w:rsidR="005957D6">
        <w:rPr>
          <w:szCs w:val="22"/>
        </w:rPr>
        <w:t xml:space="preserve">in </w:t>
      </w:r>
      <w:r w:rsidRPr="00D857A1">
        <w:rPr>
          <w:szCs w:val="22"/>
        </w:rPr>
        <w:t>May 2018 (May 2018 Sponsorship ID Violations).</w:t>
      </w:r>
      <w:r>
        <w:rPr>
          <w:rStyle w:val="FootnoteReference"/>
          <w:sz w:val="22"/>
          <w:szCs w:val="22"/>
        </w:rPr>
        <w:footnoteReference w:id="15"/>
      </w:r>
      <w:r w:rsidRPr="00D857A1">
        <w:rPr>
          <w:szCs w:val="22"/>
        </w:rPr>
        <w:t xml:space="preserve">  These spots also apparently did not have appropriate sponsorship identifications.  Cumulus </w:t>
      </w:r>
      <w:r>
        <w:rPr>
          <w:szCs w:val="22"/>
        </w:rPr>
        <w:t xml:space="preserve">and Radio License </w:t>
      </w:r>
      <w:r w:rsidRPr="00D857A1">
        <w:rPr>
          <w:szCs w:val="22"/>
        </w:rPr>
        <w:t>claim</w:t>
      </w:r>
      <w:r>
        <w:rPr>
          <w:szCs w:val="22"/>
        </w:rPr>
        <w:t>ed</w:t>
      </w:r>
      <w:r w:rsidRPr="00D857A1">
        <w:rPr>
          <w:szCs w:val="22"/>
        </w:rPr>
        <w:t xml:space="preserve"> the matter was promptly reported to </w:t>
      </w:r>
      <w:r>
        <w:rPr>
          <w:szCs w:val="22"/>
        </w:rPr>
        <w:t>the</w:t>
      </w:r>
      <w:r w:rsidRPr="00D857A1">
        <w:rPr>
          <w:szCs w:val="22"/>
        </w:rPr>
        <w:t xml:space="preserve"> Compliance Officer, and that immediate steps </w:t>
      </w:r>
      <w:r>
        <w:rPr>
          <w:szCs w:val="22"/>
        </w:rPr>
        <w:t xml:space="preserve">were taken </w:t>
      </w:r>
      <w:r w:rsidRPr="00D857A1">
        <w:rPr>
          <w:szCs w:val="22"/>
        </w:rPr>
        <w:t>to prevent any further airing of the sponsored material on stations without appropriate sponsorship identification.</w:t>
      </w:r>
      <w:r>
        <w:rPr>
          <w:rStyle w:val="FootnoteReference"/>
          <w:sz w:val="22"/>
          <w:szCs w:val="22"/>
        </w:rPr>
        <w:footnoteReference w:id="16"/>
      </w:r>
      <w:r w:rsidRPr="00D857A1">
        <w:rPr>
          <w:szCs w:val="22"/>
        </w:rPr>
        <w:t xml:space="preserve">  Cumulus </w:t>
      </w:r>
      <w:r>
        <w:rPr>
          <w:szCs w:val="22"/>
        </w:rPr>
        <w:t xml:space="preserve">and Radio License </w:t>
      </w:r>
      <w:r w:rsidRPr="00D857A1">
        <w:rPr>
          <w:szCs w:val="22"/>
        </w:rPr>
        <w:t>also claim</w:t>
      </w:r>
      <w:r>
        <w:rPr>
          <w:szCs w:val="22"/>
        </w:rPr>
        <w:t>ed</w:t>
      </w:r>
      <w:r w:rsidRPr="00D857A1">
        <w:rPr>
          <w:szCs w:val="22"/>
        </w:rPr>
        <w:t xml:space="preserve"> that to remedy such noncompliance, a one-hour training session with employees in </w:t>
      </w:r>
      <w:r>
        <w:rPr>
          <w:szCs w:val="22"/>
        </w:rPr>
        <w:t xml:space="preserve">the </w:t>
      </w:r>
      <w:r w:rsidRPr="00D857A1">
        <w:rPr>
          <w:szCs w:val="22"/>
        </w:rPr>
        <w:t xml:space="preserve">Macon, Georgia market </w:t>
      </w:r>
      <w:r>
        <w:rPr>
          <w:szCs w:val="22"/>
        </w:rPr>
        <w:t xml:space="preserve">was scheduled </w:t>
      </w:r>
      <w:r w:rsidRPr="00D857A1">
        <w:rPr>
          <w:szCs w:val="22"/>
        </w:rPr>
        <w:t>during the week of June 11, 2018.</w:t>
      </w:r>
      <w:r>
        <w:rPr>
          <w:rStyle w:val="FootnoteReference"/>
          <w:szCs w:val="22"/>
        </w:rPr>
        <w:footnoteReference w:id="17"/>
      </w:r>
      <w:r w:rsidRPr="00D857A1">
        <w:rPr>
          <w:szCs w:val="22"/>
        </w:rPr>
        <w:t xml:space="preserve">  </w:t>
      </w:r>
    </w:p>
    <w:p w:rsidR="004E3CCD" w:rsidRPr="00D857A1" w:rsidP="004E3CCD">
      <w:pPr>
        <w:pStyle w:val="Heading1"/>
      </w:pPr>
      <w:r w:rsidRPr="00D857A1">
        <w:t>DISCUSSION</w:t>
      </w:r>
    </w:p>
    <w:p w:rsidR="004E3CCD" w:rsidRPr="00D857A1" w:rsidP="004E3CCD">
      <w:pPr>
        <w:pStyle w:val="ParaNum"/>
      </w:pPr>
      <w:r w:rsidRPr="00D857A1">
        <w:t xml:space="preserve">We find that </w:t>
      </w:r>
      <w:r>
        <w:t xml:space="preserve">Radio License, </w:t>
      </w:r>
      <w:r w:rsidRPr="00D857A1">
        <w:rPr>
          <w:szCs w:val="22"/>
        </w:rPr>
        <w:t>Cumulus Licensing LLC</w:t>
      </w:r>
      <w:r>
        <w:rPr>
          <w:szCs w:val="22"/>
        </w:rPr>
        <w:t xml:space="preserve">, and </w:t>
      </w:r>
      <w:r w:rsidRPr="00D857A1">
        <w:rPr>
          <w:szCs w:val="22"/>
        </w:rPr>
        <w:t>Radio License Holdings LLC</w:t>
      </w:r>
      <w:r w:rsidRPr="00D857A1">
        <w:t xml:space="preserve"> apparently willfully and repeatedly violated </w:t>
      </w:r>
      <w:r>
        <w:t>s</w:t>
      </w:r>
      <w:r w:rsidRPr="00D857A1">
        <w:t xml:space="preserve">ection 317(a)(1) of the Act and </w:t>
      </w:r>
      <w:r>
        <w:t>s</w:t>
      </w:r>
      <w:r w:rsidRPr="00D857A1">
        <w:t>ection 73.1212(a) of the Rules by broadcast</w:t>
      </w:r>
      <w:r>
        <w:t>ing program material</w:t>
      </w:r>
      <w:r w:rsidRPr="00D857A1">
        <w:t xml:space="preserve"> without appropriate sponsorship identification announcements</w:t>
      </w:r>
      <w:r>
        <w:t xml:space="preserve"> collectively</w:t>
      </w:r>
      <w:r w:rsidRPr="00D857A1">
        <w:t xml:space="preserve"> </w:t>
      </w:r>
      <w:r>
        <w:t>twenty-six</w:t>
      </w:r>
      <w:r w:rsidRPr="00D857A1">
        <w:t xml:space="preserve"> times on seven stations.  We also find that Cumulus</w:t>
      </w:r>
      <w:r>
        <w:t xml:space="preserve"> and Radio License</w:t>
      </w:r>
      <w:r w:rsidRPr="00D857A1">
        <w:t xml:space="preserve"> apparently violated the Consent Decree by failing to timely notify the Bureau about the 13 violations reported in its January 2018 Filing.  We propose a forfeiture of $</w:t>
      </w:r>
      <w:r>
        <w:t>233</w:t>
      </w:r>
      <w:r w:rsidRPr="00D857A1">
        <w:t>,000 against Cumulus</w:t>
      </w:r>
      <w:r>
        <w:t xml:space="preserve">, Radio License, </w:t>
      </w:r>
      <w:r w:rsidRPr="00D857A1">
        <w:rPr>
          <w:szCs w:val="22"/>
        </w:rPr>
        <w:t>Cumulus Licensing LLC</w:t>
      </w:r>
      <w:r>
        <w:rPr>
          <w:szCs w:val="22"/>
        </w:rPr>
        <w:t xml:space="preserve">, and </w:t>
      </w:r>
      <w:r w:rsidRPr="00D857A1">
        <w:rPr>
          <w:szCs w:val="22"/>
        </w:rPr>
        <w:t>Radio License Holdings LLC</w:t>
      </w:r>
      <w:r w:rsidRPr="00D857A1">
        <w:t xml:space="preserve"> based on </w:t>
      </w:r>
      <w:r>
        <w:t>their</w:t>
      </w:r>
      <w:r w:rsidRPr="00D857A1">
        <w:t xml:space="preserve"> apparent violations of the Act and the Rules.  </w:t>
      </w:r>
    </w:p>
    <w:p w:rsidR="004E3CCD" w:rsidRPr="00D857A1" w:rsidP="004E3CCD">
      <w:pPr>
        <w:pStyle w:val="Heading2"/>
      </w:pPr>
      <w:r>
        <w:t xml:space="preserve">Radio License, Cumulus Licensing LLC, and Radio License Holdings LLC </w:t>
      </w:r>
      <w:r w:rsidRPr="00D857A1">
        <w:t xml:space="preserve">Apparently Violated </w:t>
      </w:r>
      <w:r>
        <w:t>S</w:t>
      </w:r>
      <w:r w:rsidRPr="00D857A1">
        <w:t xml:space="preserve">ection 317 of the Act and </w:t>
      </w:r>
      <w:r>
        <w:t>S</w:t>
      </w:r>
      <w:r w:rsidRPr="00D857A1">
        <w:t>ection 73.1212 of the Rules</w:t>
      </w:r>
    </w:p>
    <w:p w:rsidR="004E3CCD" w:rsidRPr="00D857A1" w:rsidP="004E3CCD">
      <w:pPr>
        <w:pStyle w:val="ParaNum"/>
        <w:widowControl/>
      </w:pPr>
      <w:r w:rsidRPr="00D857A1">
        <w:t xml:space="preserve">When programming is sponsored, </w:t>
      </w:r>
      <w:r>
        <w:t>s</w:t>
      </w:r>
      <w:r w:rsidRPr="00D857A1">
        <w:t xml:space="preserve">ection 317 of the Act and </w:t>
      </w:r>
      <w:r>
        <w:t>s</w:t>
      </w:r>
      <w:r w:rsidRPr="00D857A1">
        <w:t>ection 73.1212(a) of the Rules require the broadcaster to announce to viewers at the time the program is aired that the broadcaster has been paid to air the programming, and to provide the identification of the sponsor.</w:t>
      </w:r>
      <w:r>
        <w:rPr>
          <w:rStyle w:val="FootnoteReference"/>
        </w:rPr>
        <w:footnoteReference w:id="18"/>
      </w:r>
      <w:r w:rsidRPr="00D857A1">
        <w:t xml:space="preserve">  </w:t>
      </w:r>
    </w:p>
    <w:p w:rsidR="004E3CCD" w:rsidRPr="00D857A1" w:rsidP="00677EFF">
      <w:pPr>
        <w:pStyle w:val="ParaNum"/>
        <w:widowControl/>
      </w:pPr>
      <w:r w:rsidRPr="00D857A1">
        <w:t xml:space="preserve">As described </w:t>
      </w:r>
      <w:r w:rsidRPr="00D857A1">
        <w:rPr>
          <w:szCs w:val="22"/>
        </w:rPr>
        <w:t>above, in the January 2018 Filing</w:t>
      </w:r>
      <w:r>
        <w:rPr>
          <w:szCs w:val="22"/>
        </w:rPr>
        <w:t>,</w:t>
      </w:r>
      <w:r w:rsidRPr="00D857A1">
        <w:rPr>
          <w:szCs w:val="22"/>
        </w:rPr>
        <w:t xml:space="preserve"> Cumulus </w:t>
      </w:r>
      <w:r>
        <w:rPr>
          <w:szCs w:val="22"/>
        </w:rPr>
        <w:t xml:space="preserve">and Radio License </w:t>
      </w:r>
      <w:r w:rsidRPr="00D857A1">
        <w:rPr>
          <w:szCs w:val="22"/>
        </w:rPr>
        <w:t xml:space="preserve">admitted 13 violations </w:t>
      </w:r>
      <w:r>
        <w:rPr>
          <w:szCs w:val="22"/>
        </w:rPr>
        <w:t>in</w:t>
      </w:r>
      <w:r w:rsidRPr="00D857A1">
        <w:rPr>
          <w:szCs w:val="22"/>
        </w:rPr>
        <w:t xml:space="preserve"> May 2017,</w:t>
      </w:r>
      <w:r>
        <w:rPr>
          <w:rStyle w:val="FootnoteReference"/>
          <w:sz w:val="22"/>
          <w:szCs w:val="22"/>
        </w:rPr>
        <w:footnoteReference w:id="19"/>
      </w:r>
      <w:r w:rsidRPr="00D857A1">
        <w:rPr>
          <w:szCs w:val="22"/>
        </w:rPr>
        <w:t xml:space="preserve"> and in the May 2018 Filing</w:t>
      </w:r>
      <w:r>
        <w:rPr>
          <w:szCs w:val="22"/>
        </w:rPr>
        <w:t>,</w:t>
      </w:r>
      <w:r w:rsidRPr="00D857A1">
        <w:rPr>
          <w:szCs w:val="22"/>
        </w:rPr>
        <w:t xml:space="preserve"> Cumulus </w:t>
      </w:r>
      <w:r>
        <w:rPr>
          <w:szCs w:val="22"/>
        </w:rPr>
        <w:t xml:space="preserve">and Radio License </w:t>
      </w:r>
      <w:r w:rsidRPr="00D857A1">
        <w:rPr>
          <w:szCs w:val="22"/>
        </w:rPr>
        <w:t xml:space="preserve">admitted 13 violations </w:t>
      </w:r>
      <w:r>
        <w:rPr>
          <w:szCs w:val="22"/>
        </w:rPr>
        <w:t>in May 2018</w:t>
      </w:r>
      <w:r w:rsidRPr="00D857A1">
        <w:rPr>
          <w:szCs w:val="22"/>
        </w:rPr>
        <w:t>.</w:t>
      </w:r>
      <w:r>
        <w:rPr>
          <w:rStyle w:val="FootnoteReference"/>
          <w:sz w:val="22"/>
          <w:szCs w:val="22"/>
        </w:rPr>
        <w:footnoteReference w:id="20"/>
      </w:r>
      <w:r w:rsidRPr="00D857A1">
        <w:rPr>
          <w:szCs w:val="22"/>
        </w:rPr>
        <w:t xml:space="preserve">  Based on those admissions, </w:t>
      </w:r>
      <w:r>
        <w:rPr>
          <w:szCs w:val="22"/>
        </w:rPr>
        <w:t xml:space="preserve">the </w:t>
      </w:r>
      <w:r w:rsidRPr="00D857A1">
        <w:rPr>
          <w:szCs w:val="22"/>
        </w:rPr>
        <w:t xml:space="preserve">broadcast stations </w:t>
      </w:r>
      <w:r>
        <w:rPr>
          <w:szCs w:val="22"/>
        </w:rPr>
        <w:t xml:space="preserve">identified herein </w:t>
      </w:r>
      <w:r w:rsidRPr="00D857A1">
        <w:rPr>
          <w:szCs w:val="22"/>
        </w:rPr>
        <w:t xml:space="preserve">apparently transmitted </w:t>
      </w:r>
      <w:r>
        <w:rPr>
          <w:szCs w:val="22"/>
        </w:rPr>
        <w:t>programming</w:t>
      </w:r>
      <w:r w:rsidRPr="00D857A1">
        <w:rPr>
          <w:szCs w:val="22"/>
        </w:rPr>
        <w:t xml:space="preserve"> for which money, service, or other valuable consideration was either directly or indirectly paid or promised</w:t>
      </w:r>
      <w:r>
        <w:rPr>
          <w:szCs w:val="22"/>
        </w:rPr>
        <w:t xml:space="preserve"> to them</w:t>
      </w:r>
      <w:r w:rsidRPr="00D857A1">
        <w:rPr>
          <w:szCs w:val="22"/>
        </w:rPr>
        <w:t xml:space="preserve">, or charged or accepted by such stations, </w:t>
      </w:r>
      <w:r>
        <w:rPr>
          <w:szCs w:val="22"/>
        </w:rPr>
        <w:t xml:space="preserve">without also announcing </w:t>
      </w:r>
      <w:r w:rsidRPr="00D857A1">
        <w:rPr>
          <w:szCs w:val="22"/>
        </w:rPr>
        <w:t xml:space="preserve">at the time of the broadcasts that such </w:t>
      </w:r>
      <w:r>
        <w:rPr>
          <w:szCs w:val="22"/>
        </w:rPr>
        <w:t xml:space="preserve">programming </w:t>
      </w:r>
      <w:r w:rsidRPr="00D857A1">
        <w:rPr>
          <w:szCs w:val="22"/>
        </w:rPr>
        <w:t>was sponsored, paid for, or furnished, either in whole or in part, and/or by whom</w:t>
      </w:r>
      <w:r w:rsidR="00677EFF">
        <w:rPr>
          <w:szCs w:val="22"/>
        </w:rPr>
        <w:t>,</w:t>
      </w:r>
      <w:r w:rsidRPr="00D857A1">
        <w:rPr>
          <w:szCs w:val="22"/>
        </w:rPr>
        <w:t xml:space="preserve"> or on whose behalf</w:t>
      </w:r>
      <w:r w:rsidR="00677EFF">
        <w:rPr>
          <w:szCs w:val="22"/>
        </w:rPr>
        <w:t>,</w:t>
      </w:r>
      <w:r w:rsidRPr="00D857A1">
        <w:rPr>
          <w:szCs w:val="22"/>
        </w:rPr>
        <w:t xml:space="preserve"> such consideration was supplied as is required by </w:t>
      </w:r>
      <w:r>
        <w:rPr>
          <w:szCs w:val="22"/>
        </w:rPr>
        <w:t>s</w:t>
      </w:r>
      <w:r w:rsidRPr="00D857A1">
        <w:rPr>
          <w:szCs w:val="22"/>
        </w:rPr>
        <w:t>ection 73.1212(a) of the Rules.</w:t>
      </w:r>
      <w:r>
        <w:rPr>
          <w:rStyle w:val="FootnoteReference"/>
        </w:rPr>
        <w:footnoteReference w:id="21"/>
      </w:r>
      <w:r w:rsidRPr="00D857A1">
        <w:rPr>
          <w:szCs w:val="22"/>
        </w:rPr>
        <w:t xml:space="preserve">  Accordingly, we find that </w:t>
      </w:r>
      <w:r>
        <w:t xml:space="preserve">Radio License, </w:t>
      </w:r>
      <w:r w:rsidRPr="00D857A1">
        <w:rPr>
          <w:szCs w:val="22"/>
        </w:rPr>
        <w:t>Cumulus Licensing LLC</w:t>
      </w:r>
      <w:r>
        <w:rPr>
          <w:szCs w:val="22"/>
        </w:rPr>
        <w:t xml:space="preserve">, and </w:t>
      </w:r>
      <w:r w:rsidRPr="00D857A1">
        <w:rPr>
          <w:szCs w:val="22"/>
        </w:rPr>
        <w:t xml:space="preserve">Radio License Holdings LLC apparently repeatedly violated </w:t>
      </w:r>
      <w:r>
        <w:rPr>
          <w:szCs w:val="22"/>
        </w:rPr>
        <w:t>s</w:t>
      </w:r>
      <w:r w:rsidRPr="00D857A1">
        <w:rPr>
          <w:szCs w:val="22"/>
        </w:rPr>
        <w:t xml:space="preserve">ection 317 of the Act and </w:t>
      </w:r>
      <w:r>
        <w:rPr>
          <w:szCs w:val="22"/>
        </w:rPr>
        <w:t>s</w:t>
      </w:r>
      <w:r w:rsidRPr="00D857A1">
        <w:rPr>
          <w:szCs w:val="22"/>
        </w:rPr>
        <w:t xml:space="preserve">ection 73.1212(a) of the </w:t>
      </w:r>
      <w:r w:rsidRPr="00D857A1">
        <w:rPr>
          <w:szCs w:val="22"/>
        </w:rPr>
        <w:t>Rules by broadcasting sponsored programming on seven stations</w:t>
      </w:r>
      <w:r>
        <w:rPr>
          <w:szCs w:val="22"/>
        </w:rPr>
        <w:t xml:space="preserve"> </w:t>
      </w:r>
      <w:r>
        <w:t xml:space="preserve">collectively </w:t>
      </w:r>
      <w:r>
        <w:rPr>
          <w:szCs w:val="22"/>
        </w:rPr>
        <w:t>twenty-six</w:t>
      </w:r>
      <w:r w:rsidRPr="00D857A1">
        <w:rPr>
          <w:szCs w:val="22"/>
        </w:rPr>
        <w:t xml:space="preserve"> times</w:t>
      </w:r>
      <w:r>
        <w:rPr>
          <w:szCs w:val="22"/>
        </w:rPr>
        <w:t xml:space="preserve"> </w:t>
      </w:r>
      <w:r w:rsidRPr="00D857A1">
        <w:rPr>
          <w:szCs w:val="22"/>
        </w:rPr>
        <w:t>without airing appropriate sponsorship identification announcements.</w:t>
      </w:r>
      <w:r>
        <w:rPr>
          <w:rStyle w:val="FootnoteReference"/>
          <w:szCs w:val="22"/>
        </w:rPr>
        <w:footnoteReference w:id="22"/>
      </w:r>
      <w:r w:rsidRPr="00D857A1">
        <w:t xml:space="preserve">  </w:t>
      </w:r>
    </w:p>
    <w:p w:rsidR="004E3CCD" w:rsidRPr="00D857A1" w:rsidP="004E3CCD">
      <w:pPr>
        <w:pStyle w:val="Heading2"/>
        <w:numPr>
          <w:ilvl w:val="1"/>
          <w:numId w:val="8"/>
        </w:numPr>
      </w:pPr>
      <w:r w:rsidRPr="00D857A1">
        <w:t xml:space="preserve">Cumulus </w:t>
      </w:r>
      <w:r>
        <w:t xml:space="preserve">and Radio License </w:t>
      </w:r>
      <w:r w:rsidRPr="00D857A1">
        <w:t xml:space="preserve">Apparently Violated </w:t>
      </w:r>
      <w:r>
        <w:t xml:space="preserve">the </w:t>
      </w:r>
      <w:r w:rsidRPr="00D857A1">
        <w:t>Consent Decree</w:t>
      </w:r>
    </w:p>
    <w:p w:rsidR="004E3CCD" w:rsidRPr="00D857A1" w:rsidP="004E3CCD">
      <w:pPr>
        <w:pStyle w:val="ParaNum"/>
      </w:pPr>
      <w:r w:rsidRPr="00D857A1">
        <w:rPr>
          <w:szCs w:val="22"/>
        </w:rPr>
        <w:t>For the period from January 2016 until January 2019, the Consent Decree require</w:t>
      </w:r>
      <w:r>
        <w:rPr>
          <w:szCs w:val="22"/>
        </w:rPr>
        <w:t>d</w:t>
      </w:r>
      <w:r w:rsidRPr="00D857A1">
        <w:rPr>
          <w:szCs w:val="22"/>
        </w:rPr>
        <w:t xml:space="preserve"> Cumulus </w:t>
      </w:r>
      <w:r>
        <w:rPr>
          <w:szCs w:val="22"/>
        </w:rPr>
        <w:t xml:space="preserve">and Radio License </w:t>
      </w:r>
      <w:r w:rsidRPr="00D857A1">
        <w:rPr>
          <w:szCs w:val="22"/>
        </w:rPr>
        <w:t>to report any noncompliance with the Commission’s sponsorship identification laws and with the terms and conditions of the Consent Decree within 15 calendar days after discovery of such noncompliance.</w:t>
      </w:r>
      <w:r>
        <w:rPr>
          <w:rStyle w:val="FootnoteReference"/>
          <w:sz w:val="22"/>
          <w:szCs w:val="22"/>
        </w:rPr>
        <w:footnoteReference w:id="23"/>
      </w:r>
      <w:r w:rsidRPr="00D857A1">
        <w:rPr>
          <w:szCs w:val="22"/>
        </w:rPr>
        <w:t xml:space="preserve">  The May 2017 Sponsorship ID Violations occurred on May 16, 2017, and apparently were “promptly reported” to </w:t>
      </w:r>
      <w:r w:rsidRPr="00D31428">
        <w:rPr>
          <w:szCs w:val="22"/>
        </w:rPr>
        <w:t>the Compliance Officer.</w:t>
      </w:r>
      <w:r>
        <w:rPr>
          <w:rStyle w:val="FootnoteReference"/>
          <w:sz w:val="22"/>
          <w:szCs w:val="22"/>
        </w:rPr>
        <w:footnoteReference w:id="24"/>
      </w:r>
      <w:r w:rsidRPr="00D31428">
        <w:rPr>
          <w:szCs w:val="22"/>
        </w:rPr>
        <w:t xml:space="preserve">  Nevertheless, Cumulus </w:t>
      </w:r>
      <w:r>
        <w:rPr>
          <w:szCs w:val="22"/>
        </w:rPr>
        <w:t xml:space="preserve">and Radio License </w:t>
      </w:r>
      <w:r w:rsidRPr="00D31428">
        <w:rPr>
          <w:szCs w:val="22"/>
        </w:rPr>
        <w:t>did not report these sponsorship identification violations to the Bureau until January 2018,</w:t>
      </w:r>
      <w:r>
        <w:rPr>
          <w:rStyle w:val="FootnoteReference"/>
          <w:sz w:val="22"/>
          <w:szCs w:val="22"/>
        </w:rPr>
        <w:footnoteReference w:id="25"/>
      </w:r>
      <w:r w:rsidRPr="00D31428">
        <w:rPr>
          <w:szCs w:val="22"/>
        </w:rPr>
        <w:t xml:space="preserve"> nearly eight months later. </w:t>
      </w:r>
      <w:r w:rsidRPr="0052003D">
        <w:rPr>
          <w:color w:val="212121"/>
          <w:szCs w:val="22"/>
        </w:rPr>
        <w:t xml:space="preserve"> </w:t>
      </w:r>
      <w:r w:rsidRPr="00D31428">
        <w:rPr>
          <w:szCs w:val="22"/>
        </w:rPr>
        <w:t>Accordingly</w:t>
      </w:r>
      <w:r w:rsidRPr="00D857A1">
        <w:rPr>
          <w:szCs w:val="22"/>
        </w:rPr>
        <w:t xml:space="preserve">, we find that Cumulus </w:t>
      </w:r>
      <w:r>
        <w:rPr>
          <w:szCs w:val="22"/>
        </w:rPr>
        <w:t xml:space="preserve">and Radio License </w:t>
      </w:r>
      <w:r w:rsidRPr="00D857A1">
        <w:rPr>
          <w:szCs w:val="22"/>
        </w:rPr>
        <w:t>apparently failed to comply with the Consent Decree.</w:t>
      </w:r>
      <w:r w:rsidRPr="00D857A1">
        <w:t xml:space="preserve">  </w:t>
      </w:r>
    </w:p>
    <w:p w:rsidR="004E3CCD" w:rsidRPr="00D857A1" w:rsidP="004E3CCD">
      <w:pPr>
        <w:pStyle w:val="Heading2"/>
      </w:pPr>
      <w:r w:rsidRPr="00D857A1">
        <w:t>Proposed Forfeiture</w:t>
      </w:r>
    </w:p>
    <w:p w:rsidR="004E3CCD" w:rsidRPr="00D857A1" w:rsidP="004E3CCD">
      <w:pPr>
        <w:pStyle w:val="ParaNum"/>
        <w:rPr>
          <w:szCs w:val="22"/>
        </w:rPr>
      </w:pPr>
      <w:r w:rsidRPr="00D857A1">
        <w:rPr>
          <w:szCs w:val="22"/>
        </w:rPr>
        <w:t>Section 503(b)(1)(B) of the Act authorizes the Commission to impose a forfeiture against any entity that “willfully or repeatedly fail[s] to comply with any of the provisions of [the Act] or of any rule, regulation, or order issued by the Commission</w:t>
      </w:r>
      <w:r w:rsidR="005957D6">
        <w:rPr>
          <w:szCs w:val="22"/>
        </w:rPr>
        <w:t>….</w:t>
      </w:r>
      <w:r w:rsidRPr="00D857A1">
        <w:rPr>
          <w:szCs w:val="22"/>
        </w:rPr>
        <w:t>”</w:t>
      </w:r>
      <w:r>
        <w:rPr>
          <w:rStyle w:val="FootnoteReference"/>
          <w:sz w:val="22"/>
          <w:szCs w:val="22"/>
        </w:rPr>
        <w:footnoteReference w:id="26"/>
      </w:r>
      <w:r w:rsidRPr="00D857A1">
        <w:rPr>
          <w:szCs w:val="22"/>
        </w:rPr>
        <w:t xml:space="preserve">  Section 312(f)(1) of the Act defines “willful” as the “conscious and deliberate commission or omission of [any] act, irrespective of any intent to violate” the law.</w:t>
      </w:r>
      <w:r>
        <w:rPr>
          <w:rStyle w:val="FootnoteReference"/>
          <w:sz w:val="22"/>
          <w:szCs w:val="22"/>
        </w:rPr>
        <w:footnoteReference w:id="27"/>
      </w:r>
      <w:r w:rsidRPr="00D857A1">
        <w:rPr>
          <w:szCs w:val="22"/>
        </w:rPr>
        <w:t xml:space="preserve">  This definition of willful applies to </w:t>
      </w:r>
      <w:r>
        <w:rPr>
          <w:szCs w:val="22"/>
        </w:rPr>
        <w:t>s</w:t>
      </w:r>
      <w:r w:rsidRPr="00D857A1">
        <w:rPr>
          <w:szCs w:val="22"/>
        </w:rPr>
        <w:t xml:space="preserve">ection 503(b) of the Act, and the Commission has so interpreted the term in the </w:t>
      </w:r>
      <w:r>
        <w:rPr>
          <w:szCs w:val="22"/>
        </w:rPr>
        <w:t>s</w:t>
      </w:r>
      <w:r w:rsidRPr="00D857A1">
        <w:rPr>
          <w:szCs w:val="22"/>
        </w:rPr>
        <w:t>ection 503(b) context.</w:t>
      </w:r>
      <w:r>
        <w:rPr>
          <w:rStyle w:val="FootnoteReference"/>
          <w:sz w:val="22"/>
          <w:szCs w:val="22"/>
        </w:rPr>
        <w:footnoteReference w:id="28"/>
      </w:r>
      <w:r w:rsidRPr="00D857A1">
        <w:rPr>
          <w:szCs w:val="22"/>
        </w:rPr>
        <w:t xml:space="preserve">  </w:t>
      </w:r>
    </w:p>
    <w:p w:rsidR="004E3CCD" w:rsidRPr="00D857A1" w:rsidP="004E3CCD">
      <w:pPr>
        <w:pStyle w:val="ParaNum"/>
      </w:pPr>
      <w:r w:rsidRPr="00D857A1">
        <w:t xml:space="preserve">Here, </w:t>
      </w:r>
      <w:r>
        <w:t>s</w:t>
      </w:r>
      <w:r w:rsidRPr="00D857A1">
        <w:rPr>
          <w:szCs w:val="22"/>
        </w:rPr>
        <w:t xml:space="preserve">ection 503(b)(2)(A) of the Act authorizes us to assess a forfeiture against Cumulus </w:t>
      </w:r>
      <w:r>
        <w:rPr>
          <w:szCs w:val="22"/>
        </w:rPr>
        <w:t xml:space="preserve">and the other licensee entities </w:t>
      </w:r>
      <w:r w:rsidRPr="00D857A1">
        <w:rPr>
          <w:szCs w:val="22"/>
        </w:rPr>
        <w:t>of up to $</w:t>
      </w:r>
      <w:r>
        <w:rPr>
          <w:szCs w:val="22"/>
        </w:rPr>
        <w:t>50</w:t>
      </w:r>
      <w:r w:rsidRPr="00D857A1">
        <w:rPr>
          <w:szCs w:val="22"/>
        </w:rPr>
        <w:t>,</w:t>
      </w:r>
      <w:r>
        <w:rPr>
          <w:szCs w:val="22"/>
        </w:rPr>
        <w:t>334</w:t>
      </w:r>
      <w:r w:rsidRPr="00D857A1">
        <w:rPr>
          <w:szCs w:val="22"/>
        </w:rPr>
        <w:t xml:space="preserve"> per violation, or for each day of a continuing violation, up to a statutory maximum of $</w:t>
      </w:r>
      <w:r>
        <w:rPr>
          <w:szCs w:val="22"/>
        </w:rPr>
        <w:t>503</w:t>
      </w:r>
      <w:r w:rsidRPr="00D857A1">
        <w:rPr>
          <w:szCs w:val="22"/>
        </w:rPr>
        <w:t>,</w:t>
      </w:r>
      <w:r>
        <w:rPr>
          <w:szCs w:val="22"/>
        </w:rPr>
        <w:t>349</w:t>
      </w:r>
      <w:r w:rsidRPr="00D857A1">
        <w:rPr>
          <w:szCs w:val="22"/>
        </w:rPr>
        <w:t xml:space="preserve"> for a single act or failure to act.</w:t>
      </w:r>
      <w:r>
        <w:rPr>
          <w:rStyle w:val="FootnoteReference"/>
          <w:sz w:val="22"/>
          <w:szCs w:val="22"/>
        </w:rPr>
        <w:footnoteReference w:id="29"/>
      </w:r>
      <w:r w:rsidRPr="00D857A1">
        <w:rPr>
          <w:szCs w:val="22"/>
        </w:rPr>
        <w:t xml:space="preserve">  In exercising our forfeiture authority, we must </w:t>
      </w:r>
      <w:r w:rsidRPr="00D857A1">
        <w:t xml:space="preserve">consider the nature, circumstances, extent, and gravity of the violation and, with respect to the violator, the degree of culpability, any history of prior offenses, ability to pay, substantial </w:t>
      </w:r>
      <w:r w:rsidRPr="00D857A1">
        <w:t>economic gain, and such other matters as justice may require.</w:t>
      </w:r>
      <w:r>
        <w:rPr>
          <w:rStyle w:val="FootnoteReference"/>
        </w:rPr>
        <w:footnoteReference w:id="30"/>
      </w:r>
      <w:r w:rsidRPr="00D857A1">
        <w:t xml:space="preserve">  We have discretion to adjust the base forfeiture upward or downward, taking into account the particular facts of each individual case.</w:t>
      </w:r>
      <w:r>
        <w:rPr>
          <w:vertAlign w:val="superscript"/>
        </w:rPr>
        <w:footnoteReference w:id="31"/>
      </w:r>
      <w:r w:rsidRPr="00D857A1">
        <w:rPr>
          <w:vertAlign w:val="superscript"/>
        </w:rPr>
        <w:t xml:space="preserve">  </w:t>
      </w:r>
    </w:p>
    <w:p w:rsidR="004E3CCD" w:rsidRPr="00D857A1" w:rsidP="004E3CCD">
      <w:pPr>
        <w:pStyle w:val="ParaNum"/>
        <w:widowControl/>
        <w:rPr>
          <w:szCs w:val="22"/>
        </w:rPr>
      </w:pPr>
      <w:r w:rsidRPr="00D857A1">
        <w:t>Section 1.80(b) of the Rules sets a base forfeiture of $4,000 for violations of the Commission’s sponsorship identification rules for each violation or each day of a continuing violation.</w:t>
      </w:r>
      <w:r>
        <w:rPr>
          <w:rStyle w:val="FootnoteReference"/>
        </w:rPr>
        <w:footnoteReference w:id="32"/>
      </w:r>
      <w:r w:rsidRPr="00D857A1">
        <w:t xml:space="preserve">  We apply the $4,000 base forfeiture to each </w:t>
      </w:r>
      <w:r>
        <w:t xml:space="preserve">station’s </w:t>
      </w:r>
      <w:r w:rsidRPr="00D857A1">
        <w:t xml:space="preserve">apparent violations of the sponsorship identification requirements, including the apparent violations of </w:t>
      </w:r>
      <w:r>
        <w:t>s</w:t>
      </w:r>
      <w:r w:rsidRPr="00D857A1">
        <w:t xml:space="preserve">ection 317 of the Act and </w:t>
      </w:r>
      <w:r>
        <w:t>s</w:t>
      </w:r>
      <w:r w:rsidRPr="00D857A1">
        <w:t>ection 73.1212 of the Rules (13 instances of apparently airing programming without the requisite adequate disclosures in May 2017, and another 13 such instances in May 2018).</w:t>
      </w:r>
      <w:r>
        <w:rPr>
          <w:rStyle w:val="FootnoteReference"/>
        </w:rPr>
        <w:footnoteReference w:id="33"/>
      </w:r>
      <w:r w:rsidRPr="00D857A1">
        <w:t xml:space="preserve">  Thus, the aggregate base forfeiture amount for </w:t>
      </w:r>
      <w:r w:rsidRPr="00D857A1">
        <w:rPr>
          <w:szCs w:val="22"/>
        </w:rPr>
        <w:t>the sponsorship identification violations at issue here is $104,000.</w:t>
      </w:r>
      <w:r>
        <w:rPr>
          <w:rStyle w:val="FootnoteReference"/>
          <w:sz w:val="22"/>
          <w:szCs w:val="22"/>
        </w:rPr>
        <w:footnoteReference w:id="34"/>
      </w:r>
      <w:r w:rsidRPr="00D857A1">
        <w:rPr>
          <w:szCs w:val="22"/>
        </w:rPr>
        <w:t xml:space="preserve">  </w:t>
      </w:r>
    </w:p>
    <w:p w:rsidR="004E3CCD" w:rsidRPr="00D857A1" w:rsidP="004E3CCD">
      <w:pPr>
        <w:pStyle w:val="ParaNum"/>
        <w:rPr>
          <w:szCs w:val="22"/>
        </w:rPr>
      </w:pPr>
      <w:bookmarkStart w:id="2" w:name="co_tablefootnote_46_1"/>
      <w:bookmarkEnd w:id="2"/>
      <w:r w:rsidRPr="00D857A1">
        <w:rPr>
          <w:szCs w:val="22"/>
        </w:rPr>
        <w:t xml:space="preserve">As </w:t>
      </w:r>
      <w:r w:rsidRPr="00B50A3F">
        <w:rPr>
          <w:szCs w:val="22"/>
        </w:rPr>
        <w:t>to Cumulus</w:t>
      </w:r>
      <w:r>
        <w:rPr>
          <w:szCs w:val="22"/>
        </w:rPr>
        <w:t>’ and Radio License</w:t>
      </w:r>
      <w:r w:rsidRPr="00B50A3F">
        <w:rPr>
          <w:szCs w:val="22"/>
        </w:rPr>
        <w:t>’</w:t>
      </w:r>
      <w:r>
        <w:rPr>
          <w:szCs w:val="22"/>
        </w:rPr>
        <w:t>s</w:t>
      </w:r>
      <w:r w:rsidRPr="00B50A3F">
        <w:rPr>
          <w:szCs w:val="22"/>
        </w:rPr>
        <w:t xml:space="preserve"> failure to comply with the Consent Decree, </w:t>
      </w:r>
      <w:r w:rsidRPr="0052003D">
        <w:rPr>
          <w:color w:val="000000"/>
          <w:szCs w:val="22"/>
        </w:rPr>
        <w:t xml:space="preserve">the Commission’s </w:t>
      </w:r>
      <w:r w:rsidRPr="0052003D">
        <w:rPr>
          <w:i/>
          <w:color w:val="000000"/>
          <w:szCs w:val="22"/>
        </w:rPr>
        <w:t>1997</w:t>
      </w:r>
      <w:r w:rsidRPr="0052003D">
        <w:rPr>
          <w:color w:val="000000"/>
          <w:szCs w:val="22"/>
        </w:rPr>
        <w:t xml:space="preserve"> </w:t>
      </w:r>
      <w:r w:rsidRPr="0052003D">
        <w:rPr>
          <w:i/>
          <w:iCs/>
          <w:color w:val="000000"/>
          <w:szCs w:val="22"/>
        </w:rPr>
        <w:t>Forfeiture Policy Statement</w:t>
      </w:r>
      <w:r w:rsidRPr="0052003D">
        <w:rPr>
          <w:color w:val="000000"/>
          <w:szCs w:val="22"/>
        </w:rPr>
        <w:t xml:space="preserve"> and </w:t>
      </w:r>
      <w:r w:rsidRPr="008A2BCB">
        <w:rPr>
          <w:color w:val="000000"/>
        </w:rPr>
        <w:t xml:space="preserve">section 1.80 of the Rules </w:t>
      </w:r>
      <w:r w:rsidRPr="0052003D">
        <w:rPr>
          <w:color w:val="000000"/>
          <w:szCs w:val="22"/>
        </w:rPr>
        <w:t>do</w:t>
      </w:r>
      <w:r w:rsidRPr="008A2BCB">
        <w:rPr>
          <w:color w:val="000000"/>
        </w:rPr>
        <w:t xml:space="preserve"> not specify a base forfeiture amount for failing to comply with a </w:t>
      </w:r>
      <w:r>
        <w:rPr>
          <w:color w:val="000000"/>
        </w:rPr>
        <w:t>Commission order such as the C</w:t>
      </w:r>
      <w:r w:rsidRPr="008A2BCB">
        <w:rPr>
          <w:color w:val="000000"/>
        </w:rPr>
        <w:t xml:space="preserve">onsent </w:t>
      </w:r>
      <w:r>
        <w:rPr>
          <w:color w:val="000000"/>
        </w:rPr>
        <w:t>D</w:t>
      </w:r>
      <w:r w:rsidRPr="008A2BCB">
        <w:rPr>
          <w:color w:val="000000"/>
        </w:rPr>
        <w:t>ecree.</w:t>
      </w:r>
      <w:r>
        <w:rPr>
          <w:rStyle w:val="FootnoteReference"/>
          <w:sz w:val="22"/>
          <w:szCs w:val="22"/>
        </w:rPr>
        <w:footnoteReference w:id="35"/>
      </w:r>
      <w:r w:rsidRPr="008A2BCB">
        <w:rPr>
          <w:color w:val="000000"/>
        </w:rPr>
        <w:t xml:space="preserve">  </w:t>
      </w:r>
      <w:r w:rsidRPr="0052003D">
        <w:rPr>
          <w:color w:val="000000"/>
          <w:szCs w:val="22"/>
        </w:rPr>
        <w:t>The Commission has stated,</w:t>
      </w:r>
      <w:bookmarkStart w:id="3" w:name="co_pp_sp_1511_6563_1"/>
      <w:bookmarkEnd w:id="3"/>
      <w:r w:rsidRPr="0052003D">
        <w:rPr>
          <w:color w:val="000000"/>
          <w:szCs w:val="22"/>
        </w:rPr>
        <w:t xml:space="preserve"> however, that the “omission of a specific rule violation from the list [establishing base forfeiture amounts] should not signal that the Commission considers any unlisted violation as nonexistent or unimportant. </w:t>
      </w:r>
      <w:r>
        <w:rPr>
          <w:color w:val="000000"/>
          <w:szCs w:val="22"/>
        </w:rPr>
        <w:t xml:space="preserve"> </w:t>
      </w:r>
      <w:r w:rsidRPr="0052003D">
        <w:rPr>
          <w:color w:val="000000"/>
          <w:szCs w:val="22"/>
        </w:rPr>
        <w:t>The Commission expects, and it is each licensee’s obligation, to know and comply with all of the Commission’s rules.”</w:t>
      </w:r>
      <w:r>
        <w:rPr>
          <w:rStyle w:val="FootnoteReference"/>
          <w:sz w:val="22"/>
          <w:szCs w:val="22"/>
        </w:rPr>
        <w:footnoteReference w:id="36"/>
      </w:r>
      <w:r w:rsidRPr="0052003D">
        <w:rPr>
          <w:color w:val="000000"/>
          <w:szCs w:val="22"/>
        </w:rPr>
        <w:t xml:space="preserve">  </w:t>
      </w:r>
      <w:r w:rsidRPr="008A2BCB">
        <w:rPr>
          <w:color w:val="000000"/>
        </w:rPr>
        <w:t xml:space="preserve">In cases in which the Commission has not established a base forfeiture amount for </w:t>
      </w:r>
      <w:r>
        <w:rPr>
          <w:color w:val="000000"/>
          <w:szCs w:val="22"/>
        </w:rPr>
        <w:t>an</w:t>
      </w:r>
      <w:r w:rsidRPr="008A2BCB">
        <w:rPr>
          <w:color w:val="000000"/>
        </w:rPr>
        <w:t xml:space="preserve"> apparent violation, it has looked to the base forfeitures established or issued in analogous cases for guidance</w:t>
      </w:r>
      <w:r>
        <w:rPr>
          <w:color w:val="000000"/>
        </w:rPr>
        <w:t>,</w:t>
      </w:r>
      <w:r>
        <w:rPr>
          <w:rStyle w:val="FootnoteReference"/>
        </w:rPr>
        <w:footnoteReference w:id="37"/>
      </w:r>
      <w:r w:rsidRPr="008A2BCB">
        <w:rPr>
          <w:color w:val="000000"/>
        </w:rPr>
        <w:t xml:space="preserve"> </w:t>
      </w:r>
      <w:r>
        <w:rPr>
          <w:color w:val="000000"/>
        </w:rPr>
        <w:t xml:space="preserve">and </w:t>
      </w:r>
      <w:r w:rsidRPr="008A2BCB">
        <w:rPr>
          <w:color w:val="000000"/>
        </w:rPr>
        <w:t xml:space="preserve">the Commission </w:t>
      </w:r>
      <w:r w:rsidRPr="0052003D">
        <w:rPr>
          <w:color w:val="000000"/>
          <w:szCs w:val="22"/>
        </w:rPr>
        <w:t xml:space="preserve">retains </w:t>
      </w:r>
      <w:r>
        <w:rPr>
          <w:color w:val="000000"/>
          <w:szCs w:val="22"/>
        </w:rPr>
        <w:t>the</w:t>
      </w:r>
      <w:r w:rsidRPr="0052003D">
        <w:rPr>
          <w:color w:val="000000"/>
          <w:szCs w:val="22"/>
        </w:rPr>
        <w:t xml:space="preserve"> discretion to</w:t>
      </w:r>
      <w:r w:rsidRPr="008A2BCB">
        <w:rPr>
          <w:color w:val="000000"/>
        </w:rPr>
        <w:t xml:space="preserve"> issue forfeitures on a case-by-case basis</w:t>
      </w:r>
      <w:r w:rsidRPr="0052003D">
        <w:rPr>
          <w:color w:val="000000"/>
          <w:szCs w:val="22"/>
        </w:rPr>
        <w:t>,</w:t>
      </w:r>
      <w:r>
        <w:rPr>
          <w:rStyle w:val="FootnoteReference"/>
          <w:sz w:val="22"/>
          <w:szCs w:val="22"/>
        </w:rPr>
        <w:footnoteReference w:id="38"/>
      </w:r>
      <w:r w:rsidRPr="0052003D">
        <w:rPr>
          <w:color w:val="000000"/>
          <w:szCs w:val="22"/>
        </w:rPr>
        <w:t xml:space="preserve"> irrespective of whether it has established a corresponding base forfeiture amount.</w:t>
      </w:r>
      <w:r>
        <w:rPr>
          <w:color w:val="000000"/>
          <w:szCs w:val="22"/>
        </w:rPr>
        <w:t xml:space="preserve">  </w:t>
      </w:r>
      <w:r>
        <w:rPr>
          <w:color w:val="000000"/>
          <w:szCs w:val="22"/>
        </w:rPr>
        <w:t>The Commission has, in the past, determined that the failure to comply with the terms of a consent decree is a serious violation warranting a substantial forfeiture</w:t>
      </w:r>
      <w:r w:rsidRPr="008A2BCB">
        <w:rPr>
          <w:color w:val="000000"/>
        </w:rPr>
        <w:t>.</w:t>
      </w:r>
      <w:r>
        <w:rPr>
          <w:rStyle w:val="FootnoteReference"/>
          <w:sz w:val="22"/>
          <w:szCs w:val="22"/>
        </w:rPr>
        <w:footnoteReference w:id="39"/>
      </w:r>
      <w:r w:rsidRPr="008A2BCB">
        <w:rPr>
          <w:color w:val="000000"/>
        </w:rPr>
        <w:t xml:space="preserve">  </w:t>
      </w:r>
      <w:r w:rsidRPr="00D857A1">
        <w:rPr>
          <w:szCs w:val="22"/>
        </w:rPr>
        <w:t>In one case in which a licensee violat</w:t>
      </w:r>
      <w:r>
        <w:rPr>
          <w:szCs w:val="22"/>
        </w:rPr>
        <w:t>ed</w:t>
      </w:r>
      <w:r w:rsidRPr="00D857A1">
        <w:rPr>
          <w:szCs w:val="22"/>
        </w:rPr>
        <w:t xml:space="preserve"> a consent decree by failing to pay its civil penalty and file a compliance report, the Bureau assessed a $25,000 forfeiture.</w:t>
      </w:r>
      <w:r>
        <w:rPr>
          <w:rStyle w:val="FootnoteReference"/>
          <w:sz w:val="22"/>
          <w:szCs w:val="22"/>
        </w:rPr>
        <w:footnoteReference w:id="40"/>
      </w:r>
      <w:r>
        <w:rPr>
          <w:szCs w:val="22"/>
        </w:rPr>
        <w:t xml:space="preserve">  In the instant case, Cumulus and Radio License were late by nearly eight months in reporting </w:t>
      </w:r>
      <w:r w:rsidRPr="00D857A1">
        <w:rPr>
          <w:szCs w:val="22"/>
        </w:rPr>
        <w:t>noncompliance</w:t>
      </w:r>
      <w:r>
        <w:rPr>
          <w:szCs w:val="22"/>
        </w:rPr>
        <w:t xml:space="preserve"> with provisions of the consent decree</w:t>
      </w:r>
      <w:r w:rsidRPr="00D857A1">
        <w:rPr>
          <w:szCs w:val="22"/>
        </w:rPr>
        <w:t xml:space="preserve">.  </w:t>
      </w:r>
      <w:r>
        <w:rPr>
          <w:szCs w:val="22"/>
        </w:rPr>
        <w:t>The Commission expects parties to honor agreements made in consent decrees, and Cumulus’ and Radio License’s failure to do so undermines the value of consent decrees as an efficient means to resolve investigations without further expenditure of public resources.</w:t>
      </w:r>
      <w:r>
        <w:rPr>
          <w:rStyle w:val="FootnoteReference"/>
          <w:szCs w:val="22"/>
        </w:rPr>
        <w:footnoteReference w:id="41"/>
      </w:r>
      <w:r>
        <w:rPr>
          <w:szCs w:val="22"/>
        </w:rPr>
        <w:t xml:space="preserve">  “The Commission has stated that ‘a consent decree violation, like misrepresentation, is particularly serious.’”</w:t>
      </w:r>
      <w:r>
        <w:rPr>
          <w:rStyle w:val="FootnoteReference"/>
          <w:szCs w:val="22"/>
        </w:rPr>
        <w:footnoteReference w:id="42"/>
      </w:r>
      <w:r>
        <w:rPr>
          <w:szCs w:val="22"/>
        </w:rPr>
        <w:t xml:space="preserve">  </w:t>
      </w:r>
      <w:r>
        <w:rPr>
          <w:color w:val="000000"/>
          <w:szCs w:val="22"/>
        </w:rPr>
        <w:t>W</w:t>
      </w:r>
      <w:r w:rsidRPr="0052003D">
        <w:rPr>
          <w:color w:val="000000"/>
          <w:szCs w:val="22"/>
        </w:rPr>
        <w:t xml:space="preserve">e therefore conclude that </w:t>
      </w:r>
      <w:r w:rsidRPr="00D857A1">
        <w:t>Cumulus</w:t>
      </w:r>
      <w:r>
        <w:t xml:space="preserve"> and Radio License are</w:t>
      </w:r>
      <w:r w:rsidRPr="0052003D">
        <w:rPr>
          <w:color w:val="000000"/>
          <w:szCs w:val="22"/>
        </w:rPr>
        <w:t xml:space="preserve"> apparently liable</w:t>
      </w:r>
      <w:r w:rsidRPr="008A2BCB">
        <w:rPr>
          <w:color w:val="000000"/>
        </w:rPr>
        <w:t xml:space="preserve"> for </w:t>
      </w:r>
      <w:r w:rsidRPr="0052003D">
        <w:rPr>
          <w:color w:val="000000"/>
          <w:szCs w:val="22"/>
        </w:rPr>
        <w:t>a forfeiture in the amount</w:t>
      </w:r>
      <w:r w:rsidRPr="008A2BCB">
        <w:rPr>
          <w:color w:val="000000"/>
        </w:rPr>
        <w:t xml:space="preserve"> of </w:t>
      </w:r>
      <w:r w:rsidRPr="0052003D">
        <w:rPr>
          <w:color w:val="000000"/>
          <w:szCs w:val="22"/>
        </w:rPr>
        <w:t>$25</w:t>
      </w:r>
      <w:r w:rsidRPr="008A2BCB">
        <w:rPr>
          <w:color w:val="000000"/>
        </w:rPr>
        <w:t>,000.</w:t>
      </w:r>
      <w:r>
        <w:rPr>
          <w:szCs w:val="22"/>
        </w:rPr>
        <w:t xml:space="preserve"> </w:t>
      </w:r>
    </w:p>
    <w:p w:rsidR="004E3CCD" w:rsidRPr="00D857A1" w:rsidP="004E3CCD">
      <w:pPr>
        <w:pStyle w:val="ParaNum"/>
        <w:rPr>
          <w:szCs w:val="22"/>
        </w:rPr>
      </w:pPr>
      <w:r w:rsidRPr="00D857A1">
        <w:rPr>
          <w:szCs w:val="22"/>
        </w:rPr>
        <w:t xml:space="preserve">Based on the above, the base forfeiture is $4,000 for the May 2017 </w:t>
      </w:r>
      <w:r>
        <w:rPr>
          <w:szCs w:val="22"/>
        </w:rPr>
        <w:t>S</w:t>
      </w:r>
      <w:r w:rsidRPr="00D857A1">
        <w:rPr>
          <w:szCs w:val="22"/>
        </w:rPr>
        <w:t xml:space="preserve">ponsorship </w:t>
      </w:r>
      <w:r>
        <w:rPr>
          <w:szCs w:val="22"/>
        </w:rPr>
        <w:t>ID</w:t>
      </w:r>
      <w:r w:rsidRPr="00D857A1">
        <w:rPr>
          <w:szCs w:val="22"/>
        </w:rPr>
        <w:t xml:space="preserve"> </w:t>
      </w:r>
      <w:r>
        <w:rPr>
          <w:szCs w:val="22"/>
        </w:rPr>
        <w:t>V</w:t>
      </w:r>
      <w:r w:rsidRPr="00D857A1">
        <w:rPr>
          <w:szCs w:val="22"/>
        </w:rPr>
        <w:t>iolations (</w:t>
      </w:r>
      <w:r>
        <w:rPr>
          <w:szCs w:val="22"/>
        </w:rPr>
        <w:t xml:space="preserve">13 violations, </w:t>
      </w:r>
      <w:r w:rsidRPr="00D857A1">
        <w:rPr>
          <w:szCs w:val="22"/>
        </w:rPr>
        <w:t xml:space="preserve">totaling $52,000), $4,000 for the May 2018 </w:t>
      </w:r>
      <w:r>
        <w:rPr>
          <w:szCs w:val="22"/>
        </w:rPr>
        <w:t>S</w:t>
      </w:r>
      <w:r w:rsidRPr="00D857A1">
        <w:rPr>
          <w:szCs w:val="22"/>
        </w:rPr>
        <w:t xml:space="preserve">ponsorship </w:t>
      </w:r>
      <w:r>
        <w:rPr>
          <w:szCs w:val="22"/>
        </w:rPr>
        <w:t>ID</w:t>
      </w:r>
      <w:r w:rsidRPr="00D857A1">
        <w:rPr>
          <w:szCs w:val="22"/>
        </w:rPr>
        <w:t xml:space="preserve"> </w:t>
      </w:r>
      <w:r>
        <w:rPr>
          <w:szCs w:val="22"/>
        </w:rPr>
        <w:t>V</w:t>
      </w:r>
      <w:r w:rsidRPr="00D857A1">
        <w:rPr>
          <w:szCs w:val="22"/>
        </w:rPr>
        <w:t>iolations (</w:t>
      </w:r>
      <w:r>
        <w:rPr>
          <w:szCs w:val="22"/>
        </w:rPr>
        <w:t xml:space="preserve">13 violations, </w:t>
      </w:r>
      <w:r w:rsidRPr="00D857A1">
        <w:rPr>
          <w:szCs w:val="22"/>
        </w:rPr>
        <w:t>totaling $52,000), and $</w:t>
      </w:r>
      <w:r>
        <w:rPr>
          <w:szCs w:val="22"/>
        </w:rPr>
        <w:t>25</w:t>
      </w:r>
      <w:r w:rsidRPr="00D857A1">
        <w:rPr>
          <w:szCs w:val="22"/>
        </w:rPr>
        <w:t>,000 for the violation of the Consent Decree, amounting to a $1</w:t>
      </w:r>
      <w:r>
        <w:rPr>
          <w:szCs w:val="22"/>
        </w:rPr>
        <w:t>29</w:t>
      </w:r>
      <w:r w:rsidRPr="00D857A1">
        <w:rPr>
          <w:szCs w:val="22"/>
        </w:rPr>
        <w:t>,000 total base forfeiture liability</w:t>
      </w:r>
      <w:r>
        <w:rPr>
          <w:szCs w:val="22"/>
        </w:rPr>
        <w:t>.</w:t>
      </w:r>
    </w:p>
    <w:p w:rsidR="004E3CCD" w:rsidRPr="00D857A1" w:rsidP="004E3CCD">
      <w:pPr>
        <w:pStyle w:val="ParaNum"/>
      </w:pPr>
      <w:r w:rsidRPr="00D857A1">
        <w:t xml:space="preserve">In this case, given the totality of the circumstances, and consistent with the </w:t>
      </w:r>
      <w:r w:rsidRPr="00D857A1">
        <w:rPr>
          <w:i/>
        </w:rPr>
        <w:t xml:space="preserve">1997 </w:t>
      </w:r>
      <w:r w:rsidRPr="00D857A1">
        <w:rPr>
          <w:i/>
          <w:iCs/>
        </w:rPr>
        <w:t>Forfeiture Policy Statement</w:t>
      </w:r>
      <w:r w:rsidRPr="00D857A1">
        <w:t xml:space="preserve">, we conclude that an upward adjustment is </w:t>
      </w:r>
      <w:r w:rsidRPr="002264DB">
        <w:rPr>
          <w:szCs w:val="22"/>
        </w:rPr>
        <w:t>warranted based on prior violations of FCC rules.</w:t>
      </w:r>
      <w:r>
        <w:rPr>
          <w:rStyle w:val="FootnoteReference"/>
          <w:sz w:val="22"/>
          <w:szCs w:val="22"/>
        </w:rPr>
        <w:footnoteReference w:id="43"/>
      </w:r>
      <w:r w:rsidRPr="002264DB">
        <w:rPr>
          <w:szCs w:val="22"/>
        </w:rPr>
        <w:t xml:space="preserve">  </w:t>
      </w:r>
      <w:r>
        <w:rPr>
          <w:szCs w:val="22"/>
        </w:rPr>
        <w:t xml:space="preserve">The target entities and/or their affiliates </w:t>
      </w:r>
      <w:r w:rsidRPr="002264DB">
        <w:rPr>
          <w:szCs w:val="22"/>
        </w:rPr>
        <w:t>ha</w:t>
      </w:r>
      <w:r>
        <w:rPr>
          <w:szCs w:val="22"/>
        </w:rPr>
        <w:t>ve</w:t>
      </w:r>
      <w:r w:rsidRPr="002264DB">
        <w:rPr>
          <w:szCs w:val="22"/>
        </w:rPr>
        <w:t xml:space="preserve"> a prior history of violating the sponsorship identification rules and other FCC rules.</w:t>
      </w:r>
      <w:r>
        <w:rPr>
          <w:rStyle w:val="FootnoteReference"/>
          <w:sz w:val="22"/>
        </w:rPr>
        <w:footnoteReference w:id="44"/>
      </w:r>
      <w:r w:rsidRPr="002264DB">
        <w:rPr>
          <w:szCs w:val="22"/>
        </w:rPr>
        <w:t xml:space="preserve">  Here, the </w:t>
      </w:r>
      <w:r w:rsidRPr="0052003D">
        <w:rPr>
          <w:color w:val="000000"/>
          <w:szCs w:val="22"/>
        </w:rPr>
        <w:t xml:space="preserve">Consent Decree </w:t>
      </w:r>
      <w:r>
        <w:rPr>
          <w:color w:val="000000"/>
          <w:szCs w:val="22"/>
        </w:rPr>
        <w:t>resolved</w:t>
      </w:r>
      <w:r w:rsidRPr="0052003D">
        <w:rPr>
          <w:color w:val="000000"/>
          <w:szCs w:val="22"/>
        </w:rPr>
        <w:t xml:space="preserve"> Cumulus</w:t>
      </w:r>
      <w:r>
        <w:rPr>
          <w:color w:val="000000"/>
          <w:szCs w:val="22"/>
        </w:rPr>
        <w:t>’ and Radio License’s</w:t>
      </w:r>
      <w:r w:rsidRPr="0052003D">
        <w:rPr>
          <w:color w:val="000000"/>
          <w:szCs w:val="22"/>
        </w:rPr>
        <w:t xml:space="preserve"> </w:t>
      </w:r>
      <w:r>
        <w:rPr>
          <w:color w:val="000000"/>
          <w:szCs w:val="22"/>
        </w:rPr>
        <w:t xml:space="preserve">violations of the </w:t>
      </w:r>
      <w:r w:rsidRPr="0052003D">
        <w:rPr>
          <w:color w:val="000000"/>
          <w:szCs w:val="22"/>
        </w:rPr>
        <w:t xml:space="preserve">sponsorship </w:t>
      </w:r>
      <w:r>
        <w:rPr>
          <w:color w:val="000000"/>
          <w:szCs w:val="22"/>
        </w:rPr>
        <w:t>identification rules</w:t>
      </w:r>
      <w:r w:rsidRPr="0052003D">
        <w:rPr>
          <w:color w:val="000000"/>
          <w:szCs w:val="22"/>
        </w:rPr>
        <w:t xml:space="preserve">, </w:t>
      </w:r>
      <w:r>
        <w:rPr>
          <w:color w:val="000000"/>
          <w:szCs w:val="22"/>
        </w:rPr>
        <w:t xml:space="preserve">yet Radio License repeatedly </w:t>
      </w:r>
      <w:r w:rsidRPr="0052003D">
        <w:rPr>
          <w:color w:val="000000"/>
          <w:szCs w:val="22"/>
        </w:rPr>
        <w:t>co</w:t>
      </w:r>
      <w:r>
        <w:rPr>
          <w:color w:val="000000"/>
          <w:szCs w:val="22"/>
        </w:rPr>
        <w:t xml:space="preserve">ntinued to violate the same sponsorship identification rules </w:t>
      </w:r>
      <w:r w:rsidRPr="0052003D">
        <w:rPr>
          <w:color w:val="000000"/>
          <w:szCs w:val="22"/>
        </w:rPr>
        <w:t xml:space="preserve">while operating under the Consent Decree.  </w:t>
      </w:r>
      <w:r>
        <w:rPr>
          <w:color w:val="000000"/>
          <w:szCs w:val="22"/>
        </w:rPr>
        <w:t xml:space="preserve">Under these circumstances, a </w:t>
      </w:r>
      <w:r w:rsidRPr="00B52684">
        <w:rPr>
          <w:color w:val="000000"/>
          <w:szCs w:val="22"/>
        </w:rPr>
        <w:t>substantial upward adjustment for the sponsorship identification violations is warranted.</w:t>
      </w:r>
      <w:r>
        <w:rPr>
          <w:rStyle w:val="FootnoteReference"/>
          <w:sz w:val="22"/>
          <w:szCs w:val="22"/>
        </w:rPr>
        <w:footnoteReference w:id="45"/>
      </w:r>
      <w:r w:rsidRPr="00B52684">
        <w:rPr>
          <w:color w:val="000000"/>
          <w:szCs w:val="22"/>
        </w:rPr>
        <w:t xml:space="preserve">  </w:t>
      </w:r>
      <w:r w:rsidRPr="00B52684">
        <w:rPr>
          <w:szCs w:val="22"/>
        </w:rPr>
        <w:t>Thus</w:t>
      </w:r>
      <w:r w:rsidRPr="00E614C8">
        <w:rPr>
          <w:szCs w:val="22"/>
        </w:rPr>
        <w:t xml:space="preserve">, we conclude an upward adjustment </w:t>
      </w:r>
      <w:r w:rsidRPr="00B52684">
        <w:rPr>
          <w:szCs w:val="22"/>
        </w:rPr>
        <w:t xml:space="preserve">of the base forfeiture from $4,000 to $8,000 is </w:t>
      </w:r>
      <w:r w:rsidRPr="00B52684">
        <w:rPr>
          <w:szCs w:val="22"/>
        </w:rPr>
        <w:t>appropriate for each sponsorship identification violation and propose a forfeiture of $208,000 for the sponsorship identification violations.  Adding the proposed $25,000 forfeiture for the violation of the Consent Decree results in a total proposed</w:t>
      </w:r>
      <w:r>
        <w:rPr>
          <w:szCs w:val="22"/>
        </w:rPr>
        <w:t xml:space="preserve"> forfeiture of $233,000</w:t>
      </w:r>
      <w:r w:rsidRPr="00D857A1">
        <w:t xml:space="preserve">. </w:t>
      </w:r>
    </w:p>
    <w:p w:rsidR="004E3CCD" w:rsidRPr="00D857A1" w:rsidP="004E3CCD">
      <w:pPr>
        <w:pStyle w:val="ParaNum"/>
      </w:pPr>
      <w:r w:rsidRPr="00D857A1">
        <w:t xml:space="preserve">In applying the applicable statutory factors, we also consider whether there is any basis for a downward adjustment of the proposed forfeiture.  Here, we find none.  </w:t>
      </w:r>
    </w:p>
    <w:p w:rsidR="004E3CCD" w:rsidRPr="00D857A1" w:rsidP="004E3CCD">
      <w:pPr>
        <w:pStyle w:val="ParaNum"/>
      </w:pPr>
      <w:r>
        <w:t>Cumulus and Radio License stated that after discovering that the sponsorship identification violations occurred, they took steps to ensure that further broadcasts of sponsored material on associated Cumulus stations were not made without appropriate sponsorship identification</w:t>
      </w:r>
      <w:r w:rsidRPr="006320B7">
        <w:rPr>
          <w:szCs w:val="22"/>
        </w:rPr>
        <w:t>.</w:t>
      </w:r>
      <w:r>
        <w:rPr>
          <w:rStyle w:val="FootnoteReference"/>
          <w:sz w:val="22"/>
          <w:szCs w:val="22"/>
        </w:rPr>
        <w:footnoteReference w:id="46"/>
      </w:r>
      <w:r w:rsidRPr="00E614C8">
        <w:rPr>
          <w:szCs w:val="22"/>
        </w:rPr>
        <w:t xml:space="preserve">  However, </w:t>
      </w:r>
      <w:r>
        <w:rPr>
          <w:szCs w:val="22"/>
        </w:rPr>
        <w:t>these preventive actions do not lessen Cumulus and Radio License’s failure to timely report the new sponsorship identification violations to the Commission.  T</w:t>
      </w:r>
      <w:r w:rsidRPr="00E614C8">
        <w:rPr>
          <w:szCs w:val="22"/>
        </w:rPr>
        <w:t xml:space="preserve">he Consent Decree required </w:t>
      </w:r>
      <w:r>
        <w:rPr>
          <w:szCs w:val="22"/>
        </w:rPr>
        <w:t xml:space="preserve">that </w:t>
      </w:r>
      <w:r w:rsidRPr="00E614C8">
        <w:rPr>
          <w:szCs w:val="22"/>
        </w:rPr>
        <w:t xml:space="preserve">Cumulus and Radio License </w:t>
      </w:r>
      <w:r w:rsidRPr="006320B7">
        <w:rPr>
          <w:szCs w:val="22"/>
        </w:rPr>
        <w:t xml:space="preserve">report </w:t>
      </w:r>
      <w:r>
        <w:rPr>
          <w:szCs w:val="22"/>
        </w:rPr>
        <w:t>sponsorship identification</w:t>
      </w:r>
      <w:r w:rsidRPr="006320B7">
        <w:rPr>
          <w:szCs w:val="22"/>
        </w:rPr>
        <w:t xml:space="preserve"> violations </w:t>
      </w:r>
      <w:r>
        <w:rPr>
          <w:szCs w:val="22"/>
        </w:rPr>
        <w:t>within fifteen days of discovery,</w:t>
      </w:r>
      <w:r>
        <w:rPr>
          <w:rStyle w:val="FootnoteReference"/>
          <w:sz w:val="22"/>
          <w:szCs w:val="22"/>
        </w:rPr>
        <w:footnoteReference w:id="47"/>
      </w:r>
      <w:r w:rsidRPr="00E614C8">
        <w:rPr>
          <w:szCs w:val="22"/>
        </w:rPr>
        <w:t xml:space="preserve"> </w:t>
      </w:r>
      <w:r>
        <w:rPr>
          <w:szCs w:val="22"/>
        </w:rPr>
        <w:t xml:space="preserve">yet it was nearly eight months before Cumulus and Radio License reported these new violations to the Commission. </w:t>
      </w:r>
      <w:r w:rsidRPr="00E614C8">
        <w:rPr>
          <w:szCs w:val="22"/>
        </w:rPr>
        <w:t xml:space="preserve"> Cumulus</w:t>
      </w:r>
      <w:r w:rsidRPr="006320B7">
        <w:rPr>
          <w:szCs w:val="22"/>
        </w:rPr>
        <w:t xml:space="preserve"> and Radio License </w:t>
      </w:r>
      <w:r>
        <w:rPr>
          <w:szCs w:val="22"/>
        </w:rPr>
        <w:t>have</w:t>
      </w:r>
      <w:r w:rsidRPr="001952DC">
        <w:rPr>
          <w:szCs w:val="22"/>
        </w:rPr>
        <w:t xml:space="preserve"> not </w:t>
      </w:r>
      <w:r>
        <w:rPr>
          <w:szCs w:val="22"/>
        </w:rPr>
        <w:t xml:space="preserve">explained or </w:t>
      </w:r>
      <w:r w:rsidRPr="001952DC">
        <w:rPr>
          <w:szCs w:val="22"/>
        </w:rPr>
        <w:t>justif</w:t>
      </w:r>
      <w:r>
        <w:rPr>
          <w:szCs w:val="22"/>
        </w:rPr>
        <w:t>ied</w:t>
      </w:r>
      <w:r w:rsidRPr="001952DC">
        <w:rPr>
          <w:szCs w:val="22"/>
        </w:rPr>
        <w:t xml:space="preserve"> their failure to timely report </w:t>
      </w:r>
      <w:r>
        <w:rPr>
          <w:szCs w:val="22"/>
        </w:rPr>
        <w:t>the May 2017 Sponsorship ID Violations.  E</w:t>
      </w:r>
      <w:r w:rsidRPr="001952DC">
        <w:rPr>
          <w:szCs w:val="22"/>
        </w:rPr>
        <w:t xml:space="preserve">ven if the failure to timely report the May 2017 Sponsorship ID Violations was due to </w:t>
      </w:r>
      <w:r>
        <w:rPr>
          <w:szCs w:val="22"/>
        </w:rPr>
        <w:t xml:space="preserve">inadvertent oversight, </w:t>
      </w:r>
      <w:r w:rsidRPr="00DE0023">
        <w:rPr>
          <w:szCs w:val="22"/>
        </w:rPr>
        <w:t>such inadvert</w:t>
      </w:r>
      <w:r>
        <w:rPr>
          <w:szCs w:val="22"/>
        </w:rPr>
        <w:t>e</w:t>
      </w:r>
      <w:r w:rsidRPr="00DE0023">
        <w:rPr>
          <w:szCs w:val="22"/>
        </w:rPr>
        <w:t xml:space="preserve">nce does not mitigate </w:t>
      </w:r>
      <w:r>
        <w:rPr>
          <w:szCs w:val="22"/>
        </w:rPr>
        <w:t xml:space="preserve">the late reporting, or the fact </w:t>
      </w:r>
      <w:r w:rsidRPr="00DE0023">
        <w:rPr>
          <w:szCs w:val="22"/>
        </w:rPr>
        <w:t>th</w:t>
      </w:r>
      <w:r>
        <w:rPr>
          <w:szCs w:val="22"/>
        </w:rPr>
        <w:t>at new sponsorship identification</w:t>
      </w:r>
      <w:r w:rsidRPr="00DE0023">
        <w:rPr>
          <w:szCs w:val="22"/>
        </w:rPr>
        <w:t xml:space="preserve"> violation</w:t>
      </w:r>
      <w:r>
        <w:rPr>
          <w:szCs w:val="22"/>
        </w:rPr>
        <w:t>s occurred shortly after Cumulus and Radio License entered into and were still subject to the terms of a Consent Decree that specifically dealt with prior sponsorship identification violations</w:t>
      </w:r>
      <w:r w:rsidRPr="00DE0023">
        <w:rPr>
          <w:szCs w:val="22"/>
        </w:rPr>
        <w:t>.</w:t>
      </w:r>
      <w:r>
        <w:rPr>
          <w:rStyle w:val="FootnoteReference"/>
          <w:sz w:val="22"/>
          <w:szCs w:val="22"/>
        </w:rPr>
        <w:footnoteReference w:id="48"/>
      </w:r>
      <w:r w:rsidRPr="00E614C8">
        <w:rPr>
          <w:szCs w:val="22"/>
        </w:rPr>
        <w:t xml:space="preserve">  </w:t>
      </w:r>
      <w:r>
        <w:rPr>
          <w:szCs w:val="22"/>
        </w:rPr>
        <w:t>Commission licensees are required to take c</w:t>
      </w:r>
      <w:r w:rsidRPr="00E614C8">
        <w:rPr>
          <w:szCs w:val="22"/>
        </w:rPr>
        <w:t xml:space="preserve">orrective action </w:t>
      </w:r>
      <w:r>
        <w:rPr>
          <w:szCs w:val="22"/>
        </w:rPr>
        <w:t xml:space="preserve">in order </w:t>
      </w:r>
      <w:r w:rsidRPr="00E614C8">
        <w:rPr>
          <w:szCs w:val="22"/>
        </w:rPr>
        <w:t>to come into compliance with Commission rules</w:t>
      </w:r>
      <w:r>
        <w:rPr>
          <w:szCs w:val="22"/>
        </w:rPr>
        <w:t>, and taking such required corrective action does not mitigate the violations themselves or reduce the associated penalties</w:t>
      </w:r>
      <w:r w:rsidRPr="00E614C8">
        <w:rPr>
          <w:szCs w:val="22"/>
        </w:rPr>
        <w:t>.</w:t>
      </w:r>
      <w:r>
        <w:rPr>
          <w:rStyle w:val="FootnoteReference"/>
          <w:sz w:val="22"/>
          <w:szCs w:val="22"/>
        </w:rPr>
        <w:footnoteReference w:id="49"/>
      </w:r>
      <w:r w:rsidRPr="00E614C8">
        <w:rPr>
          <w:szCs w:val="22"/>
        </w:rPr>
        <w:t xml:space="preserve">  Under the circumstances</w:t>
      </w:r>
      <w:r>
        <w:rPr>
          <w:szCs w:val="22"/>
        </w:rPr>
        <w:t xml:space="preserve"> of the instant case</w:t>
      </w:r>
      <w:r w:rsidRPr="00E614C8">
        <w:rPr>
          <w:szCs w:val="22"/>
        </w:rPr>
        <w:t xml:space="preserve">, </w:t>
      </w:r>
      <w:r>
        <w:rPr>
          <w:szCs w:val="22"/>
        </w:rPr>
        <w:t xml:space="preserve">there are no factors that would justify a </w:t>
      </w:r>
      <w:r w:rsidRPr="00E614C8">
        <w:rPr>
          <w:szCs w:val="22"/>
        </w:rPr>
        <w:t>downward adjustment</w:t>
      </w:r>
      <w:r w:rsidRPr="00D857A1">
        <w:t xml:space="preserve"> </w:t>
      </w:r>
      <w:r>
        <w:t>of the forfeiture amount</w:t>
      </w:r>
      <w:r w:rsidRPr="00D857A1">
        <w:t xml:space="preserve">. </w:t>
      </w:r>
    </w:p>
    <w:p w:rsidR="004E3CCD" w:rsidRPr="00D857A1" w:rsidP="004E3CCD">
      <w:pPr>
        <w:pStyle w:val="ParaNum"/>
        <w:widowControl/>
      </w:pPr>
      <w:r w:rsidRPr="00D857A1">
        <w:t xml:space="preserve">Therefore, after applying the </w:t>
      </w:r>
      <w:r w:rsidRPr="00D857A1">
        <w:rPr>
          <w:i/>
        </w:rPr>
        <w:t>1997 Forfeiture Policy Statement</w:t>
      </w:r>
      <w:r w:rsidRPr="00D857A1">
        <w:t xml:space="preserve">, </w:t>
      </w:r>
      <w:r>
        <w:t>s</w:t>
      </w:r>
      <w:r w:rsidRPr="00D857A1">
        <w:t>ection 1.80 of the Rules, and the statutory factors, we propose a total forfeiture of</w:t>
      </w:r>
      <w:r w:rsidRPr="00D857A1">
        <w:t xml:space="preserve"> </w:t>
      </w:r>
      <w:r w:rsidRPr="00D857A1">
        <w:t>$</w:t>
      </w:r>
      <w:r>
        <w:t>233</w:t>
      </w:r>
      <w:r w:rsidRPr="00D857A1">
        <w:t>,000, for which Cumulus</w:t>
      </w:r>
      <w:r>
        <w:t xml:space="preserve">, Radio License, </w:t>
      </w:r>
      <w:r w:rsidRPr="00D857A1">
        <w:rPr>
          <w:szCs w:val="22"/>
        </w:rPr>
        <w:t>Cumulus Licensing LLC</w:t>
      </w:r>
      <w:r>
        <w:rPr>
          <w:szCs w:val="22"/>
        </w:rPr>
        <w:t xml:space="preserve">, and </w:t>
      </w:r>
      <w:r w:rsidRPr="00D857A1">
        <w:rPr>
          <w:szCs w:val="22"/>
        </w:rPr>
        <w:t>Radio License Holdings LLC</w:t>
      </w:r>
      <w:r w:rsidRPr="00D857A1">
        <w:t xml:space="preserve"> </w:t>
      </w:r>
      <w:r>
        <w:t>are</w:t>
      </w:r>
      <w:r w:rsidRPr="00D857A1">
        <w:t xml:space="preserve"> apparently liable.  The proposed forfeiture is calculated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Tr="003A5A1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394" w:type="dxa"/>
            <w:shd w:val="clear" w:color="auto" w:fill="auto"/>
          </w:tcPr>
          <w:p w:rsidR="004E3CCD" w:rsidRPr="00D857A1" w:rsidP="003A5A10">
            <w:pPr>
              <w:pStyle w:val="ParaNum"/>
              <w:numPr>
                <w:ilvl w:val="0"/>
                <w:numId w:val="0"/>
              </w:numPr>
              <w:rPr>
                <w:b/>
              </w:rPr>
            </w:pPr>
            <w:r w:rsidRPr="00D857A1">
              <w:rPr>
                <w:b/>
              </w:rPr>
              <w:t>Apparent Violation</w:t>
            </w:r>
          </w:p>
        </w:tc>
        <w:tc>
          <w:tcPr>
            <w:tcW w:w="2394" w:type="dxa"/>
            <w:shd w:val="clear" w:color="auto" w:fill="auto"/>
          </w:tcPr>
          <w:p w:rsidR="004E3CCD" w:rsidRPr="00D857A1" w:rsidP="003A5A10">
            <w:pPr>
              <w:pStyle w:val="ParaNum"/>
              <w:numPr>
                <w:ilvl w:val="0"/>
                <w:numId w:val="0"/>
              </w:numPr>
              <w:rPr>
                <w:b/>
              </w:rPr>
            </w:pPr>
            <w:r w:rsidRPr="00D857A1">
              <w:rPr>
                <w:b/>
              </w:rPr>
              <w:t>Number of Apparent Violations</w:t>
            </w:r>
          </w:p>
        </w:tc>
        <w:tc>
          <w:tcPr>
            <w:tcW w:w="2394" w:type="dxa"/>
            <w:shd w:val="clear" w:color="auto" w:fill="auto"/>
          </w:tcPr>
          <w:p w:rsidR="004E3CCD" w:rsidRPr="00D857A1" w:rsidP="003A5A10">
            <w:pPr>
              <w:pStyle w:val="ParaNum"/>
              <w:numPr>
                <w:ilvl w:val="0"/>
                <w:numId w:val="0"/>
              </w:numPr>
              <w:rPr>
                <w:b/>
              </w:rPr>
            </w:pPr>
            <w:r w:rsidRPr="00D857A1">
              <w:rPr>
                <w:b/>
              </w:rPr>
              <w:t>Proposed Forfeiture Per Apparent Violation</w:t>
            </w:r>
          </w:p>
        </w:tc>
        <w:tc>
          <w:tcPr>
            <w:tcW w:w="2394" w:type="dxa"/>
            <w:shd w:val="clear" w:color="auto" w:fill="auto"/>
          </w:tcPr>
          <w:p w:rsidR="004E3CCD" w:rsidRPr="00D857A1" w:rsidP="003A5A10">
            <w:pPr>
              <w:pStyle w:val="ParaNum"/>
              <w:numPr>
                <w:ilvl w:val="0"/>
                <w:numId w:val="0"/>
              </w:numPr>
            </w:pPr>
            <w:r w:rsidRPr="00D857A1">
              <w:rPr>
                <w:b/>
              </w:rPr>
              <w:t>Total</w:t>
            </w:r>
          </w:p>
        </w:tc>
      </w:tr>
      <w:tr w:rsidTr="003A5A10">
        <w:tblPrEx>
          <w:tblW w:w="0" w:type="auto"/>
          <w:tblLook w:val="04A0"/>
        </w:tblPrEx>
        <w:trPr>
          <w:cantSplit/>
        </w:trPr>
        <w:tc>
          <w:tcPr>
            <w:tcW w:w="2394" w:type="dxa"/>
            <w:shd w:val="clear" w:color="auto" w:fill="auto"/>
          </w:tcPr>
          <w:p w:rsidR="004E3CCD" w:rsidRPr="00D857A1" w:rsidP="003A5A10">
            <w:pPr>
              <w:pStyle w:val="ParaNum"/>
              <w:numPr>
                <w:ilvl w:val="0"/>
                <w:numId w:val="0"/>
              </w:numPr>
            </w:pPr>
            <w:r w:rsidRPr="00D857A1">
              <w:t>May 2017 Sponsorship ID Violations</w:t>
            </w:r>
          </w:p>
        </w:tc>
        <w:tc>
          <w:tcPr>
            <w:tcW w:w="2394" w:type="dxa"/>
            <w:shd w:val="clear" w:color="auto" w:fill="auto"/>
          </w:tcPr>
          <w:p w:rsidR="004E3CCD" w:rsidRPr="00D857A1" w:rsidP="003A5A10">
            <w:pPr>
              <w:pStyle w:val="ParaNum"/>
              <w:numPr>
                <w:ilvl w:val="0"/>
                <w:numId w:val="0"/>
              </w:numPr>
            </w:pPr>
            <w:r w:rsidRPr="00D857A1">
              <w:t>13</w:t>
            </w:r>
          </w:p>
          <w:p w:rsidR="004E3CCD" w:rsidRPr="00D857A1" w:rsidP="003A5A10">
            <w:pPr>
              <w:pStyle w:val="ParaNum"/>
              <w:numPr>
                <w:ilvl w:val="0"/>
                <w:numId w:val="0"/>
              </w:numPr>
            </w:pPr>
          </w:p>
        </w:tc>
        <w:tc>
          <w:tcPr>
            <w:tcW w:w="2394" w:type="dxa"/>
            <w:shd w:val="clear" w:color="auto" w:fill="auto"/>
          </w:tcPr>
          <w:p w:rsidR="004E3CCD" w:rsidRPr="00D857A1" w:rsidP="003A5A10">
            <w:pPr>
              <w:pStyle w:val="ParaNum"/>
              <w:numPr>
                <w:ilvl w:val="0"/>
                <w:numId w:val="0"/>
              </w:numPr>
            </w:pPr>
            <w:r w:rsidRPr="00D857A1">
              <w:t>$</w:t>
            </w:r>
            <w:r>
              <w:t>8</w:t>
            </w:r>
            <w:r w:rsidRPr="00D857A1">
              <w:t>,000</w:t>
            </w:r>
          </w:p>
        </w:tc>
        <w:tc>
          <w:tcPr>
            <w:tcW w:w="2394" w:type="dxa"/>
            <w:shd w:val="clear" w:color="auto" w:fill="auto"/>
          </w:tcPr>
          <w:p w:rsidR="004E3CCD" w:rsidRPr="00D857A1" w:rsidP="003A5A10">
            <w:pPr>
              <w:pStyle w:val="ParaNum"/>
              <w:numPr>
                <w:ilvl w:val="0"/>
                <w:numId w:val="0"/>
              </w:numPr>
            </w:pPr>
            <w:r w:rsidRPr="00D857A1">
              <w:t>$</w:t>
            </w:r>
            <w:r>
              <w:t>104</w:t>
            </w:r>
            <w:r w:rsidRPr="00D857A1">
              <w:t>,000</w:t>
            </w:r>
          </w:p>
          <w:p w:rsidR="004E3CCD" w:rsidRPr="00D857A1" w:rsidP="003A5A10">
            <w:pPr>
              <w:pStyle w:val="ParaNum"/>
              <w:numPr>
                <w:ilvl w:val="0"/>
                <w:numId w:val="0"/>
              </w:numPr>
            </w:pPr>
          </w:p>
        </w:tc>
      </w:tr>
      <w:tr w:rsidTr="003A5A10">
        <w:tblPrEx>
          <w:tblW w:w="0" w:type="auto"/>
          <w:tblLook w:val="04A0"/>
        </w:tblPrEx>
        <w:trPr>
          <w:cantSplit/>
        </w:trPr>
        <w:tc>
          <w:tcPr>
            <w:tcW w:w="2394" w:type="dxa"/>
            <w:shd w:val="clear" w:color="auto" w:fill="auto"/>
          </w:tcPr>
          <w:p w:rsidR="004E3CCD" w:rsidRPr="00D857A1" w:rsidP="003A5A10">
            <w:pPr>
              <w:pStyle w:val="ParaNum"/>
              <w:numPr>
                <w:ilvl w:val="0"/>
                <w:numId w:val="0"/>
              </w:numPr>
            </w:pPr>
            <w:r w:rsidRPr="00D857A1">
              <w:t>May 2018 Sponsorship ID Violations</w:t>
            </w:r>
          </w:p>
        </w:tc>
        <w:tc>
          <w:tcPr>
            <w:tcW w:w="2394" w:type="dxa"/>
            <w:shd w:val="clear" w:color="auto" w:fill="auto"/>
          </w:tcPr>
          <w:p w:rsidR="004E3CCD" w:rsidRPr="00D857A1" w:rsidP="003A5A10">
            <w:pPr>
              <w:pStyle w:val="ParaNum"/>
              <w:numPr>
                <w:ilvl w:val="0"/>
                <w:numId w:val="0"/>
              </w:numPr>
            </w:pPr>
            <w:r w:rsidRPr="00D857A1">
              <w:t>13</w:t>
            </w:r>
          </w:p>
        </w:tc>
        <w:tc>
          <w:tcPr>
            <w:tcW w:w="2394" w:type="dxa"/>
            <w:shd w:val="clear" w:color="auto" w:fill="auto"/>
          </w:tcPr>
          <w:p w:rsidR="004E3CCD" w:rsidRPr="00D857A1" w:rsidP="003A5A10">
            <w:pPr>
              <w:pStyle w:val="ParaNum"/>
              <w:numPr>
                <w:ilvl w:val="0"/>
                <w:numId w:val="0"/>
              </w:numPr>
            </w:pPr>
            <w:r w:rsidRPr="00D857A1">
              <w:t>$</w:t>
            </w:r>
            <w:r>
              <w:t>8</w:t>
            </w:r>
            <w:r w:rsidRPr="00D857A1">
              <w:t>,000</w:t>
            </w:r>
          </w:p>
        </w:tc>
        <w:tc>
          <w:tcPr>
            <w:tcW w:w="2394" w:type="dxa"/>
            <w:shd w:val="clear" w:color="auto" w:fill="auto"/>
          </w:tcPr>
          <w:p w:rsidR="004E3CCD" w:rsidRPr="00D857A1" w:rsidP="003A5A10">
            <w:pPr>
              <w:pStyle w:val="ParaNum"/>
              <w:numPr>
                <w:ilvl w:val="0"/>
                <w:numId w:val="0"/>
              </w:numPr>
            </w:pPr>
            <w:r w:rsidRPr="00D857A1">
              <w:t>$</w:t>
            </w:r>
            <w:r>
              <w:t>104</w:t>
            </w:r>
            <w:r w:rsidRPr="00D857A1">
              <w:t>,000</w:t>
            </w:r>
          </w:p>
        </w:tc>
      </w:tr>
      <w:tr w:rsidTr="003A5A10">
        <w:tblPrEx>
          <w:tblW w:w="0" w:type="auto"/>
          <w:tblLook w:val="04A0"/>
        </w:tblPrEx>
        <w:trPr>
          <w:cantSplit/>
        </w:trPr>
        <w:tc>
          <w:tcPr>
            <w:tcW w:w="2394" w:type="dxa"/>
            <w:shd w:val="clear" w:color="auto" w:fill="auto"/>
          </w:tcPr>
          <w:p w:rsidR="004E3CCD" w:rsidRPr="00D857A1" w:rsidP="003A5A10">
            <w:pPr>
              <w:pStyle w:val="ParaNum"/>
              <w:numPr>
                <w:ilvl w:val="0"/>
                <w:numId w:val="0"/>
              </w:numPr>
            </w:pPr>
            <w:r w:rsidRPr="00D857A1">
              <w:t>Violation of Consent Decree</w:t>
            </w:r>
          </w:p>
        </w:tc>
        <w:tc>
          <w:tcPr>
            <w:tcW w:w="2394" w:type="dxa"/>
            <w:shd w:val="clear" w:color="auto" w:fill="auto"/>
          </w:tcPr>
          <w:p w:rsidR="004E3CCD" w:rsidRPr="00D857A1" w:rsidP="003A5A10">
            <w:pPr>
              <w:pStyle w:val="ParaNum"/>
              <w:numPr>
                <w:ilvl w:val="0"/>
                <w:numId w:val="0"/>
              </w:numPr>
            </w:pPr>
            <w:r w:rsidRPr="00D857A1">
              <w:t>1</w:t>
            </w:r>
          </w:p>
        </w:tc>
        <w:tc>
          <w:tcPr>
            <w:tcW w:w="2394" w:type="dxa"/>
            <w:shd w:val="clear" w:color="auto" w:fill="auto"/>
          </w:tcPr>
          <w:p w:rsidR="004E3CCD" w:rsidRPr="00D857A1" w:rsidP="003A5A10">
            <w:pPr>
              <w:pStyle w:val="ParaNum"/>
              <w:numPr>
                <w:ilvl w:val="0"/>
                <w:numId w:val="0"/>
              </w:numPr>
            </w:pPr>
            <w:r w:rsidRPr="00D857A1">
              <w:t>$</w:t>
            </w:r>
            <w:r>
              <w:t>2</w:t>
            </w:r>
            <w:r w:rsidRPr="00D857A1">
              <w:t>5,000</w:t>
            </w:r>
          </w:p>
        </w:tc>
        <w:tc>
          <w:tcPr>
            <w:tcW w:w="2394" w:type="dxa"/>
            <w:shd w:val="clear" w:color="auto" w:fill="auto"/>
          </w:tcPr>
          <w:p w:rsidR="004E3CCD" w:rsidRPr="00D857A1" w:rsidP="003A5A10">
            <w:pPr>
              <w:pStyle w:val="ParaNum"/>
              <w:numPr>
                <w:ilvl w:val="0"/>
                <w:numId w:val="0"/>
              </w:numPr>
            </w:pPr>
            <w:r w:rsidRPr="00D857A1">
              <w:t>$</w:t>
            </w:r>
            <w:r>
              <w:t>2</w:t>
            </w:r>
            <w:r w:rsidRPr="00D857A1">
              <w:t>5,000</w:t>
            </w:r>
          </w:p>
        </w:tc>
      </w:tr>
      <w:tr w:rsidTr="003A5A10">
        <w:tblPrEx>
          <w:tblW w:w="0" w:type="auto"/>
          <w:tblLook w:val="04A0"/>
        </w:tblPrEx>
        <w:trPr>
          <w:cantSplit/>
        </w:trPr>
        <w:tc>
          <w:tcPr>
            <w:tcW w:w="2394" w:type="dxa"/>
            <w:shd w:val="clear" w:color="auto" w:fill="auto"/>
          </w:tcPr>
          <w:p w:rsidR="004E3CCD" w:rsidRPr="00D857A1" w:rsidP="003A5A10">
            <w:pPr>
              <w:pStyle w:val="ParaNum"/>
              <w:numPr>
                <w:ilvl w:val="0"/>
                <w:numId w:val="0"/>
              </w:numPr>
              <w:rPr>
                <w:b/>
              </w:rPr>
            </w:pPr>
            <w:r w:rsidRPr="00D857A1">
              <w:rPr>
                <w:b/>
              </w:rPr>
              <w:t>Total</w:t>
            </w:r>
          </w:p>
        </w:tc>
        <w:tc>
          <w:tcPr>
            <w:tcW w:w="2394" w:type="dxa"/>
            <w:shd w:val="clear" w:color="auto" w:fill="auto"/>
          </w:tcPr>
          <w:p w:rsidR="004E3CCD" w:rsidRPr="00D857A1" w:rsidP="003A5A10">
            <w:pPr>
              <w:pStyle w:val="ParaNum"/>
              <w:numPr>
                <w:ilvl w:val="0"/>
                <w:numId w:val="0"/>
              </w:numPr>
              <w:rPr>
                <w:b/>
              </w:rPr>
            </w:pPr>
            <w:r w:rsidRPr="00D857A1">
              <w:rPr>
                <w:b/>
              </w:rPr>
              <w:t>27</w:t>
            </w:r>
          </w:p>
        </w:tc>
        <w:tc>
          <w:tcPr>
            <w:tcW w:w="2394" w:type="dxa"/>
            <w:shd w:val="clear" w:color="auto" w:fill="auto"/>
          </w:tcPr>
          <w:p w:rsidR="004E3CCD" w:rsidRPr="00D857A1" w:rsidP="003A5A10">
            <w:pPr>
              <w:pStyle w:val="ParaNum"/>
              <w:numPr>
                <w:ilvl w:val="0"/>
                <w:numId w:val="0"/>
              </w:numPr>
              <w:rPr>
                <w:b/>
              </w:rPr>
            </w:pPr>
            <w:r w:rsidRPr="00D857A1">
              <w:rPr>
                <w:b/>
              </w:rPr>
              <w:t>NA</w:t>
            </w:r>
          </w:p>
        </w:tc>
        <w:tc>
          <w:tcPr>
            <w:tcW w:w="2394" w:type="dxa"/>
            <w:shd w:val="clear" w:color="auto" w:fill="auto"/>
          </w:tcPr>
          <w:p w:rsidR="004E3CCD" w:rsidRPr="00D857A1" w:rsidP="003A5A10">
            <w:pPr>
              <w:pStyle w:val="ParaNum"/>
              <w:numPr>
                <w:ilvl w:val="0"/>
                <w:numId w:val="0"/>
              </w:numPr>
              <w:rPr>
                <w:b/>
              </w:rPr>
            </w:pPr>
            <w:r w:rsidRPr="00D857A1">
              <w:rPr>
                <w:b/>
              </w:rPr>
              <w:t>$</w:t>
            </w:r>
            <w:r>
              <w:rPr>
                <w:b/>
              </w:rPr>
              <w:t>233</w:t>
            </w:r>
            <w:r w:rsidRPr="00D857A1">
              <w:rPr>
                <w:b/>
              </w:rPr>
              <w:t>,000</w:t>
            </w:r>
          </w:p>
        </w:tc>
      </w:tr>
    </w:tbl>
    <w:p w:rsidR="004E3CCD" w:rsidRPr="00D857A1" w:rsidP="004E3CCD">
      <w:pPr>
        <w:pStyle w:val="ParaNum"/>
        <w:numPr>
          <w:ilvl w:val="0"/>
          <w:numId w:val="0"/>
        </w:numPr>
        <w:ind w:left="720"/>
      </w:pPr>
    </w:p>
    <w:p w:rsidR="004E3CCD" w:rsidRPr="00D857A1" w:rsidP="004E3CCD">
      <w:pPr>
        <w:pStyle w:val="Heading1"/>
      </w:pPr>
      <w:r w:rsidRPr="00D857A1">
        <w:t>CONCLUSION</w:t>
      </w:r>
    </w:p>
    <w:p w:rsidR="004E3CCD" w:rsidRPr="00D857A1" w:rsidP="004E3CCD">
      <w:pPr>
        <w:pStyle w:val="ParaNum"/>
      </w:pPr>
      <w:r w:rsidRPr="00D857A1">
        <w:t xml:space="preserve">We have determined that </w:t>
      </w:r>
      <w:r>
        <w:t>Cumulus, Radio License, Cumulus Licensing LLC, and Radio License Holdings LLC</w:t>
      </w:r>
      <w:r w:rsidRPr="00D857A1">
        <w:t xml:space="preserve"> apparently willfully and repeatedly violated </w:t>
      </w:r>
      <w:r>
        <w:t>s</w:t>
      </w:r>
      <w:r w:rsidRPr="00D857A1">
        <w:t xml:space="preserve">ection 317 of the Act and </w:t>
      </w:r>
      <w:r>
        <w:t>s</w:t>
      </w:r>
      <w:r w:rsidRPr="00D857A1">
        <w:t>ection 73.1212 of the Rules</w:t>
      </w:r>
      <w:r>
        <w:t xml:space="preserve"> and/or </w:t>
      </w:r>
      <w:r w:rsidRPr="00D857A1">
        <w:t xml:space="preserve">the Consent Decree.  </w:t>
      </w:r>
      <w:r>
        <w:t xml:space="preserve">We have further determined that Cumulus, Radio License, Cumulus Licensing LLC, and Radio License Holdings LLC are apparently jointly and severally liable for a forfeiture in the amount of </w:t>
      </w:r>
      <w:r w:rsidRPr="00D857A1">
        <w:t>$</w:t>
      </w:r>
      <w:r>
        <w:t>233</w:t>
      </w:r>
      <w:r w:rsidRPr="00D857A1">
        <w:t>,000.</w:t>
      </w:r>
    </w:p>
    <w:p w:rsidR="004E3CCD" w:rsidRPr="00D857A1" w:rsidP="004E3CCD">
      <w:pPr>
        <w:pStyle w:val="Heading1"/>
      </w:pPr>
      <w:r w:rsidRPr="00D857A1">
        <w:t>ORDERING CLAUSES</w:t>
      </w:r>
    </w:p>
    <w:p w:rsidR="004E3CCD" w:rsidRPr="00D857A1" w:rsidP="004E3CCD">
      <w:pPr>
        <w:pStyle w:val="ParaNum"/>
      </w:pPr>
      <w:r w:rsidRPr="00D857A1">
        <w:t xml:space="preserve">Accordingly, </w:t>
      </w:r>
      <w:r w:rsidRPr="00D857A1">
        <w:rPr>
          <w:b/>
        </w:rPr>
        <w:t>IT IS ORDERED</w:t>
      </w:r>
      <w:r w:rsidRPr="00D857A1">
        <w:t xml:space="preserve"> that, pursuant to </w:t>
      </w:r>
      <w:r>
        <w:t>s</w:t>
      </w:r>
      <w:r w:rsidRPr="00D857A1">
        <w:t>ection 503(b) of the Act</w:t>
      </w:r>
      <w:r>
        <w:rPr>
          <w:rStyle w:val="FootnoteReference"/>
        </w:rPr>
        <w:footnoteReference w:id="50"/>
      </w:r>
      <w:r w:rsidRPr="00D857A1">
        <w:t xml:space="preserve"> and </w:t>
      </w:r>
      <w:r>
        <w:t>s</w:t>
      </w:r>
      <w:r w:rsidRPr="00D857A1">
        <w:t>ection 1.80 of the Rules,</w:t>
      </w:r>
      <w:r>
        <w:rPr>
          <w:rStyle w:val="FootnoteReference"/>
        </w:rPr>
        <w:footnoteReference w:id="51"/>
      </w:r>
      <w:r w:rsidRPr="00D857A1">
        <w:t xml:space="preserve"> </w:t>
      </w:r>
      <w:r w:rsidRPr="00B80EAF">
        <w:rPr>
          <w:szCs w:val="22"/>
        </w:rPr>
        <w:t xml:space="preserve">Cumulus Radio </w:t>
      </w:r>
      <w:r>
        <w:rPr>
          <w:szCs w:val="22"/>
        </w:rPr>
        <w:t>LLC</w:t>
      </w:r>
      <w:r>
        <w:t>,</w:t>
      </w:r>
      <w:r w:rsidRPr="00D857A1">
        <w:t xml:space="preserve"> </w:t>
      </w:r>
      <w:r w:rsidRPr="00D857A1">
        <w:rPr>
          <w:szCs w:val="22"/>
        </w:rPr>
        <w:t>Radio License Holding CBC, LLC</w:t>
      </w:r>
      <w:r>
        <w:rPr>
          <w:szCs w:val="22"/>
        </w:rPr>
        <w:t>,</w:t>
      </w:r>
      <w:r w:rsidRPr="00D857A1">
        <w:rPr>
          <w:szCs w:val="22"/>
        </w:rPr>
        <w:t xml:space="preserve"> Cumulus Licensing LLC</w:t>
      </w:r>
      <w:r>
        <w:rPr>
          <w:szCs w:val="22"/>
        </w:rPr>
        <w:t>,</w:t>
      </w:r>
      <w:r w:rsidRPr="00D857A1">
        <w:rPr>
          <w:szCs w:val="22"/>
        </w:rPr>
        <w:t xml:space="preserve"> and Radio License Holdings LLC</w:t>
      </w:r>
      <w:r w:rsidRPr="00D857A1">
        <w:t xml:space="preserve"> </w:t>
      </w:r>
      <w:r>
        <w:t>are</w:t>
      </w:r>
      <w:r w:rsidRPr="00D857A1">
        <w:t xml:space="preserve"> hereby </w:t>
      </w:r>
      <w:r w:rsidRPr="00D857A1">
        <w:rPr>
          <w:b/>
        </w:rPr>
        <w:t xml:space="preserve">NOTIFIED </w:t>
      </w:r>
      <w:r w:rsidRPr="00D857A1">
        <w:t>of their</w:t>
      </w:r>
      <w:r w:rsidRPr="00D857A1">
        <w:rPr>
          <w:b/>
        </w:rPr>
        <w:t xml:space="preserve"> APPARENT LIABILITY FOR A FORFEITURE</w:t>
      </w:r>
      <w:r w:rsidRPr="00D857A1">
        <w:t xml:space="preserve"> in the amount of </w:t>
      </w:r>
      <w:r>
        <w:t>two</w:t>
      </w:r>
      <w:r w:rsidRPr="00D857A1">
        <w:t xml:space="preserve"> hundred thirty-</w:t>
      </w:r>
      <w:r>
        <w:t>three</w:t>
      </w:r>
      <w:r w:rsidRPr="00D857A1">
        <w:t xml:space="preserve"> thousand dollars ($</w:t>
      </w:r>
      <w:r>
        <w:t>233</w:t>
      </w:r>
      <w:r w:rsidRPr="00D857A1">
        <w:t xml:space="preserve">,000) for willful and repeated violations of </w:t>
      </w:r>
      <w:r>
        <w:t>s</w:t>
      </w:r>
      <w:r w:rsidRPr="00D857A1">
        <w:t>ection 317 of the Act</w:t>
      </w:r>
      <w:r>
        <w:rPr>
          <w:rStyle w:val="FootnoteReference"/>
        </w:rPr>
        <w:footnoteReference w:id="52"/>
      </w:r>
      <w:r w:rsidRPr="00D857A1">
        <w:t xml:space="preserve"> and </w:t>
      </w:r>
      <w:r>
        <w:t>s</w:t>
      </w:r>
      <w:r w:rsidRPr="00D857A1">
        <w:t>ection 73.1212 of the Rules,</w:t>
      </w:r>
      <w:r>
        <w:rPr>
          <w:rStyle w:val="FootnoteReference"/>
        </w:rPr>
        <w:footnoteReference w:id="53"/>
      </w:r>
      <w:r w:rsidRPr="00D857A1">
        <w:t xml:space="preserve"> and</w:t>
      </w:r>
      <w:r w:rsidR="007D4BD3">
        <w:t>/or</w:t>
      </w:r>
      <w:r w:rsidRPr="00D857A1">
        <w:t xml:space="preserve"> violation of the Consent Decree.</w:t>
      </w:r>
    </w:p>
    <w:p w:rsidR="004E3CCD" w:rsidRPr="00D857A1" w:rsidP="004E3CCD">
      <w:pPr>
        <w:pStyle w:val="ParaNum"/>
      </w:pPr>
      <w:r w:rsidRPr="00D857A1">
        <w:rPr>
          <w:b/>
        </w:rPr>
        <w:t>IT IS FURTHER ORDERED</w:t>
      </w:r>
      <w:r w:rsidRPr="00D857A1">
        <w:t xml:space="preserve"> that pursuant to </w:t>
      </w:r>
      <w:r>
        <w:t>s</w:t>
      </w:r>
      <w:r w:rsidRPr="00D857A1">
        <w:t>ection 1.80 of the Rules,</w:t>
      </w:r>
      <w:r>
        <w:rPr>
          <w:rStyle w:val="FootnoteReference"/>
        </w:rPr>
        <w:footnoteReference w:id="54"/>
      </w:r>
      <w:r w:rsidRPr="00D857A1">
        <w:t xml:space="preserve"> within thirty (30) calendar days of the release date of this Notice of Apparent Liability for Forfeiture, </w:t>
      </w:r>
      <w:r w:rsidRPr="00B80EAF">
        <w:rPr>
          <w:szCs w:val="22"/>
        </w:rPr>
        <w:t xml:space="preserve">Cumulus Radio </w:t>
      </w:r>
      <w:r>
        <w:rPr>
          <w:szCs w:val="22"/>
        </w:rPr>
        <w:t>LLC</w:t>
      </w:r>
      <w:r>
        <w:t>,</w:t>
      </w:r>
      <w:r w:rsidRPr="00D857A1">
        <w:t xml:space="preserve"> </w:t>
      </w:r>
      <w:r w:rsidRPr="00D857A1">
        <w:rPr>
          <w:szCs w:val="22"/>
        </w:rPr>
        <w:t>Radio License Holding CBC, LLC</w:t>
      </w:r>
      <w:r>
        <w:rPr>
          <w:szCs w:val="22"/>
        </w:rPr>
        <w:t>,</w:t>
      </w:r>
      <w:r w:rsidRPr="00D857A1">
        <w:rPr>
          <w:szCs w:val="22"/>
        </w:rPr>
        <w:t xml:space="preserve"> Cumulus Licensing LLC</w:t>
      </w:r>
      <w:r>
        <w:rPr>
          <w:szCs w:val="22"/>
        </w:rPr>
        <w:t>,</w:t>
      </w:r>
      <w:r w:rsidRPr="00D857A1">
        <w:rPr>
          <w:szCs w:val="22"/>
        </w:rPr>
        <w:t xml:space="preserve"> and Radio License Holdings LLC</w:t>
      </w:r>
      <w:r w:rsidRPr="00D857A1">
        <w:t xml:space="preserve"> </w:t>
      </w:r>
      <w:r w:rsidRPr="00D857A1">
        <w:rPr>
          <w:b/>
        </w:rPr>
        <w:t>SHALL PAY</w:t>
      </w:r>
      <w:r w:rsidRPr="00D857A1">
        <w:t xml:space="preserve"> the full amount of the proposed forfeiture or </w:t>
      </w:r>
      <w:r w:rsidRPr="00D857A1">
        <w:rPr>
          <w:b/>
        </w:rPr>
        <w:t>SHALL FILE</w:t>
      </w:r>
      <w:r w:rsidRPr="00D857A1">
        <w:t xml:space="preserve"> a written statement seeking reduction or cancellation of the proposed forfeiture consistent with paragraphs </w:t>
      </w:r>
      <w:r w:rsidRPr="00157FD5">
        <w:t>23-26</w:t>
      </w:r>
      <w:r w:rsidRPr="00D857A1">
        <w:t xml:space="preserve"> below.</w:t>
      </w:r>
    </w:p>
    <w:p w:rsidR="004E3CCD" w:rsidRPr="00D857A1" w:rsidP="004E3CCD">
      <w:pPr>
        <w:pStyle w:val="ParaNum"/>
      </w:pP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55"/>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56"/>
      </w:r>
      <w:r w:rsidRPr="00D857A1">
        <w:tab/>
      </w:r>
    </w:p>
    <w:p w:rsidR="004E3CCD" w:rsidRPr="00D857A1" w:rsidP="00285876">
      <w:pPr>
        <w:pStyle w:val="ParaNum"/>
        <w:numPr>
          <w:ilvl w:val="0"/>
          <w:numId w:val="9"/>
        </w:numPr>
        <w:ind w:left="720"/>
        <w:rPr>
          <w:b/>
        </w:rPr>
      </w:pPr>
      <w:r w:rsidRPr="00AD0726">
        <w:t xml:space="preserve">Payment by wire transfer must be made to ABA Number 021030004, receiving bank </w:t>
      </w:r>
      <w:r w:rsidRPr="00AD0726">
        <w:t>TREAS/NYC, and Account Number 27000001.  A completed Form 159 must be faxed to the Federal Com</w:t>
      </w:r>
      <w:r w:rsidRPr="00523614">
        <w:t xml:space="preserve">munications Commission at 202-418-2843 or e-mailed to </w:t>
      </w:r>
      <w:r w:rsidRPr="00946810">
        <w:rPr>
          <w:rStyle w:val="Hyperlink"/>
        </w:rPr>
        <w:t>RROGWireFaxes@fcc.gov</w:t>
      </w:r>
      <w:r w:rsidRPr="00523614">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57"/>
      </w:r>
      <w:r w:rsidRPr="00523614">
        <w:t xml:space="preserve">  For additional detail and wire transfer instructions, go to </w:t>
      </w:r>
      <w:hyperlink r:id="rId5" w:history="1">
        <w:r w:rsidRPr="00523614">
          <w:rPr>
            <w:rStyle w:val="Hyperlink"/>
          </w:rPr>
          <w:t>https://www.fcc.gov/licensing-databases/fees/wire-transfer</w:t>
        </w:r>
      </w:hyperlink>
      <w:r w:rsidRPr="00523614">
        <w:t>.</w:t>
      </w:r>
    </w:p>
    <w:p w:rsidR="004E3CCD" w:rsidRPr="00D857A1" w:rsidP="00285876">
      <w:pPr>
        <w:pStyle w:val="ParaNum"/>
        <w:numPr>
          <w:ilvl w:val="0"/>
          <w:numId w:val="9"/>
        </w:numPr>
        <w:ind w:left="720"/>
        <w:rPr>
          <w:b/>
        </w:rPr>
      </w:pPr>
      <w:r w:rsidRPr="00523614">
        <w:t xml:space="preserve">Payment by credit card must be made by using the Commission’s Fee Filer website at </w:t>
      </w:r>
      <w:hyperlink r:id="rId6" w:history="1">
        <w:r w:rsidRPr="00523614">
          <w:rPr>
            <w:rStyle w:val="Hyperlink"/>
          </w:rPr>
          <w:t>https://apps.fcc.gov/FeeFiler/login.cfm</w:t>
        </w:r>
      </w:hyperlink>
      <w:r w:rsidRPr="00523614">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w:t>
      </w:r>
      <w:r>
        <w:t>-dollar</w:t>
      </w:r>
      <w:r w:rsidRPr="00523614">
        <w:t xml:space="preserve"> limitation on credit card transactions.</w:t>
      </w:r>
    </w:p>
    <w:p w:rsidR="004E3CCD" w:rsidRPr="00D857A1" w:rsidP="00285876">
      <w:pPr>
        <w:pStyle w:val="ParaNum"/>
        <w:numPr>
          <w:ilvl w:val="0"/>
          <w:numId w:val="9"/>
        </w:numPr>
        <w:ind w:left="720"/>
        <w:rPr>
          <w:b/>
        </w:rPr>
      </w:pPr>
      <w:r w:rsidRPr="00523614">
        <w:t xml:space="preserve">Payment by ACH must be made by using the Commission’s Fee Filer website at </w:t>
      </w:r>
      <w:hyperlink r:id="rId6" w:history="1">
        <w:r w:rsidRPr="00523614">
          <w:rPr>
            <w:rStyle w:val="Hyperlink"/>
          </w:rPr>
          <w:t>https://apps.fcc.gov/FeeFiler/login.cfm</w:t>
        </w:r>
      </w:hyperlink>
      <w:r w:rsidRPr="00523614">
        <w:t xml:space="preserve">.  To pay by ACH, log in using the FRN captioned above.  If payment must be split across FRNs, complete this process for each FRN.  Next, select “Pay bills” on the Fee Filer Menu and then </w:t>
      </w:r>
      <w:r w:rsidRPr="00AD0726">
        <w:t>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4E3CCD" w:rsidRPr="00D857A1" w:rsidP="004E3CCD">
      <w:pPr>
        <w:pStyle w:val="ParaNum"/>
        <w:widowControl/>
      </w:pPr>
      <w:r w:rsidRPr="00D857A1">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58"/>
      </w:r>
      <w:r w:rsidRPr="00D857A1">
        <w:t xml:space="preserve">  Questions regarding payment procedures should be directed to the Financial Operations Group Help Desk</w:t>
      </w:r>
      <w:r>
        <w:t>,</w:t>
      </w:r>
      <w:r w:rsidRPr="00D857A1">
        <w:t xml:space="preserve"> by telephone,</w:t>
      </w:r>
      <w:r>
        <w:t xml:space="preserve"> at</w:t>
      </w:r>
      <w:r w:rsidRPr="00D857A1">
        <w:t xml:space="preserve"> </w:t>
      </w:r>
      <w:r>
        <w:t>(</w:t>
      </w:r>
      <w:r w:rsidRPr="00D857A1">
        <w:t>877</w:t>
      </w:r>
      <w:r>
        <w:t xml:space="preserve">) </w:t>
      </w:r>
      <w:r w:rsidRPr="00D857A1">
        <w:t>480-3201, or</w:t>
      </w:r>
      <w:r>
        <w:t>,</w:t>
      </w:r>
      <w:r w:rsidRPr="00D857A1">
        <w:t xml:space="preserve"> by e-mail, </w:t>
      </w:r>
      <w:r w:rsidRPr="003911A0">
        <w:rPr>
          <w:rStyle w:val="Hyperlink"/>
        </w:rPr>
        <w:t>ARINQUIRIES@fcc.gov</w:t>
      </w:r>
      <w:r w:rsidRPr="00D857A1">
        <w:t>.</w:t>
      </w:r>
    </w:p>
    <w:p w:rsidR="004E3CCD" w:rsidRPr="00D857A1" w:rsidP="004E3CCD">
      <w:pPr>
        <w:pStyle w:val="ParaNum"/>
      </w:pPr>
      <w:r w:rsidRPr="00D857A1">
        <w:t xml:space="preserve">The written statement seeking reduction or cancellation of the proposed forfeiture, if any, must include a detailed factual statement supported by appropriate documentation and affidavits pursuant to </w:t>
      </w:r>
      <w:r>
        <w:t>s</w:t>
      </w:r>
      <w:r w:rsidRPr="00D857A1">
        <w:t>ection 1.16 and 1.80(f)(3) of the Rules.</w:t>
      </w:r>
      <w:r>
        <w:rPr>
          <w:rStyle w:val="FootnoteReference"/>
        </w:rPr>
        <w:footnoteReference w:id="59"/>
      </w:r>
      <w:r w:rsidRPr="00D857A1">
        <w:t xml:space="preserve">  The written statement must be mailed to the Office of the Secretary, Federal Communications Commission, 445 12th Street, SW, Washington, DC 20554, ATTN:  Enforcement Bureau  ̶  Investigations and Hearings Division, and must include the NAL/Acct Number referenced in the caption.  The statement must also be e-mailed to Jeffrey J. Gee at </w:t>
      </w:r>
      <w:r w:rsidRPr="00110B07">
        <w:rPr>
          <w:rStyle w:val="Hyperlink"/>
        </w:rPr>
        <w:t>Jeffrey.Gee@fcc.gov</w:t>
      </w:r>
      <w:r w:rsidRPr="00D857A1">
        <w:t xml:space="preserve">, Christopher </w:t>
      </w:r>
      <w:r>
        <w:t xml:space="preserve">J. </w:t>
      </w:r>
      <w:r w:rsidRPr="00D857A1">
        <w:t xml:space="preserve">Sova at </w:t>
      </w:r>
      <w:r w:rsidRPr="00110B07">
        <w:rPr>
          <w:rStyle w:val="Hyperlink"/>
        </w:rPr>
        <w:t>Christopher.Sova@fcc.gov</w:t>
      </w:r>
      <w:r w:rsidRPr="00D857A1">
        <w:t xml:space="preserve">, </w:t>
      </w:r>
      <w:r>
        <w:t xml:space="preserve">Melanie A. Godschall at </w:t>
      </w:r>
      <w:hyperlink r:id="rId7" w:history="1">
        <w:r w:rsidRPr="008B3497">
          <w:rPr>
            <w:rStyle w:val="Hyperlink"/>
          </w:rPr>
          <w:t>Melanie.Godschall@fcc.gov</w:t>
        </w:r>
      </w:hyperlink>
      <w:r>
        <w:t xml:space="preserve">, </w:t>
      </w:r>
      <w:r w:rsidRPr="00D857A1">
        <w:t xml:space="preserve">and Melissa A. Marshall at </w:t>
      </w:r>
      <w:r w:rsidRPr="00110B07">
        <w:rPr>
          <w:rStyle w:val="Hyperlink"/>
        </w:rPr>
        <w:t>Melissa.Marshall@fcc.gov</w:t>
      </w:r>
      <w:r w:rsidRPr="00D857A1">
        <w:t xml:space="preserve">.  </w:t>
      </w:r>
    </w:p>
    <w:p w:rsidR="004E3CCD" w:rsidRPr="00D857A1" w:rsidP="005A1796">
      <w:pPr>
        <w:pStyle w:val="ParaNum"/>
        <w:widowControl/>
      </w:pPr>
      <w:r w:rsidRPr="00D857A1">
        <w:t xml:space="preserve">The Commission will not consider reducing or canceling a forfeiture in response to a claim of inability to pay unless </w:t>
      </w:r>
      <w:r w:rsidRPr="00B80EAF">
        <w:rPr>
          <w:szCs w:val="22"/>
        </w:rPr>
        <w:t xml:space="preserve">Cumulus Radio </w:t>
      </w:r>
      <w:r>
        <w:rPr>
          <w:szCs w:val="22"/>
        </w:rPr>
        <w:t>LLC</w:t>
      </w:r>
      <w:r w:rsidR="007C7FFA">
        <w:t>,</w:t>
      </w:r>
      <w:r w:rsidRPr="00D857A1">
        <w:t xml:space="preserve"> </w:t>
      </w:r>
      <w:r w:rsidRPr="00D857A1">
        <w:rPr>
          <w:szCs w:val="22"/>
        </w:rPr>
        <w:t>Radio License Holding CBC, LLC</w:t>
      </w:r>
      <w:r w:rsidR="007C7FFA">
        <w:rPr>
          <w:szCs w:val="22"/>
        </w:rPr>
        <w:t>,</w:t>
      </w:r>
      <w:r w:rsidRPr="00D857A1">
        <w:rPr>
          <w:szCs w:val="22"/>
        </w:rPr>
        <w:t xml:space="preserve"> Cumulus Licensing LLC</w:t>
      </w:r>
      <w:r w:rsidR="007C7FFA">
        <w:rPr>
          <w:szCs w:val="22"/>
        </w:rPr>
        <w:t>,</w:t>
      </w:r>
      <w:r w:rsidRPr="00D857A1">
        <w:rPr>
          <w:szCs w:val="22"/>
        </w:rPr>
        <w:t xml:space="preserve"> and Radio License Holdings LLC</w:t>
      </w:r>
      <w:r w:rsidRPr="00D857A1">
        <w:t xml:space="preserve"> submits: (1) federal tax returns for the most recent three-year period; (2) financial statements prepared according to generally accepted accounting practices; or (3) some other reliable and objective documentation that accurately reflects the petitioner’s current </w:t>
      </w:r>
      <w:r w:rsidRPr="00D857A1">
        <w:t xml:space="preserve">financial status.  Any claim of inability to pay must specifically identify the basis for the claim by reference to the financial documentation.  </w:t>
      </w:r>
    </w:p>
    <w:p w:rsidR="004E3CCD" w:rsidRPr="00D857A1" w:rsidP="004E3CCD">
      <w:pPr>
        <w:pStyle w:val="ParaNum"/>
      </w:pPr>
      <w:r w:rsidRPr="00D857A1">
        <w:rPr>
          <w:b/>
        </w:rPr>
        <w:t>IT IS FURTHER ORDERED</w:t>
      </w:r>
      <w:r w:rsidRPr="00D857A1">
        <w:t xml:space="preserve"> that a copy of this Notice of Apparent Liability for Forfeiture shall be sent by first class mail and certified mail, return receipt requested to Richard S. Denning, Esq., </w:t>
      </w:r>
      <w:r>
        <w:t>Executive</w:t>
      </w:r>
      <w:r w:rsidRPr="00D857A1">
        <w:t xml:space="preserve"> Vice President, General Counsel, and Secretary, Cumulus Media Inc.,</w:t>
      </w:r>
      <w:r>
        <w:t xml:space="preserve"> Cumulus Radio LLC, and Radio License Holding CBC, LLC, </w:t>
      </w:r>
      <w:r w:rsidRPr="00D857A1">
        <w:t>3280 Peachtree Road</w:t>
      </w:r>
      <w:r w:rsidR="007C7FFA">
        <w:t xml:space="preserve"> NW</w:t>
      </w:r>
      <w:r w:rsidRPr="00D857A1">
        <w:t>, Suite 2200, Atlanta, Georgia 30305, and to Andrew S. Kersting, Esq., Regulatory Counsel, Cumulus</w:t>
      </w:r>
      <w:r>
        <w:t xml:space="preserve"> Media</w:t>
      </w:r>
      <w:r w:rsidRPr="00D857A1">
        <w:t>, 3280 Peachtree Road</w:t>
      </w:r>
      <w:r w:rsidR="007C7FFA">
        <w:t xml:space="preserve"> NW</w:t>
      </w:r>
      <w:r w:rsidRPr="00D857A1">
        <w:t>, Suite 2</w:t>
      </w:r>
      <w:r w:rsidR="007C7FFA">
        <w:t>2</w:t>
      </w:r>
      <w:r w:rsidRPr="00D857A1">
        <w:t xml:space="preserve">00, Atlanta, Georgia 30305.  </w:t>
      </w:r>
    </w:p>
    <w:p w:rsidR="004E2ECC" w:rsidP="00B13325"/>
    <w:p w:rsidR="00C6573C" w:rsidP="00B13325">
      <w:r>
        <w:tab/>
      </w:r>
      <w:r>
        <w:tab/>
      </w:r>
      <w:r>
        <w:tab/>
      </w:r>
      <w:r>
        <w:tab/>
      </w:r>
      <w:r>
        <w:tab/>
      </w:r>
      <w:r>
        <w:tab/>
        <w:t>FEDERAL COMMUNICATIONS COMMISSION</w:t>
      </w:r>
    </w:p>
    <w:p w:rsidR="00C6573C" w:rsidP="00B13325"/>
    <w:p w:rsidR="00C6573C" w:rsidP="00B13325"/>
    <w:p w:rsidR="00C6573C" w:rsidP="00B13325"/>
    <w:p w:rsidR="00C6573C" w:rsidP="00B13325"/>
    <w:p w:rsidR="00C6573C" w:rsidP="00B13325">
      <w:r>
        <w:tab/>
      </w:r>
      <w:r>
        <w:tab/>
      </w:r>
      <w:r>
        <w:tab/>
      </w:r>
      <w:r>
        <w:tab/>
      </w:r>
      <w:r>
        <w:tab/>
      </w:r>
      <w:r>
        <w:tab/>
        <w:t>Marlene H. Dortch</w:t>
      </w:r>
    </w:p>
    <w:p w:rsidR="00C6573C" w:rsidP="00B13325">
      <w:r>
        <w:tab/>
      </w:r>
      <w:r>
        <w:tab/>
      </w:r>
      <w:r>
        <w:tab/>
      </w:r>
      <w:r>
        <w:tab/>
      </w:r>
      <w:r>
        <w:tab/>
      </w:r>
      <w:r>
        <w:tab/>
        <w:t>Secretary</w:t>
      </w:r>
    </w:p>
    <w:p w:rsidR="004E3CCD" w:rsidRPr="00D857A1" w:rsidP="005818B5"/>
    <w:p w:rsidR="004E2ECC" w:rsidP="004E3CCD">
      <w:pPr>
        <w:jc w:val="center"/>
        <w:sectPr w:rsidSect="00285876">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E3CCD" w:rsidRPr="00D857A1" w:rsidP="004E3CCD">
      <w:pPr>
        <w:jc w:val="center"/>
        <w:rPr>
          <w:b/>
          <w:szCs w:val="22"/>
        </w:rPr>
      </w:pPr>
      <w:r w:rsidRPr="00D857A1">
        <w:rPr>
          <w:b/>
          <w:szCs w:val="22"/>
        </w:rPr>
        <w:t>ATTACHMENT</w:t>
      </w:r>
    </w:p>
    <w:p w:rsidR="004E3CCD" w:rsidRPr="00D857A1" w:rsidP="004E3CCD">
      <w:pPr>
        <w:jc w:val="center"/>
        <w:rPr>
          <w:b/>
          <w:szCs w:val="22"/>
        </w:rPr>
      </w:pPr>
    </w:p>
    <w:p w:rsidR="004E3CCD" w:rsidRPr="00D857A1" w:rsidP="00285876">
      <w:pPr>
        <w:rPr>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7"/>
        <w:gridCol w:w="2099"/>
        <w:gridCol w:w="1983"/>
        <w:gridCol w:w="1980"/>
        <w:gridCol w:w="222"/>
      </w:tblGrid>
      <w:tr w:rsidTr="00285876">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692"/>
          <w:tblHeader/>
        </w:trPr>
        <w:tc>
          <w:tcPr>
            <w:tcW w:w="3297" w:type="dxa"/>
            <w:vMerge w:val="restart"/>
            <w:shd w:val="clear" w:color="auto" w:fill="D9D9D9"/>
          </w:tcPr>
          <w:p w:rsidR="004E3CCD" w:rsidRPr="00D857A1" w:rsidP="003A5A10">
            <w:pPr>
              <w:rPr>
                <w:b/>
                <w:szCs w:val="22"/>
              </w:rPr>
            </w:pPr>
            <w:r w:rsidRPr="00D857A1">
              <w:rPr>
                <w:b/>
                <w:szCs w:val="22"/>
              </w:rPr>
              <w:t>STATION LICENSEE/</w:t>
            </w:r>
          </w:p>
          <w:p w:rsidR="004E3CCD" w:rsidRPr="00D857A1" w:rsidP="003A5A10">
            <w:pPr>
              <w:rPr>
                <w:b/>
                <w:szCs w:val="22"/>
              </w:rPr>
            </w:pPr>
            <w:r w:rsidRPr="00D857A1">
              <w:rPr>
                <w:b/>
                <w:szCs w:val="22"/>
              </w:rPr>
              <w:t>STATION</w:t>
            </w:r>
            <w:r>
              <w:rPr>
                <w:b/>
                <w:szCs w:val="22"/>
                <w:vertAlign w:val="superscript"/>
              </w:rPr>
              <w:footnoteReference w:id="60"/>
            </w:r>
          </w:p>
          <w:p w:rsidR="004E3CCD" w:rsidRPr="00D857A1" w:rsidP="003A5A10">
            <w:pPr>
              <w:rPr>
                <w:b/>
                <w:szCs w:val="22"/>
              </w:rPr>
            </w:pPr>
          </w:p>
        </w:tc>
        <w:tc>
          <w:tcPr>
            <w:tcW w:w="2099" w:type="dxa"/>
            <w:vMerge w:val="restart"/>
            <w:shd w:val="clear" w:color="auto" w:fill="D9D9D9"/>
          </w:tcPr>
          <w:p w:rsidR="004E3CCD" w:rsidRPr="00D857A1" w:rsidP="003A5A10">
            <w:pPr>
              <w:rPr>
                <w:b/>
                <w:szCs w:val="22"/>
              </w:rPr>
            </w:pPr>
            <w:r w:rsidRPr="00D857A1">
              <w:rPr>
                <w:b/>
                <w:szCs w:val="22"/>
              </w:rPr>
              <w:t>FACILITY IDENTIFICATION NUMBER</w:t>
            </w:r>
          </w:p>
        </w:tc>
        <w:tc>
          <w:tcPr>
            <w:tcW w:w="4185" w:type="dxa"/>
            <w:gridSpan w:val="3"/>
            <w:shd w:val="clear" w:color="auto" w:fill="D9D9D9"/>
          </w:tcPr>
          <w:p w:rsidR="004E3CCD" w:rsidRPr="00D857A1" w:rsidP="003A5A10">
            <w:pPr>
              <w:rPr>
                <w:b/>
                <w:szCs w:val="22"/>
              </w:rPr>
            </w:pPr>
            <w:r w:rsidRPr="00D857A1">
              <w:rPr>
                <w:b/>
                <w:szCs w:val="22"/>
              </w:rPr>
              <w:t>ON-AIR SPOT OR ADVERTISEMENT WITHOUT APPROPRIATE SPONSORSHIP IDENTIFICATION</w:t>
            </w:r>
          </w:p>
        </w:tc>
      </w:tr>
      <w:tr w:rsidTr="00285876">
        <w:tblPrEx>
          <w:tblW w:w="0" w:type="auto"/>
          <w:tblInd w:w="-5" w:type="dxa"/>
          <w:tblLook w:val="04A0"/>
        </w:tblPrEx>
        <w:trPr>
          <w:cantSplit/>
          <w:trHeight w:val="502"/>
          <w:tblHeader/>
        </w:trPr>
        <w:tc>
          <w:tcPr>
            <w:tcW w:w="3297" w:type="dxa"/>
            <w:vMerge/>
            <w:shd w:val="clear" w:color="auto" w:fill="D9D9D9"/>
          </w:tcPr>
          <w:p w:rsidR="004E3CCD" w:rsidRPr="00D857A1" w:rsidP="003A5A10">
            <w:pPr>
              <w:rPr>
                <w:b/>
                <w:szCs w:val="22"/>
              </w:rPr>
            </w:pPr>
          </w:p>
        </w:tc>
        <w:tc>
          <w:tcPr>
            <w:tcW w:w="2099" w:type="dxa"/>
            <w:vMerge/>
            <w:shd w:val="clear" w:color="auto" w:fill="D9D9D9"/>
          </w:tcPr>
          <w:p w:rsidR="004E3CCD" w:rsidRPr="00D857A1" w:rsidP="003A5A10">
            <w:pPr>
              <w:rPr>
                <w:b/>
                <w:szCs w:val="22"/>
              </w:rPr>
            </w:pPr>
          </w:p>
        </w:tc>
        <w:tc>
          <w:tcPr>
            <w:tcW w:w="1983" w:type="dxa"/>
            <w:shd w:val="clear" w:color="auto" w:fill="D9D9D9"/>
          </w:tcPr>
          <w:p w:rsidR="004E3CCD" w:rsidRPr="00D857A1" w:rsidP="003A5A10">
            <w:pPr>
              <w:jc w:val="center"/>
              <w:rPr>
                <w:b/>
                <w:szCs w:val="22"/>
              </w:rPr>
            </w:pPr>
            <w:r w:rsidRPr="00D857A1">
              <w:rPr>
                <w:b/>
                <w:szCs w:val="22"/>
              </w:rPr>
              <w:t>Apparent Violations</w:t>
            </w:r>
          </w:p>
        </w:tc>
        <w:tc>
          <w:tcPr>
            <w:tcW w:w="2202" w:type="dxa"/>
            <w:gridSpan w:val="2"/>
            <w:tcBorders>
              <w:bottom w:val="single" w:sz="4" w:space="0" w:color="auto"/>
            </w:tcBorders>
            <w:shd w:val="clear" w:color="auto" w:fill="D9D9D9"/>
          </w:tcPr>
          <w:p w:rsidR="004E3CCD" w:rsidRPr="00D857A1" w:rsidP="003A5A10">
            <w:pPr>
              <w:jc w:val="center"/>
              <w:rPr>
                <w:b/>
                <w:szCs w:val="22"/>
              </w:rPr>
            </w:pPr>
            <w:r w:rsidRPr="00D857A1">
              <w:rPr>
                <w:b/>
                <w:szCs w:val="22"/>
              </w:rPr>
              <w:t>Broadcast Dates</w:t>
            </w:r>
            <w:r>
              <w:rPr>
                <w:rStyle w:val="FootnoteReference"/>
                <w:b/>
                <w:sz w:val="22"/>
                <w:szCs w:val="22"/>
              </w:rPr>
              <w:footnoteReference w:id="61"/>
            </w: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bookmarkStart w:id="4" w:name="_Hlk529977135"/>
            <w:r w:rsidRPr="00D857A1">
              <w:rPr>
                <w:szCs w:val="22"/>
              </w:rPr>
              <w:t>Radio License Holdings LLC/</w:t>
            </w:r>
          </w:p>
          <w:p w:rsidR="004E3CCD" w:rsidRPr="00D857A1" w:rsidP="003A5A10">
            <w:pPr>
              <w:rPr>
                <w:szCs w:val="22"/>
              </w:rPr>
            </w:pPr>
            <w:r w:rsidRPr="00D857A1">
              <w:rPr>
                <w:szCs w:val="22"/>
              </w:rPr>
              <w:t>WDVD(FM), Detroit, Michigan</w:t>
            </w:r>
          </w:p>
        </w:tc>
        <w:tc>
          <w:tcPr>
            <w:tcW w:w="2099" w:type="dxa"/>
            <w:shd w:val="clear" w:color="auto" w:fill="auto"/>
            <w:vAlign w:val="bottom"/>
          </w:tcPr>
          <w:p w:rsidR="004E3CCD" w:rsidRPr="00D857A1" w:rsidP="003A5A10">
            <w:pPr>
              <w:rPr>
                <w:szCs w:val="22"/>
              </w:rPr>
            </w:pPr>
            <w:r w:rsidRPr="00D857A1">
              <w:rPr>
                <w:szCs w:val="22"/>
              </w:rPr>
              <w:t>8631</w:t>
            </w:r>
          </w:p>
        </w:tc>
        <w:tc>
          <w:tcPr>
            <w:tcW w:w="1983" w:type="dxa"/>
            <w:shd w:val="clear" w:color="auto" w:fill="auto"/>
            <w:vAlign w:val="bottom"/>
          </w:tcPr>
          <w:p w:rsidR="004E3CCD" w:rsidRPr="00D857A1" w:rsidP="003A5A10">
            <w:pPr>
              <w:jc w:val="center"/>
              <w:rPr>
                <w:szCs w:val="22"/>
              </w:rPr>
            </w:pPr>
            <w:r w:rsidRPr="00D857A1">
              <w:rPr>
                <w:szCs w:val="22"/>
              </w:rPr>
              <w:t>3</w:t>
            </w:r>
          </w:p>
        </w:tc>
        <w:tc>
          <w:tcPr>
            <w:tcW w:w="1980" w:type="dxa"/>
            <w:tcBorders>
              <w:right w:val="nil"/>
            </w:tcBorders>
            <w:shd w:val="clear" w:color="auto" w:fill="auto"/>
            <w:vAlign w:val="bottom"/>
          </w:tcPr>
          <w:p w:rsidR="004E3CCD" w:rsidRPr="00D857A1" w:rsidP="003A5A10">
            <w:pPr>
              <w:jc w:val="center"/>
              <w:rPr>
                <w:szCs w:val="22"/>
              </w:rPr>
            </w:pPr>
            <w:r w:rsidRPr="00D857A1">
              <w:rPr>
                <w:szCs w:val="22"/>
              </w:rPr>
              <w:t>5/16/17 (3 times)</w:t>
            </w:r>
          </w:p>
        </w:tc>
        <w:tc>
          <w:tcPr>
            <w:tcW w:w="0" w:type="auto"/>
            <w:tcBorders>
              <w:left w:val="nil"/>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Radio License Holdings LLC/</w:t>
            </w:r>
          </w:p>
          <w:p w:rsidR="004E3CCD" w:rsidRPr="00D857A1" w:rsidP="003A5A10">
            <w:pPr>
              <w:rPr>
                <w:szCs w:val="22"/>
              </w:rPr>
            </w:pPr>
            <w:r w:rsidRPr="00D857A1">
              <w:rPr>
                <w:szCs w:val="22"/>
              </w:rPr>
              <w:t>WDRQ(FM), Detroit, Michigan</w:t>
            </w:r>
          </w:p>
        </w:tc>
        <w:tc>
          <w:tcPr>
            <w:tcW w:w="2099" w:type="dxa"/>
            <w:shd w:val="clear" w:color="auto" w:fill="auto"/>
            <w:vAlign w:val="bottom"/>
          </w:tcPr>
          <w:p w:rsidR="004E3CCD" w:rsidRPr="00D857A1" w:rsidP="003A5A10">
            <w:pPr>
              <w:rPr>
                <w:szCs w:val="22"/>
              </w:rPr>
            </w:pPr>
            <w:r w:rsidRPr="00D857A1">
              <w:rPr>
                <w:szCs w:val="22"/>
              </w:rPr>
              <w:t>70040</w:t>
            </w:r>
          </w:p>
        </w:tc>
        <w:tc>
          <w:tcPr>
            <w:tcW w:w="1983" w:type="dxa"/>
            <w:shd w:val="clear" w:color="auto" w:fill="auto"/>
            <w:vAlign w:val="bottom"/>
          </w:tcPr>
          <w:p w:rsidR="004E3CCD" w:rsidRPr="00D857A1" w:rsidP="003A5A10">
            <w:pPr>
              <w:jc w:val="center"/>
              <w:rPr>
                <w:szCs w:val="22"/>
              </w:rPr>
            </w:pPr>
            <w:r w:rsidRPr="00D857A1">
              <w:rPr>
                <w:szCs w:val="22"/>
              </w:rPr>
              <w:t>3</w:t>
            </w:r>
          </w:p>
        </w:tc>
        <w:tc>
          <w:tcPr>
            <w:tcW w:w="1980" w:type="dxa"/>
            <w:tcBorders>
              <w:right w:val="nil"/>
            </w:tcBorders>
            <w:shd w:val="clear" w:color="auto" w:fill="auto"/>
            <w:vAlign w:val="bottom"/>
          </w:tcPr>
          <w:p w:rsidR="004E3CCD" w:rsidRPr="00D857A1" w:rsidP="003A5A10">
            <w:pPr>
              <w:jc w:val="center"/>
              <w:rPr>
                <w:szCs w:val="22"/>
              </w:rPr>
            </w:pPr>
            <w:r w:rsidRPr="00D857A1">
              <w:rPr>
                <w:szCs w:val="22"/>
              </w:rPr>
              <w:t>5/16/17 (3 times)</w:t>
            </w:r>
          </w:p>
        </w:tc>
        <w:tc>
          <w:tcPr>
            <w:tcW w:w="0" w:type="auto"/>
            <w:tcBorders>
              <w:left w:val="nil"/>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Cumulus Licensing LLC/</w:t>
            </w:r>
          </w:p>
          <w:p w:rsidR="004E3CCD" w:rsidRPr="00D857A1" w:rsidP="003A5A10">
            <w:pPr>
              <w:rPr>
                <w:szCs w:val="22"/>
              </w:rPr>
            </w:pPr>
            <w:r w:rsidRPr="00D857A1">
              <w:rPr>
                <w:szCs w:val="22"/>
              </w:rPr>
              <w:t>WTKA(AM), Ann Arbor, Michigan</w:t>
            </w:r>
          </w:p>
        </w:tc>
        <w:tc>
          <w:tcPr>
            <w:tcW w:w="2099" w:type="dxa"/>
            <w:shd w:val="clear" w:color="auto" w:fill="auto"/>
            <w:vAlign w:val="bottom"/>
          </w:tcPr>
          <w:p w:rsidR="004E3CCD" w:rsidRPr="00D857A1" w:rsidP="003A5A10">
            <w:pPr>
              <w:rPr>
                <w:szCs w:val="22"/>
              </w:rPr>
            </w:pPr>
            <w:r w:rsidRPr="00D857A1">
              <w:rPr>
                <w:szCs w:val="22"/>
              </w:rPr>
              <w:t>47116</w:t>
            </w:r>
          </w:p>
        </w:tc>
        <w:tc>
          <w:tcPr>
            <w:tcW w:w="1983" w:type="dxa"/>
            <w:shd w:val="clear" w:color="auto" w:fill="auto"/>
            <w:vAlign w:val="bottom"/>
          </w:tcPr>
          <w:p w:rsidR="004E3CCD" w:rsidRPr="00D857A1" w:rsidP="003A5A10">
            <w:pPr>
              <w:jc w:val="center"/>
              <w:rPr>
                <w:szCs w:val="22"/>
              </w:rPr>
            </w:pPr>
            <w:r w:rsidRPr="00D857A1">
              <w:rPr>
                <w:szCs w:val="22"/>
              </w:rPr>
              <w:t>2</w:t>
            </w:r>
          </w:p>
        </w:tc>
        <w:tc>
          <w:tcPr>
            <w:tcW w:w="1980" w:type="dxa"/>
            <w:tcBorders>
              <w:bottom w:val="single" w:sz="4" w:space="0" w:color="auto"/>
              <w:right w:val="nil"/>
            </w:tcBorders>
            <w:shd w:val="clear" w:color="auto" w:fill="auto"/>
            <w:vAlign w:val="bottom"/>
          </w:tcPr>
          <w:p w:rsidR="004E3CCD" w:rsidRPr="00D857A1" w:rsidP="003A5A10">
            <w:pPr>
              <w:jc w:val="center"/>
              <w:rPr>
                <w:szCs w:val="22"/>
              </w:rPr>
            </w:pPr>
            <w:r w:rsidRPr="00D857A1">
              <w:rPr>
                <w:szCs w:val="22"/>
              </w:rPr>
              <w:t>5/16/17 (2 times)</w:t>
            </w:r>
          </w:p>
        </w:tc>
        <w:tc>
          <w:tcPr>
            <w:tcW w:w="0" w:type="auto"/>
            <w:tcBorders>
              <w:left w:val="nil"/>
              <w:bottom w:val="single" w:sz="4" w:space="0" w:color="auto"/>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Cumulus Licensing LLC/</w:t>
            </w:r>
          </w:p>
          <w:p w:rsidR="004E3CCD" w:rsidRPr="00D857A1" w:rsidP="003A5A10">
            <w:pPr>
              <w:rPr>
                <w:szCs w:val="22"/>
              </w:rPr>
            </w:pPr>
            <w:r w:rsidRPr="00D857A1">
              <w:rPr>
                <w:szCs w:val="22"/>
              </w:rPr>
              <w:t>WWWW-FM, Ann Arbor, Michigan</w:t>
            </w:r>
          </w:p>
        </w:tc>
        <w:tc>
          <w:tcPr>
            <w:tcW w:w="2099" w:type="dxa"/>
            <w:shd w:val="clear" w:color="auto" w:fill="auto"/>
            <w:vAlign w:val="bottom"/>
          </w:tcPr>
          <w:p w:rsidR="004E3CCD" w:rsidRPr="00D857A1" w:rsidP="003A5A10">
            <w:pPr>
              <w:rPr>
                <w:szCs w:val="22"/>
              </w:rPr>
            </w:pPr>
            <w:r w:rsidRPr="00D857A1">
              <w:rPr>
                <w:szCs w:val="22"/>
              </w:rPr>
              <w:t>41080</w:t>
            </w:r>
          </w:p>
        </w:tc>
        <w:tc>
          <w:tcPr>
            <w:tcW w:w="1983" w:type="dxa"/>
            <w:shd w:val="clear" w:color="auto" w:fill="auto"/>
            <w:vAlign w:val="bottom"/>
          </w:tcPr>
          <w:p w:rsidR="004E3CCD" w:rsidRPr="00D857A1" w:rsidP="003A5A10">
            <w:pPr>
              <w:jc w:val="center"/>
              <w:rPr>
                <w:szCs w:val="22"/>
              </w:rPr>
            </w:pPr>
            <w:r w:rsidRPr="00D857A1">
              <w:rPr>
                <w:szCs w:val="22"/>
              </w:rPr>
              <w:t>2</w:t>
            </w:r>
          </w:p>
        </w:tc>
        <w:tc>
          <w:tcPr>
            <w:tcW w:w="1980" w:type="dxa"/>
            <w:tcBorders>
              <w:bottom w:val="single" w:sz="4" w:space="0" w:color="auto"/>
              <w:right w:val="nil"/>
            </w:tcBorders>
            <w:shd w:val="clear" w:color="auto" w:fill="auto"/>
            <w:vAlign w:val="bottom"/>
          </w:tcPr>
          <w:p w:rsidR="004E3CCD" w:rsidRPr="00D857A1" w:rsidP="003A5A10">
            <w:pPr>
              <w:jc w:val="center"/>
              <w:rPr>
                <w:szCs w:val="22"/>
              </w:rPr>
            </w:pPr>
            <w:r w:rsidRPr="00D857A1">
              <w:rPr>
                <w:szCs w:val="22"/>
              </w:rPr>
              <w:t>5/16/17 (2 times)</w:t>
            </w:r>
          </w:p>
        </w:tc>
        <w:tc>
          <w:tcPr>
            <w:tcW w:w="0" w:type="auto"/>
            <w:tcBorders>
              <w:left w:val="nil"/>
              <w:bottom w:val="single" w:sz="4" w:space="0" w:color="auto"/>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Radio License Holding CBC, LLC/</w:t>
            </w:r>
          </w:p>
          <w:p w:rsidR="004E3CCD" w:rsidRPr="00D857A1" w:rsidP="003A5A10">
            <w:pPr>
              <w:rPr>
                <w:szCs w:val="22"/>
              </w:rPr>
            </w:pPr>
            <w:r w:rsidRPr="00D857A1">
              <w:rPr>
                <w:szCs w:val="22"/>
              </w:rPr>
              <w:t>WFBE(FM), Flint, Michigan</w:t>
            </w:r>
          </w:p>
        </w:tc>
        <w:tc>
          <w:tcPr>
            <w:tcW w:w="2099" w:type="dxa"/>
            <w:shd w:val="clear" w:color="auto" w:fill="auto"/>
            <w:vAlign w:val="bottom"/>
          </w:tcPr>
          <w:p w:rsidR="004E3CCD" w:rsidRPr="00D857A1" w:rsidP="003A5A10">
            <w:pPr>
              <w:rPr>
                <w:szCs w:val="22"/>
              </w:rPr>
            </w:pPr>
            <w:r w:rsidRPr="00D857A1">
              <w:rPr>
                <w:szCs w:val="22"/>
              </w:rPr>
              <w:t>21730</w:t>
            </w:r>
          </w:p>
        </w:tc>
        <w:tc>
          <w:tcPr>
            <w:tcW w:w="1983" w:type="dxa"/>
            <w:shd w:val="clear" w:color="auto" w:fill="auto"/>
            <w:vAlign w:val="bottom"/>
          </w:tcPr>
          <w:p w:rsidR="004E3CCD" w:rsidRPr="00D857A1" w:rsidP="003A5A10">
            <w:pPr>
              <w:jc w:val="center"/>
              <w:rPr>
                <w:szCs w:val="22"/>
              </w:rPr>
            </w:pPr>
            <w:r w:rsidRPr="00D857A1">
              <w:rPr>
                <w:szCs w:val="22"/>
              </w:rPr>
              <w:t>1</w:t>
            </w:r>
          </w:p>
        </w:tc>
        <w:tc>
          <w:tcPr>
            <w:tcW w:w="1980" w:type="dxa"/>
            <w:tcBorders>
              <w:bottom w:val="single" w:sz="4" w:space="0" w:color="auto"/>
              <w:right w:val="nil"/>
            </w:tcBorders>
            <w:shd w:val="clear" w:color="auto" w:fill="auto"/>
            <w:vAlign w:val="bottom"/>
          </w:tcPr>
          <w:p w:rsidR="004E3CCD" w:rsidRPr="00D857A1" w:rsidP="003A5A10">
            <w:pPr>
              <w:jc w:val="center"/>
              <w:rPr>
                <w:szCs w:val="22"/>
              </w:rPr>
            </w:pPr>
            <w:r w:rsidRPr="00D857A1">
              <w:rPr>
                <w:szCs w:val="22"/>
              </w:rPr>
              <w:t>5/16/17 (1 time)</w:t>
            </w:r>
          </w:p>
        </w:tc>
        <w:tc>
          <w:tcPr>
            <w:tcW w:w="0" w:type="auto"/>
            <w:tcBorders>
              <w:left w:val="nil"/>
              <w:bottom w:val="single" w:sz="4" w:space="0" w:color="auto"/>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Radio License Holding CBC, LLC/</w:t>
            </w:r>
          </w:p>
          <w:p w:rsidR="004E3CCD" w:rsidRPr="00D857A1" w:rsidP="003A5A10">
            <w:pPr>
              <w:rPr>
                <w:szCs w:val="22"/>
              </w:rPr>
            </w:pPr>
            <w:r w:rsidRPr="00D857A1">
              <w:rPr>
                <w:szCs w:val="22"/>
              </w:rPr>
              <w:t>WTRX(AM), Flint, Michigan</w:t>
            </w:r>
          </w:p>
        </w:tc>
        <w:tc>
          <w:tcPr>
            <w:tcW w:w="2099" w:type="dxa"/>
            <w:shd w:val="clear" w:color="auto" w:fill="auto"/>
            <w:vAlign w:val="bottom"/>
          </w:tcPr>
          <w:p w:rsidR="004E3CCD" w:rsidRPr="00D857A1" w:rsidP="003A5A10">
            <w:pPr>
              <w:rPr>
                <w:szCs w:val="22"/>
              </w:rPr>
            </w:pPr>
            <w:r w:rsidRPr="00D857A1">
              <w:rPr>
                <w:szCs w:val="22"/>
              </w:rPr>
              <w:t>15768</w:t>
            </w:r>
          </w:p>
        </w:tc>
        <w:tc>
          <w:tcPr>
            <w:tcW w:w="1983" w:type="dxa"/>
            <w:shd w:val="clear" w:color="auto" w:fill="auto"/>
            <w:vAlign w:val="bottom"/>
          </w:tcPr>
          <w:p w:rsidR="004E3CCD" w:rsidRPr="00D857A1" w:rsidP="003A5A10">
            <w:pPr>
              <w:jc w:val="center"/>
              <w:rPr>
                <w:szCs w:val="22"/>
              </w:rPr>
            </w:pPr>
            <w:r w:rsidRPr="00D857A1">
              <w:rPr>
                <w:szCs w:val="22"/>
              </w:rPr>
              <w:t>2</w:t>
            </w:r>
          </w:p>
        </w:tc>
        <w:tc>
          <w:tcPr>
            <w:tcW w:w="1980" w:type="dxa"/>
            <w:tcBorders>
              <w:bottom w:val="single" w:sz="4" w:space="0" w:color="auto"/>
              <w:right w:val="nil"/>
            </w:tcBorders>
            <w:shd w:val="clear" w:color="auto" w:fill="auto"/>
            <w:vAlign w:val="bottom"/>
          </w:tcPr>
          <w:p w:rsidR="004E3CCD" w:rsidRPr="00D857A1" w:rsidP="003A5A10">
            <w:pPr>
              <w:jc w:val="center"/>
              <w:rPr>
                <w:szCs w:val="22"/>
              </w:rPr>
            </w:pPr>
            <w:r w:rsidRPr="00D857A1">
              <w:rPr>
                <w:szCs w:val="22"/>
              </w:rPr>
              <w:t>5/16/17 (2 times)</w:t>
            </w:r>
          </w:p>
        </w:tc>
        <w:tc>
          <w:tcPr>
            <w:tcW w:w="0" w:type="auto"/>
            <w:tcBorders>
              <w:left w:val="nil"/>
              <w:bottom w:val="single" w:sz="4" w:space="0" w:color="auto"/>
            </w:tcBorders>
            <w:shd w:val="clear" w:color="auto" w:fill="auto"/>
          </w:tcPr>
          <w:p w:rsidR="004E3CCD" w:rsidRPr="00D857A1" w:rsidP="003A5A10">
            <w:pPr>
              <w:rPr>
                <w:szCs w:val="22"/>
              </w:rPr>
            </w:pPr>
          </w:p>
        </w:tc>
      </w:tr>
      <w:tr w:rsidTr="00285876">
        <w:tblPrEx>
          <w:tblW w:w="0" w:type="auto"/>
          <w:tblInd w:w="-5" w:type="dxa"/>
          <w:tblLook w:val="04A0"/>
        </w:tblPrEx>
        <w:trPr>
          <w:cantSplit/>
        </w:trPr>
        <w:tc>
          <w:tcPr>
            <w:tcW w:w="3297" w:type="dxa"/>
            <w:shd w:val="clear" w:color="auto" w:fill="auto"/>
            <w:vAlign w:val="bottom"/>
          </w:tcPr>
          <w:p w:rsidR="004E3CCD" w:rsidRPr="00D857A1" w:rsidP="003A5A10">
            <w:pPr>
              <w:rPr>
                <w:szCs w:val="22"/>
              </w:rPr>
            </w:pPr>
            <w:r w:rsidRPr="00D857A1">
              <w:rPr>
                <w:szCs w:val="22"/>
              </w:rPr>
              <w:t>Cumulus Licensing LLC/</w:t>
            </w:r>
          </w:p>
          <w:p w:rsidR="004E3CCD" w:rsidRPr="00D857A1" w:rsidP="003A5A10">
            <w:pPr>
              <w:rPr>
                <w:szCs w:val="22"/>
              </w:rPr>
            </w:pPr>
            <w:r w:rsidRPr="00D857A1">
              <w:rPr>
                <w:szCs w:val="22"/>
              </w:rPr>
              <w:t>WMAC(AM), Macon, Georgia</w:t>
            </w:r>
          </w:p>
        </w:tc>
        <w:tc>
          <w:tcPr>
            <w:tcW w:w="2099" w:type="dxa"/>
            <w:shd w:val="clear" w:color="auto" w:fill="auto"/>
            <w:vAlign w:val="bottom"/>
          </w:tcPr>
          <w:p w:rsidR="004E3CCD" w:rsidRPr="00D857A1" w:rsidP="003A5A10">
            <w:pPr>
              <w:rPr>
                <w:szCs w:val="22"/>
              </w:rPr>
            </w:pPr>
            <w:r w:rsidRPr="00D857A1">
              <w:rPr>
                <w:szCs w:val="22"/>
              </w:rPr>
              <w:t>46998</w:t>
            </w:r>
          </w:p>
        </w:tc>
        <w:tc>
          <w:tcPr>
            <w:tcW w:w="1983" w:type="dxa"/>
            <w:shd w:val="clear" w:color="auto" w:fill="auto"/>
            <w:vAlign w:val="bottom"/>
          </w:tcPr>
          <w:p w:rsidR="004E3CCD" w:rsidRPr="00D857A1" w:rsidP="003A5A10">
            <w:pPr>
              <w:jc w:val="center"/>
              <w:rPr>
                <w:szCs w:val="22"/>
              </w:rPr>
            </w:pPr>
            <w:r w:rsidRPr="00D857A1">
              <w:rPr>
                <w:szCs w:val="22"/>
              </w:rPr>
              <w:t>13</w:t>
            </w:r>
          </w:p>
        </w:tc>
        <w:tc>
          <w:tcPr>
            <w:tcW w:w="1980" w:type="dxa"/>
            <w:tcBorders>
              <w:bottom w:val="single" w:sz="4" w:space="0" w:color="auto"/>
              <w:right w:val="nil"/>
            </w:tcBorders>
            <w:shd w:val="clear" w:color="auto" w:fill="auto"/>
            <w:vAlign w:val="bottom"/>
          </w:tcPr>
          <w:p w:rsidR="004E3CCD" w:rsidRPr="00D857A1" w:rsidP="003A5A10">
            <w:pPr>
              <w:jc w:val="center"/>
              <w:rPr>
                <w:szCs w:val="22"/>
              </w:rPr>
            </w:pPr>
            <w:r w:rsidRPr="00D857A1">
              <w:rPr>
                <w:szCs w:val="22"/>
              </w:rPr>
              <w:t>5/14/18 (9 times) 5/15/18 (4 times)</w:t>
            </w:r>
          </w:p>
        </w:tc>
        <w:tc>
          <w:tcPr>
            <w:tcW w:w="0" w:type="auto"/>
            <w:tcBorders>
              <w:left w:val="nil"/>
              <w:bottom w:val="single" w:sz="4" w:space="0" w:color="auto"/>
            </w:tcBorders>
            <w:shd w:val="clear" w:color="auto" w:fill="auto"/>
          </w:tcPr>
          <w:p w:rsidR="004E3CCD" w:rsidRPr="00D857A1" w:rsidP="003A5A10">
            <w:pPr>
              <w:rPr>
                <w:szCs w:val="22"/>
              </w:rPr>
            </w:pPr>
          </w:p>
        </w:tc>
      </w:tr>
      <w:bookmarkEnd w:id="4"/>
      <w:tr w:rsidTr="00285876">
        <w:tblPrEx>
          <w:tblW w:w="0" w:type="auto"/>
          <w:tblInd w:w="-5" w:type="dxa"/>
          <w:tblLook w:val="04A0"/>
        </w:tblPrEx>
        <w:trPr>
          <w:cantSplit/>
        </w:trPr>
        <w:tc>
          <w:tcPr>
            <w:tcW w:w="3297" w:type="dxa"/>
            <w:shd w:val="clear" w:color="auto" w:fill="auto"/>
            <w:vAlign w:val="bottom"/>
          </w:tcPr>
          <w:p w:rsidR="004E3CCD" w:rsidRPr="00D857A1" w:rsidP="003A5A10">
            <w:pPr>
              <w:rPr>
                <w:b/>
                <w:szCs w:val="22"/>
              </w:rPr>
            </w:pPr>
            <w:r w:rsidRPr="00D857A1">
              <w:rPr>
                <w:b/>
                <w:szCs w:val="22"/>
              </w:rPr>
              <w:t>TOTALS</w:t>
            </w:r>
          </w:p>
        </w:tc>
        <w:tc>
          <w:tcPr>
            <w:tcW w:w="2099" w:type="dxa"/>
            <w:shd w:val="clear" w:color="auto" w:fill="auto"/>
            <w:vAlign w:val="bottom"/>
          </w:tcPr>
          <w:p w:rsidR="004E3CCD" w:rsidRPr="00D857A1" w:rsidP="003A5A10">
            <w:pPr>
              <w:rPr>
                <w:b/>
                <w:szCs w:val="22"/>
              </w:rPr>
            </w:pPr>
            <w:r w:rsidRPr="00D857A1">
              <w:rPr>
                <w:b/>
                <w:szCs w:val="22"/>
              </w:rPr>
              <w:t>N/A</w:t>
            </w:r>
          </w:p>
        </w:tc>
        <w:tc>
          <w:tcPr>
            <w:tcW w:w="1983" w:type="dxa"/>
            <w:shd w:val="clear" w:color="auto" w:fill="auto"/>
            <w:vAlign w:val="bottom"/>
          </w:tcPr>
          <w:p w:rsidR="004E3CCD" w:rsidRPr="00D857A1" w:rsidP="003A5A10">
            <w:pPr>
              <w:jc w:val="center"/>
              <w:rPr>
                <w:b/>
                <w:szCs w:val="22"/>
              </w:rPr>
            </w:pPr>
            <w:r w:rsidRPr="00D857A1">
              <w:rPr>
                <w:b/>
                <w:szCs w:val="22"/>
              </w:rPr>
              <w:t>26</w:t>
            </w:r>
          </w:p>
        </w:tc>
        <w:tc>
          <w:tcPr>
            <w:tcW w:w="1980" w:type="dxa"/>
            <w:tcBorders>
              <w:bottom w:val="single" w:sz="4" w:space="0" w:color="auto"/>
              <w:right w:val="nil"/>
            </w:tcBorders>
            <w:shd w:val="clear" w:color="auto" w:fill="auto"/>
          </w:tcPr>
          <w:p w:rsidR="004E3CCD" w:rsidRPr="00D857A1" w:rsidP="003A5A10">
            <w:pPr>
              <w:jc w:val="center"/>
              <w:rPr>
                <w:b/>
                <w:szCs w:val="22"/>
              </w:rPr>
            </w:pPr>
            <w:r w:rsidRPr="00D857A1">
              <w:rPr>
                <w:b/>
                <w:szCs w:val="22"/>
              </w:rPr>
              <w:t>26 broadcasts</w:t>
            </w:r>
          </w:p>
        </w:tc>
        <w:tc>
          <w:tcPr>
            <w:tcW w:w="0" w:type="auto"/>
            <w:tcBorders>
              <w:left w:val="nil"/>
              <w:bottom w:val="single" w:sz="4" w:space="0" w:color="auto"/>
            </w:tcBorders>
            <w:shd w:val="clear" w:color="auto" w:fill="auto"/>
          </w:tcPr>
          <w:p w:rsidR="004E3CCD" w:rsidRPr="00D857A1" w:rsidP="003A5A10">
            <w:pPr>
              <w:rPr>
                <w:szCs w:val="22"/>
              </w:rPr>
            </w:pPr>
          </w:p>
        </w:tc>
      </w:tr>
    </w:tbl>
    <w:p w:rsidR="004E3CCD" w:rsidRPr="00D857A1" w:rsidP="004E3CCD"/>
    <w:p w:rsidR="004E3CCD" w:rsidRPr="00466B3D" w:rsidP="004E3CCD"/>
    <w:p w:rsidR="004E2ECC" w:rsidP="00E20F80">
      <w:pPr>
        <w:pStyle w:val="Body"/>
        <w:spacing w:after="0" w:line="240" w:lineRule="auto"/>
        <w:jc w:val="center"/>
        <w:sectPr w:rsidSect="004E2ECC">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rsidR="00E20F80" w:rsidP="00E20F80">
      <w:pPr>
        <w:pStyle w:val="Body"/>
        <w:spacing w:after="0" w:line="240" w:lineRule="auto"/>
        <w:jc w:val="center"/>
        <w:rPr>
          <w:rFonts w:ascii="Times New Roman" w:eastAsia="Times New Roman" w:hAnsi="Times New Roman" w:cs="Times New Roman"/>
          <w:b/>
          <w:bCs/>
          <w:caps/>
        </w:rPr>
      </w:pPr>
      <w:r>
        <w:rPr>
          <w:rFonts w:ascii="Times New Roman" w:hAnsi="Times New Roman"/>
          <w:b/>
          <w:bCs/>
          <w:caps/>
        </w:rPr>
        <w:t xml:space="preserve">DISSENTING </w:t>
      </w:r>
      <w:r>
        <w:rPr>
          <w:rFonts w:ascii="Times New Roman" w:hAnsi="Times New Roman"/>
          <w:b/>
          <w:bCs/>
          <w:caps/>
        </w:rPr>
        <w:t>Statement of</w:t>
      </w:r>
    </w:p>
    <w:p w:rsidR="00E20F80" w:rsidP="00E20F80">
      <w:pPr>
        <w:pStyle w:val="Body"/>
        <w:spacing w:after="0" w:line="240" w:lineRule="auto"/>
        <w:jc w:val="center"/>
        <w:rPr>
          <w:rFonts w:ascii="Times New Roman" w:eastAsia="Times New Roman" w:hAnsi="Times New Roman" w:cs="Times New Roman"/>
          <w:b/>
          <w:bCs/>
          <w:caps/>
        </w:rPr>
      </w:pPr>
      <w:r>
        <w:rPr>
          <w:rFonts w:ascii="Times New Roman" w:hAnsi="Times New Roman"/>
          <w:b/>
          <w:bCs/>
          <w:caps/>
          <w:lang w:val="de-DE"/>
        </w:rPr>
        <w:t>COMMISSIONER GEOFFREY STARKS</w:t>
      </w:r>
    </w:p>
    <w:p w:rsidR="00E20F80" w:rsidP="00E20F80">
      <w:pPr>
        <w:pStyle w:val="Body"/>
        <w:spacing w:after="0" w:line="240" w:lineRule="auto"/>
        <w:jc w:val="center"/>
        <w:rPr>
          <w:rFonts w:ascii="Times New Roman" w:eastAsia="Times New Roman" w:hAnsi="Times New Roman" w:cs="Times New Roman"/>
          <w:b/>
          <w:bCs/>
          <w:caps/>
        </w:rPr>
      </w:pPr>
    </w:p>
    <w:p w:rsidR="00E20F80" w:rsidP="00285876">
      <w:pPr>
        <w:pStyle w:val="Body"/>
        <w:spacing w:after="0" w:line="240" w:lineRule="auto"/>
        <w:rPr>
          <w:rFonts w:ascii="Times New Roman" w:eastAsia="Times New Roman" w:hAnsi="Times New Roman" w:cs="Times New Roman"/>
          <w:b/>
          <w:bCs/>
          <w:caps/>
        </w:rPr>
      </w:pPr>
    </w:p>
    <w:p w:rsidR="00E20F80" w:rsidP="00E20F80">
      <w:pPr>
        <w:pStyle w:val="Body"/>
        <w:spacing w:after="0" w:line="240" w:lineRule="auto"/>
        <w:ind w:left="720" w:hanging="720"/>
        <w:rPr>
          <w:rFonts w:ascii="Times New Roman" w:eastAsia="Times New Roman" w:hAnsi="Times New Roman" w:cs="Times New Roman"/>
        </w:rPr>
      </w:pPr>
      <w:r>
        <w:rPr>
          <w:rFonts w:ascii="Times New Roman" w:hAnsi="Times New Roman"/>
        </w:rPr>
        <w:t xml:space="preserve">Re: </w:t>
      </w:r>
      <w:r>
        <w:rPr>
          <w:rFonts w:ascii="Times New Roman" w:hAnsi="Times New Roman"/>
        </w:rPr>
        <w:tab/>
      </w:r>
      <w:r>
        <w:rPr>
          <w:rFonts w:ascii="Times New Roman" w:hAnsi="Times New Roman"/>
          <w:i/>
          <w:iCs/>
        </w:rPr>
        <w:t>Cumulus Radio LLC et al.</w:t>
      </w:r>
      <w:r>
        <w:rPr>
          <w:rFonts w:ascii="Times New Roman" w:hAnsi="Times New Roman"/>
        </w:rPr>
        <w:t xml:space="preserve">, </w:t>
      </w:r>
      <w:r w:rsidRPr="00A22576">
        <w:rPr>
          <w:rFonts w:ascii="Times New Roman" w:hAnsi="Times New Roman"/>
        </w:rPr>
        <w:t>File No.:  EB-IHD-18-00027598.</w:t>
      </w:r>
    </w:p>
    <w:p w:rsidR="00E20F80" w:rsidP="00E20F80">
      <w:pPr>
        <w:pStyle w:val="Body"/>
        <w:spacing w:after="0"/>
        <w:rPr>
          <w:rFonts w:ascii="Times New Roman" w:eastAsia="Times New Roman" w:hAnsi="Times New Roman" w:cs="Times New Roman"/>
        </w:rPr>
      </w:pPr>
    </w:p>
    <w:p w:rsidR="00E20F80" w:rsidP="00285876">
      <w:pPr>
        <w:pStyle w:val="ParaNum"/>
        <w:numPr>
          <w:ilvl w:val="0"/>
          <w:numId w:val="0"/>
        </w:numPr>
        <w:ind w:firstLine="720"/>
      </w:pPr>
      <w:r>
        <w:t>This Commission has seldom had to act against a party for violating a consent decree.  This isn’t surprising.  Consent decrees are agreed to by the target of an investigation, often to avoid a more severe enforcement action.  The terms are negotiated, and through these terms the Commission is often able to secure commitments that significantly advance the public interest, such as consumer refunds or other compliance activity.  In return, and to reflect the value of these commitments, the target often pays a penalty that is slightly lower than they otherwise would have had the investigation resulted in a notice of apparent liability.  Ideally, a consent decree results in a win-win-win situation, with the Commission, the target, and consumers all satisfied in some way by the result.  And, importantly, in the rare cases involving consent decree violations that the Commission has previously considered, they were dealt with severely.</w:t>
      </w:r>
    </w:p>
    <w:p w:rsidR="00E20F80" w:rsidP="00285876">
      <w:pPr>
        <w:pStyle w:val="ParaNum"/>
        <w:numPr>
          <w:ilvl w:val="0"/>
          <w:numId w:val="0"/>
        </w:numPr>
        <w:ind w:firstLine="720"/>
      </w:pPr>
      <w:r>
        <w:t>In fact, this system only works if noncompliance with our consent decrees is strongly punished.  Prior Commission precedent that is quoted in this item states that “a consent decree violation, like misrepresentation, is particularly serious.”</w:t>
      </w:r>
      <w:r>
        <w:rPr>
          <w:vertAlign w:val="superscript"/>
        </w:rPr>
        <w:footnoteReference w:id="62"/>
      </w:r>
      <w:r>
        <w:t xml:space="preserve">  Indeed, misrepresentation, or lying to the Commission, is among the most serious violations that we enforce.</w:t>
      </w:r>
      <w:r>
        <w:rPr>
          <w:vertAlign w:val="superscript"/>
        </w:rPr>
        <w:footnoteReference w:id="63"/>
      </w:r>
      <w:r>
        <w:t xml:space="preserve">  It is easy to understand why the Commission has historically understood consent decree violations to be similarly serious.  As the Commission has previously noted: “The whole premise of a consent decree is that enforcement action is unnecessary due, in substantial part, to a promise by the subject of the consent decree to take the enumerated steps to ensure future compliance.”</w:t>
      </w:r>
      <w:r>
        <w:rPr>
          <w:vertAlign w:val="superscript"/>
        </w:rPr>
        <w:footnoteReference w:id="64"/>
      </w:r>
      <w:r>
        <w:t xml:space="preserve">  As an Enforcement Bureau field office further explained in a later case and the Commission, again, notes in this item: “The Commission expects parties to honor agreements made in consent decrees, and . . . failure to do so undermines the value of consent decrees as an efficient means to resolve investigations without further expenditure of public resources.”</w:t>
      </w:r>
      <w:r>
        <w:rPr>
          <w:vertAlign w:val="superscript"/>
        </w:rPr>
        <w:footnoteReference w:id="65"/>
      </w:r>
    </w:p>
    <w:p w:rsidR="00E20F80" w:rsidP="00285876">
      <w:pPr>
        <w:pStyle w:val="ParaNum"/>
        <w:numPr>
          <w:ilvl w:val="0"/>
          <w:numId w:val="0"/>
        </w:numPr>
        <w:ind w:firstLine="720"/>
      </w:pPr>
      <w:r>
        <w:t xml:space="preserve">Today, the Commission changes course on how it deals with consent decree violations.  Specifically, we are dealing with Cumulus, a radio broadcaster who previously entered a consent decree in 2016 with the Enforcement Bureau to settle an investigation into 178 sponsorship identification violations for failing to tell its listeners that certain programming spots were in fact paid promotional material.  Sponsorship identification rules are important because they ensure that listeners know when the </w:t>
      </w:r>
      <w:r>
        <w:t>content</w:t>
      </w:r>
      <w:r>
        <w:t xml:space="preserve"> they are consuming is an advertisement and who exactly is paying for </w:t>
      </w:r>
      <w:r>
        <w:rPr>
          <w:lang w:val="fr-FR"/>
        </w:rPr>
        <w:t>it</w:t>
      </w:r>
      <w:r>
        <w:t xml:space="preserve">.  These rules are particularly crucial for paid political speech because, as we well know, Americans should not be confused or misled by content that goes to the heart of how people make up their minds, exercise their right to vote, and participate in our democracy.  The 2016 Cumulus consent decree included a compliance plan to specifically make sure that the broadcaster had better practices around attributing paid </w:t>
      </w:r>
      <w:r>
        <w:rPr>
          <w:lang w:val="fr-FR"/>
        </w:rPr>
        <w:t>advertisements</w:t>
      </w:r>
      <w:r>
        <w:t xml:space="preserve">.  </w:t>
      </w:r>
    </w:p>
    <w:p w:rsidR="00E20F80" w:rsidP="00285876">
      <w:pPr>
        <w:pStyle w:val="ParaNum"/>
        <w:numPr>
          <w:ilvl w:val="0"/>
          <w:numId w:val="0"/>
        </w:numPr>
        <w:ind w:firstLine="720"/>
      </w:pPr>
      <w:r>
        <w:t xml:space="preserve">We are here today considering another enforcement action against Cumulus because, despite the promises made in the consent decree, the broadcaster has a fresh round of sponsorship identification violations, including some for political advertisements.  When you promise the Commission better policies and practices, and then repeat the same violation that you were obligated to correct, we must vindicate the public interest and demand full accountability.  Moreover, despite agreeing in the consent decree to notify us almost immediately after discovering noncompliance, Cumulus uncovered violations </w:t>
      </w:r>
      <w:r>
        <w:t xml:space="preserve">in a timely manner but, inexplicably, waited nearly eight months to disclose certain violations to the Commission. </w:t>
      </w:r>
    </w:p>
    <w:p w:rsidR="00E20F80" w:rsidP="00285876">
      <w:pPr>
        <w:pStyle w:val="ParaNum"/>
        <w:numPr>
          <w:ilvl w:val="0"/>
          <w:numId w:val="0"/>
        </w:numPr>
        <w:ind w:firstLine="720"/>
      </w:pPr>
      <w:r>
        <w:t xml:space="preserve">The $25,000 proposed forfeiture for the consent decree violation does not follow well-established Commission precedent and is not, in my mind, commensurate with the misconduct and violations at issue.  </w:t>
      </w:r>
    </w:p>
    <w:p w:rsidR="00412FC5" w:rsidRPr="004E3CCD" w:rsidP="00285876">
      <w:pPr>
        <w:pStyle w:val="ParaNum"/>
        <w:numPr>
          <w:ilvl w:val="0"/>
          <w:numId w:val="0"/>
        </w:numPr>
        <w:ind w:firstLine="720"/>
      </w:pPr>
      <w:r>
        <w:t xml:space="preserve">From my time in the Enforcement Bureau, I know that these actions are significant and will not go unnoticed by savvy lawyers, who will undoubtedly refer to this case in future investigations.  I fear that the Commission’s action here will make it more difficult for us to impose significant penalties for consent decree violations in the future and will signal to industry that we do not take noncompliance seriously.  This will undermine the deterrent effect of our enforcement actions and make it more difficult for the Enforcement Bureau to prosecute its important mission.  For these reasons, I dissent. </w:t>
      </w:r>
    </w:p>
    <w:sectPr w:rsidSect="003F7EF6">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CCD" w:rsidP="0055614C">
    <w:pPr>
      <w:pStyle w:val="Footer"/>
      <w:framePr w:wrap="around" w:vAnchor="text" w:hAnchor="margin" w:xAlign="center" w:y="1"/>
    </w:pPr>
    <w:r>
      <w:fldChar w:fldCharType="begin"/>
    </w:r>
    <w:r>
      <w:instrText xml:space="preserve">PAGE  </w:instrText>
    </w:r>
    <w:r>
      <w:fldChar w:fldCharType="separate"/>
    </w:r>
    <w:r>
      <w:fldChar w:fldCharType="end"/>
    </w:r>
  </w:p>
  <w:p w:rsidR="004E3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CCD" w:rsidRPr="00F60797" w:rsidP="00285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CCD">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506" w:rsidRPr="00F60797" w:rsidP="00285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85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85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85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7C">
      <w:r>
        <w:separator/>
      </w:r>
    </w:p>
  </w:footnote>
  <w:footnote w:type="continuationSeparator" w:id="1">
    <w:p w:rsidR="00566D7C" w:rsidP="00C721AC">
      <w:pPr>
        <w:spacing w:before="120"/>
        <w:rPr>
          <w:sz w:val="20"/>
        </w:rPr>
      </w:pPr>
      <w:r>
        <w:rPr>
          <w:sz w:val="20"/>
        </w:rPr>
        <w:t xml:space="preserve">(Continued from previous page)  </w:t>
      </w:r>
      <w:r>
        <w:rPr>
          <w:sz w:val="20"/>
        </w:rPr>
        <w:separator/>
      </w:r>
    </w:p>
  </w:footnote>
  <w:footnote w:type="continuationNotice" w:id="2">
    <w:p w:rsidR="00566D7C" w:rsidP="00C721AC">
      <w:pPr>
        <w:jc w:val="right"/>
        <w:rPr>
          <w:sz w:val="20"/>
        </w:rPr>
      </w:pPr>
      <w:r>
        <w:rPr>
          <w:sz w:val="20"/>
        </w:rPr>
        <w:t>(continued….)</w:t>
      </w:r>
    </w:p>
  </w:footnote>
  <w:footnote w:id="3">
    <w:p w:rsidR="004E3CCD" w:rsidRPr="00B72C06" w:rsidP="00E214B6">
      <w:pPr>
        <w:pStyle w:val="FootnoteText"/>
      </w:pPr>
      <w:r w:rsidRPr="00B72C06">
        <w:rPr>
          <w:rStyle w:val="FootnoteReference"/>
        </w:rPr>
        <w:footnoteRef/>
      </w:r>
      <w:r w:rsidRPr="00B72C06">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 </w:t>
      </w:r>
    </w:p>
  </w:footnote>
  <w:footnote w:id="4">
    <w:p w:rsidR="004E3CCD" w:rsidRPr="009975EB" w:rsidP="00E214B6">
      <w:pPr>
        <w:pStyle w:val="FootnoteText"/>
      </w:pPr>
      <w:r w:rsidRPr="00B72C06">
        <w:rPr>
          <w:rStyle w:val="FootnoteReference"/>
        </w:rPr>
        <w:footnoteRef/>
      </w:r>
      <w:r w:rsidRPr="009975EB">
        <w:t xml:space="preserve"> The Attachment identifies the stations that broadcast the programming discussed herein.  Cumulus, Radio License, Cumulus Licensing LLC, and Radio License Holdings LLC are indirect subsidiaries of Cumulus Media Inc.</w:t>
      </w:r>
      <w:r>
        <w:t xml:space="preserve">  </w:t>
      </w:r>
      <w:r w:rsidRPr="0098531F">
        <w:rPr>
          <w:i/>
        </w:rPr>
        <w:t>See</w:t>
      </w:r>
      <w:r>
        <w:t xml:space="preserve"> </w:t>
      </w:r>
      <w:r w:rsidRPr="005E7A83">
        <w:t xml:space="preserve">Cumulus Media, Inc., Debtor-in-Possession, Applications to Transfer Control of and Assign FCC Authorizations and Licenses, BTC-20180322ABI, </w:t>
      </w:r>
      <w:r w:rsidRPr="009975EB">
        <w:rPr>
          <w:i/>
        </w:rPr>
        <w:t>et al</w:t>
      </w:r>
      <w:r>
        <w:t>.</w:t>
      </w:r>
      <w:r w:rsidRPr="005E7A83">
        <w:t xml:space="preserve">, Comprehensive </w:t>
      </w:r>
      <w:r w:rsidRPr="005E7A83">
        <w:t>Exh</w:t>
      </w:r>
      <w:r w:rsidRPr="005E7A83">
        <w:t>. (</w:t>
      </w:r>
      <w:r>
        <w:t>Mar. 22, 2018</w:t>
      </w:r>
      <w:r w:rsidRPr="005E7A83">
        <w:t>)</w:t>
      </w:r>
      <w:r>
        <w:t xml:space="preserve"> (Reorganization Applications), </w:t>
      </w:r>
      <w:r w:rsidRPr="009975EB">
        <w:rPr>
          <w:i/>
        </w:rPr>
        <w:t>granted with conditions</w:t>
      </w:r>
      <w:r>
        <w:t xml:space="preserve">, </w:t>
      </w:r>
      <w:r w:rsidRPr="009975EB">
        <w:rPr>
          <w:i/>
        </w:rPr>
        <w:t>Cumulus Media, Inc</w:t>
      </w:r>
      <w:r>
        <w:t xml:space="preserve">., Memorandum Opinion and Order, 33 FCC </w:t>
      </w:r>
      <w:r>
        <w:t>Rcd</w:t>
      </w:r>
      <w:r>
        <w:t xml:space="preserve"> 5243 (MB-AD 2018) (</w:t>
      </w:r>
      <w:r>
        <w:rPr>
          <w:i/>
        </w:rPr>
        <w:t>Cumulus Media</w:t>
      </w:r>
      <w:r>
        <w:t xml:space="preserve">).  </w:t>
      </w:r>
      <w:r w:rsidRPr="009975EB">
        <w:t>Cumulus</w:t>
      </w:r>
      <w:r>
        <w:t xml:space="preserve"> Radio Corporation</w:t>
      </w:r>
      <w:r w:rsidRPr="009975EB">
        <w:t xml:space="preserve"> and its direct subsidiary, Radio License, are parties to the CD.</w:t>
      </w:r>
      <w:r>
        <w:t xml:space="preserve">  </w:t>
      </w:r>
      <w:r w:rsidRPr="00031EB4">
        <w:rPr>
          <w:i/>
        </w:rPr>
        <w:t>Radio License Holding CBC, LLC</w:t>
      </w:r>
      <w:r w:rsidRPr="00031EB4">
        <w:t xml:space="preserve">, Order and Consent Decree, 31 FCC </w:t>
      </w:r>
      <w:r w:rsidRPr="00031EB4">
        <w:t>Rcd</w:t>
      </w:r>
      <w:r w:rsidRPr="00031EB4">
        <w:t xml:space="preserve"> 3, 3, para. 1, 5, para. 1 (EB 2016) (Consent Decree or CD).</w:t>
      </w:r>
      <w:r>
        <w:t xml:space="preserve">  </w:t>
      </w:r>
      <w:r w:rsidRPr="009975EB">
        <w:t>Radio License is licensee of WFBE(FM</w:t>
      </w:r>
      <w:r>
        <w:t>)</w:t>
      </w:r>
      <w:r w:rsidRPr="009975EB">
        <w:t xml:space="preserve">, Flint, Michigan, and WTRX(AM), Flint, Michigan, two of the stations that broadcast the paid-for programming discussed herein.  Cumulus Licensing LLC is an indirect subsidiary of Cumulus, and licensee of WTKA(AM), Ann Arbor, Michigan, WWWW-FM, Ann Arbor, Michigan, and WMAC(AM), Macon, Georgia, which broadcast the paid-for programming discussed herein.  Radio License Holdings LLC, licensee of WDVD(FM), Detroit, Michigan and WDRQ(FM), Detroit, Michigan, which broadcast the paid-for programming discussed herein, is the indirect subsidiary of Cumulus Intermediate Holdings, LLC, the parent of Cumulus.  </w:t>
      </w:r>
    </w:p>
    <w:p w:rsidR="004E3CCD" w:rsidRPr="005E6F12" w:rsidP="00E214B6">
      <w:pPr>
        <w:pStyle w:val="FootnoteText"/>
      </w:pPr>
      <w:r w:rsidRPr="00F01246">
        <w:t>Cumulus Media Inc.</w:t>
      </w:r>
      <w:r w:rsidRPr="00B508F6">
        <w:t xml:space="preserve">, the ultimate parent of </w:t>
      </w:r>
      <w:r>
        <w:t xml:space="preserve">Cumulus Radio Corporation, </w:t>
      </w:r>
      <w:r w:rsidRPr="00B508F6">
        <w:t xml:space="preserve">Cumulus, Radio License, Cumulus Licensing LLC, and Radio License Holdings LLC, </w:t>
      </w:r>
      <w:r w:rsidRPr="00E25CC2">
        <w:t>reorganiz</w:t>
      </w:r>
      <w:r w:rsidRPr="008633A0">
        <w:t xml:space="preserve">ed pursuant to Chapter 11 of the Bankruptcy Code while the Consent Decree was in effect.  </w:t>
      </w:r>
      <w:r w:rsidRPr="003B442A">
        <w:rPr>
          <w:i/>
        </w:rPr>
        <w:t>Cumulus Media</w:t>
      </w:r>
      <w:r w:rsidR="005A1D17">
        <w:t xml:space="preserve"> </w:t>
      </w:r>
      <w:r w:rsidRPr="003B442A">
        <w:t xml:space="preserve">(granting applications to implement the Joint Plan of Reorganization approved by the bankruptcy court and to </w:t>
      </w:r>
      <w:r w:rsidRPr="001A56D3">
        <w:t xml:space="preserve">transfer control of Cumulus Media Inc., Debtor-in-Possession, </w:t>
      </w:r>
      <w:r w:rsidRPr="00C55A2A">
        <w:t xml:space="preserve">and </w:t>
      </w:r>
      <w:r w:rsidRPr="00C55A2A">
        <w:rPr>
          <w:i/>
        </w:rPr>
        <w:t>inter alia</w:t>
      </w:r>
      <w:r w:rsidRPr="00C55A2A">
        <w:t xml:space="preserve">, Radio License, Cumulus Licensing LLC, Radio License Holdings LLC, subject to conditions and certain divestitures).  </w:t>
      </w:r>
      <w:r w:rsidRPr="00031EB4">
        <w:t xml:space="preserve">As part of this reorganization, Cumulus Radio Corporation was converted to an LLC.  Reorganization Applications, Comprehensive </w:t>
      </w:r>
      <w:r w:rsidRPr="00031EB4">
        <w:t>Exh</w:t>
      </w:r>
      <w:r w:rsidRPr="00031EB4">
        <w:t xml:space="preserve">., Attach. A (Cumulus Ownership Structure (Post Reorganization)) &amp; Attach. C (Entities to be Converted to LLCs).  </w:t>
      </w:r>
      <w:r w:rsidRPr="00C55A2A">
        <w:t xml:space="preserve">The </w:t>
      </w:r>
      <w:r w:rsidRPr="00F00DE0">
        <w:t>plan of reorganization approved by the bankruptcy court does not proscribe o</w:t>
      </w:r>
      <w:r w:rsidRPr="005E6F12">
        <w:t xml:space="preserve">r constrain the Commission’s </w:t>
      </w:r>
      <w:r w:rsidRPr="004A697C">
        <w:t>exercise of its regulatory or enforcement authority to the extent provided by law</w:t>
      </w:r>
      <w:r w:rsidRPr="00090D20">
        <w:t xml:space="preserve">.  </w:t>
      </w:r>
      <w:r w:rsidRPr="00090D20">
        <w:rPr>
          <w:i/>
        </w:rPr>
        <w:t>Cumulus Media Inc. et al.</w:t>
      </w:r>
      <w:r w:rsidRPr="00090D20">
        <w:t>, Findings of Fact, Conclusions of Law, and Order Confirming the Debtors’ First Amended Joint Cha</w:t>
      </w:r>
      <w:r w:rsidRPr="00435035">
        <w:t xml:space="preserve">pter 11 Plan of Reorganization, </w:t>
      </w:r>
      <w:r>
        <w:t xml:space="preserve">at 50, para. 105, </w:t>
      </w:r>
      <w:r w:rsidRPr="00435035">
        <w:t>Case No. 17-13381 (SCC) (</w:t>
      </w:r>
      <w:r w:rsidRPr="00435035">
        <w:t>Bankr</w:t>
      </w:r>
      <w:r w:rsidRPr="00435035">
        <w:t>. S.D.N.Y. May 10, 2018).  Moreover, Cumulus Media Inc., the reorganized debtor</w:t>
      </w:r>
      <w:r>
        <w:t>,</w:t>
      </w:r>
      <w:r w:rsidRPr="00435035">
        <w:t xml:space="preserve"> has agreed that the Commission has the authority to enforce the Consent Decree as if the bankruptcy reorganization had never been filed.  </w:t>
      </w:r>
      <w:r w:rsidRPr="00435035">
        <w:rPr>
          <w:i/>
        </w:rPr>
        <w:t>CM Wind Down Topco Inc.</w:t>
      </w:r>
      <w:r w:rsidRPr="009975EB">
        <w:t xml:space="preserve">, Stipulation and Order Resolving Reorganized Debtor’s Objection to Claims of the Federal Communications Commission, at 3, paras. 1, 3, Case No. 17-13381 (SCC) </w:t>
      </w:r>
      <w:r w:rsidRPr="00031EB4">
        <w:t>(</w:t>
      </w:r>
      <w:r w:rsidRPr="00031EB4">
        <w:t>Bankr</w:t>
      </w:r>
      <w:r w:rsidRPr="00031EB4">
        <w:t>. S.D.N.Y.</w:t>
      </w:r>
      <w:r w:rsidR="00A6358E">
        <w:t xml:space="preserve"> </w:t>
      </w:r>
      <w:r w:rsidRPr="00031EB4">
        <w:t>May</w:t>
      </w:r>
      <w:r w:rsidR="00A6358E">
        <w:t xml:space="preserve"> </w:t>
      </w:r>
      <w:r w:rsidRPr="00031EB4">
        <w:t xml:space="preserve">20, </w:t>
      </w:r>
      <w:r w:rsidRPr="009975EB">
        <w:t>2019)</w:t>
      </w:r>
      <w:r w:rsidRPr="005E6F12">
        <w:t>.</w:t>
      </w:r>
    </w:p>
  </w:footnote>
  <w:footnote w:id="5">
    <w:p w:rsidR="004E3CCD" w:rsidP="00E214B6">
      <w:pPr>
        <w:pStyle w:val="FootnoteText"/>
      </w:pPr>
      <w:r>
        <w:rPr>
          <w:rStyle w:val="FootnoteReference"/>
        </w:rPr>
        <w:footnoteRef/>
      </w:r>
      <w:r>
        <w:t xml:space="preserve"> The CD is binding on Cumulus Radio LLC as successor-in-interest to Cumulus Radio Corporation.  </w:t>
      </w:r>
      <w:r w:rsidRPr="009975EB">
        <w:rPr>
          <w:i/>
        </w:rPr>
        <w:t>See</w:t>
      </w:r>
      <w:r>
        <w:t xml:space="preserve"> </w:t>
      </w:r>
      <w:r w:rsidRPr="00F01246">
        <w:t xml:space="preserve">Consent Decree, 31 FCC </w:t>
      </w:r>
      <w:r w:rsidRPr="00F01246">
        <w:t>Rcd</w:t>
      </w:r>
      <w:r w:rsidRPr="00F01246">
        <w:t xml:space="preserve"> </w:t>
      </w:r>
      <w:r>
        <w:t>at 6, para. 2(k), 13, para. 23 (stating “</w:t>
      </w:r>
      <w:r>
        <w:rPr>
          <w:color w:val="000000"/>
        </w:rPr>
        <w:t xml:space="preserve">Cumulus [which is defined to include Cumulus Radio Corporation] agrees that </w:t>
      </w:r>
      <w:r w:rsidRPr="00963877">
        <w:t>the</w:t>
      </w:r>
      <w:r>
        <w:rPr>
          <w:color w:val="000000"/>
        </w:rPr>
        <w:t xml:space="preserve"> provisions of this Consent Decree shall be binding on its successors, assigns, and transferees”)</w:t>
      </w:r>
      <w:r w:rsidRPr="008633A0">
        <w:t>.</w:t>
      </w:r>
      <w:r>
        <w:t xml:space="preserve">  </w:t>
      </w:r>
    </w:p>
  </w:footnote>
  <w:footnote w:id="6">
    <w:p w:rsidR="004E3CCD" w:rsidRPr="008633A0" w:rsidP="00E214B6">
      <w:pPr>
        <w:pStyle w:val="FootnoteText"/>
      </w:pPr>
      <w:r w:rsidRPr="00F01246">
        <w:rPr>
          <w:rStyle w:val="FootnoteReference"/>
        </w:rPr>
        <w:footnoteRef/>
      </w:r>
      <w:r w:rsidRPr="004B344E">
        <w:rPr>
          <w:lang w:val="es-UY"/>
        </w:rPr>
        <w:t xml:space="preserve"> </w:t>
      </w:r>
      <w:r w:rsidRPr="004B344E">
        <w:rPr>
          <w:i/>
          <w:lang w:val="es-UY"/>
        </w:rPr>
        <w:t>Id.</w:t>
      </w:r>
      <w:r w:rsidRPr="004B344E">
        <w:rPr>
          <w:lang w:val="es-UY"/>
        </w:rPr>
        <w:t xml:space="preserve"> at 3-4, paras. 1-6, 5, para. 1, 7-8, para. </w:t>
      </w:r>
      <w:r w:rsidRPr="008633A0">
        <w:t>5.</w:t>
      </w:r>
    </w:p>
  </w:footnote>
  <w:footnote w:id="7">
    <w:p w:rsidR="004E3CCD" w:rsidRPr="00B508F6" w:rsidP="00E214B6">
      <w:pPr>
        <w:pStyle w:val="FootnoteText"/>
      </w:pPr>
      <w:r w:rsidRPr="00F01246">
        <w:rPr>
          <w:rStyle w:val="FootnoteReference"/>
        </w:rPr>
        <w:footnoteRef/>
      </w:r>
      <w:r w:rsidRPr="00F01246">
        <w:t xml:space="preserve"> </w:t>
      </w:r>
      <w:r w:rsidRPr="00F01246">
        <w:rPr>
          <w:i/>
          <w:snapToGrid w:val="0"/>
        </w:rPr>
        <w:t>Id</w:t>
      </w:r>
      <w:r w:rsidRPr="00F01246">
        <w:rPr>
          <w:snapToGrid w:val="0"/>
        </w:rPr>
        <w:t>. at 11-12, para. 16.</w:t>
      </w:r>
    </w:p>
  </w:footnote>
  <w:footnote w:id="8">
    <w:p w:rsidR="004E3CCD" w:rsidRPr="00F01246" w:rsidP="00E214B6">
      <w:pPr>
        <w:pStyle w:val="FootnoteText"/>
      </w:pPr>
      <w:r w:rsidRPr="00F01246">
        <w:rPr>
          <w:rStyle w:val="FootnoteReference"/>
        </w:rPr>
        <w:footnoteRef/>
      </w:r>
      <w:r w:rsidRPr="00F01246">
        <w:t xml:space="preserve"> </w:t>
      </w:r>
      <w:r w:rsidRPr="00F01246">
        <w:rPr>
          <w:i/>
        </w:rPr>
        <w:t>Id</w:t>
      </w:r>
      <w:r w:rsidRPr="00F01246">
        <w:t>. at 9-10, para. 12.</w:t>
      </w:r>
    </w:p>
  </w:footnote>
  <w:footnote w:id="9">
    <w:p w:rsidR="004E3CCD" w:rsidRPr="00B508F6" w:rsidP="00E214B6">
      <w:pPr>
        <w:pStyle w:val="FootnoteText"/>
      </w:pPr>
      <w:r w:rsidRPr="00F01246">
        <w:rPr>
          <w:rStyle w:val="FootnoteReference"/>
        </w:rPr>
        <w:footnoteRef/>
      </w:r>
      <w:r w:rsidRPr="00F01246">
        <w:t xml:space="preserve"> </w:t>
      </w:r>
      <w:r w:rsidRPr="00F01246">
        <w:rPr>
          <w:i/>
        </w:rPr>
        <w:t>Id</w:t>
      </w:r>
      <w:r w:rsidRPr="00F01246">
        <w:t>. at 10</w:t>
      </w:r>
      <w:r w:rsidRPr="00B508F6">
        <w:t>-11, para. 13, 11, para. 15.</w:t>
      </w:r>
    </w:p>
  </w:footnote>
  <w:footnote w:id="10">
    <w:p w:rsidR="004E3CCD" w:rsidRPr="008633A0" w:rsidP="00E214B6">
      <w:pPr>
        <w:pStyle w:val="FootnoteText"/>
      </w:pPr>
      <w:r w:rsidRPr="00F01246">
        <w:rPr>
          <w:rStyle w:val="FootnoteReference"/>
        </w:rPr>
        <w:footnoteRef/>
      </w:r>
      <w:r w:rsidRPr="00F01246">
        <w:t xml:space="preserve"> Letter from Andrew S. Kersting, Esq., Regulatory Counsel, Cumulus, to Jeffrey J. Gee, Chief, Investigations and Hearings Division, FCC Enforcement Bureau, at 3, para. 4, A</w:t>
      </w:r>
      <w:r w:rsidRPr="00B508F6">
        <w:t xml:space="preserve">ppx. A (Jan. 8, 2018) (on file in </w:t>
      </w:r>
      <w:r w:rsidRPr="00136509">
        <w:rPr>
          <w:spacing w:val="-2"/>
        </w:rPr>
        <w:t xml:space="preserve">EB-IHD-18-00027598) </w:t>
      </w:r>
      <w:r w:rsidRPr="00E25CC2">
        <w:rPr>
          <w:spacing w:val="-2"/>
        </w:rPr>
        <w:t xml:space="preserve">(January 2018 Filing). </w:t>
      </w:r>
    </w:p>
  </w:footnote>
  <w:footnote w:id="11">
    <w:p w:rsidR="004E3CCD" w:rsidRPr="00136509" w:rsidP="00E214B6">
      <w:pPr>
        <w:pStyle w:val="FootnoteText"/>
      </w:pPr>
      <w:r w:rsidRPr="00F01246">
        <w:rPr>
          <w:rStyle w:val="FootnoteReference"/>
        </w:rPr>
        <w:footnoteRef/>
      </w:r>
      <w:r w:rsidRPr="00F01246">
        <w:t xml:space="preserve"> </w:t>
      </w:r>
      <w:r w:rsidRPr="00F01246">
        <w:rPr>
          <w:i/>
        </w:rPr>
        <w:t>Id</w:t>
      </w:r>
      <w:r w:rsidRPr="00B508F6">
        <w:t>. at Appx</w:t>
      </w:r>
      <w:r w:rsidRPr="00136509">
        <w:t>. A.</w:t>
      </w:r>
    </w:p>
  </w:footnote>
  <w:footnote w:id="12">
    <w:p w:rsidR="004E3CCD" w:rsidRPr="00E25CC2" w:rsidP="00E214B6">
      <w:pPr>
        <w:pStyle w:val="FootnoteText"/>
      </w:pPr>
      <w:r w:rsidRPr="00F01246">
        <w:rPr>
          <w:rStyle w:val="FootnoteReference"/>
        </w:rPr>
        <w:footnoteRef/>
      </w:r>
      <w:r w:rsidRPr="00F01246">
        <w:rPr>
          <w:i/>
        </w:rPr>
        <w:t xml:space="preserve"> Id</w:t>
      </w:r>
      <w:r w:rsidRPr="00F01246">
        <w:t xml:space="preserve">. at 1, </w:t>
      </w:r>
      <w:r w:rsidRPr="00B508F6">
        <w:t>paras.</w:t>
      </w:r>
      <w:r w:rsidRPr="00136509">
        <w:t xml:space="preserve"> 1-2, 3, para. 4</w:t>
      </w:r>
      <w:r w:rsidRPr="00E25CC2">
        <w:t>.</w:t>
      </w:r>
    </w:p>
  </w:footnote>
  <w:footnote w:id="13">
    <w:p w:rsidR="004E3CCD" w:rsidRPr="00136509" w:rsidP="00E214B6">
      <w:pPr>
        <w:pStyle w:val="FootnoteText"/>
      </w:pPr>
      <w:r w:rsidRPr="00F01246">
        <w:rPr>
          <w:rStyle w:val="FootnoteReference"/>
        </w:rPr>
        <w:footnoteRef/>
      </w:r>
      <w:r w:rsidRPr="00F01246">
        <w:t xml:space="preserve"> </w:t>
      </w:r>
      <w:r w:rsidRPr="00F01246">
        <w:rPr>
          <w:i/>
        </w:rPr>
        <w:t>Id</w:t>
      </w:r>
      <w:r w:rsidRPr="00B508F6">
        <w:t xml:space="preserve">. at 3, para. 4.  </w:t>
      </w:r>
    </w:p>
  </w:footnote>
  <w:footnote w:id="14">
    <w:p w:rsidR="004E3CCD" w:rsidRPr="00B508F6" w:rsidP="00E214B6">
      <w:pPr>
        <w:pStyle w:val="FootnoteText"/>
      </w:pPr>
      <w:r w:rsidRPr="00F01246">
        <w:rPr>
          <w:rStyle w:val="FootnoteReference"/>
        </w:rPr>
        <w:footnoteRef/>
      </w:r>
      <w:r w:rsidRPr="00F01246">
        <w:t xml:space="preserve"> </w:t>
      </w:r>
      <w:r w:rsidRPr="00F01246">
        <w:rPr>
          <w:i/>
        </w:rPr>
        <w:t>Id</w:t>
      </w:r>
      <w:r w:rsidRPr="00B508F6">
        <w:t>. at 3, para. 5.</w:t>
      </w:r>
    </w:p>
  </w:footnote>
  <w:footnote w:id="15">
    <w:p w:rsidR="004E3CCD" w:rsidRPr="003B442A" w:rsidP="00E214B6">
      <w:pPr>
        <w:pStyle w:val="FootnoteText"/>
      </w:pPr>
      <w:r w:rsidRPr="00F01246">
        <w:rPr>
          <w:rStyle w:val="FootnoteReference"/>
        </w:rPr>
        <w:footnoteRef/>
      </w:r>
      <w:r w:rsidRPr="00F01246">
        <w:t xml:space="preserve"> Letter from Andrew S. Kersting, Esq., Regulatory Counsel, Cumulus, to Jeffrey J. Gee, Chief, Investigations and Hearings Division, F</w:t>
      </w:r>
      <w:r w:rsidRPr="00B508F6">
        <w:t xml:space="preserve">CC Enforcement Bureau at 2, para. 2 (May 29, 2018) (on file in </w:t>
      </w:r>
      <w:r w:rsidRPr="00B508F6">
        <w:rPr>
          <w:spacing w:val="-2"/>
        </w:rPr>
        <w:t>EB-IHD-18-00027598) (May 2018 Filing).  The May 2018 Filing</w:t>
      </w:r>
      <w:r w:rsidRPr="00136509">
        <w:rPr>
          <w:spacing w:val="-2"/>
        </w:rPr>
        <w:t xml:space="preserve"> does not include page numbers; the page numbers included herein refer to counted page numbers.  </w:t>
      </w:r>
      <w:r w:rsidRPr="00E25CC2">
        <w:rPr>
          <w:i/>
          <w:spacing w:val="-2"/>
        </w:rPr>
        <w:t>See</w:t>
      </w:r>
      <w:r w:rsidRPr="00E25CC2">
        <w:rPr>
          <w:spacing w:val="-2"/>
        </w:rPr>
        <w:t xml:space="preserve"> </w:t>
      </w:r>
      <w:r w:rsidRPr="008633A0">
        <w:t>Letter from Andrew S. Kersting, Esq., Regulatory Counsel, Cumulus</w:t>
      </w:r>
      <w:r w:rsidRPr="003B442A">
        <w:t xml:space="preserve"> Media, to Jeffrey J. Gee, Chief, Investigations and Hearings Division, FCC Enforcement Bureau at 3, para. 4 (Jan. 29, 2019) (on file in </w:t>
      </w:r>
      <w:r w:rsidRPr="003B442A">
        <w:rPr>
          <w:spacing w:val="-2"/>
        </w:rPr>
        <w:t>EB-IHD-18-00027598) (January 2019 Filing) (referring to the violations and subsequent actions disclosed in the May 2018 Filing).</w:t>
      </w:r>
    </w:p>
  </w:footnote>
  <w:footnote w:id="16">
    <w:p w:rsidR="004E3CCD" w:rsidRPr="008633A0" w:rsidP="00E214B6">
      <w:pPr>
        <w:pStyle w:val="FootnoteText"/>
      </w:pPr>
      <w:r w:rsidRPr="00F01246">
        <w:rPr>
          <w:rStyle w:val="FootnoteReference"/>
        </w:rPr>
        <w:footnoteRef/>
      </w:r>
      <w:r w:rsidRPr="00F01246">
        <w:t xml:space="preserve"> </w:t>
      </w:r>
      <w:r w:rsidRPr="00F01246">
        <w:rPr>
          <w:spacing w:val="-2"/>
        </w:rPr>
        <w:t>May 2018 Filing</w:t>
      </w:r>
      <w:r w:rsidRPr="00B508F6">
        <w:rPr>
          <w:i/>
        </w:rPr>
        <w:t xml:space="preserve"> </w:t>
      </w:r>
      <w:r w:rsidRPr="00B508F6">
        <w:t>at 2, paras. 2-3</w:t>
      </w:r>
      <w:r w:rsidRPr="00136509">
        <w:t xml:space="preserve">; </w:t>
      </w:r>
      <w:r w:rsidRPr="00E25CC2">
        <w:rPr>
          <w:spacing w:val="-2"/>
        </w:rPr>
        <w:t>January 2019 Filing at 3, para. 4</w:t>
      </w:r>
      <w:r w:rsidRPr="00E25CC2">
        <w:t>.</w:t>
      </w:r>
    </w:p>
  </w:footnote>
  <w:footnote w:id="17">
    <w:p w:rsidR="004E3CCD" w:rsidRPr="003B442A" w:rsidP="00E214B6">
      <w:pPr>
        <w:pStyle w:val="FootnoteText"/>
      </w:pPr>
      <w:r w:rsidRPr="00F01246">
        <w:rPr>
          <w:rStyle w:val="FootnoteReference"/>
        </w:rPr>
        <w:footnoteRef/>
      </w:r>
      <w:r w:rsidRPr="00F01246">
        <w:t xml:space="preserve"> May 2018 Filing </w:t>
      </w:r>
      <w:r w:rsidRPr="00B508F6">
        <w:t xml:space="preserve">at 2, para. 3; </w:t>
      </w:r>
      <w:r w:rsidRPr="00136509">
        <w:rPr>
          <w:spacing w:val="-2"/>
        </w:rPr>
        <w:t>January 2019 Filing at 3, para. 4</w:t>
      </w:r>
      <w:r w:rsidRPr="00E25CC2">
        <w:t xml:space="preserve">.  </w:t>
      </w:r>
      <w:r w:rsidRPr="008633A0">
        <w:rPr>
          <w:i/>
        </w:rPr>
        <w:t>See</w:t>
      </w:r>
      <w:r w:rsidRPr="008633A0">
        <w:t xml:space="preserve"> January 2019 Filing at 4, para. 6 (stating</w:t>
      </w:r>
      <w:r w:rsidRPr="003B442A">
        <w:t xml:space="preserve"> that Cumulus and Radio License have continued to conduct legal research and training regarding the sponsorship identification laws and has prepared a Power Point presentation each of the past three years which it has utilized in its one-hour Compliance Training Programs).  </w:t>
      </w:r>
    </w:p>
  </w:footnote>
  <w:footnote w:id="18">
    <w:p w:rsidR="004E3CCD" w:rsidRPr="00F01246" w:rsidP="00E214B6">
      <w:pPr>
        <w:pStyle w:val="FootnoteText"/>
      </w:pPr>
      <w:r w:rsidRPr="00F01246">
        <w:rPr>
          <w:rStyle w:val="FootnoteReference"/>
        </w:rPr>
        <w:footnoteRef/>
      </w:r>
      <w:r w:rsidRPr="00F01246">
        <w:t xml:space="preserve"> Section 317(a)(1) of the Act provides in part:</w:t>
      </w:r>
    </w:p>
    <w:p w:rsidR="004E3CCD" w:rsidRPr="003B442A" w:rsidP="00E214B6">
      <w:pPr>
        <w:pStyle w:val="BlockText"/>
        <w:spacing w:after="120"/>
        <w:ind w:left="720"/>
        <w:rPr>
          <w:sz w:val="20"/>
        </w:rPr>
      </w:pPr>
      <w:r w:rsidRPr="00B508F6">
        <w:rPr>
          <w:sz w:val="20"/>
        </w:rPr>
        <w:t xml:space="preserve">All matter broadcast by any radio station for which any money, service or other valuable consideration is </w:t>
      </w:r>
      <w:r w:rsidRPr="00E25CC2">
        <w:rPr>
          <w:sz w:val="20"/>
        </w:rPr>
        <w:t xml:space="preserve">directly or indirectly paid, or promised to or charged or accepted by, the station so broadcasting, from any </w:t>
      </w:r>
      <w:r w:rsidRPr="008633A0">
        <w:rPr>
          <w:sz w:val="20"/>
        </w:rPr>
        <w:t>person, shall, at the time the same is so broadcast, be announced as paid for or furnished, as the case may be, by such person</w:t>
      </w:r>
      <w:r w:rsidRPr="003B442A">
        <w:rPr>
          <w:sz w:val="20"/>
        </w:rPr>
        <w:t xml:space="preserve">…. 47 U.S.C. § 317(a)(1).  </w:t>
      </w:r>
    </w:p>
    <w:p w:rsidR="004E3CCD" w:rsidRPr="001A56D3" w:rsidP="00285876">
      <w:pPr>
        <w:pStyle w:val="FootnoteText"/>
      </w:pPr>
      <w:r w:rsidRPr="001A56D3">
        <w:t>Section 73.1212(a) of the Rules provides in part:</w:t>
      </w:r>
    </w:p>
    <w:p w:rsidR="004E3CCD" w:rsidRPr="00090D20" w:rsidP="00E214B6">
      <w:pPr>
        <w:pStyle w:val="BlockText"/>
        <w:spacing w:after="120"/>
        <w:ind w:left="720"/>
        <w:rPr>
          <w:sz w:val="20"/>
        </w:rPr>
      </w:pPr>
      <w:r w:rsidRPr="00C55A2A">
        <w:rPr>
          <w:sz w:val="20"/>
        </w:rPr>
        <w:t>When a broadcast station transmits any matter for which money, service, or other valuable consideration is either directly or indirectly paid or promised to, or charged or accepted by such station, t</w:t>
      </w:r>
      <w:r w:rsidRPr="00F00DE0">
        <w:rPr>
          <w:sz w:val="20"/>
        </w:rPr>
        <w:t>he station, at the time of the broadcast, shall announce: (1) That such matter is sponsored, paid for, or fur</w:t>
      </w:r>
      <w:r w:rsidRPr="005E6F12">
        <w:rPr>
          <w:sz w:val="20"/>
        </w:rPr>
        <w:t>nished, either in whole or in part, and (2) By whom or on whose behalf such consideration was supplied</w:t>
      </w:r>
      <w:r w:rsidRPr="004A697C">
        <w:rPr>
          <w:sz w:val="20"/>
        </w:rPr>
        <w:t>….</w:t>
      </w:r>
      <w:r w:rsidRPr="00090D20">
        <w:rPr>
          <w:sz w:val="20"/>
        </w:rPr>
        <w:t xml:space="preserve"> 47 CFR § 73.1212(a).</w:t>
      </w:r>
    </w:p>
  </w:footnote>
  <w:footnote w:id="19">
    <w:p w:rsidR="004E3CCD" w:rsidRPr="00E25CC2" w:rsidP="00E214B6">
      <w:pPr>
        <w:pStyle w:val="FootnoteText"/>
      </w:pPr>
      <w:r w:rsidRPr="00F01246">
        <w:rPr>
          <w:rStyle w:val="FootnoteReference"/>
        </w:rPr>
        <w:footnoteRef/>
      </w:r>
      <w:r w:rsidRPr="00F01246">
        <w:t xml:space="preserve"> January 2018 Filing at 3, para. 4, Appx</w:t>
      </w:r>
      <w:r w:rsidRPr="00B508F6">
        <w:t>. A</w:t>
      </w:r>
      <w:r w:rsidRPr="00B508F6">
        <w:rPr>
          <w:spacing w:val="-2"/>
        </w:rPr>
        <w:t>.</w:t>
      </w:r>
    </w:p>
  </w:footnote>
  <w:footnote w:id="20">
    <w:p w:rsidR="004E3CCD" w:rsidRPr="00B508F6" w:rsidP="00E214B6">
      <w:pPr>
        <w:pStyle w:val="FootnoteText"/>
      </w:pPr>
      <w:r w:rsidRPr="00F01246">
        <w:rPr>
          <w:rStyle w:val="FootnoteReference"/>
        </w:rPr>
        <w:footnoteRef/>
      </w:r>
      <w:r w:rsidRPr="00F01246">
        <w:t xml:space="preserve"> May 2018 Filing at 2, para. 2</w:t>
      </w:r>
      <w:r w:rsidRPr="00F01246">
        <w:rPr>
          <w:spacing w:val="-2"/>
        </w:rPr>
        <w:t>.</w:t>
      </w:r>
    </w:p>
  </w:footnote>
  <w:footnote w:id="21">
    <w:p w:rsidR="004E3CCD" w:rsidRPr="003B442A" w:rsidP="00E214B6">
      <w:pPr>
        <w:pStyle w:val="FootnoteText"/>
      </w:pPr>
      <w:r w:rsidRPr="00F01246">
        <w:rPr>
          <w:rStyle w:val="FootnoteReference"/>
        </w:rPr>
        <w:footnoteRef/>
      </w:r>
      <w:r w:rsidRPr="00F01246">
        <w:t xml:space="preserve"> </w:t>
      </w:r>
      <w:r w:rsidRPr="00F01246">
        <w:rPr>
          <w:i/>
        </w:rPr>
        <w:t>See</w:t>
      </w:r>
      <w:r w:rsidRPr="00B508F6">
        <w:t xml:space="preserve"> 47 CFR § 73.1212(a).  Under that Rule, “service or other valuable consideration” does “not include any service or property furnished either without or at a nominal charge for use on, or in con</w:t>
      </w:r>
      <w:r w:rsidRPr="00E25CC2">
        <w:t>nection with, a broadcast unless it is so furnished in consideration for an identification of any person, pro</w:t>
      </w:r>
      <w:r w:rsidRPr="008633A0">
        <w:t>duct, service, trademark, or brand name beyond an identification reasonably related to the use of such service or property on the broadcast.”  47 C</w:t>
      </w:r>
      <w:r w:rsidRPr="003B442A">
        <w:t xml:space="preserve">FR § 73.1212(a)(2).  </w:t>
      </w:r>
    </w:p>
  </w:footnote>
  <w:footnote w:id="22">
    <w:p w:rsidR="004E3CCD" w:rsidRPr="00F01246" w:rsidP="00E214B6">
      <w:pPr>
        <w:pStyle w:val="FootnoteText"/>
      </w:pPr>
      <w:r w:rsidRPr="00F01246">
        <w:rPr>
          <w:rStyle w:val="FootnoteReference"/>
        </w:rPr>
        <w:footnoteRef/>
      </w:r>
      <w:r w:rsidRPr="00F01246">
        <w:t xml:space="preserve"> 47 U.S.C. § 317(a)(1); 47 CFR § 73.1212(a).</w:t>
      </w:r>
    </w:p>
  </w:footnote>
  <w:footnote w:id="23">
    <w:p w:rsidR="004E3CCD" w:rsidRPr="00E25CC2" w:rsidP="00E214B6">
      <w:pPr>
        <w:pStyle w:val="FootnoteText"/>
      </w:pPr>
      <w:r w:rsidRPr="00F01246">
        <w:rPr>
          <w:rStyle w:val="FootnoteReference"/>
        </w:rPr>
        <w:footnoteRef/>
      </w:r>
      <w:r w:rsidRPr="00F01246">
        <w:t xml:space="preserve"> Consent Decree, 31 FCC </w:t>
      </w:r>
      <w:r w:rsidRPr="00F01246">
        <w:t>Rcd</w:t>
      </w:r>
      <w:r w:rsidRPr="00F01246">
        <w:t xml:space="preserve"> </w:t>
      </w:r>
      <w:r w:rsidRPr="00B508F6">
        <w:t>at 10-11, para. 13, 11, para. 15.</w:t>
      </w:r>
    </w:p>
  </w:footnote>
  <w:footnote w:id="24">
    <w:p w:rsidR="004E3CCD" w:rsidRPr="00E25CC2" w:rsidP="00E214B6">
      <w:pPr>
        <w:pStyle w:val="FootnoteText"/>
      </w:pPr>
      <w:r w:rsidRPr="00F01246">
        <w:rPr>
          <w:rStyle w:val="FootnoteReference"/>
        </w:rPr>
        <w:footnoteRef/>
      </w:r>
      <w:r w:rsidRPr="00F01246">
        <w:rPr>
          <w:i/>
        </w:rPr>
        <w:t xml:space="preserve"> </w:t>
      </w:r>
      <w:r w:rsidRPr="00F01246">
        <w:t xml:space="preserve">January 2018 Filing at </w:t>
      </w:r>
      <w:r w:rsidRPr="00B508F6">
        <w:t>1, paras.</w:t>
      </w:r>
      <w:r w:rsidRPr="00E25CC2">
        <w:t xml:space="preserve"> 1-2, 3, para. 4.</w:t>
      </w:r>
    </w:p>
  </w:footnote>
  <w:footnote w:id="25">
    <w:p w:rsidR="004E3CCD" w:rsidRPr="00E25CC2" w:rsidP="00E214B6">
      <w:pPr>
        <w:pStyle w:val="FootnoteText"/>
      </w:pPr>
      <w:r w:rsidRPr="00F01246">
        <w:rPr>
          <w:rStyle w:val="FootnoteReference"/>
        </w:rPr>
        <w:footnoteRef/>
      </w:r>
      <w:r w:rsidRPr="00F01246">
        <w:t xml:space="preserve"> </w:t>
      </w:r>
      <w:r w:rsidRPr="00F01246">
        <w:rPr>
          <w:i/>
        </w:rPr>
        <w:t>Id</w:t>
      </w:r>
      <w:r w:rsidRPr="00B508F6">
        <w:t>. at 3, para. 4, Appx</w:t>
      </w:r>
      <w:r w:rsidRPr="00E25CC2">
        <w:t>. A.</w:t>
      </w:r>
    </w:p>
  </w:footnote>
  <w:footnote w:id="26">
    <w:p w:rsidR="004E3CCD" w:rsidRPr="00F01246" w:rsidP="00E214B6">
      <w:pPr>
        <w:pStyle w:val="FootnoteText"/>
        <w:rPr>
          <w:b/>
          <w:i/>
        </w:rPr>
      </w:pPr>
      <w:r w:rsidRPr="00F01246">
        <w:rPr>
          <w:rStyle w:val="FootnoteReference"/>
        </w:rPr>
        <w:footnoteRef/>
      </w:r>
      <w:r w:rsidRPr="00F01246">
        <w:t xml:space="preserve"> 47 U.S.C. § 503(b)(1)(B).  </w:t>
      </w:r>
    </w:p>
  </w:footnote>
  <w:footnote w:id="27">
    <w:p w:rsidR="004E3CCD" w:rsidRPr="00F01246" w:rsidP="00E214B6">
      <w:pPr>
        <w:pStyle w:val="FootnoteText"/>
      </w:pPr>
      <w:r w:rsidRPr="00F01246">
        <w:rPr>
          <w:rStyle w:val="FootnoteReference"/>
        </w:rPr>
        <w:footnoteRef/>
      </w:r>
      <w:r w:rsidRPr="00F01246">
        <w:t xml:space="preserve"> 47 U.S.C. § 312(f)(1).</w:t>
      </w:r>
    </w:p>
  </w:footnote>
  <w:footnote w:id="28">
    <w:p w:rsidR="004E3CCD" w:rsidRPr="003B442A" w:rsidP="00E214B6">
      <w:pPr>
        <w:pStyle w:val="FootnoteText"/>
      </w:pPr>
      <w:r w:rsidRPr="00F01246">
        <w:rPr>
          <w:rStyle w:val="FootnoteReference"/>
        </w:rPr>
        <w:footnoteRef/>
      </w:r>
      <w:r w:rsidRPr="00F01246">
        <w:rPr>
          <w:i/>
        </w:rPr>
        <w:t xml:space="preserve"> See, e.g.</w:t>
      </w:r>
      <w:r w:rsidRPr="00F01246">
        <w:t>,</w:t>
      </w:r>
      <w:r w:rsidRPr="00B508F6">
        <w:rPr>
          <w:i/>
        </w:rPr>
        <w:t xml:space="preserve"> Southern California Broadcasting Company</w:t>
      </w:r>
      <w:r w:rsidRPr="00B508F6">
        <w:t xml:space="preserve">, Memorandum Opinion and Order, 6 FCC </w:t>
      </w:r>
      <w:r w:rsidRPr="00B508F6">
        <w:t>Rcd</w:t>
      </w:r>
      <w:r w:rsidRPr="00B508F6">
        <w:t xml:space="preserve"> 43</w:t>
      </w:r>
      <w:r w:rsidRPr="00E25CC2">
        <w:t>87, 4388, para. 5 (1991) (“</w:t>
      </w:r>
      <w:r w:rsidRPr="008633A0">
        <w:t>…[C]</w:t>
      </w:r>
      <w:r w:rsidRPr="008633A0">
        <w:t>onsistent</w:t>
      </w:r>
      <w:r w:rsidRPr="008633A0">
        <w:t xml:space="preserve"> with congressional intent, recent Commission interpretations of ‘willful’ do not require licensee intent to engage i</w:t>
      </w:r>
      <w:r w:rsidRPr="003B442A">
        <w:t xml:space="preserve">n a violation.”), </w:t>
      </w:r>
      <w:r w:rsidRPr="003B442A">
        <w:rPr>
          <w:i/>
        </w:rPr>
        <w:t xml:space="preserve">recons. denied, </w:t>
      </w:r>
      <w:r w:rsidRPr="003B442A">
        <w:t xml:space="preserve">Memorandum Opinion and Order, 7 FCC </w:t>
      </w:r>
      <w:r w:rsidRPr="003B442A">
        <w:t>Rcd</w:t>
      </w:r>
      <w:r w:rsidRPr="003B442A">
        <w:t xml:space="preserve"> 3454 (1992).   </w:t>
      </w:r>
    </w:p>
  </w:footnote>
  <w:footnote w:id="29">
    <w:p w:rsidR="004E3CCD" w:rsidRPr="00435035" w:rsidP="00E214B6">
      <w:pPr>
        <w:pStyle w:val="FootnoteText"/>
      </w:pPr>
      <w:r w:rsidRPr="00F01246">
        <w:rPr>
          <w:rStyle w:val="FootnoteReference"/>
        </w:rPr>
        <w:footnoteRef/>
      </w:r>
      <w:r w:rsidRPr="00F01246">
        <w:t xml:space="preserve">47 U.S.C. § 503(b)(2)(A); 47 CFR § 1.80(b)(1).  These amounts reflect inflation adjustments of the forfeitures specified in </w:t>
      </w:r>
      <w:r w:rsidRPr="00B508F6">
        <w:t>section 503(b)(2)(A).  The Federal Civil Penalties Inflation Adjustment Act Improvements Act of 2015, Pub. L. No 114-74, § 701, 129 Stat. 58</w:t>
      </w:r>
      <w:r w:rsidRPr="00E25CC2">
        <w:t>4, 599 (2015 Inflation Adjustment Act) requires agencies, starting in 2017, to adjust annually the civil monetary penalties covered thereunder, and to publis</w:t>
      </w:r>
      <w:r w:rsidRPr="008633A0">
        <w:t>h each such annual adjustment by January 15.  The 2015 Inflation Adjustment Act amended the Federal</w:t>
      </w:r>
      <w:r w:rsidRPr="003B442A">
        <w:t xml:space="preserve"> Civil Penalties Inflation Adjustment Act of 1990, which is codified, as amended, at 28 U.S.C. § 2461 note (Inflation Adjustment Act).  The Bureau released the order making the 2019 annual adjustment on December 19, 2018.  </w:t>
      </w:r>
      <w:r w:rsidRPr="001A56D3">
        <w:rPr>
          <w:i/>
          <w:iCs/>
        </w:rPr>
        <w:t>See Amendment of Section 1.80(b) of the Commission’s Rules, Adjustment of Civil Monetary Penalties to Reflect Inflation</w:t>
      </w:r>
      <w:r w:rsidRPr="00C55A2A">
        <w:t>, Order, DA 18-1272,</w:t>
      </w:r>
      <w:r w:rsidRPr="00C55A2A">
        <w:rPr>
          <w:snapToGrid w:val="0"/>
          <w:kern w:val="28"/>
        </w:rPr>
        <w:t xml:space="preserve"> </w:t>
      </w:r>
      <w:r w:rsidRPr="00F00DE0">
        <w:t xml:space="preserve">2018 WL 6722625 </w:t>
      </w:r>
      <w:r w:rsidRPr="004A697C">
        <w:t xml:space="preserve">(EB Dec. 19, 2018); </w:t>
      </w:r>
      <w:r w:rsidRPr="004A697C">
        <w:rPr>
          <w:i/>
          <w:iCs/>
        </w:rPr>
        <w:t>see also Annual Adjustment of Civil Monetary Penalties to Reflect Inflation</w:t>
      </w:r>
      <w:r w:rsidRPr="00090D20">
        <w:t xml:space="preserve">, 83 Fed. Reg. 4600 (Feb. 1, 2019) (setting February 1, 2019, as the effective date for the increases).  The 2015 Inflation Adjustment Act provides that the new penalty levels shall apply to penalties assessed after the effective date of the increase, “including [penalties] whose associated violation predated such increase.”  </w:t>
      </w:r>
      <w:r w:rsidRPr="00435035">
        <w:rPr>
          <w:i/>
          <w:iCs/>
        </w:rPr>
        <w:t>See</w:t>
      </w:r>
      <w:r w:rsidRPr="00435035">
        <w:t xml:space="preserve"> 28 U.S.C. § 2461 note, citing Inflation Adjustment Act, as amended, § 6.</w:t>
      </w:r>
    </w:p>
  </w:footnote>
  <w:footnote w:id="30">
    <w:p w:rsidR="004E3CCD" w:rsidRPr="008633A0" w:rsidP="00E214B6">
      <w:pPr>
        <w:pStyle w:val="FootnoteText"/>
      </w:pPr>
      <w:r w:rsidRPr="00F01246">
        <w:rPr>
          <w:rStyle w:val="FootnoteReference"/>
        </w:rPr>
        <w:footnoteRef/>
      </w:r>
      <w:r w:rsidRPr="00F01246">
        <w:t xml:space="preserve"> 47 U.S.C. § 503(b)(2)(E); 47 CFR § 1.80(b)(8), Note § II (articulating criteria for upward adjustments (egregious misconduct, ability to pay/re</w:t>
      </w:r>
      <w:r w:rsidRPr="00B508F6">
        <w:t>lative disincentive, intentional violation, substantial harm, prior violations of any FCC requirements, substantial economic gain, and repeated or continuous</w:t>
      </w:r>
      <w:r w:rsidRPr="00E25CC2">
        <w:t xml:space="preserve"> violation) and downward adjustments (minor violation, good faith or voluntary disclosure, history </w:t>
      </w:r>
      <w:r w:rsidRPr="008633A0">
        <w:t>of overall compliance, and inability to pay)).</w:t>
      </w:r>
    </w:p>
  </w:footnote>
  <w:footnote w:id="31">
    <w:p w:rsidR="004E3CCD" w:rsidRPr="00435035" w:rsidP="00E214B6">
      <w:pPr>
        <w:pStyle w:val="FootnoteText"/>
      </w:pPr>
      <w:r w:rsidRPr="00F01246">
        <w:rPr>
          <w:rStyle w:val="FootnoteReference"/>
        </w:rPr>
        <w:footnoteRef/>
      </w:r>
      <w:r w:rsidRPr="00F01246">
        <w:t xml:space="preserve"> </w:t>
      </w:r>
      <w:r w:rsidRPr="00F01246">
        <w:rPr>
          <w:i/>
        </w:rPr>
        <w:t>The Commission’s Forfeiture Policy Statement and Amendment of Section 1.80 of the Rules to Incorporate the Forfeiture Guidelines</w:t>
      </w:r>
      <w:r w:rsidRPr="00B508F6">
        <w:t xml:space="preserve">, </w:t>
      </w:r>
      <w:r w:rsidRPr="00B508F6">
        <w:rPr>
          <w:color w:val="212121"/>
        </w:rPr>
        <w:t>CI Docket No. 95-6</w:t>
      </w:r>
      <w:r w:rsidRPr="00E25CC2">
        <w:rPr>
          <w:color w:val="212121"/>
        </w:rPr>
        <w:t xml:space="preserve">, </w:t>
      </w:r>
      <w:r w:rsidRPr="008633A0">
        <w:t xml:space="preserve">Report and Order, 12 FCC </w:t>
      </w:r>
      <w:r w:rsidRPr="008633A0">
        <w:t>Rcd</w:t>
      </w:r>
      <w:r w:rsidRPr="008633A0">
        <w:t xml:space="preserve"> 17087, 17098-99, para. 22 (1997) (</w:t>
      </w:r>
      <w:r w:rsidRPr="003B442A">
        <w:rPr>
          <w:i/>
        </w:rPr>
        <w:t>1997 Forfeiture Policy Statement</w:t>
      </w:r>
      <w:r w:rsidRPr="003B442A">
        <w:t>) (noting that “[a]</w:t>
      </w:r>
      <w:r w:rsidRPr="003B442A">
        <w:t>lthough</w:t>
      </w:r>
      <w:r w:rsidRPr="003B442A">
        <w:t xml:space="preserve"> [the Commission has] </w:t>
      </w:r>
      <w:r w:rsidRPr="001A56D3">
        <w:t xml:space="preserve">adopted the base forfeiture amounts as guidelines to provide a measure of predictability to the forfeiture process, </w:t>
      </w:r>
      <w:r w:rsidRPr="00C55A2A">
        <w:t>[the Commission] retain</w:t>
      </w:r>
      <w:r w:rsidRPr="00F00DE0">
        <w:t xml:space="preserve">[s </w:t>
      </w:r>
      <w:r w:rsidRPr="004A697C">
        <w:t>the] discretion to depart fr</w:t>
      </w:r>
      <w:r w:rsidRPr="00090D20">
        <w:t xml:space="preserve">om the guidelines and issue forfeitures on a case-by-case basis, under [the] general forfeiture authority contained in Section 503 of the Act”), </w:t>
      </w:r>
      <w:r w:rsidRPr="00435035">
        <w:rPr>
          <w:i/>
        </w:rPr>
        <w:t>recons. denied</w:t>
      </w:r>
      <w:r w:rsidRPr="00435035">
        <w:t xml:space="preserve">, Memorandum Opinion and Order, 15 FCC </w:t>
      </w:r>
      <w:r w:rsidRPr="00435035">
        <w:t>Rcd</w:t>
      </w:r>
      <w:r w:rsidRPr="00435035">
        <w:t xml:space="preserve"> 303 (1999).</w:t>
      </w:r>
    </w:p>
  </w:footnote>
  <w:footnote w:id="32">
    <w:p w:rsidR="004E3CCD" w:rsidRPr="00F01246" w:rsidP="00E214B6">
      <w:pPr>
        <w:pStyle w:val="FootnoteText"/>
      </w:pPr>
      <w:r w:rsidRPr="00F01246">
        <w:rPr>
          <w:rStyle w:val="FootnoteReference"/>
        </w:rPr>
        <w:footnoteRef/>
      </w:r>
      <w:r w:rsidRPr="00F01246">
        <w:t xml:space="preserve"> 47 CFR § 1.80(b)</w:t>
      </w:r>
      <w:r w:rsidR="005957D6">
        <w:t xml:space="preserve">, </w:t>
      </w:r>
      <w:r w:rsidRPr="00F01246" w:rsidR="005957D6">
        <w:t>§ I</w:t>
      </w:r>
      <w:r w:rsidR="005957D6">
        <w:t>.</w:t>
      </w:r>
      <w:r w:rsidRPr="00F01246">
        <w:t xml:space="preserve"> </w:t>
      </w:r>
    </w:p>
  </w:footnote>
  <w:footnote w:id="33">
    <w:p w:rsidR="004E3CCD" w:rsidRPr="00C55A2A" w:rsidP="00E214B6">
      <w:pPr>
        <w:pStyle w:val="FootnoteText"/>
      </w:pPr>
      <w:r w:rsidRPr="00F01246">
        <w:rPr>
          <w:rStyle w:val="FootnoteReference"/>
        </w:rPr>
        <w:footnoteRef/>
      </w:r>
      <w:r w:rsidRPr="00F01246">
        <w:t xml:space="preserve"> Section 1.80 lists a base forfeiture of $4,000 per violation for “sponsorship identification requirements.”</w:t>
      </w:r>
      <w:r w:rsidR="005957D6">
        <w:t xml:space="preserve">  </w:t>
      </w:r>
      <w:r w:rsidRPr="000937D3" w:rsidR="005957D6">
        <w:rPr>
          <w:i/>
        </w:rPr>
        <w:t>Id</w:t>
      </w:r>
      <w:r w:rsidRPr="00F01246">
        <w:t>.  The Commission has previously assessed forfeitures consistent with this listing in instances involving violations of sponsorship identification requi</w:t>
      </w:r>
      <w:r w:rsidRPr="00B508F6">
        <w:t>rements under s</w:t>
      </w:r>
      <w:r w:rsidRPr="00E25CC2">
        <w:t>ection 317 of the Act and s</w:t>
      </w:r>
      <w:r w:rsidRPr="008633A0">
        <w:t xml:space="preserve">ection 73.1212 of the Commission’s rules.  </w:t>
      </w:r>
      <w:r w:rsidRPr="003B442A">
        <w:rPr>
          <w:i/>
        </w:rPr>
        <w:t>See Radio License Holding XI, LLC</w:t>
      </w:r>
      <w:r w:rsidRPr="003B442A">
        <w:t>,</w:t>
      </w:r>
      <w:r w:rsidRPr="003B442A">
        <w:rPr>
          <w:i/>
        </w:rPr>
        <w:t xml:space="preserve"> </w:t>
      </w:r>
      <w:r w:rsidRPr="003B442A">
        <w:t xml:space="preserve">Forfeiture Order, 29 FCC </w:t>
      </w:r>
      <w:r w:rsidRPr="003B442A">
        <w:t>Rcd</w:t>
      </w:r>
      <w:r w:rsidRPr="003B442A">
        <w:t xml:space="preserve"> 1623, 1628, para. 12, 1630-31, para</w:t>
      </w:r>
      <w:r w:rsidRPr="001A56D3">
        <w:t>. 17 (2014) (</w:t>
      </w:r>
      <w:r w:rsidRPr="0095213F">
        <w:rPr>
          <w:i/>
        </w:rPr>
        <w:t>Radio License Holding XI</w:t>
      </w:r>
      <w:r w:rsidRPr="00C55A2A">
        <w:t>).</w:t>
      </w:r>
      <w:r w:rsidRPr="00C55A2A">
        <w:rPr>
          <w:i/>
        </w:rPr>
        <w:t xml:space="preserve">  </w:t>
      </w:r>
    </w:p>
  </w:footnote>
  <w:footnote w:id="34">
    <w:p w:rsidR="004E3CCD" w:rsidRPr="009975EB" w:rsidP="00E214B6">
      <w:pPr>
        <w:pStyle w:val="FootnoteText"/>
      </w:pPr>
      <w:r w:rsidRPr="00F01246">
        <w:rPr>
          <w:rStyle w:val="FootnoteReference"/>
        </w:rPr>
        <w:footnoteRef/>
      </w:r>
      <w:r w:rsidRPr="00F01246">
        <w:t xml:space="preserve"> In </w:t>
      </w:r>
      <w:r w:rsidRPr="00F01246">
        <w:rPr>
          <w:i/>
        </w:rPr>
        <w:t>Radio License Holding XI</w:t>
      </w:r>
      <w:r w:rsidRPr="00B508F6">
        <w:t xml:space="preserve">, </w:t>
      </w:r>
      <w:r w:rsidRPr="00E25CC2">
        <w:t xml:space="preserve">the Commission observed that “[i]n more recent cases . . . </w:t>
      </w:r>
      <w:r w:rsidRPr="008633A0">
        <w:t>the Commission has imposed significantly higher forfeiture amounts and ha</w:t>
      </w:r>
      <w:r w:rsidRPr="003B442A">
        <w:t xml:space="preserve">s calculated the forfeiture by multiplying the base forfeiture by the number of violations </w:t>
      </w:r>
      <w:r w:rsidRPr="003B442A">
        <w:t>. . . .</w:t>
      </w:r>
      <w:r w:rsidRPr="003B442A">
        <w:t xml:space="preserve"> [The Commission is] foll</w:t>
      </w:r>
      <w:r w:rsidRPr="001A56D3">
        <w:t>owing here the approach [the Commission]</w:t>
      </w:r>
      <w:r w:rsidRPr="0095213F">
        <w:t xml:space="preserve"> used in </w:t>
      </w:r>
      <w:r w:rsidRPr="00C55A2A">
        <w:rPr>
          <w:i/>
        </w:rPr>
        <w:t>Sonshine</w:t>
      </w:r>
      <w:r w:rsidRPr="00C55A2A">
        <w:t>, and [the Commission]</w:t>
      </w:r>
      <w:r w:rsidRPr="00F00DE0">
        <w:t xml:space="preserve"> intend[s]</w:t>
      </w:r>
      <w:r w:rsidRPr="004A697C">
        <w:t xml:space="preserve"> that the Commission and the Bureau will generally take this approach to calculating forfeiture amounts for sponsorship identification violations in the future.”  29 F</w:t>
      </w:r>
      <w:r w:rsidRPr="00090D20">
        <w:t xml:space="preserve">CC </w:t>
      </w:r>
      <w:r w:rsidRPr="00090D20">
        <w:t>Rcd</w:t>
      </w:r>
      <w:r w:rsidRPr="00090D20">
        <w:t xml:space="preserve"> at 1628, para. 12.  Although the Commission has deviated from a per-instance standard occasionally in other areas, </w:t>
      </w:r>
      <w:r w:rsidRPr="00090D20">
        <w:rPr>
          <w:i/>
        </w:rPr>
        <w:t>see, e.g.</w:t>
      </w:r>
      <w:r w:rsidRPr="00090D20">
        <w:t xml:space="preserve">, </w:t>
      </w:r>
      <w:r w:rsidRPr="00090D20">
        <w:rPr>
          <w:i/>
        </w:rPr>
        <w:t>STi</w:t>
      </w:r>
      <w:r w:rsidRPr="00090D20">
        <w:rPr>
          <w:i/>
        </w:rPr>
        <w:t xml:space="preserve"> Telecom</w:t>
      </w:r>
      <w:r w:rsidRPr="00435035">
        <w:rPr>
          <w:i/>
        </w:rPr>
        <w:t xml:space="preserve"> Inc.</w:t>
      </w:r>
      <w:r w:rsidRPr="00435035">
        <w:t xml:space="preserve">, Forfeiture Order, 30 FCC </w:t>
      </w:r>
      <w:r w:rsidRPr="00435035">
        <w:t>Rcd</w:t>
      </w:r>
      <w:r w:rsidRPr="00435035">
        <w:t xml:space="preserve"> 11742, 11756, para. 30 (2015), in this case, no excessive penalties will result if we follow the guidance in </w:t>
      </w:r>
      <w:r w:rsidRPr="009975EB">
        <w:rPr>
          <w:i/>
        </w:rPr>
        <w:t>Radio License Holding XI</w:t>
      </w:r>
      <w:r w:rsidRPr="009975EB">
        <w:t>; thus, we see no reason to deviate from that approach here.</w:t>
      </w:r>
    </w:p>
  </w:footnote>
  <w:footnote w:id="35">
    <w:p w:rsidR="004E3CCD" w:rsidRPr="00E25CC2" w:rsidP="00E214B6">
      <w:pPr>
        <w:pStyle w:val="FootnoteText"/>
      </w:pPr>
      <w:r w:rsidRPr="00F01246">
        <w:rPr>
          <w:rStyle w:val="FootnoteReference"/>
        </w:rPr>
        <w:footnoteRef/>
      </w:r>
      <w:r w:rsidRPr="00F01246">
        <w:t xml:space="preserve"> </w:t>
      </w:r>
      <w:r w:rsidRPr="00F01246">
        <w:rPr>
          <w:i/>
        </w:rPr>
        <w:t>1997 Forfeiture Policy Statement</w:t>
      </w:r>
      <w:r w:rsidRPr="00B508F6">
        <w:t xml:space="preserve">, 12 FCC </w:t>
      </w:r>
      <w:r w:rsidRPr="00B508F6">
        <w:t>Rcd</w:t>
      </w:r>
      <w:r w:rsidRPr="00B508F6">
        <w:t xml:space="preserve"> at 17113-15, Appx. A</w:t>
      </w:r>
      <w:r w:rsidRPr="00E25CC2">
        <w:t>; 47 CFR § 1.80.</w:t>
      </w:r>
    </w:p>
  </w:footnote>
  <w:footnote w:id="36">
    <w:p w:rsidR="004E3CCD" w:rsidRPr="00B508F6" w:rsidP="00E214B6">
      <w:pPr>
        <w:pStyle w:val="FootnoteText"/>
      </w:pPr>
      <w:r w:rsidRPr="00F01246">
        <w:rPr>
          <w:rStyle w:val="FootnoteReference"/>
        </w:rPr>
        <w:footnoteRef/>
      </w:r>
      <w:r w:rsidRPr="00F01246">
        <w:t xml:space="preserve"> </w:t>
      </w:r>
      <w:r w:rsidRPr="00F01246">
        <w:rPr>
          <w:i/>
        </w:rPr>
        <w:t>1997 Forfeiture Policy Statement</w:t>
      </w:r>
      <w:r w:rsidRPr="00B508F6">
        <w:t xml:space="preserve">, 12 FCC </w:t>
      </w:r>
      <w:r w:rsidRPr="00B508F6">
        <w:t>Rcd</w:t>
      </w:r>
      <w:r w:rsidRPr="00B508F6">
        <w:t xml:space="preserve"> at 170</w:t>
      </w:r>
      <w:r w:rsidR="00D730E9">
        <w:t>98-</w:t>
      </w:r>
      <w:r w:rsidRPr="00B508F6">
        <w:t>99, para. 22.</w:t>
      </w:r>
    </w:p>
  </w:footnote>
  <w:footnote w:id="37">
    <w:p w:rsidR="004E3CCD" w:rsidRPr="00E25CC2" w:rsidP="00E214B6">
      <w:pPr>
        <w:pStyle w:val="FootnoteText"/>
      </w:pPr>
      <w:r w:rsidRPr="00F01246">
        <w:rPr>
          <w:rStyle w:val="FootnoteReference"/>
        </w:rPr>
        <w:footnoteRef/>
      </w:r>
      <w:r w:rsidRPr="00F01246">
        <w:t xml:space="preserve"> </w:t>
      </w:r>
      <w:r w:rsidRPr="00F01246">
        <w:rPr>
          <w:i/>
        </w:rPr>
        <w:t xml:space="preserve">See, e.g., </w:t>
      </w:r>
      <w:r w:rsidRPr="00B508F6">
        <w:rPr>
          <w:i/>
        </w:rPr>
        <w:t>Long Distance Direct, Inc</w:t>
      </w:r>
      <w:r w:rsidRPr="00B508F6">
        <w:t xml:space="preserve">., Memorandum Opinion and Order, 15 FCC </w:t>
      </w:r>
      <w:r w:rsidRPr="00B508F6">
        <w:t>Rcd</w:t>
      </w:r>
      <w:r w:rsidRPr="00B508F6">
        <w:t xml:space="preserve"> 3297, 3304</w:t>
      </w:r>
      <w:r w:rsidRPr="00E25CC2">
        <w:t>, para. 19 (2000).</w:t>
      </w:r>
    </w:p>
  </w:footnote>
  <w:footnote w:id="38">
    <w:p w:rsidR="004E3CCD" w:rsidRPr="00B508F6" w:rsidP="00E214B6">
      <w:pPr>
        <w:pStyle w:val="FootnoteText"/>
      </w:pPr>
      <w:r w:rsidRPr="00F01246">
        <w:rPr>
          <w:rStyle w:val="FootnoteReference"/>
        </w:rPr>
        <w:footnoteRef/>
      </w:r>
      <w:r w:rsidRPr="00F01246">
        <w:t xml:space="preserve"> </w:t>
      </w:r>
      <w:r w:rsidRPr="00F01246">
        <w:rPr>
          <w:i/>
        </w:rPr>
        <w:t>1997 Forfeiture Policy Statement</w:t>
      </w:r>
      <w:r w:rsidRPr="00B508F6">
        <w:t xml:space="preserve">, 12 FCC </w:t>
      </w:r>
      <w:r w:rsidRPr="00B508F6">
        <w:t>Rcd</w:t>
      </w:r>
      <w:r w:rsidRPr="00B508F6">
        <w:t xml:space="preserve"> at 170</w:t>
      </w:r>
      <w:r w:rsidR="00D730E9">
        <w:t>98-</w:t>
      </w:r>
      <w:r w:rsidRPr="00B508F6">
        <w:t xml:space="preserve">99, para. 22.  </w:t>
      </w:r>
    </w:p>
  </w:footnote>
  <w:footnote w:id="39">
    <w:p w:rsidR="004E3CCD" w:rsidRPr="00090D20" w:rsidP="00E214B6">
      <w:pPr>
        <w:pStyle w:val="FootnoteText"/>
      </w:pPr>
      <w:r w:rsidRPr="00F01246">
        <w:rPr>
          <w:rStyle w:val="FootnoteReference"/>
        </w:rPr>
        <w:footnoteRef/>
      </w:r>
      <w:r w:rsidRPr="00F01246">
        <w:t xml:space="preserve"> </w:t>
      </w:r>
      <w:r w:rsidRPr="00F01246">
        <w:rPr>
          <w:i/>
        </w:rPr>
        <w:t>A Radio Company, Inc.</w:t>
      </w:r>
      <w:r w:rsidRPr="00B508F6">
        <w:t>,</w:t>
      </w:r>
      <w:r w:rsidRPr="00B508F6">
        <w:rPr>
          <w:i/>
        </w:rPr>
        <w:t xml:space="preserve"> </w:t>
      </w:r>
      <w:r w:rsidRPr="00E25CC2">
        <w:t xml:space="preserve">Notice of Apparent Liability for Forfeiture, 26 FCC </w:t>
      </w:r>
      <w:r w:rsidRPr="00E25CC2">
        <w:t>Rcd</w:t>
      </w:r>
      <w:r w:rsidRPr="00E25CC2">
        <w:t xml:space="preserve"> 6561, 6563, para.</w:t>
      </w:r>
      <w:r w:rsidRPr="008633A0">
        <w:t xml:space="preserve"> 6 (EB 2011)</w:t>
      </w:r>
      <w:r w:rsidRPr="003B442A">
        <w:t xml:space="preserve"> (</w:t>
      </w:r>
      <w:r w:rsidRPr="003B442A">
        <w:rPr>
          <w:i/>
        </w:rPr>
        <w:t>A Radio NAL</w:t>
      </w:r>
      <w:r w:rsidRPr="003B442A">
        <w:t>) (proposing a $25,000 forfeiture for failure to pay voluntary contribution and s</w:t>
      </w:r>
      <w:r w:rsidRPr="001A56D3">
        <w:t xml:space="preserve">ubmit compliance report), </w:t>
      </w:r>
      <w:r w:rsidRPr="00C55A2A">
        <w:rPr>
          <w:i/>
        </w:rPr>
        <w:t>aff’d</w:t>
      </w:r>
      <w:r w:rsidRPr="00C55A2A">
        <w:t xml:space="preserve">, Forfeiture Order, 27 FCC </w:t>
      </w:r>
      <w:r w:rsidRPr="00C55A2A">
        <w:t>Rcd</w:t>
      </w:r>
      <w:r w:rsidRPr="00C55A2A">
        <w:t xml:space="preserve"> 6336, 6337, para. 4 (EB-Field Office 2012) (</w:t>
      </w:r>
      <w:r w:rsidRPr="00F00DE0">
        <w:rPr>
          <w:i/>
        </w:rPr>
        <w:t>A Radio Forfeiture Order</w:t>
      </w:r>
      <w:r w:rsidRPr="004A697C">
        <w:t>) (rejecting licensee’s ability to pay argument).</w:t>
      </w:r>
    </w:p>
  </w:footnote>
  <w:footnote w:id="40">
    <w:p w:rsidR="004E3CCD" w:rsidRPr="009975EB" w:rsidP="00E214B6">
      <w:pPr>
        <w:pStyle w:val="FootnoteText"/>
      </w:pPr>
      <w:r w:rsidRPr="00F01246">
        <w:rPr>
          <w:rStyle w:val="FootnoteReference"/>
        </w:rPr>
        <w:footnoteRef/>
      </w:r>
      <w:r w:rsidRPr="00F01246">
        <w:t xml:space="preserve"> </w:t>
      </w:r>
      <w:r w:rsidRPr="00F01246">
        <w:rPr>
          <w:i/>
        </w:rPr>
        <w:t>A Radio NAL</w:t>
      </w:r>
      <w:r w:rsidRPr="00B508F6">
        <w:t xml:space="preserve">, 26 FCC </w:t>
      </w:r>
      <w:r w:rsidRPr="00B508F6">
        <w:t>Rcd</w:t>
      </w:r>
      <w:r w:rsidRPr="00B508F6">
        <w:t xml:space="preserve"> at 65</w:t>
      </w:r>
      <w:r w:rsidRPr="00E25CC2">
        <w:t>62-63, paras. 5-6.</w:t>
      </w:r>
      <w:r w:rsidRPr="008633A0">
        <w:t xml:space="preserve">  </w:t>
      </w:r>
      <w:r w:rsidRPr="008633A0">
        <w:rPr>
          <w:i/>
        </w:rPr>
        <w:t>See GPSPS, Inc</w:t>
      </w:r>
      <w:r w:rsidRPr="003B442A">
        <w:t xml:space="preserve">., Notice of Apparent Liability for Forfeiture, 30 FCC </w:t>
      </w:r>
      <w:r w:rsidRPr="003B442A">
        <w:t>Rcd</w:t>
      </w:r>
      <w:r w:rsidRPr="003B442A">
        <w:t xml:space="preserve"> 2522, 2533, paras. 27-28 (2015) (proposing a forfeiture penalty </w:t>
      </w:r>
      <w:r w:rsidRPr="001A56D3">
        <w:t xml:space="preserve">of </w:t>
      </w:r>
      <w:r w:rsidRPr="0095213F">
        <w:t>$25,000 for apparent failure to fully respond to a letter of inquiry</w:t>
      </w:r>
      <w:r w:rsidRPr="00C55A2A">
        <w:t xml:space="preserve"> based on the extent and willfulness of the violation, and the insufficiency of the LOI Response</w:t>
      </w:r>
      <w:r w:rsidRPr="00F00DE0">
        <w:t xml:space="preserve">), </w:t>
      </w:r>
      <w:r w:rsidRPr="004A697C">
        <w:rPr>
          <w:i/>
        </w:rPr>
        <w:t>aff’d</w:t>
      </w:r>
      <w:r w:rsidRPr="004A697C">
        <w:t xml:space="preserve">, </w:t>
      </w:r>
      <w:r w:rsidRPr="00090D20">
        <w:t xml:space="preserve">Forfeiture Order, 30 FCC </w:t>
      </w:r>
      <w:r w:rsidRPr="00090D20">
        <w:t>Rcd</w:t>
      </w:r>
      <w:r w:rsidRPr="00090D20">
        <w:t xml:space="preserve"> 7814 (2015);</w:t>
      </w:r>
      <w:r w:rsidRPr="00090D20">
        <w:rPr>
          <w:i/>
        </w:rPr>
        <w:t xml:space="preserve"> </w:t>
      </w:r>
      <w:r w:rsidRPr="00090D20">
        <w:rPr>
          <w:i/>
          <w:iCs/>
        </w:rPr>
        <w:t>BigZoo.</w:t>
      </w:r>
      <w:r w:rsidRPr="00435035">
        <w:rPr>
          <w:i/>
          <w:iCs/>
        </w:rPr>
        <w:t>com Corporation</w:t>
      </w:r>
      <w:r w:rsidRPr="00435035">
        <w:t xml:space="preserve">, Notice of Apparent Liability for Forfeiture and Order, 19 FCC </w:t>
      </w:r>
      <w:r w:rsidRPr="00435035">
        <w:t>Rcd</w:t>
      </w:r>
      <w:r w:rsidRPr="00435035">
        <w:t xml:space="preserve"> 24437</w:t>
      </w:r>
      <w:r w:rsidRPr="009975EB">
        <w:t xml:space="preserve">, 24440-41, paras. 12-13 (EB 2004), </w:t>
      </w:r>
      <w:r w:rsidRPr="009975EB">
        <w:rPr>
          <w:i/>
        </w:rPr>
        <w:t>aff’d</w:t>
      </w:r>
      <w:r w:rsidRPr="009975EB">
        <w:t xml:space="preserve">, Order of Forfeiture, 20 FCC </w:t>
      </w:r>
      <w:r w:rsidRPr="009975EB">
        <w:t>Rcd</w:t>
      </w:r>
      <w:r w:rsidRPr="009975EB">
        <w:t xml:space="preserve"> 3954 (EB 2005) (ordering $20,000 for a common carrier’s failure to respond to an LOI).</w:t>
      </w:r>
    </w:p>
  </w:footnote>
  <w:footnote w:id="41">
    <w:p w:rsidR="004E3CCD" w:rsidRPr="003B442A" w:rsidP="00E214B6">
      <w:pPr>
        <w:pStyle w:val="FootnoteText"/>
      </w:pPr>
      <w:r w:rsidRPr="00F01246">
        <w:rPr>
          <w:rStyle w:val="FootnoteReference"/>
        </w:rPr>
        <w:footnoteRef/>
      </w:r>
      <w:r w:rsidRPr="00F01246">
        <w:t xml:space="preserve"> </w:t>
      </w:r>
      <w:r w:rsidRPr="00F01246">
        <w:rPr>
          <w:i/>
        </w:rPr>
        <w:t xml:space="preserve">See </w:t>
      </w:r>
      <w:r w:rsidRPr="00B508F6">
        <w:rPr>
          <w:i/>
        </w:rPr>
        <w:t>A Radio Forfeiture Order</w:t>
      </w:r>
      <w:r w:rsidRPr="00B508F6">
        <w:t xml:space="preserve">, 27 FCC </w:t>
      </w:r>
      <w:r w:rsidRPr="00E25CC2">
        <w:t>Rcd</w:t>
      </w:r>
      <w:r w:rsidRPr="00E25CC2">
        <w:t xml:space="preserve"> at 6337</w:t>
      </w:r>
      <w:r w:rsidRPr="008633A0">
        <w:t>, para. 4.</w:t>
      </w:r>
    </w:p>
  </w:footnote>
  <w:footnote w:id="42">
    <w:p w:rsidR="004E3CCD" w:rsidRPr="00B508F6" w:rsidP="00E214B6">
      <w:pPr>
        <w:pStyle w:val="FootnoteText"/>
      </w:pPr>
      <w:r w:rsidRPr="00F01246">
        <w:rPr>
          <w:rStyle w:val="FootnoteReference"/>
        </w:rPr>
        <w:footnoteRef/>
      </w:r>
      <w:r w:rsidRPr="00F01246">
        <w:t xml:space="preserve"> </w:t>
      </w:r>
      <w:r w:rsidRPr="00F01246">
        <w:rPr>
          <w:i/>
        </w:rPr>
        <w:t>Id</w:t>
      </w:r>
      <w:r w:rsidRPr="00B508F6">
        <w:t xml:space="preserve">. </w:t>
      </w:r>
    </w:p>
  </w:footnote>
  <w:footnote w:id="43">
    <w:p w:rsidR="004E3CCD" w:rsidRPr="008633A0" w:rsidP="00E214B6">
      <w:pPr>
        <w:pStyle w:val="FootnoteText"/>
      </w:pPr>
      <w:r w:rsidRPr="00F01246">
        <w:rPr>
          <w:rStyle w:val="FootnoteReference"/>
        </w:rPr>
        <w:footnoteRef/>
      </w:r>
      <w:r w:rsidRPr="00F01246">
        <w:t xml:space="preserve"> </w:t>
      </w:r>
      <w:r w:rsidRPr="00F01246">
        <w:rPr>
          <w:i/>
        </w:rPr>
        <w:t xml:space="preserve">See 1997 </w:t>
      </w:r>
      <w:r w:rsidRPr="00B508F6">
        <w:rPr>
          <w:i/>
          <w:iCs/>
        </w:rPr>
        <w:t>Forfeiture Policy Statement</w:t>
      </w:r>
      <w:r w:rsidRPr="00B508F6">
        <w:t>,</w:t>
      </w:r>
      <w:r w:rsidRPr="00E25CC2">
        <w:rPr>
          <w:i/>
        </w:rPr>
        <w:t xml:space="preserve"> </w:t>
      </w:r>
      <w:r w:rsidRPr="00E25CC2">
        <w:t xml:space="preserve">12 FCC </w:t>
      </w:r>
      <w:r w:rsidRPr="00E25CC2">
        <w:t>Rcd</w:t>
      </w:r>
      <w:r w:rsidRPr="00E25CC2">
        <w:t xml:space="preserve"> at 17116</w:t>
      </w:r>
      <w:r w:rsidR="005D2067">
        <w:t xml:space="preserve">, </w:t>
      </w:r>
      <w:r w:rsidRPr="00B508F6" w:rsidR="005D2067">
        <w:t>Appx. A</w:t>
      </w:r>
      <w:r w:rsidR="005D2067">
        <w:t xml:space="preserve"> </w:t>
      </w:r>
      <w:r w:rsidRPr="008633A0">
        <w:t>(including “[p]</w:t>
      </w:r>
      <w:r w:rsidRPr="008633A0">
        <w:t>rior</w:t>
      </w:r>
      <w:r w:rsidRPr="008633A0">
        <w:t xml:space="preserve"> violations of any FCC requirements” as an upward adjustment factor). </w:t>
      </w:r>
    </w:p>
  </w:footnote>
  <w:footnote w:id="44">
    <w:p w:rsidR="004E3CCD" w:rsidRPr="009975EB" w:rsidP="00E214B6">
      <w:pPr>
        <w:pStyle w:val="FootnoteText"/>
        <w:rPr>
          <w:i/>
        </w:rPr>
      </w:pPr>
      <w:r w:rsidRPr="00F01246">
        <w:rPr>
          <w:rStyle w:val="FootnoteReference"/>
        </w:rPr>
        <w:footnoteRef/>
      </w:r>
      <w:r w:rsidRPr="00F01246">
        <w:t xml:space="preserve"> </w:t>
      </w:r>
      <w:r w:rsidRPr="00F01246">
        <w:rPr>
          <w:i/>
        </w:rPr>
        <w:t>See, e.g.</w:t>
      </w:r>
      <w:r w:rsidRPr="00B508F6">
        <w:t>,</w:t>
      </w:r>
      <w:r w:rsidRPr="00B508F6">
        <w:rPr>
          <w:i/>
        </w:rPr>
        <w:t xml:space="preserve"> </w:t>
      </w:r>
      <w:r w:rsidRPr="00E25CC2">
        <w:t xml:space="preserve">Consent Decree, 31 FCC </w:t>
      </w:r>
      <w:r w:rsidRPr="00E25CC2">
        <w:t>Rcd</w:t>
      </w:r>
      <w:r w:rsidRPr="00E25CC2">
        <w:t xml:space="preserve"> at 9, para. 10 (Cumulus and Radio Lic</w:t>
      </w:r>
      <w:r w:rsidRPr="008633A0">
        <w:t>ense admitting that their actions with re</w:t>
      </w:r>
      <w:r w:rsidRPr="003B442A">
        <w:t xml:space="preserve">spect to the broadcast of the 178 announcements referenced in CD violated the Commission’s sponsorship identification laws); </w:t>
      </w:r>
      <w:r w:rsidRPr="003B442A">
        <w:rPr>
          <w:rStyle w:val="cosearchterm"/>
          <w:bCs/>
          <w:i/>
          <w:iCs/>
        </w:rPr>
        <w:t>Cumulus</w:t>
      </w:r>
      <w:r w:rsidRPr="003B442A">
        <w:rPr>
          <w:rStyle w:val="Emphasis"/>
        </w:rPr>
        <w:t> Licensing LLC</w:t>
      </w:r>
      <w:r w:rsidRPr="001A56D3">
        <w:t>, Notice of Apparent Liability for </w:t>
      </w:r>
      <w:r w:rsidRPr="001A56D3">
        <w:rPr>
          <w:rStyle w:val="cosearchterm"/>
          <w:bCs/>
        </w:rPr>
        <w:t>Forfeiture</w:t>
      </w:r>
      <w:r w:rsidRPr="0095213F">
        <w:t xml:space="preserve">, 24 FCC </w:t>
      </w:r>
      <w:r w:rsidRPr="0095213F">
        <w:t>Rcd</w:t>
      </w:r>
      <w:r w:rsidRPr="0095213F">
        <w:t xml:space="preserve"> 1667 (EB</w:t>
      </w:r>
      <w:r w:rsidRPr="00C55A2A">
        <w:t>-IH</w:t>
      </w:r>
      <w:r w:rsidRPr="00F00DE0">
        <w:t>D 2009</w:t>
      </w:r>
      <w:r w:rsidRPr="00864EE8">
        <w:t xml:space="preserve">) </w:t>
      </w:r>
      <w:r w:rsidRPr="00435035" w:rsidR="00D61746">
        <w:t>(forfeiture paid)</w:t>
      </w:r>
      <w:r w:rsidRPr="00864EE8" w:rsidR="00D61746">
        <w:rPr>
          <w:rStyle w:val="Emphasis"/>
          <w:i w:val="0"/>
        </w:rPr>
        <w:t xml:space="preserve"> </w:t>
      </w:r>
      <w:r w:rsidRPr="00864EE8">
        <w:rPr>
          <w:rStyle w:val="Emphasis"/>
          <w:i w:val="0"/>
        </w:rPr>
        <w:t>(imposing $6,000 forfeiture for Cumulus Licensing LLC’s apparent violation of section 73.1206 of the Rules)</w:t>
      </w:r>
      <w:r w:rsidRPr="00435035">
        <w:t>; </w:t>
      </w:r>
      <w:r w:rsidRPr="00435035">
        <w:rPr>
          <w:rStyle w:val="cosearchterm"/>
          <w:bCs/>
          <w:i/>
          <w:iCs/>
        </w:rPr>
        <w:t>Cumulus</w:t>
      </w:r>
      <w:r w:rsidRPr="009975EB">
        <w:rPr>
          <w:rStyle w:val="Emphasis"/>
        </w:rPr>
        <w:t> Licensing Corp.</w:t>
      </w:r>
      <w:r w:rsidRPr="009975EB">
        <w:t xml:space="preserve">, Memorandum Opinion and Order, 23 FCC </w:t>
      </w:r>
      <w:r w:rsidRPr="009975EB">
        <w:t>Rcd</w:t>
      </w:r>
      <w:r w:rsidRPr="009975EB">
        <w:t xml:space="preserve"> 5286, 5292, para. 17 (2008) (affirming Memorandum Opinion and Order’s conclusion that Cumulus Licensing Corporation willfully and repeatedly violated section 17.50 of the Rules and that it is not entitled to a reduction in the assessed forfeiture amount)</w:t>
      </w:r>
      <w:r w:rsidRPr="009975EB">
        <w:rPr>
          <w:i/>
        </w:rPr>
        <w:t xml:space="preserve">; </w:t>
      </w:r>
      <w:r w:rsidRPr="009975EB">
        <w:rPr>
          <w:rStyle w:val="Emphasis"/>
        </w:rPr>
        <w:t>Cumulus Licensing Corp.</w:t>
      </w:r>
      <w:r w:rsidRPr="008E6C4B">
        <w:rPr>
          <w:rStyle w:val="Emphasis"/>
          <w:i w:val="0"/>
        </w:rPr>
        <w:t>,</w:t>
      </w:r>
      <w:r w:rsidRPr="009975EB">
        <w:rPr>
          <w:rStyle w:val="Emphasis"/>
        </w:rPr>
        <w:t xml:space="preserve"> </w:t>
      </w:r>
      <w:r w:rsidRPr="004A582F">
        <w:rPr>
          <w:rStyle w:val="Emphasis"/>
          <w:i w:val="0"/>
        </w:rPr>
        <w:t>Notice of Apparent Liability for Forfeiture,</w:t>
      </w:r>
      <w:r w:rsidRPr="009975EB">
        <w:rPr>
          <w:rStyle w:val="Emphasis"/>
        </w:rPr>
        <w:t xml:space="preserve"> </w:t>
      </w:r>
      <w:r w:rsidRPr="00864EE8">
        <w:rPr>
          <w:rStyle w:val="Emphasis"/>
          <w:i w:val="0"/>
        </w:rPr>
        <w:t xml:space="preserve">19 FCC </w:t>
      </w:r>
      <w:r w:rsidRPr="00864EE8">
        <w:rPr>
          <w:rStyle w:val="Emphasis"/>
          <w:i w:val="0"/>
        </w:rPr>
        <w:t>Rcd</w:t>
      </w:r>
      <w:r w:rsidRPr="00864EE8">
        <w:rPr>
          <w:rStyle w:val="Emphasis"/>
          <w:i w:val="0"/>
        </w:rPr>
        <w:t xml:space="preserve"> 2753 (EB 2004)</w:t>
      </w:r>
      <w:r w:rsidR="00D2015B">
        <w:rPr>
          <w:rStyle w:val="Emphasis"/>
          <w:i w:val="0"/>
        </w:rPr>
        <w:t xml:space="preserve"> </w:t>
      </w:r>
      <w:r w:rsidRPr="009975EB" w:rsidR="00D2015B">
        <w:t>(forfeiture paid)</w:t>
      </w:r>
      <w:r w:rsidRPr="00864EE8">
        <w:rPr>
          <w:rStyle w:val="Emphasis"/>
          <w:i w:val="0"/>
        </w:rPr>
        <w:t xml:space="preserve"> (imposing $4,000 forfeiture for Cumulus Licensing Corp.’s apparent violation of section 73.1206 of the Rules)</w:t>
      </w:r>
      <w:r w:rsidRPr="009975EB">
        <w:t>.</w:t>
      </w:r>
    </w:p>
  </w:footnote>
  <w:footnote w:id="45">
    <w:p w:rsidR="004E3CCD" w:rsidRPr="003B442A" w:rsidP="00E214B6">
      <w:pPr>
        <w:pStyle w:val="FootnoteText"/>
      </w:pPr>
      <w:r w:rsidRPr="00F01246">
        <w:rPr>
          <w:rStyle w:val="FootnoteReference"/>
        </w:rPr>
        <w:footnoteRef/>
      </w:r>
      <w:r w:rsidRPr="00F01246">
        <w:t xml:space="preserve"> </w:t>
      </w:r>
      <w:r w:rsidRPr="00F01246">
        <w:rPr>
          <w:i/>
        </w:rPr>
        <w:t>See, e.g</w:t>
      </w:r>
      <w:r w:rsidRPr="00B508F6">
        <w:t xml:space="preserve">., </w:t>
      </w:r>
      <w:r w:rsidRPr="00B508F6">
        <w:rPr>
          <w:i/>
        </w:rPr>
        <w:t xml:space="preserve">Clear Channel Communications, Inc., </w:t>
      </w:r>
      <w:r w:rsidRPr="00E25CC2">
        <w:t>Notice of Apparent Liability for Forfeiture,</w:t>
      </w:r>
      <w:r w:rsidRPr="008633A0">
        <w:rPr>
          <w:i/>
        </w:rPr>
        <w:t xml:space="preserve"> </w:t>
      </w:r>
      <w:r w:rsidRPr="008633A0">
        <w:t xml:space="preserve">27 FCC </w:t>
      </w:r>
      <w:r w:rsidRPr="008633A0">
        <w:t>Rcd</w:t>
      </w:r>
      <w:r w:rsidRPr="008633A0">
        <w:t xml:space="preserve"> 343, 347-48, para. 9 (EB-IHD 2012)</w:t>
      </w:r>
      <w:r w:rsidRPr="003B442A">
        <w:t xml:space="preserve"> (forfeiture paid) (proposing a 450% upward adjustment of the $4,000 base </w:t>
      </w:r>
      <w:r w:rsidRPr="001A56D3">
        <w:t xml:space="preserve">forfeiture </w:t>
      </w:r>
      <w:r w:rsidRPr="00C55A2A">
        <w:t>to $22,000 for violation of the c</w:t>
      </w:r>
      <w:r w:rsidRPr="00F00DE0">
        <w:t>ontest r</w:t>
      </w:r>
      <w:r w:rsidRPr="004A697C">
        <w:t>ule, 47 CFR § 73.1216,</w:t>
      </w:r>
      <w:r w:rsidRPr="00090D20">
        <w:t xml:space="preserve"> based in part on prior violations); </w:t>
      </w:r>
      <w:r w:rsidRPr="00090D20">
        <w:rPr>
          <w:i/>
        </w:rPr>
        <w:t>Citicasters</w:t>
      </w:r>
      <w:r w:rsidRPr="00090D20">
        <w:rPr>
          <w:i/>
        </w:rPr>
        <w:t xml:space="preserve"> Licenses, L.P.</w:t>
      </w:r>
      <w:r w:rsidRPr="00435035">
        <w:t>,</w:t>
      </w:r>
      <w:r w:rsidRPr="00435035">
        <w:rPr>
          <w:i/>
        </w:rPr>
        <w:t xml:space="preserve"> </w:t>
      </w:r>
      <w:r w:rsidRPr="00435035">
        <w:t xml:space="preserve">Notice of Apparent Liability for Forfeiture, 22 FCC </w:t>
      </w:r>
      <w:r w:rsidRPr="00435035">
        <w:t>Rcd</w:t>
      </w:r>
      <w:r w:rsidRPr="00435035">
        <w:t xml:space="preserve"> 1633, 1635-36, paras. 9-10 (EB-IHD</w:t>
      </w:r>
      <w:r w:rsidRPr="009975EB">
        <w:t xml:space="preserve"> 2007) (forfeiture paid) (applying a 150% upward adjustment of the base forfeiture from $4,000 to $10,000 based in part on prior rule violations); </w:t>
      </w:r>
      <w:r w:rsidRPr="009975EB">
        <w:rPr>
          <w:i/>
        </w:rPr>
        <w:t>Union Broad., Inc.</w:t>
      </w:r>
      <w:r w:rsidRPr="009975EB">
        <w:t xml:space="preserve">, Notice of Apparent Liability for Forfeiture, File No. EB-02-KC-783, slip op. at 3, para. 11 (EB-Field Feb. 18, 2003), </w:t>
      </w:r>
      <w:hyperlink r:id="rId1" w:history="1">
        <w:r w:rsidRPr="00F01246">
          <w:rPr>
            <w:rStyle w:val="Hyperlink"/>
          </w:rPr>
          <w:t>https://www.fcc.gov/docu</w:t>
        </w:r>
        <w:r w:rsidRPr="00B508F6">
          <w:rPr>
            <w:rStyle w:val="Hyperlink"/>
          </w:rPr>
          <w:t>ment/union-broadcasting-inc-whb-am-and-kcte-am-overland-park-ks</w:t>
        </w:r>
      </w:hyperlink>
      <w:r w:rsidRPr="00F01246">
        <w:t xml:space="preserve"> (</w:t>
      </w:r>
      <w:r w:rsidRPr="00B508F6">
        <w:t>proposing a forfeiture of $18,000, including a 100% upward adjustment of the $4,000 base forfeiture for licensee’s operation outside the terms of its authorization in violation of 47 CFR § 7</w:t>
      </w:r>
      <w:r w:rsidRPr="00E25CC2">
        <w:t xml:space="preserve">3.1745(a)), </w:t>
      </w:r>
      <w:r w:rsidRPr="008633A0">
        <w:rPr>
          <w:i/>
        </w:rPr>
        <w:t>aff’d</w:t>
      </w:r>
      <w:r w:rsidRPr="008633A0">
        <w:t xml:space="preserve">, Forfeiture Order, 19 FCC </w:t>
      </w:r>
      <w:r w:rsidRPr="008633A0">
        <w:t>Rcd</w:t>
      </w:r>
      <w:r w:rsidRPr="008633A0">
        <w:t xml:space="preserve"> 18588, 18590, para. 10, 18591, para. 13 (EB 2004) (forfeiture paid) (</w:t>
      </w:r>
      <w:r w:rsidRPr="003B442A">
        <w:rPr>
          <w:i/>
        </w:rPr>
        <w:t>Union Forfeiture Order</w:t>
      </w:r>
      <w:r w:rsidRPr="003B442A">
        <w:t xml:space="preserve">) (affirming upward adjustment and finding no basis to cancel or reduce the forfeiture).  </w:t>
      </w:r>
    </w:p>
  </w:footnote>
  <w:footnote w:id="46">
    <w:p w:rsidR="004E3CCD" w:rsidRPr="003B442A" w:rsidP="00E214B6">
      <w:pPr>
        <w:pStyle w:val="FootnoteText"/>
      </w:pPr>
      <w:r w:rsidRPr="00F01246">
        <w:rPr>
          <w:rStyle w:val="FootnoteReference"/>
        </w:rPr>
        <w:footnoteRef/>
      </w:r>
      <w:r w:rsidRPr="00F01246">
        <w:t xml:space="preserve"> </w:t>
      </w:r>
      <w:r w:rsidRPr="00F01246">
        <w:rPr>
          <w:i/>
        </w:rPr>
        <w:t>See</w:t>
      </w:r>
      <w:r w:rsidRPr="00B508F6">
        <w:t xml:space="preserve"> January 2018 Filing at 3, paras. 4-5, A</w:t>
      </w:r>
      <w:r w:rsidRPr="00E25CC2">
        <w:t xml:space="preserve">ppx. A, May 2018 Filing at 2, paras. 2-3, </w:t>
      </w:r>
      <w:r w:rsidRPr="008633A0">
        <w:rPr>
          <w:spacing w:val="-2"/>
        </w:rPr>
        <w:t xml:space="preserve">January 2019 Filing at 3, para. </w:t>
      </w:r>
      <w:r w:rsidRPr="003B442A">
        <w:rPr>
          <w:spacing w:val="-2"/>
        </w:rPr>
        <w:t>4</w:t>
      </w:r>
      <w:r w:rsidRPr="003B442A">
        <w:t>, 4, para. 6.</w:t>
      </w:r>
    </w:p>
  </w:footnote>
  <w:footnote w:id="47">
    <w:p w:rsidR="004E3CCD" w:rsidRPr="00F01246" w:rsidP="00E214B6">
      <w:pPr>
        <w:pStyle w:val="FootnoteText"/>
      </w:pPr>
      <w:r w:rsidRPr="00F01246">
        <w:rPr>
          <w:rStyle w:val="FootnoteReference"/>
        </w:rPr>
        <w:footnoteRef/>
      </w:r>
      <w:r w:rsidRPr="00F01246">
        <w:t xml:space="preserve"> Consent Decree, 31 FCC </w:t>
      </w:r>
      <w:r w:rsidRPr="00F01246">
        <w:t>Rcd</w:t>
      </w:r>
      <w:r w:rsidRPr="00F01246">
        <w:t xml:space="preserve"> at 10-11, para. 13.</w:t>
      </w:r>
    </w:p>
  </w:footnote>
  <w:footnote w:id="48">
    <w:p w:rsidR="004E3CCD" w:rsidRPr="009975EB" w:rsidP="00E214B6">
      <w:pPr>
        <w:pStyle w:val="FootnoteText"/>
      </w:pPr>
      <w:r w:rsidRPr="00F01246">
        <w:rPr>
          <w:rStyle w:val="FootnoteReference"/>
        </w:rPr>
        <w:footnoteRef/>
      </w:r>
      <w:r w:rsidRPr="00F01246">
        <w:t xml:space="preserve"> </w:t>
      </w:r>
      <w:r w:rsidRPr="00F01246">
        <w:rPr>
          <w:i/>
        </w:rPr>
        <w:t>See, e.g</w:t>
      </w:r>
      <w:r w:rsidRPr="00B508F6">
        <w:t xml:space="preserve">., </w:t>
      </w:r>
      <w:r w:rsidRPr="00B508F6">
        <w:rPr>
          <w:i/>
        </w:rPr>
        <w:t>Emery Tel</w:t>
      </w:r>
      <w:r w:rsidRPr="00E25CC2">
        <w:t xml:space="preserve">., Memorandum Opinion and Order, 13 FCC </w:t>
      </w:r>
      <w:r w:rsidRPr="00E25CC2">
        <w:t>Rcd</w:t>
      </w:r>
      <w:r w:rsidRPr="00E25CC2">
        <w:t xml:space="preserve"> 23854, 23859, para. 12 (1998) </w:t>
      </w:r>
      <w:r w:rsidRPr="008633A0">
        <w:t>(“</w:t>
      </w:r>
      <w:r w:rsidRPr="003B442A">
        <w:t>‘[I]</w:t>
      </w:r>
      <w:r w:rsidRPr="003B442A">
        <w:t>nadvertence</w:t>
      </w:r>
      <w:r w:rsidRPr="003B442A">
        <w:t xml:space="preserve"> … is at best, ignorance of the law, which the Commission does not consider a mitigating circumstance.”’) (internal quotation omitted))</w:t>
      </w:r>
      <w:r w:rsidRPr="001A56D3">
        <w:t xml:space="preserve">, </w:t>
      </w:r>
      <w:r w:rsidRPr="0095213F">
        <w:rPr>
          <w:i/>
        </w:rPr>
        <w:t xml:space="preserve">recon. </w:t>
      </w:r>
      <w:r w:rsidRPr="00C55A2A">
        <w:rPr>
          <w:i/>
        </w:rPr>
        <w:t>dismissed in part, denied in part</w:t>
      </w:r>
      <w:r w:rsidRPr="00F00DE0">
        <w:t xml:space="preserve">, Memorandum Opinion and Order, </w:t>
      </w:r>
      <w:r w:rsidRPr="004A697C">
        <w:t xml:space="preserve">15 FCC </w:t>
      </w:r>
      <w:r w:rsidRPr="004A697C">
        <w:t>Rcd</w:t>
      </w:r>
      <w:r w:rsidRPr="004A697C">
        <w:t xml:space="preserve"> 7181 (1999); </w:t>
      </w:r>
      <w:r w:rsidRPr="004A697C">
        <w:rPr>
          <w:i/>
        </w:rPr>
        <w:t xml:space="preserve">Cascade </w:t>
      </w:r>
      <w:r w:rsidRPr="00090D20">
        <w:rPr>
          <w:i/>
        </w:rPr>
        <w:t>Access, L.L</w:t>
      </w:r>
      <w:r w:rsidRPr="00435035">
        <w:rPr>
          <w:i/>
        </w:rPr>
        <w:t>.C.</w:t>
      </w:r>
      <w:r w:rsidRPr="00435035">
        <w:t xml:space="preserve">, Forfeiture Order, 28 FCC </w:t>
      </w:r>
      <w:r w:rsidRPr="00435035">
        <w:t>Rcd</w:t>
      </w:r>
      <w:r w:rsidRPr="00435035">
        <w:t xml:space="preserve"> 141, 145, para. 9 (EB 2013) (rejecting argument that </w:t>
      </w:r>
      <w:r w:rsidRPr="009975EB">
        <w:t>unintentional nature of the violation justifies mitigation of the forfeiture amount).</w:t>
      </w:r>
    </w:p>
  </w:footnote>
  <w:footnote w:id="49">
    <w:p w:rsidR="004E3CCD" w:rsidRPr="00C55A2A" w:rsidP="00E214B6">
      <w:pPr>
        <w:pStyle w:val="FootnoteText"/>
      </w:pPr>
      <w:r w:rsidRPr="00F01246">
        <w:rPr>
          <w:rStyle w:val="FootnoteReference"/>
        </w:rPr>
        <w:footnoteRef/>
      </w:r>
      <w:r w:rsidRPr="00F01246">
        <w:t xml:space="preserve"> </w:t>
      </w:r>
      <w:r w:rsidRPr="00F01246">
        <w:rPr>
          <w:i/>
        </w:rPr>
        <w:t>See Union Forfeiture Order</w:t>
      </w:r>
      <w:r w:rsidRPr="00B508F6">
        <w:t xml:space="preserve">, 19 FCC </w:t>
      </w:r>
      <w:r w:rsidRPr="00B508F6">
        <w:t>Rcd</w:t>
      </w:r>
      <w:r w:rsidRPr="00B508F6">
        <w:t xml:space="preserve"> at</w:t>
      </w:r>
      <w:r w:rsidRPr="00E25CC2">
        <w:t xml:space="preserve"> 18590, para. 10 </w:t>
      </w:r>
      <w:r w:rsidRPr="008633A0">
        <w:t xml:space="preserve">(specifying that “‘corrective action taken to come into compliance with Commission rules or policy is </w:t>
      </w:r>
      <w:r w:rsidRPr="008633A0">
        <w:t>expe</w:t>
      </w:r>
      <w:r w:rsidRPr="003B442A">
        <w:t>cted, and</w:t>
      </w:r>
      <w:r w:rsidRPr="003B442A">
        <w:t xml:space="preserve"> does not nullify or mitigate any prior forfeitures or violations’”), </w:t>
      </w:r>
      <w:r w:rsidRPr="003B442A">
        <w:rPr>
          <w:i/>
        </w:rPr>
        <w:t>quoting</w:t>
      </w:r>
      <w:r w:rsidRPr="003B442A">
        <w:t xml:space="preserve"> </w:t>
      </w:r>
      <w:r w:rsidRPr="001A56D3">
        <w:rPr>
          <w:i/>
        </w:rPr>
        <w:t>Seawest</w:t>
      </w:r>
      <w:r w:rsidRPr="001A56D3">
        <w:rPr>
          <w:i/>
        </w:rPr>
        <w:t xml:space="preserve"> Yacht Brokers d/b/a San Juan Marina Friday Harbor, Washington</w:t>
      </w:r>
      <w:r w:rsidRPr="001A56D3">
        <w:t>, Forf</w:t>
      </w:r>
      <w:r w:rsidRPr="0095213F">
        <w:t xml:space="preserve">eiture Order, 9 FCC </w:t>
      </w:r>
      <w:r w:rsidRPr="0095213F">
        <w:t>Rcd</w:t>
      </w:r>
      <w:r w:rsidRPr="0095213F">
        <w:t xml:space="preserve"> 6099, </w:t>
      </w:r>
      <w:r w:rsidRPr="00C55A2A">
        <w:t>6099, para. 7 (1994).</w:t>
      </w:r>
    </w:p>
  </w:footnote>
  <w:footnote w:id="50">
    <w:p w:rsidR="004E3CCD" w:rsidRPr="00F01246" w:rsidP="00E214B6">
      <w:pPr>
        <w:pStyle w:val="FootnoteText"/>
      </w:pPr>
      <w:r w:rsidRPr="00F01246">
        <w:rPr>
          <w:rStyle w:val="FootnoteReference"/>
        </w:rPr>
        <w:footnoteRef/>
      </w:r>
      <w:r w:rsidRPr="00F01246">
        <w:t xml:space="preserve"> 47 U.S.C. § 503(b).</w:t>
      </w:r>
    </w:p>
  </w:footnote>
  <w:footnote w:id="51">
    <w:p w:rsidR="004E3CCD" w:rsidRPr="00F01246" w:rsidP="00E214B6">
      <w:pPr>
        <w:pStyle w:val="FootnoteText"/>
      </w:pPr>
      <w:r w:rsidRPr="00F01246">
        <w:rPr>
          <w:rStyle w:val="FootnoteReference"/>
        </w:rPr>
        <w:footnoteRef/>
      </w:r>
      <w:r w:rsidRPr="00F01246">
        <w:t xml:space="preserve"> 47 CFR § 1.80.</w:t>
      </w:r>
    </w:p>
  </w:footnote>
  <w:footnote w:id="52">
    <w:p w:rsidR="004E3CCD" w:rsidRPr="00F01246" w:rsidP="00E214B6">
      <w:pPr>
        <w:pStyle w:val="FootnoteText"/>
      </w:pPr>
      <w:r w:rsidRPr="00F01246">
        <w:rPr>
          <w:rStyle w:val="FootnoteReference"/>
        </w:rPr>
        <w:footnoteRef/>
      </w:r>
      <w:r w:rsidRPr="00F01246">
        <w:t xml:space="preserve"> 47 U.S.C. § 317.</w:t>
      </w:r>
    </w:p>
  </w:footnote>
  <w:footnote w:id="53">
    <w:p w:rsidR="004E3CCD" w:rsidRPr="00F01246" w:rsidP="00E214B6">
      <w:pPr>
        <w:pStyle w:val="FootnoteText"/>
      </w:pPr>
      <w:r w:rsidRPr="00F01246">
        <w:rPr>
          <w:rStyle w:val="FootnoteReference"/>
        </w:rPr>
        <w:footnoteRef/>
      </w:r>
      <w:r w:rsidRPr="00F01246">
        <w:t xml:space="preserve"> 47 CFR § 73.1212.  </w:t>
      </w:r>
    </w:p>
  </w:footnote>
  <w:footnote w:id="54">
    <w:p w:rsidR="004E3CCD" w:rsidRPr="00F01246" w:rsidP="00E214B6">
      <w:pPr>
        <w:pStyle w:val="FootnoteText"/>
      </w:pPr>
      <w:r w:rsidRPr="00F01246">
        <w:rPr>
          <w:rStyle w:val="FootnoteReference"/>
        </w:rPr>
        <w:footnoteRef/>
      </w:r>
      <w:r w:rsidRPr="00F01246">
        <w:t xml:space="preserve"> 47 CFR § 1.80.</w:t>
      </w:r>
    </w:p>
  </w:footnote>
  <w:footnote w:id="55">
    <w:p w:rsidR="004E3CCD" w:rsidRPr="005476AB" w:rsidP="00E214B6">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56">
    <w:p w:rsidR="004E3CCD" w:rsidRPr="005476AB" w:rsidP="00E214B6">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57">
    <w:p w:rsidR="004E3CCD" w:rsidP="00E214B6">
      <w:pPr>
        <w:pStyle w:val="FootnoteText"/>
      </w:pPr>
      <w:r w:rsidRPr="005476AB">
        <w:rPr>
          <w:rStyle w:val="FootnoteReference"/>
        </w:rPr>
        <w:footnoteRef/>
      </w:r>
      <w:r w:rsidRPr="005476AB">
        <w:t xml:space="preserve"> Instructions for completing the form may be obtained at </w:t>
      </w:r>
      <w:hyperlink r:id="rId3" w:history="1">
        <w:r w:rsidRPr="008A2184">
          <w:rPr>
            <w:rStyle w:val="Hyperlink"/>
          </w:rPr>
          <w:t>http://www.fcc.gov/Forms/Form159/159.pdf</w:t>
        </w:r>
      </w:hyperlink>
      <w:r w:rsidRPr="005476AB">
        <w:t>.</w:t>
      </w:r>
      <w:r>
        <w:t xml:space="preserve"> </w:t>
      </w:r>
    </w:p>
  </w:footnote>
  <w:footnote w:id="58">
    <w:p w:rsidR="004E3CCD" w:rsidRPr="00F01246" w:rsidP="00E214B6">
      <w:pPr>
        <w:pStyle w:val="FootnoteText"/>
      </w:pPr>
      <w:r w:rsidRPr="00F01246">
        <w:rPr>
          <w:rStyle w:val="FootnoteReference"/>
        </w:rPr>
        <w:footnoteRef/>
      </w:r>
      <w:r w:rsidRPr="00F01246">
        <w:t xml:space="preserve"> 47 CFR § 1.1914.</w:t>
      </w:r>
    </w:p>
  </w:footnote>
  <w:footnote w:id="59">
    <w:p w:rsidR="004E3CCD" w:rsidRPr="00F01246" w:rsidP="00E214B6">
      <w:pPr>
        <w:pStyle w:val="FootnoteText"/>
      </w:pPr>
      <w:r w:rsidRPr="00F01246">
        <w:rPr>
          <w:rStyle w:val="FootnoteReference"/>
        </w:rPr>
        <w:footnoteRef/>
      </w:r>
      <w:r w:rsidRPr="00F01246">
        <w:t xml:space="preserve"> 47 CFR §§ 1.16, 1.80(f)(3).</w:t>
      </w:r>
    </w:p>
  </w:footnote>
  <w:footnote w:id="60">
    <w:p w:rsidR="004E3CCD" w:rsidRPr="00E25CC2" w:rsidP="00E214B6">
      <w:pPr>
        <w:pStyle w:val="FootnoteText"/>
      </w:pPr>
      <w:r w:rsidRPr="00F01246">
        <w:rPr>
          <w:rStyle w:val="FootnoteReference"/>
        </w:rPr>
        <w:footnoteRef/>
      </w:r>
      <w:r w:rsidRPr="00F01246">
        <w:t xml:space="preserve"> January 2018 Filing at Appx</w:t>
      </w:r>
      <w:r w:rsidRPr="00B508F6">
        <w:t>. A (includes information regarding WDVD(FM), WDRQ(FM), WTKA(AM), WWWW-FM, WFBE(FM), WTRX(AM)); May 2018 Filing at 2, para. 2 (includes information re</w:t>
      </w:r>
      <w:r w:rsidRPr="00E25CC2">
        <w:t>garding WMAC(AM)).</w:t>
      </w:r>
    </w:p>
  </w:footnote>
  <w:footnote w:id="61">
    <w:p w:rsidR="004E3CCD" w:rsidRPr="00B508F6" w:rsidP="00E214B6">
      <w:pPr>
        <w:pStyle w:val="FootnoteText"/>
      </w:pPr>
      <w:r w:rsidRPr="00F01246">
        <w:rPr>
          <w:rStyle w:val="FootnoteReference"/>
        </w:rPr>
        <w:footnoteRef/>
      </w:r>
      <w:r w:rsidRPr="00F01246">
        <w:t xml:space="preserve"> </w:t>
      </w:r>
      <w:r w:rsidRPr="00F01246">
        <w:rPr>
          <w:i/>
        </w:rPr>
        <w:t>Id</w:t>
      </w:r>
      <w:r w:rsidRPr="00B508F6">
        <w:t>.</w:t>
      </w:r>
    </w:p>
  </w:footnote>
  <w:footnote w:id="62">
    <w:p w:rsidR="00E20F80" w:rsidP="00E20F80">
      <w:pPr>
        <w:pStyle w:val="FootnoteText"/>
      </w:pPr>
      <w:r>
        <w:rPr>
          <w:vertAlign w:val="superscript"/>
        </w:rPr>
        <w:footnoteRef/>
      </w:r>
      <w:r>
        <w:t xml:space="preserve"> </w:t>
      </w:r>
      <w:r>
        <w:rPr>
          <w:i/>
          <w:iCs/>
        </w:rPr>
        <w:t>SBC Communications, Inc.</w:t>
      </w:r>
      <w:r>
        <w:t xml:space="preserve">, Notice of Apparent Liability for Forfeiture and Order, 16 FCC </w:t>
      </w:r>
      <w:r>
        <w:t>Rcd</w:t>
      </w:r>
      <w:r>
        <w:t xml:space="preserve"> 19091, 19125 (2001) (</w:t>
      </w:r>
      <w:r>
        <w:rPr>
          <w:i/>
          <w:iCs/>
        </w:rPr>
        <w:t>SBC NAL</w:t>
      </w:r>
      <w:r>
        <w:t>).</w:t>
      </w:r>
    </w:p>
  </w:footnote>
  <w:footnote w:id="63">
    <w:p w:rsidR="00E20F80" w:rsidP="00B237FF">
      <w:pPr>
        <w:pStyle w:val="FootnoteText"/>
        <w:tabs>
          <w:tab w:val="left" w:pos="7350"/>
        </w:tabs>
      </w:pPr>
      <w:r>
        <w:rPr>
          <w:vertAlign w:val="superscript"/>
        </w:rPr>
        <w:footnoteRef/>
      </w:r>
      <w:r>
        <w:t xml:space="preserve"> </w:t>
      </w:r>
      <w:r>
        <w:rPr>
          <w:i/>
          <w:iCs/>
        </w:rPr>
        <w:t xml:space="preserve">See </w:t>
      </w:r>
      <w:r>
        <w:t>47 CFR § 1.80.</w:t>
      </w:r>
    </w:p>
  </w:footnote>
  <w:footnote w:id="64">
    <w:p w:rsidR="00E20F80" w:rsidP="00E20F80">
      <w:pPr>
        <w:pStyle w:val="FootnoteText"/>
      </w:pPr>
      <w:r>
        <w:rPr>
          <w:vertAlign w:val="superscript"/>
        </w:rPr>
        <w:footnoteRef/>
      </w:r>
      <w:r>
        <w:t xml:space="preserve"> </w:t>
      </w:r>
      <w:r>
        <w:rPr>
          <w:i/>
          <w:iCs/>
        </w:rPr>
        <w:t>SBC NAL</w:t>
      </w:r>
      <w:r>
        <w:t xml:space="preserve">, 16 FCC </w:t>
      </w:r>
      <w:r>
        <w:t>Rcd</w:t>
      </w:r>
      <w:r>
        <w:t xml:space="preserve"> at 19125.</w:t>
      </w:r>
    </w:p>
  </w:footnote>
  <w:footnote w:id="65">
    <w:p w:rsidR="00E20F80" w:rsidP="00E20F80">
      <w:pPr>
        <w:pStyle w:val="FootnoteText"/>
      </w:pPr>
      <w:r>
        <w:rPr>
          <w:vertAlign w:val="superscript"/>
        </w:rPr>
        <w:footnoteRef/>
      </w:r>
      <w:r>
        <w:t xml:space="preserve"> </w:t>
      </w:r>
      <w:r>
        <w:rPr>
          <w:i/>
          <w:iCs/>
        </w:rPr>
        <w:t>A Radio Company, Inc.</w:t>
      </w:r>
      <w:r>
        <w:t xml:space="preserve">, Forfeiture Order, 27 FCC </w:t>
      </w:r>
      <w:r>
        <w:t>Rcd</w:t>
      </w:r>
      <w:r>
        <w:t xml:space="preserve"> 6336, 6337, para. 4 (EB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CCD" w:rsidP="003A5A10">
    <w:pPr>
      <w:pStyle w:val="Header"/>
      <w:rPr>
        <w:b w:val="0"/>
      </w:rPr>
    </w:pPr>
    <w:r>
      <w:rPr>
        <w:noProof/>
      </w:rPr>
      <w:pict>
        <v:rect id="_x0000_s2049"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Pr="004374D7">
      <w:rPr>
        <w:spacing w:val="-2"/>
      </w:rPr>
      <w:t>FCC 19-</w:t>
    </w:r>
    <w:r w:rsidR="004374D7">
      <w:rPr>
        <w:spacing w:val="-2"/>
      </w:rPr>
      <w:t>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CCD" w:rsidP="003A5A10">
    <w:pPr>
      <w:pStyle w:val="Header"/>
      <w:rPr>
        <w:b w:val="0"/>
      </w:rPr>
    </w:pPr>
    <w:r>
      <w:rPr>
        <w:noProof/>
      </w:rPr>
      <w:pict>
        <v:rect id="_x0000_s2050"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t xml:space="preserve">FCC </w:t>
    </w:r>
    <w:r w:rsidRPr="004374D7">
      <w:t>19-</w:t>
    </w:r>
    <w:r w:rsidR="004374D7">
      <w:t>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F6506">
      <w:rPr>
        <w:spacing w:val="-2"/>
      </w:rPr>
      <w:t xml:space="preserve">FCC </w:t>
    </w:r>
    <w:r w:rsidRPr="00036FC7" w:rsidR="008F6506">
      <w:rPr>
        <w:spacing w:val="-2"/>
      </w:rPr>
      <w:t>19-</w:t>
    </w:r>
    <w:r w:rsidR="00036FC7">
      <w:rPr>
        <w:spacing w:val="-2"/>
      </w:rPr>
      <w:t>70</w:t>
    </w:r>
    <w:r w:rsidR="008F6506">
      <w:t xml:space="preserve"> </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C0DCE">
      <w:rPr>
        <w:spacing w:val="-2"/>
      </w:rPr>
      <w:t xml:space="preserve">FCC </w:t>
    </w:r>
    <w:r w:rsidR="004E2ECC">
      <w:rPr>
        <w:spacing w:val="-2"/>
      </w:rPr>
      <w:t>19-70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52710">
      <w:t>FCC 19-70</w:t>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D52710">
      <w:rPr>
        <w:spacing w:val="-2"/>
      </w:rPr>
      <w:t>FCC 19-70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9E19FC"/>
    <w:multiLevelType w:val="hybridMultilevel"/>
    <w:tmpl w:val="2D64D9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CD"/>
    <w:rsid w:val="00031EB4"/>
    <w:rsid w:val="00035050"/>
    <w:rsid w:val="00036039"/>
    <w:rsid w:val="00036FC7"/>
    <w:rsid w:val="00037F90"/>
    <w:rsid w:val="000875BF"/>
    <w:rsid w:val="00087997"/>
    <w:rsid w:val="00090D20"/>
    <w:rsid w:val="000937D3"/>
    <w:rsid w:val="00096D8C"/>
    <w:rsid w:val="000C0B65"/>
    <w:rsid w:val="000C1EE3"/>
    <w:rsid w:val="000E05FE"/>
    <w:rsid w:val="000E16C6"/>
    <w:rsid w:val="000E3D42"/>
    <w:rsid w:val="000E5E56"/>
    <w:rsid w:val="00110B07"/>
    <w:rsid w:val="00122BD5"/>
    <w:rsid w:val="0012707D"/>
    <w:rsid w:val="00133F79"/>
    <w:rsid w:val="00134060"/>
    <w:rsid w:val="00136509"/>
    <w:rsid w:val="001412E9"/>
    <w:rsid w:val="0015562E"/>
    <w:rsid w:val="00157FD5"/>
    <w:rsid w:val="0016645C"/>
    <w:rsid w:val="00194A66"/>
    <w:rsid w:val="001952DC"/>
    <w:rsid w:val="001A56D3"/>
    <w:rsid w:val="001B1FBD"/>
    <w:rsid w:val="001D6BCF"/>
    <w:rsid w:val="001E01CA"/>
    <w:rsid w:val="002264DB"/>
    <w:rsid w:val="002335A1"/>
    <w:rsid w:val="002374D3"/>
    <w:rsid w:val="0027308F"/>
    <w:rsid w:val="00275CF5"/>
    <w:rsid w:val="0028301F"/>
    <w:rsid w:val="00285017"/>
    <w:rsid w:val="00285876"/>
    <w:rsid w:val="002A2C61"/>
    <w:rsid w:val="002A2D2E"/>
    <w:rsid w:val="002B63F1"/>
    <w:rsid w:val="002C00E8"/>
    <w:rsid w:val="002C27CD"/>
    <w:rsid w:val="003142FA"/>
    <w:rsid w:val="0032628A"/>
    <w:rsid w:val="00343749"/>
    <w:rsid w:val="00350A9B"/>
    <w:rsid w:val="003660ED"/>
    <w:rsid w:val="003911A0"/>
    <w:rsid w:val="003A5A10"/>
    <w:rsid w:val="003B0550"/>
    <w:rsid w:val="003B3CFD"/>
    <w:rsid w:val="003B442A"/>
    <w:rsid w:val="003B694F"/>
    <w:rsid w:val="003F171C"/>
    <w:rsid w:val="003F7EF6"/>
    <w:rsid w:val="0040733A"/>
    <w:rsid w:val="00412FC5"/>
    <w:rsid w:val="00422276"/>
    <w:rsid w:val="004242F1"/>
    <w:rsid w:val="00435035"/>
    <w:rsid w:val="004374D7"/>
    <w:rsid w:val="00445A00"/>
    <w:rsid w:val="00451B0F"/>
    <w:rsid w:val="00466B3D"/>
    <w:rsid w:val="004766A6"/>
    <w:rsid w:val="004A582F"/>
    <w:rsid w:val="004A697C"/>
    <w:rsid w:val="004B344E"/>
    <w:rsid w:val="004C2EE3"/>
    <w:rsid w:val="004E2ECC"/>
    <w:rsid w:val="004E3CCD"/>
    <w:rsid w:val="004E4A22"/>
    <w:rsid w:val="00511968"/>
    <w:rsid w:val="00516016"/>
    <w:rsid w:val="0052003D"/>
    <w:rsid w:val="00523614"/>
    <w:rsid w:val="005476AB"/>
    <w:rsid w:val="00554792"/>
    <w:rsid w:val="0055614C"/>
    <w:rsid w:val="00566D06"/>
    <w:rsid w:val="00566D7C"/>
    <w:rsid w:val="005818B5"/>
    <w:rsid w:val="005957D6"/>
    <w:rsid w:val="005A1796"/>
    <w:rsid w:val="005A1D17"/>
    <w:rsid w:val="005D2067"/>
    <w:rsid w:val="005E14C2"/>
    <w:rsid w:val="005E6F12"/>
    <w:rsid w:val="005E7A83"/>
    <w:rsid w:val="005F35B7"/>
    <w:rsid w:val="005F3A6B"/>
    <w:rsid w:val="00607BA5"/>
    <w:rsid w:val="0061180A"/>
    <w:rsid w:val="00626EB6"/>
    <w:rsid w:val="006320B7"/>
    <w:rsid w:val="00655D03"/>
    <w:rsid w:val="00677EFF"/>
    <w:rsid w:val="00680449"/>
    <w:rsid w:val="00680F6D"/>
    <w:rsid w:val="00683388"/>
    <w:rsid w:val="00683F84"/>
    <w:rsid w:val="006A6A81"/>
    <w:rsid w:val="006B6FEF"/>
    <w:rsid w:val="006C0DCE"/>
    <w:rsid w:val="006C43EF"/>
    <w:rsid w:val="006F7393"/>
    <w:rsid w:val="0070224F"/>
    <w:rsid w:val="007115F7"/>
    <w:rsid w:val="00731B05"/>
    <w:rsid w:val="007326DC"/>
    <w:rsid w:val="00744C20"/>
    <w:rsid w:val="00785689"/>
    <w:rsid w:val="0079754B"/>
    <w:rsid w:val="007A1E6D"/>
    <w:rsid w:val="007B0EB2"/>
    <w:rsid w:val="007C7FFA"/>
    <w:rsid w:val="007D4BD3"/>
    <w:rsid w:val="007E2B5D"/>
    <w:rsid w:val="00810B6F"/>
    <w:rsid w:val="00820171"/>
    <w:rsid w:val="00822CE0"/>
    <w:rsid w:val="008407EB"/>
    <w:rsid w:val="00841AB1"/>
    <w:rsid w:val="008633A0"/>
    <w:rsid w:val="00864EE8"/>
    <w:rsid w:val="008A2184"/>
    <w:rsid w:val="008A2BCB"/>
    <w:rsid w:val="008B3497"/>
    <w:rsid w:val="008C32E1"/>
    <w:rsid w:val="008C68F1"/>
    <w:rsid w:val="008D47E0"/>
    <w:rsid w:val="008E6C4B"/>
    <w:rsid w:val="008F6506"/>
    <w:rsid w:val="00921803"/>
    <w:rsid w:val="00926503"/>
    <w:rsid w:val="00946810"/>
    <w:rsid w:val="0095213F"/>
    <w:rsid w:val="00963877"/>
    <w:rsid w:val="009726D8"/>
    <w:rsid w:val="0098531F"/>
    <w:rsid w:val="00996C54"/>
    <w:rsid w:val="009975EB"/>
    <w:rsid w:val="009B675D"/>
    <w:rsid w:val="009D7308"/>
    <w:rsid w:val="009F2839"/>
    <w:rsid w:val="009F4A9D"/>
    <w:rsid w:val="009F76DB"/>
    <w:rsid w:val="00A16288"/>
    <w:rsid w:val="00A22576"/>
    <w:rsid w:val="00A32C3B"/>
    <w:rsid w:val="00A445F3"/>
    <w:rsid w:val="00A45F4F"/>
    <w:rsid w:val="00A600A9"/>
    <w:rsid w:val="00A6058D"/>
    <w:rsid w:val="00A6358E"/>
    <w:rsid w:val="00AA55B7"/>
    <w:rsid w:val="00AA5B9E"/>
    <w:rsid w:val="00AA76DD"/>
    <w:rsid w:val="00AB2407"/>
    <w:rsid w:val="00AB53DF"/>
    <w:rsid w:val="00AC2663"/>
    <w:rsid w:val="00AD0726"/>
    <w:rsid w:val="00AF28D4"/>
    <w:rsid w:val="00B07E5C"/>
    <w:rsid w:val="00B13325"/>
    <w:rsid w:val="00B237FF"/>
    <w:rsid w:val="00B508F6"/>
    <w:rsid w:val="00B50A3F"/>
    <w:rsid w:val="00B52684"/>
    <w:rsid w:val="00B72C06"/>
    <w:rsid w:val="00B80EAF"/>
    <w:rsid w:val="00B811F7"/>
    <w:rsid w:val="00BA5DC6"/>
    <w:rsid w:val="00BA6196"/>
    <w:rsid w:val="00BC6D8C"/>
    <w:rsid w:val="00BE10F6"/>
    <w:rsid w:val="00BF1391"/>
    <w:rsid w:val="00C1458F"/>
    <w:rsid w:val="00C34006"/>
    <w:rsid w:val="00C36B4C"/>
    <w:rsid w:val="00C426B1"/>
    <w:rsid w:val="00C55A2A"/>
    <w:rsid w:val="00C6573C"/>
    <w:rsid w:val="00C66160"/>
    <w:rsid w:val="00C721AC"/>
    <w:rsid w:val="00C90D6A"/>
    <w:rsid w:val="00C96C29"/>
    <w:rsid w:val="00CA247E"/>
    <w:rsid w:val="00CA6D21"/>
    <w:rsid w:val="00CC72B6"/>
    <w:rsid w:val="00CC79AF"/>
    <w:rsid w:val="00CF1C77"/>
    <w:rsid w:val="00CF2DDA"/>
    <w:rsid w:val="00D0218D"/>
    <w:rsid w:val="00D2015B"/>
    <w:rsid w:val="00D25FB5"/>
    <w:rsid w:val="00D31428"/>
    <w:rsid w:val="00D44223"/>
    <w:rsid w:val="00D52710"/>
    <w:rsid w:val="00D61746"/>
    <w:rsid w:val="00D61F59"/>
    <w:rsid w:val="00D730E9"/>
    <w:rsid w:val="00D857A1"/>
    <w:rsid w:val="00DA2529"/>
    <w:rsid w:val="00DB130A"/>
    <w:rsid w:val="00DB2EBB"/>
    <w:rsid w:val="00DC10A1"/>
    <w:rsid w:val="00DC655F"/>
    <w:rsid w:val="00DD0B59"/>
    <w:rsid w:val="00DD7EBD"/>
    <w:rsid w:val="00DE0023"/>
    <w:rsid w:val="00DF0863"/>
    <w:rsid w:val="00DF62B6"/>
    <w:rsid w:val="00E07225"/>
    <w:rsid w:val="00E20F80"/>
    <w:rsid w:val="00E214B6"/>
    <w:rsid w:val="00E25CC2"/>
    <w:rsid w:val="00E5409F"/>
    <w:rsid w:val="00E614C8"/>
    <w:rsid w:val="00E842F0"/>
    <w:rsid w:val="00EA79F6"/>
    <w:rsid w:val="00EC2F85"/>
    <w:rsid w:val="00ED790A"/>
    <w:rsid w:val="00EE6488"/>
    <w:rsid w:val="00EF035E"/>
    <w:rsid w:val="00F00DE0"/>
    <w:rsid w:val="00F01246"/>
    <w:rsid w:val="00F021FA"/>
    <w:rsid w:val="00F24508"/>
    <w:rsid w:val="00F6079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D4D71C1-DF89-494B-BD3C-B83DDCFC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C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fn,ft,rrfootnote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 Char,fn Char,ft Char,rrfootnote Char Char Char"/>
    <w:link w:val="FootnoteText"/>
    <w:locked/>
    <w:rsid w:val="004E3CCD"/>
  </w:style>
  <w:style w:type="character" w:customStyle="1" w:styleId="ParaNumChar">
    <w:name w:val="ParaNum Char"/>
    <w:link w:val="ParaNum"/>
    <w:locked/>
    <w:rsid w:val="004E3CCD"/>
    <w:rPr>
      <w:snapToGrid w:val="0"/>
      <w:kern w:val="28"/>
      <w:sz w:val="22"/>
    </w:rPr>
  </w:style>
  <w:style w:type="character" w:customStyle="1" w:styleId="HeaderChar">
    <w:name w:val="Header Char"/>
    <w:link w:val="Header"/>
    <w:rsid w:val="004E3CCD"/>
    <w:rPr>
      <w:b/>
      <w:snapToGrid w:val="0"/>
      <w:kern w:val="28"/>
      <w:sz w:val="22"/>
    </w:rPr>
  </w:style>
  <w:style w:type="character" w:customStyle="1" w:styleId="cosearchterm">
    <w:name w:val="co_searchterm"/>
    <w:rsid w:val="004E3CCD"/>
  </w:style>
  <w:style w:type="character" w:styleId="Emphasis">
    <w:name w:val="Emphasis"/>
    <w:uiPriority w:val="20"/>
    <w:qFormat/>
    <w:rsid w:val="004E3CCD"/>
    <w:rPr>
      <w:i/>
      <w:iCs/>
    </w:rPr>
  </w:style>
  <w:style w:type="paragraph" w:styleId="BalloonText">
    <w:name w:val="Balloon Text"/>
    <w:basedOn w:val="Normal"/>
    <w:link w:val="BalloonTextChar"/>
    <w:rsid w:val="004E3CCD"/>
    <w:rPr>
      <w:rFonts w:ascii="Segoe UI" w:hAnsi="Segoe UI" w:cs="Segoe UI"/>
      <w:sz w:val="18"/>
      <w:szCs w:val="18"/>
    </w:rPr>
  </w:style>
  <w:style w:type="character" w:customStyle="1" w:styleId="BalloonTextChar">
    <w:name w:val="Balloon Text Char"/>
    <w:link w:val="BalloonText"/>
    <w:rsid w:val="004E3CCD"/>
    <w:rPr>
      <w:rFonts w:ascii="Segoe UI" w:hAnsi="Segoe UI" w:cs="Segoe UI"/>
      <w:snapToGrid w:val="0"/>
      <w:kern w:val="28"/>
      <w:sz w:val="18"/>
      <w:szCs w:val="18"/>
    </w:rPr>
  </w:style>
  <w:style w:type="paragraph" w:customStyle="1" w:styleId="Body">
    <w:name w:val="Body"/>
    <w:rsid w:val="00E20F8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6.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ees/wire-transfer" TargetMode="External" /><Relationship Id="rId6" Type="http://schemas.openxmlformats.org/officeDocument/2006/relationships/hyperlink" Target="https://apps.fcc.gov/FeeFiler/login.cfm" TargetMode="External" /><Relationship Id="rId7" Type="http://schemas.openxmlformats.org/officeDocument/2006/relationships/hyperlink" Target="mailto:Melanie.Godschal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union-broadcasting-inc-whb-am-and-kcte-am-overland-park-ks"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